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0086C" w14:textId="7766989F" w:rsidR="004A0BEA" w:rsidRPr="004A7C80" w:rsidRDefault="00000000">
      <w:pPr>
        <w:pStyle w:val="Heading1"/>
        <w:rPr>
          <w:sz w:val="32"/>
          <w:szCs w:val="32"/>
        </w:rPr>
      </w:pPr>
      <w:r w:rsidRPr="004A7C80">
        <w:rPr>
          <w:rFonts w:ascii="Calibri" w:hAnsi="Calibri"/>
          <w:sz w:val="32"/>
          <w:szCs w:val="32"/>
        </w:rPr>
        <w:t>Case Leah — Shame</w:t>
      </w:r>
    </w:p>
    <w:p w14:paraId="153FF619" w14:textId="77777777" w:rsidR="004A0BEA" w:rsidRPr="004A7C80" w:rsidRDefault="00000000">
      <w:pPr>
        <w:spacing w:after="120"/>
        <w:rPr>
          <w:sz w:val="24"/>
          <w:szCs w:val="24"/>
        </w:rPr>
      </w:pPr>
      <w:r w:rsidRPr="004A7C80">
        <w:rPr>
          <w:sz w:val="24"/>
          <w:szCs w:val="24"/>
        </w:rPr>
        <w:t>Leah is twenty-three and self-referred to a low-cost voluntary-sector service after her GP suggested “talking therapy” for low mood. The GP letter is thin: brief PHQ scores, no mention of risk. Her parents, with whom she lives, tell the service she is bright but “won’t stick at anything.” In their narrative, a young adult should be working full-time and moving toward independence; her repeated job losses are framed as laziness and as letting the family down. Leah hears this as proof she is a burden. She has not told her parents about the medicine-cupboard moment, and she asks whether the service will write to the GP if she says more—she does not know what confidentiality means in practice.</w:t>
      </w:r>
    </w:p>
    <w:p w14:paraId="51D0CF0F" w14:textId="77777777" w:rsidR="004A0BEA" w:rsidRPr="004A7C80" w:rsidRDefault="00000000">
      <w:pPr>
        <w:spacing w:after="120"/>
        <w:rPr>
          <w:sz w:val="24"/>
          <w:szCs w:val="24"/>
        </w:rPr>
      </w:pPr>
      <w:r w:rsidRPr="004A7C80">
        <w:rPr>
          <w:sz w:val="24"/>
          <w:szCs w:val="24"/>
        </w:rPr>
        <w:t>Over two years she has left several retail and hospitality jobs within weeks. Busy environments, shift changes, and managerial check-ins overwhelm her; she goes absent, then resigns in shame. She spends long hours in her room, sleep reversed, contact with friends dropped. She describes low energy, self-critical loops, and post-social rumination. A friend has raised autism or ADHD; Leah relates to sensory overload and burnout but refuses assessment, saying a label would “make it real” and end any hope she could still be “normal.” That tension sits in the room: curiosity versus shame, and fear that naming difference will collapse what little pride she has.</w:t>
      </w:r>
    </w:p>
    <w:p w14:paraId="52A45235" w14:textId="77777777" w:rsidR="004A0BEA" w:rsidRPr="004A7C80" w:rsidRDefault="00000000">
      <w:pPr>
        <w:spacing w:after="120"/>
        <w:rPr>
          <w:sz w:val="24"/>
          <w:szCs w:val="24"/>
        </w:rPr>
      </w:pPr>
      <w:r w:rsidRPr="004A7C80">
        <w:rPr>
          <w:sz w:val="24"/>
          <w:szCs w:val="24"/>
        </w:rPr>
        <w:t>Risk is not linear. In session two she says she has never self-harmed. In session three, after a fight at home, she admits standing at the cupboard where paracetamol and ibuprofen are kept, wanting “everything to stop,” then walking away. She cannot say how long she stood there or whether she handled the packets. She minimises—“I wouldn’t really do it”—but her affect goes flat when pressed. She has not told the GP. She says if the therapist “makes a fuss” her parents will find out and the shame will be unbearable. Her mother has threatened to stop paying for anything “non-essential” if she does not find stable work by spring; Leah reads that as conditional love. Part of her wants structure and honesty; part expects to ghost therapy as she has ghosted jobs. The service has no crisis cover out of hours; you are deciding in a fifty-minute hour whether this crosses the threshold for same-day GP contact or whether that would feel like betrayal and end contact. There is no neat formulation yet: passive ideation, possible impulsive gesture, family pressure, possible neurodevelopmental overlay, shifting self-report, and incomplete history.</w:t>
      </w:r>
    </w:p>
    <w:p w14:paraId="04F29A58" w14:textId="729BA0FC" w:rsidR="004A7C80" w:rsidRPr="004A7C80" w:rsidRDefault="004A7C80">
      <w:pPr>
        <w:rPr>
          <w:sz w:val="24"/>
          <w:szCs w:val="24"/>
        </w:rPr>
      </w:pPr>
      <w:r w:rsidRPr="004A7C80">
        <w:rPr>
          <w:sz w:val="24"/>
          <w:szCs w:val="24"/>
        </w:rPr>
        <w:br w:type="page"/>
      </w:r>
    </w:p>
    <w:p w14:paraId="577BC806" w14:textId="77777777" w:rsidR="004A0BEA" w:rsidRPr="004A7C80" w:rsidRDefault="004A0BEA">
      <w:pPr>
        <w:rPr>
          <w:sz w:val="24"/>
          <w:szCs w:val="24"/>
        </w:rPr>
      </w:pPr>
    </w:p>
    <w:p w14:paraId="2C4246E0" w14:textId="77777777" w:rsidR="00162C94" w:rsidRPr="00162C94" w:rsidRDefault="00162C94" w:rsidP="00162C94">
      <w:pPr>
        <w:rPr>
          <w:b/>
          <w:sz w:val="24"/>
          <w:szCs w:val="24"/>
        </w:rPr>
      </w:pPr>
      <w:r w:rsidRPr="00162C94">
        <w:rPr>
          <w:b/>
          <w:sz w:val="24"/>
          <w:szCs w:val="24"/>
        </w:rPr>
        <w:t>To save time:</w:t>
      </w:r>
      <w:r w:rsidRPr="00162C94">
        <w:rPr>
          <w:b/>
          <w:sz w:val="24"/>
          <w:szCs w:val="24"/>
        </w:rPr>
        <w:br/>
        <w:t>If key information appears to be missing, make reasonable clinical assumptions and proceed.</w:t>
      </w:r>
      <w:r w:rsidRPr="00162C94">
        <w:rPr>
          <w:b/>
          <w:sz w:val="24"/>
          <w:szCs w:val="24"/>
        </w:rPr>
        <w:br/>
        <w:t>Don’t worry about constructing the perfect case scenario.</w:t>
      </w:r>
    </w:p>
    <w:p w14:paraId="2C874911" w14:textId="77777777" w:rsidR="004A0BEA" w:rsidRPr="004A7C80" w:rsidRDefault="004A0BEA">
      <w:pPr>
        <w:rPr>
          <w:sz w:val="24"/>
          <w:szCs w:val="24"/>
        </w:rPr>
      </w:pPr>
    </w:p>
    <w:p w14:paraId="5D0AD343" w14:textId="77777777" w:rsidR="004A0BEA" w:rsidRPr="004A7C80" w:rsidRDefault="00000000">
      <w:pPr>
        <w:rPr>
          <w:sz w:val="24"/>
          <w:szCs w:val="24"/>
        </w:rPr>
      </w:pPr>
      <w:r w:rsidRPr="004A7C80">
        <w:rPr>
          <w:b/>
          <w:sz w:val="24"/>
          <w:szCs w:val="24"/>
        </w:rPr>
        <w:t>Tasks</w:t>
      </w:r>
    </w:p>
    <w:p w14:paraId="03579320" w14:textId="54CEDFE8" w:rsidR="004A0BEA" w:rsidRPr="004A7C80" w:rsidRDefault="00000000">
      <w:pPr>
        <w:spacing w:after="120"/>
        <w:rPr>
          <w:sz w:val="24"/>
          <w:szCs w:val="24"/>
        </w:rPr>
      </w:pPr>
      <w:r w:rsidRPr="004A7C80">
        <w:rPr>
          <w:sz w:val="24"/>
          <w:szCs w:val="24"/>
        </w:rPr>
        <w:t xml:space="preserve">1. </w:t>
      </w:r>
      <w:r w:rsidRPr="00342000">
        <w:rPr>
          <w:b/>
          <w:bCs/>
          <w:sz w:val="24"/>
          <w:szCs w:val="24"/>
        </w:rPr>
        <w:t xml:space="preserve">Formulation under uncertainty: </w:t>
      </w:r>
      <w:r w:rsidR="00342000">
        <w:rPr>
          <w:b/>
          <w:bCs/>
          <w:sz w:val="24"/>
          <w:szCs w:val="24"/>
        </w:rPr>
        <w:br/>
      </w:r>
      <w:r w:rsidRPr="004A7C80">
        <w:rPr>
          <w:sz w:val="24"/>
          <w:szCs w:val="24"/>
        </w:rPr>
        <w:t>draft a working formulation that holds mood, shame, family context, possible ND-relevant processing differences, and risk—stating explicitly what you do not know and what would change your view.</w:t>
      </w:r>
      <w:r w:rsidR="00342000">
        <w:rPr>
          <w:sz w:val="24"/>
          <w:szCs w:val="24"/>
        </w:rPr>
        <w:br/>
      </w:r>
    </w:p>
    <w:p w14:paraId="51B3E7AC" w14:textId="519178AA" w:rsidR="004A0BEA" w:rsidRPr="004A7C80" w:rsidRDefault="00000000">
      <w:pPr>
        <w:spacing w:after="120"/>
        <w:rPr>
          <w:sz w:val="24"/>
          <w:szCs w:val="24"/>
        </w:rPr>
      </w:pPr>
      <w:r w:rsidRPr="004A7C80">
        <w:rPr>
          <w:sz w:val="24"/>
          <w:szCs w:val="24"/>
        </w:rPr>
        <w:t xml:space="preserve">2. </w:t>
      </w:r>
      <w:r w:rsidRPr="00342000">
        <w:rPr>
          <w:b/>
          <w:bCs/>
          <w:sz w:val="24"/>
          <w:szCs w:val="24"/>
        </w:rPr>
        <w:t xml:space="preserve">Immediate clinical decision: </w:t>
      </w:r>
      <w:r w:rsidR="00342000">
        <w:rPr>
          <w:b/>
          <w:bCs/>
          <w:sz w:val="24"/>
          <w:szCs w:val="24"/>
        </w:rPr>
        <w:br/>
      </w:r>
      <w:r w:rsidRPr="004A7C80">
        <w:rPr>
          <w:sz w:val="24"/>
          <w:szCs w:val="24"/>
        </w:rPr>
        <w:t>what do you do after the cupboard disclosure (same day / before next session)—including whether to involve GP, breach confidentiality to parents, or use another route—and why?</w:t>
      </w:r>
      <w:r w:rsidR="00342000">
        <w:rPr>
          <w:sz w:val="24"/>
          <w:szCs w:val="24"/>
        </w:rPr>
        <w:br/>
      </w:r>
    </w:p>
    <w:p w14:paraId="7DCBA266" w14:textId="1F70B26E" w:rsidR="004A0BEA" w:rsidRPr="004A7C80" w:rsidRDefault="00000000">
      <w:pPr>
        <w:spacing w:after="120"/>
        <w:rPr>
          <w:sz w:val="24"/>
          <w:szCs w:val="24"/>
        </w:rPr>
      </w:pPr>
      <w:r w:rsidRPr="004A7C80">
        <w:rPr>
          <w:sz w:val="24"/>
          <w:szCs w:val="24"/>
        </w:rPr>
        <w:t>3.</w:t>
      </w:r>
      <w:r w:rsidRPr="00342000">
        <w:rPr>
          <w:b/>
          <w:bCs/>
          <w:sz w:val="24"/>
          <w:szCs w:val="24"/>
        </w:rPr>
        <w:t xml:space="preserve"> Longer-term plan and/or supervision reflection</w:t>
      </w:r>
      <w:r w:rsidRPr="004A7C80">
        <w:rPr>
          <w:sz w:val="24"/>
          <w:szCs w:val="24"/>
        </w:rPr>
        <w:t xml:space="preserve">: </w:t>
      </w:r>
      <w:r w:rsidR="00342000">
        <w:rPr>
          <w:sz w:val="24"/>
          <w:szCs w:val="24"/>
        </w:rPr>
        <w:br/>
      </w:r>
      <w:r w:rsidRPr="004A7C80">
        <w:rPr>
          <w:sz w:val="24"/>
          <w:szCs w:val="24"/>
        </w:rPr>
        <w:t xml:space="preserve">outline how you </w:t>
      </w:r>
      <w:proofErr w:type="gramStart"/>
      <w:r w:rsidRPr="004A7C80">
        <w:rPr>
          <w:sz w:val="24"/>
          <w:szCs w:val="24"/>
        </w:rPr>
        <w:t>would</w:t>
      </w:r>
      <w:proofErr w:type="gramEnd"/>
      <w:r w:rsidRPr="004A7C80">
        <w:rPr>
          <w:sz w:val="24"/>
          <w:szCs w:val="24"/>
        </w:rPr>
        <w:t xml:space="preserve"> pace the next six to eight sessions if she remains engaged, and name one question you would take to supervision about either risk or family/system pressure.</w:t>
      </w:r>
    </w:p>
    <w:p w14:paraId="082218FF" w14:textId="77777777" w:rsidR="004A0BEA" w:rsidRPr="004A7C80" w:rsidRDefault="004A0BEA">
      <w:pPr>
        <w:rPr>
          <w:sz w:val="24"/>
          <w:szCs w:val="24"/>
        </w:rPr>
      </w:pPr>
    </w:p>
    <w:p w14:paraId="1F259E85" w14:textId="47BCF2F3" w:rsidR="004A0BEA" w:rsidRPr="004A7C80" w:rsidRDefault="004A7C80">
      <w:pPr>
        <w:rPr>
          <w:sz w:val="24"/>
          <w:szCs w:val="24"/>
        </w:rPr>
      </w:pPr>
      <w:r>
        <w:rPr>
          <w:b/>
          <w:sz w:val="24"/>
          <w:szCs w:val="24"/>
        </w:rPr>
        <w:t xml:space="preserve"> </w:t>
      </w:r>
    </w:p>
    <w:sectPr w:rsidR="004A0BEA" w:rsidRPr="004A7C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043993">
    <w:abstractNumId w:val="8"/>
  </w:num>
  <w:num w:numId="2" w16cid:durableId="1560281099">
    <w:abstractNumId w:val="6"/>
  </w:num>
  <w:num w:numId="3" w16cid:durableId="73940912">
    <w:abstractNumId w:val="5"/>
  </w:num>
  <w:num w:numId="4" w16cid:durableId="478544845">
    <w:abstractNumId w:val="4"/>
  </w:num>
  <w:num w:numId="5" w16cid:durableId="1658608128">
    <w:abstractNumId w:val="7"/>
  </w:num>
  <w:num w:numId="6" w16cid:durableId="267780631">
    <w:abstractNumId w:val="3"/>
  </w:num>
  <w:num w:numId="7" w16cid:durableId="1817794931">
    <w:abstractNumId w:val="2"/>
  </w:num>
  <w:num w:numId="8" w16cid:durableId="445270761">
    <w:abstractNumId w:val="1"/>
  </w:num>
  <w:num w:numId="9" w16cid:durableId="770396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C94"/>
    <w:rsid w:val="0029639D"/>
    <w:rsid w:val="00326F90"/>
    <w:rsid w:val="00342000"/>
    <w:rsid w:val="004A0BEA"/>
    <w:rsid w:val="004A7C80"/>
    <w:rsid w:val="0095359C"/>
    <w:rsid w:val="00AA1D8D"/>
    <w:rsid w:val="00B03581"/>
    <w:rsid w:val="00B47730"/>
    <w:rsid w:val="00CB0664"/>
    <w:rsid w:val="00D5193E"/>
    <w:rsid w:val="00FC693F"/>
    <w:rsid w:val="00FD33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3EFD1F"/>
  <w14:defaultImageDpi w14:val="300"/>
  <w15:docId w15:val="{DA643E46-4252-496C-866F-77E043245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504</Words>
  <Characters>2875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Bryant</cp:lastModifiedBy>
  <cp:revision>5</cp:revision>
  <dcterms:created xsi:type="dcterms:W3CDTF">2013-12-23T23:15:00Z</dcterms:created>
  <dcterms:modified xsi:type="dcterms:W3CDTF">2026-04-10T07:34:00Z</dcterms:modified>
  <cp:category/>
</cp:coreProperties>
</file>