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David</w:t>
      </w:r>
    </w:p>
    <w:p>
      <w:r>
        <w:t>David, 42, works in finance and has recently been promoted to a leadership role. Since then, he reports severe anxiety, insomnia, and increasing pressure. He feels like an imposter and fears being exposed as incompetent.</w:t>
        <w:br/>
        <w:br/>
        <w:t>David avoids meetings where possible and experiences panic symptoms when required to present. He reports feeling trapped between wanting to succeed and feeling unable to cope.</w:t>
        <w:br/>
        <w:br/>
        <w:t>He discloses that he has begun stockpiling sleeping tablets. He says, “I just want it to stop,” but denies having a clear plan to harm himself. He describes feeling exhausted and unable to see a way forward.</w:t>
        <w:br/>
        <w:br/>
        <w:t>David has a history of childhood trauma and reports difficulty trusting others. He is ambivalent about therapy and unsure whether it will help. He is concerned that disclosure of his difficulties could impact his job.</w:t>
        <w:br/>
        <w:br/>
        <w:t>The therapist must weigh immediate risk, David’s ambivalence, and the potential impact of intervention on his functioning and autonomy.</w:t>
      </w:r>
    </w:p>
    <w:p>
      <w:pPr>
        <w:pStyle w:val="Heading1"/>
      </w:pPr>
      <w:r>
        <w:t>TASKS</w:t>
      </w:r>
    </w:p>
    <w:p>
      <w:r>
        <w:t>Decide whether to continue or escalate.</w:t>
        <w:br/>
        <w:br/>
        <w:t>Identify immediate actions including risk management, documentation, and consultation.</w:t>
        <w:br/>
        <w:br/>
        <w:t>Consider impact of trauma and trust on engagement.</w:t>
        <w:br/>
        <w:br/>
        <w:t>If information is missing, use clinical judgement and make reasonable assumptions to form 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