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Emily</w:t>
      </w:r>
    </w:p>
    <w:p>
      <w:r>
        <w:t>Emily, 22, is a university student presenting with anxiety, depression, and a history of self-harm which has increased in frequency over recent months. She reports feeling overwhelmed by academic demands and uncertain about her future. She struggles to concentrate and experiences persistent worry.</w:t>
        <w:br/>
        <w:br/>
        <w:t>Emily describes episodes of dissociation where she feels detached from her body and surroundings. These episodes can last from minutes to hours and are often triggered by stress. She reports “losing time” and feeling frightened afterwards.</w:t>
        <w:br/>
        <w:br/>
        <w:t>Recently, Emily missed a scheduled session without notice. She later reported she had been in a dissociative state for several hours and did not realise the time had passed. She has become increasingly isolated and is attending fewer lectures.</w:t>
        <w:br/>
        <w:br/>
        <w:t>Emily states she is unsure whether she can keep herself safe. She expresses ambivalence about seeking additional support, fearing escalation and loss of control. She has disclosed limited information to her family, who hold strong beliefs about resilience and coping.</w:t>
        <w:br/>
        <w:br/>
        <w:t>There is a tension between Emily’s wish for help and her fear of being overwhelmed or misunderstood. The therapist must consider the role of dissociation in risk, the adequacy of current support, and whether additional intervention is required.</w:t>
      </w:r>
    </w:p>
    <w:p>
      <w:pPr>
        <w:pStyle w:val="Heading1"/>
      </w:pPr>
      <w:r>
        <w:t>TASKS</w:t>
      </w:r>
    </w:p>
    <w:p>
      <w:r>
        <w:t>Assess current level of risk and the role of dissociation in safety.</w:t>
        <w:br/>
        <w:br/>
        <w:t>Decide on immediate next steps (continue, increase support, or escalate).</w:t>
        <w:br/>
        <w:br/>
        <w:t>Identify priorities for the next session.</w:t>
        <w:br/>
        <w:br/>
        <w:t>If information is missing, use clinical judgement and make reasonable assumptions to form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