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Leah</w:t>
      </w:r>
    </w:p>
    <w:p>
      <w:r>
        <w:t>Leah, 23, has self-referred for counselling and is attending a low-cost service. She lives at home with her parents, who describe her as “bright but unmotivated.” Over the past two years, Leah has started several jobs in retail and hospitality but has left each within a few weeks. She reports becoming overwhelmed by busy environments, struggling with shift patterns, and experiencing increasing anxiety around managers and colleagues. She often calls in sick or stops attending altogether, followed by intense shame and avoidance.</w:t>
        <w:br/>
        <w:br/>
        <w:t>Leah now spends most of her time in her room. Her sleep is irregular, often staying awake late into the night on her phone and sleeping through the morning. She has withdrawn from friendships, describing herself as “too much effort to be around.” She reports persistent low mood, low energy, and a sense of being “stuck,” alongside constant self-critical thoughts such as “I always mess things up” and “there’s no point trying.”</w:t>
        <w:br/>
        <w:br/>
        <w:t>Social situations are particularly difficult. Leah describes replaying conversations repeatedly, worrying she has said something wrong. A friend has suggested she may be autistic or have ADHD. Leah relates to aspects of this, particularly sensory overwhelm and burnout, but strongly resists formal diagnosis, saying she does not want to be “labelled.”</w:t>
        <w:br/>
        <w:br/>
        <w:t>In the first session, when gently asked about risk, Leah denies any history of self-harm but acknowledges that she has had thoughts about “not wanting to be here.” She describes a recent incident following an argument with her parents where she found herself standing in front of the medicine cupboard thinking she wanted everything to stop. She states she had no plan to harm herself and moved away after a few minutes. She has not told anyone about this.</w:t>
        <w:br/>
        <w:br/>
        <w:t>Leah expresses ambivalence about therapy. Part of her hopes it might help her “get back on track,” while another part feels it is pointless. She says she often starts things and does not follow through.</w:t>
        <w:br/>
        <w:br/>
        <w:t>The therapist notices Leah appears flat but engaged, with moments of humour and insight. There is a question about how much structure and direction she can tolerate, and how quickly to move into action or exploration.</w:t>
      </w:r>
    </w:p>
    <w:p>
      <w:pPr>
        <w:pStyle w:val="Heading1"/>
      </w:pPr>
      <w:r>
        <w:t>TASKS</w:t>
      </w:r>
    </w:p>
    <w:p>
      <w:r>
        <w:t>Agree what you would do in the first two sessions: assessment priorities, level of risk, and immediate next steps.</w:t>
        <w:br/>
        <w:br/>
        <w:t>Develop a working formulation including mood, anxiety, shame, family context, functioning, and the relevance (or not) of neurodiversity.</w:t>
        <w:br/>
        <w:br/>
        <w:t>Outline a 6–8 session focus and what change would look like.</w:t>
        <w:br/>
        <w:br/>
        <w:t>If information is missing, use clinical judgement and make reasonable assumptions to form a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