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Study: Michael</w:t>
      </w:r>
    </w:p>
    <w:p>
      <w:r>
        <w:t>Michael, 29, presents following the death of a close family member six months ago. Initially engaged, he has become increasingly withdrawn, cancelling sessions and responding minimally when present.</w:t>
        <w:br/>
        <w:br/>
        <w:t>Family members report he is “not himself,” rarely leaving the house and disengaging from previously valued activities. He has refused GP support despite encouragement.</w:t>
        <w:br/>
        <w:br/>
        <w:t>There is no clear disclosure of suicidal intent, but the therapist reports a growing sense of unease. Michael speaks little about his internal experience and often responds with “I’m fine.”</w:t>
        <w:br/>
        <w:br/>
        <w:t>There are indications of longstanding social withdrawal and possible neurodiversity. His grief appears unresolved and may be interacting with pre-existing patterns.</w:t>
        <w:br/>
        <w:br/>
        <w:t>The therapist must decide whether to continue holding the work within counselling or take further action. The ambiguity of risk creates uncertainty, but inaction may also carry risk.</w:t>
      </w:r>
    </w:p>
    <w:p>
      <w:pPr>
        <w:pStyle w:val="Heading1"/>
      </w:pPr>
      <w:r>
        <w:t>TASKS</w:t>
      </w:r>
    </w:p>
    <w:p>
      <w:r>
        <w:t>Decide whether to act or continue.</w:t>
        <w:br/>
        <w:br/>
        <w:t>Clarify what would justify escalation.</w:t>
        <w:br/>
        <w:br/>
        <w:t>Identify risks of acting vs not acting.</w:t>
        <w:br/>
        <w:br/>
        <w:t>If information is missing, use clinical judgement and make reasonable assumptions to form a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