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Ousmane</w:t>
      </w:r>
    </w:p>
    <w:p>
      <w:r>
        <w:t>Ousmane, 36, is a single father of two children aged 6 and 9. He has been referred by a local support service due to repeated missed appointments and increasing rent arrears. There is concern from the children’s school about irregular attendance, missed homework, and signs of disorganisation.</w:t>
        <w:br/>
        <w:br/>
        <w:t>Ousmane reports that he wants to manage things but often feels unable to start or complete tasks. He describes his mind “going blank” when faced with paperwork, phone calls, or appointments. Letters remain unopened for weeks. He avoids contact with services due to anxiety about being judged.</w:t>
        <w:br/>
        <w:br/>
        <w:t>His flat is increasingly cluttered, and routines are inconsistent. He reports poor sleep and periods of shutdown where he feels unable to act. He expresses high levels of shame, stating “I’m failing my kids.” He is socially isolated and has limited support.</w:t>
        <w:br/>
        <w:br/>
        <w:t>There are suggestions from previous services that Ousmane may have ADHD, but he has never been assessed. He describes lifelong difficulties with organisation and attention, but also reports increased stress following job loss two years ago. He has not worked since and is financially strained.</w:t>
        <w:br/>
        <w:br/>
        <w:t>When asked about risk, Ousmane denies suicidal intent but acknowledges feeling overwhelmed and “trapped.” He has occasional thoughts about wanting to escape his situation but states his children are a protective factor.</w:t>
        <w:br/>
        <w:br/>
        <w:t>The therapist notes the interaction between executive functioning difficulties, environmental stress, parenting demands, and shame. There is also a potential safeguarding concern related to the children’s welfare and school attendance.</w:t>
        <w:br/>
        <w:br/>
        <w:t>Ousmane is motivated to improve things but feels stuck and unsure where to begin. He expresses relief at being able to talk but also anxiety about expectations placed on him.</w:t>
      </w:r>
    </w:p>
    <w:p>
      <w:pPr>
        <w:pStyle w:val="Heading1"/>
      </w:pPr>
      <w:r>
        <w:t>TASKS</w:t>
      </w:r>
    </w:p>
    <w:p>
      <w:r>
        <w:t>Formulate the presenting difficulties, including neurodiversity, stress, parenting context, and shame.</w:t>
        <w:br/>
        <w:br/>
        <w:t>Identify current risks, including safeguarding considerations for the children.</w:t>
        <w:br/>
        <w:br/>
        <w:t>Agree immediate priorities and practical interventions.</w:t>
        <w:br/>
        <w:br/>
        <w:t>If information is missing, use clinical judgement and make reasonable assumptions to form 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