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(V64 P3)</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Twelve receipts apply broad prefix rules (harmony, melody, rhythm, etc.); </w:t>
      </w:r>
      <w:r>
        <w:rPr>
          <w:b/>
          <w:bCs/>
        </w:rPr>
        <w:t xml:space="preserve">three are fully promoted (P3)</w:t>
      </w:r>
      <w:r>
        <w:t xml:space="preserve"> with dedicated patches and golden fixtures (seeds </w:t>
      </w:r>
      <w:r>
        <w:rPr>
          <w:b/>
          <w:bCs/>
        </w:rPr>
        <w:t xml:space="preserve">77001–77003</w:t>
      </w:r>
      <w:r>
        <w:t xml:space="preserve">, off smoke until P8).</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t xml:space="preserve">Not fusion smooth jazz: no continuous diatonic 8th-note spine.</w:t>
            </w:r>
          </w:p>
        </w:tc>
      </w:tr>
      <w:tr>
        <w:tc>
          <w:tcPr>
            <w:tcW w:type="pct" w:w="4500%"/>
          </w:tcPr>
          <w:p>
            <w:pPr>
              <w:spacing w:after="60"/>
            </w:pPr>
            <w:r>
              <w:rPr>
                <w:b/>
                <w:bCs/>
              </w:rPr>
              <w:t xml:space="preserve">FZ_DIFF_02</w:t>
            </w:r>
          </w:p>
        </w:tc>
        <w:tc>
          <w:tcPr>
            <w:tcW w:type="pct" w:w="4500%"/>
          </w:tcPr>
          <w:p>
            <w:pPr>
              <w:spacing w:after="60"/>
            </w:pPr>
            <w:r>
              <w:t xml:space="preserve">Not minimalism: no steady pulse without pitch chaos on top.</w:t>
            </w:r>
          </w:p>
        </w:tc>
      </w:tr>
    </w:tbl>
    <w:p>
      <w:pPr>
        <w:spacing w:after="160"/>
      </w:pPr>
    </w:p>
    <w:p>
      <w:pPr>
        <w:spacing w:after="160"/>
      </w:pPr>
      <w:r>
        <w:t xml:space="preserve">`FZ_DIFF_*` are metadata-only guardrails (they steer planning text, not a numeric patch). The other prefix families (`FZ_HARM_*`, `FZ_MELO_*`, etc.) already compile to riff-profile fields.</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pStyle w:val="Heading1"/>
        <w:spacing w:after="120" w:before="200"/>
      </w:pPr>
      <w:r>
        <w:t xml:space="preserve">Part 10 — Section architecture (Song object)</w:t>
      </w:r>
    </w:p>
    <w:p>
      <w:pPr>
        <w:spacing w:after="160"/>
      </w:pPr>
      <w:r>
        <w:t xml:space="preserve">*What changes when you attach a multi-section </w:t>
      </w:r>
      <w:r>
        <w:rPr>
          <w:b/>
          <w:bCs/>
        </w:rPr>
        <w:t xml:space="preserve">Song</w:t>
      </w:r>
      <w:r>
        <w:t xml:space="preserve"> document to Generate.*</w:t>
      </w:r>
    </w:p>
    <w:p>
      <w:pPr>
        <w:pStyle w:val="Heading2"/>
        <w:spacing w:after="100" w:before="160"/>
      </w:pPr>
      <w:r>
        <w:t xml:space="preserve">10.1 What it means in practice</w:t>
      </w:r>
    </w:p>
    <w:p>
      <w:pPr>
        <w:spacing w:after="160"/>
      </w:pPr>
      <w:r>
        <w:t xml:space="preserve">Composer OS can accept a </w:t>
      </w:r>
      <w:r>
        <w:rPr>
          <w:b/>
          <w:bCs/>
        </w:rPr>
        <w:t xml:space="preserve">Song</w:t>
      </w:r>
      <w:r>
        <w:t xml:space="preserve"> object alongside your chord progression. Each </w:t>
      </w:r>
      <w:r>
        <w:rPr>
          <w:b/>
          <w:bCs/>
        </w:rPr>
        <w:t xml:space="preserve">section</w:t>
      </w:r>
      <w:r>
        <w:t xml:space="preserve"> (Intro, Verse, Chorus, Bridge, Outro, etc.) carries its own:</w:t>
      </w:r>
    </w:p>
    <w:p>
      <w:pPr>
        <w:spacing w:after="80"/>
        <w:ind w:left="360" w:hanging="260"/>
      </w:pPr>
      <w:r>
        <w:t xml:space="preserve">• </w:t>
      </w:r>
      <w:r>
        <w:rPr>
          <w:b/>
          <w:bCs/>
        </w:rPr>
        <w:t xml:space="preserve">Pitch profile</w:t>
      </w:r>
      <w:r>
        <w:t xml:space="preserve"> — register floor/ceiling, chromatic budget</w:t>
      </w:r>
    </w:p>
    <w:p>
      <w:pPr>
        <w:spacing w:after="80"/>
        <w:ind w:left="360" w:hanging="260"/>
      </w:pPr>
      <w:r>
        <w:t xml:space="preserve">• </w:t>
      </w:r>
      <w:r>
        <w:rPr>
          <w:b/>
          <w:bCs/>
        </w:rPr>
        <w:t xml:space="preserve">Rhythm profile</w:t>
      </w:r>
      <w:r>
        <w:t xml:space="preserve"> — anti-metric feel, metric displacement</w:t>
      </w:r>
    </w:p>
    <w:p>
      <w:pPr>
        <w:spacing w:after="80"/>
        <w:ind w:left="360" w:hanging="260"/>
      </w:pPr>
      <w:r>
        <w:t xml:space="preserve">• </w:t>
      </w:r>
      <w:r>
        <w:rPr>
          <w:b/>
          <w:bCs/>
        </w:rPr>
        <w:t xml:space="preserve">Voicing profile</w:t>
      </w:r>
      <w:r>
        <w:t xml:space="preserve"> — spread and harmonic-rhythm hold windows</w:t>
      </w:r>
    </w:p>
    <w:p>
      <w:pPr>
        <w:spacing w:after="80"/>
        <w:ind w:left="360" w:hanging="260"/>
      </w:pPr>
      <w:r>
        <w:t xml:space="preserve">• </w:t>
      </w:r>
      <w:r>
        <w:rPr>
          <w:b/>
          <w:bCs/>
        </w:rPr>
        <w:t xml:space="preserve">Energy</w:t>
      </w:r>
      <w:r>
        <w:t xml:space="preserve"> — maps to an overall density arc for that section</w:t>
      </w:r>
    </w:p>
    <w:p>
      <w:pPr>
        <w:spacing w:after="80"/>
        <w:ind w:left="360" w:hanging="260"/>
      </w:pPr>
      <w:r>
        <w:t xml:space="preserve">• </w:t>
      </w:r>
      <w:r>
        <w:rPr>
          <w:b/>
          <w:bCs/>
        </w:rPr>
        <w:t xml:space="preserve">Instrument overrides</w:t>
      </w:r>
      <w:r>
        <w:t xml:space="preserve"> — per-part </w:t>
      </w:r>
      <w:r>
        <w:rPr>
          <w:b/>
          <w:bCs/>
        </w:rPr>
        <w:t xml:space="preserve">density</w:t>
      </w:r>
      <w:r>
        <w:t xml:space="preserve"> and </w:t>
      </w:r>
      <w:r>
        <w:rPr>
          <w:b/>
          <w:bCs/>
        </w:rPr>
        <w:t xml:space="preserve">riffMode</w:t>
      </w:r>
      <w:r>
        <w:t xml:space="preserve"> (guitar and bass independently)</w:t>
      </w:r>
    </w:p>
    <w:p>
      <w:pPr>
        <w:spacing w:after="160"/>
      </w:pPr>
      <w:r>
        <w:t xml:space="preserve">At generate time the engine:</w:t>
      </w:r>
    </w:p>
    <w:p>
      <w:pPr>
        <w:spacing w:after="160"/>
      </w:pPr>
      <w:r>
        <w:t xml:space="preserve">1. Validates the Song (`validateSong`) — overlapping sections or bad bar ranges halt with a clear error 2. Bridges section labels into the form map (Intro / Verse / Chorus appear as rehearsal marks) 3. Resolves </w:t>
      </w:r>
      <w:r>
        <w:rPr>
          <w:b/>
          <w:bCs/>
        </w:rPr>
        <w:t xml:space="preserve">`resolveEffectiveContext(bar, song)`</w:t>
      </w:r>
      <w:r>
        <w:t xml:space="preserve"> per bar — cached for the run 4. Fans resolved profiles into harmony rhythm, voicing spread, pitch fields, and duo density</w:t>
      </w:r>
    </w:p>
    <w:p>
      <w:pPr>
        <w:spacing w:after="160"/>
      </w:pPr>
      <w:r>
        <w:rPr>
          <w:b/>
          <w:bCs/>
        </w:rPr>
        <w:t xml:space="preserve">No Song object?</w:t>
      </w:r>
      <w:r>
        <w:t xml:space="preserve"> Nothing changes — global defaults only, same as before V65.</w:t>
      </w:r>
    </w:p>
    <w:p>
      <w:pPr>
        <w:pStyle w:val="Heading2"/>
        <w:spacing w:after="100" w:before="160"/>
      </w:pPr>
      <w:r>
        <w:t xml:space="preserve">10.2 Sonic Youth five-section example (seed 80001)</w:t>
      </w:r>
    </w:p>
    <w:p>
      <w:pPr>
        <w:spacing w:after="160"/>
      </w:pPr>
      <w:r>
        <w:t xml:space="preserve">A 16-bar Song Mode piece with five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Section</w:t>
            </w:r>
          </w:p>
        </w:tc>
        <w:tc>
          <w:tcPr>
            <w:tcW w:type="pct" w:w="1800%"/>
          </w:tcPr>
          <w:p>
            <w:pPr>
              <w:spacing w:after="60"/>
            </w:pPr>
            <w:r>
              <w:t xml:space="preserve">Bars</w:t>
            </w:r>
          </w:p>
        </w:tc>
        <w:tc>
          <w:tcPr>
            <w:tcW w:type="pct" w:w="1800%"/>
          </w:tcPr>
          <w:p>
            <w:pPr>
              <w:spacing w:after="60"/>
            </w:pPr>
            <w:r>
              <w:t xml:space="preserve">Character</w:t>
            </w:r>
          </w:p>
        </w:tc>
        <w:tc>
          <w:tcPr>
            <w:tcW w:type="pct" w:w="1800%"/>
          </w:tcPr>
          <w:p>
            <w:pPr>
              <w:spacing w:after="60"/>
            </w:pPr>
            <w:r>
              <w:t xml:space="preserve">density</w:t>
            </w:r>
          </w:p>
        </w:tc>
        <w:tc>
          <w:tcPr>
            <w:tcW w:type="pct" w:w="1800%"/>
          </w:tcPr>
          <w:p>
            <w:pPr>
              <w:spacing w:after="60"/>
            </w:pPr>
            <w:r>
              <w:t xml:space="preserve">riffMode</w:t>
            </w:r>
          </w:p>
        </w:tc>
      </w:tr>
      <w:tr>
        <w:tc>
          <w:tcPr>
            <w:tcW w:type="pct" w:w="1800%"/>
          </w:tcPr>
          <w:p>
            <w:pPr>
              <w:spacing w:after="60"/>
            </w:pPr>
            <w:r>
              <w:t xml:space="preserve">Intro</w:t>
            </w:r>
          </w:p>
        </w:tc>
        <w:tc>
          <w:tcPr>
            <w:tcW w:type="pct" w:w="1800%"/>
          </w:tcPr>
          <w:p>
            <w:pPr>
              <w:spacing w:after="60"/>
            </w:pPr>
            <w:r>
              <w:t xml:space="preserve">1–3</w:t>
            </w:r>
          </w:p>
        </w:tc>
        <w:tc>
          <w:tcPr>
            <w:tcW w:type="pct" w:w="1800%"/>
          </w:tcPr>
          <w:p>
            <w:pPr>
              <w:spacing w:after="60"/>
            </w:pPr>
            <w:r>
              <w:t xml:space="preserve">Noise drone</w:t>
            </w:r>
          </w:p>
        </w:tc>
        <w:tc>
          <w:tcPr>
            <w:tcW w:type="pct" w:w="1800%"/>
          </w:tcPr>
          <w:p>
            <w:pPr>
              <w:spacing w:after="60"/>
            </w:pPr>
            <w:r>
              <w:t xml:space="preserve">sparse</w:t>
            </w:r>
          </w:p>
        </w:tc>
        <w:tc>
          <w:tcPr>
            <w:tcW w:type="pct" w:w="1800%"/>
          </w:tcPr>
          <w:p>
            <w:pPr>
              <w:spacing w:after="60"/>
            </w:pPr>
            <w:r>
              <w:t xml:space="preserve">`noise_drone`</w:t>
            </w:r>
          </w:p>
        </w:tc>
      </w:tr>
      <w:tr>
        <w:tc>
          <w:tcPr>
            <w:tcW w:type="pct" w:w="1800%"/>
          </w:tcPr>
          <w:p>
            <w:pPr>
              <w:spacing w:after="60"/>
            </w:pPr>
            <w:r>
              <w:t xml:space="preserve">Verse</w:t>
            </w:r>
          </w:p>
        </w:tc>
        <w:tc>
          <w:tcPr>
            <w:tcW w:type="pct" w:w="1800%"/>
          </w:tcPr>
          <w:p>
            <w:pPr>
              <w:spacing w:after="60"/>
            </w:pPr>
            <w:r>
              <w:t xml:space="preserve">4–6</w:t>
            </w:r>
          </w:p>
        </w:tc>
        <w:tc>
          <w:tcPr>
            <w:tcW w:type="pct" w:w="1800%"/>
          </w:tcPr>
          <w:p>
            <w:pPr>
              <w:spacing w:after="60"/>
            </w:pPr>
            <w:r>
              <w:t xml:space="preserve">Motorik grid</w:t>
            </w:r>
          </w:p>
        </w:tc>
        <w:tc>
          <w:tcPr>
            <w:tcW w:type="pct" w:w="1800%"/>
          </w:tcPr>
          <w:p>
            <w:pPr>
              <w:spacing w:after="60"/>
            </w:pPr>
            <w:r>
              <w:t xml:space="preserve">moderate</w:t>
            </w:r>
          </w:p>
        </w:tc>
        <w:tc>
          <w:tcPr>
            <w:tcW w:type="pct" w:w="1800%"/>
          </w:tcPr>
          <w:p>
            <w:pPr>
              <w:spacing w:after="60"/>
            </w:pPr>
            <w:r>
              <w:t xml:space="preserve">`motorik`</w:t>
            </w:r>
          </w:p>
        </w:tc>
      </w:tr>
      <w:tr>
        <w:tc>
          <w:tcPr>
            <w:tcW w:type="pct" w:w="1800%"/>
          </w:tcPr>
          <w:p>
            <w:pPr>
              <w:spacing w:after="60"/>
            </w:pPr>
            <w:r>
              <w:t xml:space="preserve">Chorus</w:t>
            </w:r>
          </w:p>
        </w:tc>
        <w:tc>
          <w:tcPr>
            <w:tcW w:type="pct" w:w="1800%"/>
          </w:tcPr>
          <w:p>
            <w:pPr>
              <w:spacing w:after="60"/>
            </w:pPr>
            <w:r>
              <w:t xml:space="preserve">7–10</w:t>
            </w:r>
          </w:p>
        </w:tc>
        <w:tc>
          <w:tcPr>
            <w:tcW w:type="pct" w:w="1800%"/>
          </w:tcPr>
          <w:p>
            <w:pPr>
              <w:spacing w:after="60"/>
            </w:pPr>
            <w:r>
              <w:t xml:space="preserve">Wall of sound</w:t>
            </w:r>
          </w:p>
        </w:tc>
        <w:tc>
          <w:tcPr>
            <w:tcW w:type="pct" w:w="1800%"/>
          </w:tcPr>
          <w:p>
            <w:pPr>
              <w:spacing w:after="60"/>
            </w:pPr>
            <w:r>
              <w:t xml:space="preserve">dense</w:t>
            </w:r>
          </w:p>
        </w:tc>
        <w:tc>
          <w:tcPr>
            <w:tcW w:type="pct" w:w="1800%"/>
          </w:tcPr>
          <w:p>
            <w:pPr>
              <w:spacing w:after="60"/>
            </w:pPr>
            <w:r>
              <w:t xml:space="preserve">`wall_of_sound`</w:t>
            </w:r>
          </w:p>
        </w:tc>
      </w:tr>
      <w:tr>
        <w:tc>
          <w:tcPr>
            <w:tcW w:type="pct" w:w="1800%"/>
          </w:tcPr>
          <w:p>
            <w:pPr>
              <w:spacing w:after="60"/>
            </w:pPr>
            <w:r>
              <w:t xml:space="preserve">Bridge</w:t>
            </w:r>
          </w:p>
        </w:tc>
        <w:tc>
          <w:tcPr>
            <w:tcW w:type="pct" w:w="1800%"/>
          </w:tcPr>
          <w:p>
            <w:pPr>
              <w:spacing w:after="60"/>
            </w:pPr>
            <w:r>
              <w:t xml:space="preserve">11–13</w:t>
            </w:r>
          </w:p>
        </w:tc>
        <w:tc>
          <w:tcPr>
            <w:tcW w:type="pct" w:w="1800%"/>
          </w:tcPr>
          <w:p>
            <w:pPr>
              <w:spacing w:after="60"/>
            </w:pPr>
            <w:r>
              <w:t xml:space="preserve">Slonimsky cells</w:t>
            </w:r>
          </w:p>
        </w:tc>
        <w:tc>
          <w:tcPr>
            <w:tcW w:type="pct" w:w="1800%"/>
          </w:tcPr>
          <w:p>
            <w:pPr>
              <w:spacing w:after="60"/>
            </w:pPr>
            <w:r>
              <w:t xml:space="preserve">(energy-driven)</w:t>
            </w:r>
          </w:p>
        </w:tc>
        <w:tc>
          <w:tcPr>
            <w:tcW w:type="pct" w:w="1800%"/>
          </w:tcPr>
          <w:p>
            <w:pPr>
              <w:spacing w:after="60"/>
            </w:pPr>
            <w:r>
              <w:t xml:space="preserve">`slonimsky_cells`</w:t>
            </w:r>
          </w:p>
        </w:tc>
      </w:tr>
      <w:tr>
        <w:tc>
          <w:tcPr>
            <w:tcW w:type="pct" w:w="1800%"/>
          </w:tcPr>
          <w:p>
            <w:pPr>
              <w:spacing w:after="60"/>
            </w:pPr>
            <w:r>
              <w:t xml:space="preserve">Outro</w:t>
            </w:r>
          </w:p>
        </w:tc>
        <w:tc>
          <w:tcPr>
            <w:tcW w:type="pct" w:w="1800%"/>
          </w:tcPr>
          <w:p>
            <w:pPr>
              <w:spacing w:after="60"/>
            </w:pPr>
            <w:r>
              <w:t xml:space="preserve">14–16</w:t>
            </w:r>
          </w:p>
        </w:tc>
        <w:tc>
          <w:tcPr>
            <w:tcW w:type="pct" w:w="1800%"/>
          </w:tcPr>
          <w:p>
            <w:pPr>
              <w:spacing w:after="60"/>
            </w:pPr>
            <w:r>
              <w:t xml:space="preserve">Sparse drone</w:t>
            </w:r>
          </w:p>
        </w:tc>
        <w:tc>
          <w:tcPr>
            <w:tcW w:type="pct" w:w="1800%"/>
          </w:tcPr>
          <w:p>
            <w:pPr>
              <w:spacing w:after="60"/>
            </w:pPr>
            <w:r>
              <w:t xml:space="preserve">sparse</w:t>
            </w:r>
          </w:p>
        </w:tc>
        <w:tc>
          <w:tcPr>
            <w:tcW w:type="pct" w:w="1800%"/>
          </w:tcPr>
          <w:p>
            <w:pPr>
              <w:spacing w:after="60"/>
            </w:pPr>
            <w:r>
              <w:t xml:space="preserve">`sparse_drone`</w:t>
            </w:r>
          </w:p>
        </w:tc>
      </w:tr>
    </w:tbl>
    <w:p>
      <w:pPr>
        <w:spacing w:after="160"/>
      </w:pPr>
    </w:p>
    <w:p>
      <w:pPr>
        <w:spacing w:after="160"/>
      </w:pPr>
      <w:r>
        <w:rPr>
          <w:b/>
          <w:bCs/>
        </w:rPr>
        <w:t xml:space="preserve">What you hear:</w:t>
      </w:r>
      <w:r>
        <w:t xml:space="preserve"> Intro sits low and thin; chorus pushes register ceiling and energy; bridge climbs higher than intro; outro thins again. Same pasted `Dm7` progression — different section behaviour from architecture, not from re-seeding.</w:t>
      </w:r>
    </w:p>
    <w:p>
      <w:pPr>
        <w:spacing w:after="160"/>
      </w:pPr>
      <w:r>
        <w:t xml:space="preserve">Bridge and outro use </w:t>
      </w:r>
      <w:r>
        <w:rPr>
          <w:b/>
          <w:bCs/>
        </w:rPr>
        <w:t xml:space="preserve">`interpolateDensity`</w:t>
      </w:r>
      <w:r>
        <w:t xml:space="preserve"> at section seams so density ramps rather than hard-jumps.</w:t>
      </w:r>
    </w:p>
    <w:p>
      <w:pPr>
        <w:pStyle w:val="Heading2"/>
        <w:spacing w:after="100" w:before="160"/>
      </w:pPr>
      <w:r>
        <w:t xml:space="preserve">10.3 Density and riffMode per section (GBD example, seed 80002)</w:t>
      </w:r>
    </w:p>
    <w:p>
      <w:pPr>
        <w:spacing w:after="160"/>
      </w:pPr>
      <w:r>
        <w:t xml:space="preserve">A 16-bar Guitar–Bass Duo with three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Guitar / bass density</w:t>
            </w:r>
          </w:p>
        </w:tc>
        <w:tc>
          <w:tcPr>
            <w:tcW w:type="pct" w:w="2250%"/>
          </w:tcPr>
          <w:p>
            <w:pPr>
              <w:spacing w:after="60"/>
            </w:pPr>
            <w:r>
              <w:t xml:space="preserve">riffMode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`groove_sparse`</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`groove_dense`</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`motorik`</w:t>
            </w:r>
          </w:p>
        </w:tc>
      </w:tr>
    </w:tbl>
    <w:p>
      <w:pPr>
        <w:spacing w:after="160"/>
      </w:pPr>
    </w:p>
    <w:p>
      <w:pPr>
        <w:spacing w:after="160"/>
      </w:pPr>
      <w:r>
        <w:t xml:space="preserve">Instrument overrides are scoped by part (`guitar` vs `bass`). Resolved density scalars differ measurably between A and B even on identical harmony.</w:t>
      </w:r>
    </w:p>
    <w:p>
      <w:pPr>
        <w:spacing w:after="160"/>
      </w:pPr>
      <w:r>
        <w:rPr>
          <w:b/>
          <w:bCs/>
        </w:rPr>
        <w:t xml:space="preserve">Golden verification (off smoke until V65 closeout):</w:t>
      </w:r>
      <w:r>
        <w:t xml:space="preserve"> `engines/composer-os-v2/scripts/runSectionArchitectureP1Golden.ts`</w:t>
      </w:r>
    </w:p>
    <w:p>
      <w:pPr>
        <w:pStyle w:val="Heading2"/>
        <w:spacing w:after="100" w:before="160"/>
      </w:pPr>
      <w:r>
        <w:t xml:space="preserve">10.4 Per-instrument tuning per section</w:t>
      </w:r>
    </w:p>
    <w:p>
      <w:pPr>
        <w:spacing w:after="160"/>
      </w:pPr>
      <w:r>
        <w:t xml:space="preserve">Sections can now change guitar tuning as part of the form. That means the same song can keep one tuning for the intro and verse, then switch tuning at a bridge without changing the global preset.</w:t>
      </w:r>
    </w:p>
    <w:p>
      <w:pPr>
        <w:spacing w:after="160"/>
      </w:pPr>
      <w:r>
        <w:t xml:space="preserve">Plain English:</w:t>
      </w:r>
    </w:p>
    <w:p>
      <w:pPr>
        <w:spacing w:after="80"/>
        <w:ind w:left="360" w:hanging="260"/>
      </w:pPr>
      <w:r>
        <w:t xml:space="preserve">• </w:t>
      </w:r>
      <w:r>
        <w:t xml:space="preserve">`guitarA` targets the main guitar part (`guitar`)</w:t>
      </w:r>
    </w:p>
    <w:p>
      <w:pPr>
        <w:spacing w:after="80"/>
        <w:ind w:left="360" w:hanging="260"/>
      </w:pPr>
      <w:r>
        <w:t xml:space="preserve">• </w:t>
      </w:r>
      <w:r>
        <w:t xml:space="preserve">`guitarB` targets the second guitar part (`guitar_2`)</w:t>
      </w:r>
    </w:p>
    <w:p>
      <w:pPr>
        <w:spacing w:after="80"/>
        <w:ind w:left="360" w:hanging="260"/>
      </w:pPr>
      <w:r>
        <w:t xml:space="preserve">• </w:t>
      </w:r>
      <w:r>
        <w:t xml:space="preserve">Each section can name a tuning preset such as `sy_aaddgg` or `sy_eebddg`</w:t>
      </w:r>
    </w:p>
    <w:p>
      <w:pPr>
        <w:spacing w:after="80"/>
        <w:ind w:left="360" w:hanging="260"/>
      </w:pPr>
      <w:r>
        <w:t xml:space="preserve">• </w:t>
      </w:r>
      <w:r>
        <w:t xml:space="preserve">No Song object means no tuning change; legacy behaviour is unchanged</w:t>
      </w:r>
    </w:p>
    <w:p>
      <w:pPr>
        <w:spacing w:after="160"/>
      </w:pPr>
      <w:r>
        <w:t xml:space="preserve">Sonic Youth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Main guitar tuning</w:t>
            </w:r>
          </w:p>
        </w:tc>
        <w:tc>
          <w:tcPr>
            <w:tcW w:type="pct" w:w="2250%"/>
          </w:tcPr>
          <w:p>
            <w:pPr>
              <w:spacing w:after="60"/>
            </w:pPr>
            <w:r>
              <w:t xml:space="preserve">Musical effect</w:t>
            </w:r>
          </w:p>
        </w:tc>
      </w:tr>
      <w:tr>
        <w:tc>
          <w:tcPr>
            <w:tcW w:type="pct" w:w="2250%"/>
          </w:tcPr>
          <w:p>
            <w:pPr>
              <w:spacing w:after="60"/>
            </w:pPr>
            <w:r>
              <w:t xml:space="preserve">Intro</w:t>
            </w:r>
          </w:p>
        </w:tc>
        <w:tc>
          <w:tcPr>
            <w:tcW w:type="pct" w:w="2250%"/>
          </w:tcPr>
          <w:p>
            <w:pPr>
              <w:spacing w:after="60"/>
            </w:pPr>
            <w:r>
              <w:t xml:space="preserve">1–4</w:t>
            </w:r>
          </w:p>
        </w:tc>
        <w:tc>
          <w:tcPr>
            <w:tcW w:type="pct" w:w="2250%"/>
          </w:tcPr>
          <w:p>
            <w:pPr>
              <w:spacing w:after="60"/>
            </w:pPr>
            <w:r>
              <w:t xml:space="preserve">`sy_aaddgg`</w:t>
            </w:r>
          </w:p>
        </w:tc>
        <w:tc>
          <w:tcPr>
            <w:tcW w:type="pct" w:w="2250%"/>
          </w:tcPr>
          <w:p>
            <w:pPr>
              <w:spacing w:after="60"/>
            </w:pPr>
            <w:r>
              <w:t xml:space="preserve">Paired A/D/G drone bed</w:t>
            </w:r>
          </w:p>
        </w:tc>
      </w:tr>
      <w:tr>
        <w:tc>
          <w:tcPr>
            <w:tcW w:type="pct" w:w="2250%"/>
          </w:tcPr>
          <w:p>
            <w:pPr>
              <w:spacing w:after="60"/>
            </w:pPr>
            <w:r>
              <w:t xml:space="preserve">Verse</w:t>
            </w:r>
          </w:p>
        </w:tc>
        <w:tc>
          <w:tcPr>
            <w:tcW w:type="pct" w:w="2250%"/>
          </w:tcPr>
          <w:p>
            <w:pPr>
              <w:spacing w:after="60"/>
            </w:pPr>
            <w:r>
              <w:t xml:space="preserve">5–10</w:t>
            </w:r>
          </w:p>
        </w:tc>
        <w:tc>
          <w:tcPr>
            <w:tcW w:type="pct" w:w="2250%"/>
          </w:tcPr>
          <w:p>
            <w:pPr>
              <w:spacing w:after="60"/>
            </w:pPr>
            <w:r>
              <w:t xml:space="preserve">`sy_aaddgg`</w:t>
            </w:r>
          </w:p>
        </w:tc>
        <w:tc>
          <w:tcPr>
            <w:tcW w:type="pct" w:w="2250%"/>
          </w:tcPr>
          <w:p>
            <w:pPr>
              <w:spacing w:after="60"/>
            </w:pPr>
            <w:r>
              <w:t xml:space="preserve">Keeps motorik continuity</w:t>
            </w:r>
          </w:p>
        </w:tc>
      </w:tr>
      <w:tr>
        <w:tc>
          <w:tcPr>
            <w:tcW w:type="pct" w:w="2250%"/>
          </w:tcPr>
          <w:p>
            <w:pPr>
              <w:spacing w:after="60"/>
            </w:pPr>
            <w:r>
              <w:t xml:space="preserve">Bridge</w:t>
            </w:r>
          </w:p>
        </w:tc>
        <w:tc>
          <w:tcPr>
            <w:tcW w:type="pct" w:w="2250%"/>
          </w:tcPr>
          <w:p>
            <w:pPr>
              <w:spacing w:after="60"/>
            </w:pPr>
            <w:r>
              <w:t xml:space="preserve">11–16</w:t>
            </w:r>
          </w:p>
        </w:tc>
        <w:tc>
          <w:tcPr>
            <w:tcW w:type="pct" w:w="2250%"/>
          </w:tcPr>
          <w:p>
            <w:pPr>
              <w:spacing w:after="60"/>
            </w:pPr>
            <w:r>
              <w:t xml:space="preserve">`sy_eebddg`</w:t>
            </w:r>
          </w:p>
        </w:tc>
        <w:tc>
          <w:tcPr>
            <w:tcW w:type="pct" w:w="2250%"/>
          </w:tcPr>
          <w:p>
            <w:pPr>
              <w:spacing w:after="60"/>
            </w:pPr>
            <w:r>
              <w:t xml:space="preserve">Darker E/B grind with doubled D/G pressure</w:t>
            </w:r>
          </w:p>
        </w:tc>
      </w:tr>
    </w:tbl>
    <w:p>
      <w:pPr>
        <w:spacing w:after="160"/>
      </w:pPr>
    </w:p>
    <w:p>
      <w:pPr>
        <w:spacing w:after="160"/>
      </w:pPr>
      <w:r>
        <w:t xml:space="preserve">Composer OS resolves the active tuning per bar. The score also carries per-section tuning diagnostics so exported XML can show section tuning changes.</w:t>
      </w:r>
    </w:p>
    <w:p>
      <w:pPr>
        <w:pStyle w:val="Heading2"/>
        <w:spacing w:after="100" w:before="160"/>
      </w:pPr>
      <w:r>
        <w:t xml:space="preserve">10.5 Per-section Slonimsky cell families</w:t>
      </w:r>
    </w:p>
    <w:p>
      <w:pPr>
        <w:spacing w:after="160"/>
      </w:pPr>
      <w:r>
        <w:t xml:space="preserve">Sections can choose their Slonimsky catalogue family through `pitchProfile.cellSets`. This changes the chromatic cell vocabulary by section instead of using one global chromatic language.</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`pitchProfile.cellSets`</w:t>
            </w:r>
          </w:p>
        </w:tc>
        <w:tc>
          <w:tcPr>
            <w:tcW w:type="pct" w:w="3000%"/>
          </w:tcPr>
          <w:p>
            <w:pPr>
              <w:spacing w:after="60"/>
            </w:pPr>
            <w:r>
              <w:t xml:space="preserve">What changes</w:t>
            </w:r>
          </w:p>
        </w:tc>
      </w:tr>
      <w:tr>
        <w:tc>
          <w:tcPr>
            <w:tcW w:type="pct" w:w="3000%"/>
          </w:tcPr>
          <w:p>
            <w:pPr>
              <w:spacing w:after="60"/>
            </w:pPr>
            <w:r>
              <w:t xml:space="preserve">Verse</w:t>
            </w:r>
          </w:p>
        </w:tc>
        <w:tc>
          <w:tcPr>
            <w:tcW w:type="pct" w:w="3000%"/>
          </w:tcPr>
          <w:p>
            <w:pPr>
              <w:spacing w:after="60"/>
            </w:pPr>
            <w:r>
              <w:t xml:space="preserve">`ditone_progression`</w:t>
            </w:r>
          </w:p>
        </w:tc>
        <w:tc>
          <w:tcPr>
            <w:tcW w:type="pct" w:w="3000%"/>
          </w:tcPr>
          <w:p>
            <w:pPr>
              <w:spacing w:after="60"/>
            </w:pPr>
            <w:r>
              <w:t xml:space="preserve">Wider equal-division cells, more angular</w:t>
            </w:r>
          </w:p>
        </w:tc>
      </w:tr>
      <w:tr>
        <w:tc>
          <w:tcPr>
            <w:tcW w:type="pct" w:w="3000%"/>
          </w:tcPr>
          <w:p>
            <w:pPr>
              <w:spacing w:after="60"/>
            </w:pPr>
            <w:r>
              <w:t xml:space="preserve">Bridge</w:t>
            </w:r>
          </w:p>
        </w:tc>
        <w:tc>
          <w:tcPr>
            <w:tcW w:type="pct" w:w="3000%"/>
          </w:tcPr>
          <w:p>
            <w:pPr>
              <w:spacing w:after="60"/>
            </w:pPr>
            <w:r>
              <w:t xml:space="preserve">`semitone_progression`</w:t>
            </w:r>
          </w:p>
        </w:tc>
        <w:tc>
          <w:tcPr>
            <w:tcW w:type="pct" w:w="3000%"/>
          </w:tcPr>
          <w:p>
            <w:pPr>
              <w:spacing w:after="60"/>
            </w:pPr>
            <w:r>
              <w:t xml:space="preserve">Tighter chromatic pressure and half-step motion</w:t>
            </w:r>
          </w:p>
        </w:tc>
      </w:tr>
    </w:tbl>
    <w:p>
      <w:pPr>
        <w:spacing w:after="160"/>
      </w:pPr>
    </w:p>
    <w:p>
      <w:pPr>
        <w:spacing w:after="160"/>
      </w:pPr>
      <w:r>
        <w:t xml:space="preserve">The Song Mode Slonimsky layer now reads the active section at generation time. Goldens check that the verse and bridge resolve different cell families and produce different melodic interval signatures.</w:t>
      </w:r>
    </w:p>
    <w:p>
      <w:pPr>
        <w:pStyle w:val="Heading2"/>
        <w:spacing w:after="100" w:before="160"/>
      </w:pPr>
      <w:r>
        <w:t xml:space="preserve">10.6 Big Band section profiles</w:t>
      </w:r>
    </w:p>
    <w:p>
      <w:pPr>
        <w:spacing w:after="160"/>
      </w:pPr>
      <w:r>
        <w:t xml:space="preserve">Big Band and String Quartet ensemble paths now receive the same section architecture context as Song Mode. For Big Band, section energy and voicing profile can shape density and spread per section.</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Energy / density</w:t>
            </w:r>
          </w:p>
        </w:tc>
        <w:tc>
          <w:tcPr>
            <w:tcW w:type="pct" w:w="2250%"/>
          </w:tcPr>
          <w:p>
            <w:pPr>
              <w:spacing w:after="60"/>
            </w:pPr>
            <w:r>
              <w:t xml:space="preserve">Voicing profile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max spread 18 semitones</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min spread 36 semitones</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max spread 24 semitones</w:t>
            </w:r>
          </w:p>
        </w:tc>
      </w:tr>
    </w:tbl>
    <w:p>
      <w:pPr>
        <w:spacing w:after="160"/>
      </w:pPr>
    </w:p>
    <w:p>
      <w:pPr>
        <w:spacing w:after="160"/>
      </w:pPr>
      <w:r>
        <w:t xml:space="preserve">This lets an arranger sketch read like a chart: lean opening, wide shout section, controlled ending. Drum-module behaviour is unchanged and deferred to P4.</w:t>
      </w:r>
    </w:p>
    <w:p>
      <w:pPr>
        <w:spacing w:after="160"/>
      </w:pPr>
      <w:r>
        <w:rPr>
          <w:b/>
          <w:bCs/>
        </w:rPr>
        <w:t xml:space="preserve">Golden verification (off smoke until V65 closeout):</w:t>
      </w:r>
      <w:r>
        <w:t xml:space="preserve"> `engines/composer-os-v2/scripts/runSectionArchitectureP2Golden.ts`</w:t>
      </w:r>
    </w:p>
    <w:p>
      <w:pPr>
        <w:spacing w:after="160"/>
      </w:pPr>
      <w:r>
        <w:rPr>
          <w:i/>
          <w:iCs/>
          <w:sz w:val="20"/>
          <w:szCs w:val="20"/>
        </w:rPr>
        <w:t xml:space="preserve">End of Composer OS Musician Guide* *Version: V65 — 2026-05-25*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2026-05-25T07:52:06.362Z</dcterms:created>
  <dcterms:modified xsi:type="dcterms:W3CDTF">2026-05-25T07:52:06.362Z</dcterms:modified>
</cp:coreProperties>
</file>

<file path=docProps/custom.xml><?xml version="1.0" encoding="utf-8"?>
<Properties xmlns="http://schemas.openxmlformats.org/officeDocument/2006/custom-properties" xmlns:vt="http://schemas.openxmlformats.org/officeDocument/2006/docPropsVTypes"/>
</file>