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ighty-ten-engines-architecture-guide-v3"/>
    <w:p>
      <w:pPr>
        <w:pStyle w:val="Heading1"/>
      </w:pPr>
      <w:r>
        <w:t xml:space="preserve">Mighty Ten Engines — Architecture Guide V3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describes the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 </w:t>
      </w:r>
      <w:r>
        <w:t xml:space="preserve">of the Mighty Ten global composition framework: system design, component relationships, and how engines integrate with the broader creative-rule-engines ecosystem.</w:t>
      </w:r>
    </w:p>
    <w:p>
      <w:r>
        <w:pict>
          <v:rect style="width:0;height:1.5pt" o:hralign="center" o:hrstd="t" o:hr="t"/>
        </w:pict>
      </w:r>
    </w:p>
    <w:bookmarkEnd w:id="9"/>
    <w:bookmarkStart w:id="10" w:name="system-architecture-overview"/>
    <w:p>
      <w:pPr>
        <w:pStyle w:val="Heading2"/>
      </w:pPr>
      <w:r>
        <w:t xml:space="preserve">System Architecture Overview</w:t>
      </w:r>
    </w:p>
    <w:p>
      <w:pPr>
        <w:pStyle w:val="SourceCode"/>
      </w:pPr>
      <w:r>
        <w:rPr>
          <w:rStyle w:val="VerbatimChar"/>
        </w:rPr>
        <w:t xml:space="preserve">creative-rule-engines/</w:t>
      </w:r>
      <w:r>
        <w:br/>
      </w:r>
      <w:r>
        <w:rPr>
          <w:rStyle w:val="VerbatimChar"/>
        </w:rPr>
        <w:t xml:space="preserve">├── cursor-system-pack.md          ← Master import (single entry point)</w:t>
      </w:r>
      <w:r>
        <w:br/>
      </w:r>
      <w:r>
        <w:rPr>
          <w:rStyle w:val="VerbatimChar"/>
        </w:rPr>
        <w:t xml:space="preserve">├── creative-engines/              ← Mighty Ten framework</w:t>
      </w:r>
      <w:r>
        <w:br/>
      </w:r>
      <w:r>
        <w:rPr>
          <w:rStyle w:val="VerbatimChar"/>
        </w:rPr>
        <w:t xml:space="preserve">│   ├── engines/                   ← 10 aesthetic engines</w:t>
      </w:r>
      <w:r>
        <w:br/>
      </w:r>
      <w:r>
        <w:rPr>
          <w:rStyle w:val="VerbatimChar"/>
        </w:rPr>
        <w:t xml:space="preserve">│   ├── rules/                     ← GCE, anti-monotony, ensemble, engraving, structure</w:t>
      </w:r>
      <w:r>
        <w:br/>
      </w:r>
      <w:r>
        <w:rPr>
          <w:rStyle w:val="VerbatimChar"/>
        </w:rPr>
        <w:t xml:space="preserve">│   ├── palettes/                  ← tonality_vault, interval_cycles, triad_pairs, polychords</w:t>
      </w:r>
      <w:r>
        <w:br/>
      </w:r>
      <w:r>
        <w:rPr>
          <w:rStyle w:val="VerbatimChar"/>
        </w:rPr>
        <w:t xml:space="preserve">│   ├── templates/                 ← composition_request, revision_loop</w:t>
      </w:r>
      <w:r>
        <w:br/>
      </w:r>
      <w:r>
        <w:rPr>
          <w:rStyle w:val="VerbatimChar"/>
        </w:rPr>
        <w:t xml:space="preserve">│   └── docs/                      ← User guides, architecture</w:t>
      </w:r>
      <w:r>
        <w:br/>
      </w:r>
      <w:r>
        <w:rPr>
          <w:rStyle w:val="VerbatimChar"/>
        </w:rPr>
        <w:t xml:space="preserve">└── music/                         ← Style-specific engines (orchestral, big band, etc.)</w:t>
      </w:r>
    </w:p>
    <w:p>
      <w:r>
        <w:pict>
          <v:rect style="width:0;height:1.5pt" o:hralign="center" o:hrstd="t" o:hr="t"/>
        </w:pict>
      </w:r>
    </w:p>
    <w:bookmarkEnd w:id="10"/>
    <w:bookmarkStart w:id="16" w:name="component-hierarchy"/>
    <w:p>
      <w:pPr>
        <w:pStyle w:val="Heading2"/>
      </w:pPr>
      <w:r>
        <w:t xml:space="preserve">Component Hierarchy</w:t>
      </w:r>
    </w:p>
    <w:bookmarkStart w:id="11" w:name="layer-1-master-system"/>
    <w:p>
      <w:pPr>
        <w:pStyle w:val="Heading3"/>
      </w:pPr>
      <w:r>
        <w:t xml:space="preserve">Layer 1: Master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cursor-system-pack.md</w:t>
      </w:r>
      <w:r>
        <w:t xml:space="preserve"> </w:t>
      </w:r>
      <w:r>
        <w:t xml:space="preserve">— Unified system prompt for all Cursor projects</w:t>
      </w:r>
    </w:p>
    <w:p>
      <w:pPr>
        <w:pStyle w:val="Compact"/>
        <w:numPr>
          <w:ilvl w:val="0"/>
          <w:numId w:val="1001"/>
        </w:numPr>
      </w:pPr>
      <w:r>
        <w:t xml:space="preserve">Imports and coordinates: music, literature, therapy-writing, creative-engines</w:t>
      </w:r>
    </w:p>
    <w:bookmarkEnd w:id="11"/>
    <w:bookmarkStart w:id="12" w:name="layer-2-creative-engines-mighty-ten"/>
    <w:p>
      <w:pPr>
        <w:pStyle w:val="Heading3"/>
      </w:pPr>
      <w:r>
        <w:t xml:space="preserve">Layer 2: Creative Engines (Mighty Ten)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engines/</w:t>
      </w:r>
      <w:r>
        <w:t xml:space="preserve"> </w:t>
      </w:r>
      <w:r>
        <w:t xml:space="preserve">— 10 aesthetic engines (Scofield, Shorter, Frisell, Wheeler, Stravinsky, Zappa, Slonimsky, Bartók, Counterpoint, Polyphonic)</w:t>
      </w:r>
    </w:p>
    <w:p>
      <w:pPr>
        <w:pStyle w:val="Compact"/>
        <w:numPr>
          <w:ilvl w:val="0"/>
          <w:numId w:val="1002"/>
        </w:numPr>
      </w:pPr>
      <w:r>
        <w:t xml:space="preserve">Each engine defines: core priorities, characteristics, avoid list</w:t>
      </w:r>
    </w:p>
    <w:bookmarkEnd w:id="12"/>
    <w:bookmarkStart w:id="13" w:name="layer-3-rules"/>
    <w:p>
      <w:pPr>
        <w:pStyle w:val="Heading3"/>
      </w:pPr>
      <w:r>
        <w:t xml:space="preserve">Layer 3: Rules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gce_evaluation_framework.md</w:t>
      </w:r>
      <w:r>
        <w:t xml:space="preserve"> </w:t>
      </w:r>
      <w:r>
        <w:t xml:space="preserve">— 0–10 scoring, 10 dimensions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anti_monotony_rules.md</w:t>
      </w:r>
      <w:r>
        <w:t xml:space="preserve"> </w:t>
      </w:r>
      <w:r>
        <w:t xml:space="preserve">— Motivic variation, harmonic/rhythmic avoidance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ensemble_rules.md</w:t>
      </w:r>
      <w:r>
        <w:t xml:space="preserve"> </w:t>
      </w:r>
      <w:r>
        <w:t xml:space="preserve">— Who has the line, section balance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engraving_rules.md</w:t>
      </w:r>
      <w:r>
        <w:t xml:space="preserve"> </w:t>
      </w:r>
      <w:r>
        <w:t xml:space="preserve">— Sibelius-friendly MusicXML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composition_structure_rules.md</w:t>
      </w:r>
      <w:r>
        <w:t xml:space="preserve"> </w:t>
      </w:r>
      <w:r>
        <w:t xml:space="preserve">— Form, length, motivic development</w:t>
      </w:r>
    </w:p>
    <w:bookmarkEnd w:id="13"/>
    <w:bookmarkStart w:id="14" w:name="layer-4-palettes"/>
    <w:p>
      <w:pPr>
        <w:pStyle w:val="Heading3"/>
      </w:pPr>
      <w:r>
        <w:t xml:space="preserve">Layer 4: Palettes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tonality_vault.md</w:t>
      </w:r>
      <w:r>
        <w:t xml:space="preserve"> </w:t>
      </w:r>
      <w:r>
        <w:t xml:space="preserve">— Melodic triad, quadratonics, tension layers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interval_cycles.md</w:t>
      </w:r>
      <w:r>
        <w:t xml:space="preserve"> </w:t>
      </w:r>
      <w:r>
        <w:t xml:space="preserve">— IC1–IC6, symmetrical structures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triad_pairs.md</w:t>
      </w:r>
      <w:r>
        <w:t xml:space="preserve"> </w:t>
      </w:r>
      <w:r>
        <w:t xml:space="preserve">— Two-triad systems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polychords.md</w:t>
      </w:r>
      <w:r>
        <w:t xml:space="preserve"> </w:t>
      </w:r>
      <w:r>
        <w:t xml:space="preserve">— Upper/lower structure</w:t>
      </w:r>
    </w:p>
    <w:bookmarkEnd w:id="14"/>
    <w:bookmarkStart w:id="15" w:name="layer-5-templates"/>
    <w:p>
      <w:pPr>
        <w:pStyle w:val="Heading3"/>
      </w:pPr>
      <w:r>
        <w:t xml:space="preserve">Layer 5: Templates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composition_request_template.md</w:t>
      </w:r>
      <w:r>
        <w:t xml:space="preserve"> </w:t>
      </w:r>
      <w:r>
        <w:t xml:space="preserve">— Request 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revision_loop_template.md</w:t>
      </w:r>
      <w:r>
        <w:t xml:space="preserve"> </w:t>
      </w:r>
      <w:r>
        <w:t xml:space="preserve">— Iteration structure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ngine-design-principles"/>
    <w:p>
      <w:pPr>
        <w:pStyle w:val="Heading2"/>
      </w:pPr>
      <w:r>
        <w:t xml:space="preserve">Engine Design Principles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primary aesthetic per engine</w:t>
      </w:r>
      <w:r>
        <w:t xml:space="preserve"> </w:t>
      </w:r>
      <w:r>
        <w:t xml:space="preserve">— Each engine has a clear identity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Composability</w:t>
      </w:r>
      <w:r>
        <w:t xml:space="preserve"> </w:t>
      </w:r>
      <w:r>
        <w:t xml:space="preserve">— Engines can combine (hybrid) or rotate (album)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GCE gate</w:t>
      </w:r>
      <w:r>
        <w:t xml:space="preserve"> </w:t>
      </w:r>
      <w:r>
        <w:t xml:space="preserve">— No MusicXML output until GCE ≥ 9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Tonality Vault integration</w:t>
      </w:r>
      <w:r>
        <w:t xml:space="preserve"> </w:t>
      </w:r>
      <w:r>
        <w:t xml:space="preserve">— All engines use the shared harmonic framework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Canonical home</w:t>
      </w:r>
      <w:r>
        <w:t xml:space="preserve"> </w:t>
      </w:r>
      <w:r>
        <w:t xml:space="preserve">— This repo is the single source of truth; no local redefinition</w:t>
      </w:r>
    </w:p>
    <w:p>
      <w:r>
        <w:pict>
          <v:rect style="width:0;height:1.5pt" o:hralign="center" o:hrstd="t" o:hr="t"/>
        </w:pict>
      </w:r>
    </w:p>
    <w:bookmarkEnd w:id="17"/>
    <w:bookmarkStart w:id="18" w:name="engine-categories-architectural"/>
    <w:p>
      <w:pPr>
        <w:pStyle w:val="Heading2"/>
      </w:pPr>
      <w:r>
        <w:t xml:space="preserve">Engine Categories (Architectural)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096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Engines</w:t>
            </w:r>
          </w:p>
        </w:tc>
        <w:tc>
          <w:tcPr/>
          <w:p>
            <w:pPr>
              <w:pStyle w:val="Compact"/>
            </w:pPr>
            <w:r>
              <w:t xml:space="preserve">Shared Traits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Groove</w:t>
            </w:r>
          </w:p>
        </w:tc>
        <w:tc>
          <w:tcPr/>
          <w:p>
            <w:pPr>
              <w:pStyle w:val="Compact"/>
            </w:pPr>
            <w:r>
              <w:t xml:space="preserve">Scofield–Holland</w:t>
            </w:r>
          </w:p>
        </w:tc>
        <w:tc>
          <w:tcPr/>
          <w:p>
            <w:pPr>
              <w:pStyle w:val="Compact"/>
            </w:pPr>
            <w:r>
              <w:t xml:space="preserve">Rhythm-section, forward 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Narrative</w:t>
            </w:r>
          </w:p>
        </w:tc>
        <w:tc>
          <w:tcPr/>
          <w:p>
            <w:pPr>
              <w:pStyle w:val="Compact"/>
            </w:pPr>
            <w:r>
              <w:t xml:space="preserve">Shorter, Counterpoint</w:t>
            </w:r>
          </w:p>
        </w:tc>
        <w:tc>
          <w:tcPr/>
          <w:p>
            <w:pPr>
              <w:pStyle w:val="Compact"/>
            </w:pPr>
            <w:r>
              <w:t xml:space="preserve">Motivic logic, sectional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Atmospheric</w:t>
            </w:r>
          </w:p>
        </w:tc>
        <w:tc>
          <w:tcPr/>
          <w:p>
            <w:pPr>
              <w:pStyle w:val="Compact"/>
            </w:pPr>
            <w:r>
              <w:t xml:space="preserve">Frisell, Bartók</w:t>
            </w:r>
          </w:p>
        </w:tc>
        <w:tc>
          <w:tcPr/>
          <w:p>
            <w:pPr>
              <w:pStyle w:val="Compact"/>
            </w:pPr>
            <w:r>
              <w:t xml:space="preserve">Space, colour, restraint or darkness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Lyrical</w:t>
            </w:r>
          </w:p>
        </w:tc>
        <w:tc>
          <w:tcPr/>
          <w:p>
            <w:pPr>
              <w:pStyle w:val="Compact"/>
            </w:pPr>
            <w:r>
              <w:t xml:space="preserve">Wheeler</w:t>
            </w:r>
          </w:p>
        </w:tc>
        <w:tc>
          <w:tcPr/>
          <w:p>
            <w:pPr>
              <w:pStyle w:val="Compact"/>
            </w:pPr>
            <w:r>
              <w:t xml:space="preserve">Melody, warmth, singability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Rhythmic</w:t>
            </w:r>
          </w:p>
        </w:tc>
        <w:tc>
          <w:tcPr/>
          <w:p>
            <w:pPr>
              <w:pStyle w:val="Compact"/>
            </w:pPr>
            <w:r>
              <w:t xml:space="preserve">Stravinsky, Zappa</w:t>
            </w:r>
          </w:p>
        </w:tc>
        <w:tc>
          <w:tcPr/>
          <w:p>
            <w:pPr>
              <w:pStyle w:val="Compact"/>
            </w:pPr>
            <w:r>
              <w:t xml:space="preserve">Pulse, disruption, metric 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Harmonic</w:t>
            </w:r>
          </w:p>
        </w:tc>
        <w:tc>
          <w:tcPr/>
          <w:p>
            <w:pPr>
              <w:pStyle w:val="Compact"/>
            </w:pPr>
            <w:r>
              <w:t xml:space="preserve">Slonimsky</w:t>
            </w:r>
          </w:p>
        </w:tc>
        <w:tc>
          <w:tcPr/>
          <w:p>
            <w:pPr>
              <w:pStyle w:val="Compact"/>
            </w:pPr>
            <w:r>
              <w:t xml:space="preserve">Systematic, non-functional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Polyphonic</w:t>
            </w:r>
          </w:p>
        </w:tc>
        <w:tc>
          <w:tcPr/>
          <w:p>
            <w:pPr>
              <w:pStyle w:val="Compact"/>
            </w:pPr>
            <w:r>
              <w:t xml:space="preserve">Counterpoint, Polyphonic Labyrinth</w:t>
            </w:r>
          </w:p>
        </w:tc>
        <w:tc>
          <w:tcPr/>
          <w:p>
            <w:pPr>
              <w:pStyle w:val="Compact"/>
            </w:pPr>
            <w:r>
              <w:t xml:space="preserve">Multi-voice, independence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ata-flow"/>
    <w:p>
      <w:pPr>
        <w:pStyle w:val="Heading2"/>
      </w:pPr>
      <w:r>
        <w:t xml:space="preserve">Data Flow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</w:t>
      </w:r>
      <w:r>
        <w:t xml:space="preserve"> </w:t>
      </w:r>
      <w:r>
        <w:t xml:space="preserve">— User or AI selects engine(s) from palette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</w:t>
      </w:r>
      <w:r>
        <w:t xml:space="preserve"> </w:t>
      </w:r>
      <w:r>
        <w:t xml:space="preserve">— Composition request template filled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Composition</w:t>
      </w:r>
      <w:r>
        <w:t xml:space="preserve"> </w:t>
      </w:r>
      <w:r>
        <w:t xml:space="preserve">— AI composes using engine + rules + palettes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GCE Check</w:t>
      </w:r>
      <w:r>
        <w:t xml:space="preserve"> </w:t>
      </w:r>
      <w:r>
        <w:t xml:space="preserve">— Score on 10 dimensions; if &lt; 7 on any axis, revise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Iteration</w:t>
      </w:r>
      <w:r>
        <w:t xml:space="preserve"> </w:t>
      </w:r>
      <w:r>
        <w:t xml:space="preserve">— Revision loop until GCE ≥ 9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</w:t>
      </w:r>
      <w:r>
        <w:t xml:space="preserve"> </w:t>
      </w:r>
      <w:r>
        <w:t xml:space="preserve">— MusicXML only after gate passed</w:t>
      </w:r>
    </w:p>
    <w:p>
      <w:r>
        <w:pict>
          <v:rect style="width:0;height:1.5pt" o:hralign="center" o:hrstd="t" o:hr="t"/>
        </w:pict>
      </w:r>
    </w:p>
    <w:bookmarkEnd w:id="19"/>
    <w:bookmarkStart w:id="22" w:name="integration-points"/>
    <w:p>
      <w:pPr>
        <w:pStyle w:val="Heading2"/>
      </w:pPr>
      <w:r>
        <w:t xml:space="preserve">Integration Points</w:t>
      </w:r>
    </w:p>
    <w:bookmarkStart w:id="20" w:name="with-music"/>
    <w:p>
      <w:pPr>
        <w:pStyle w:val="Heading3"/>
      </w:pPr>
      <w:r>
        <w:t xml:space="preserve">With music/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excellence-criteria.md</w:t>
      </w:r>
      <w:r>
        <w:t xml:space="preserve"> </w:t>
      </w:r>
      <w:r>
        <w:t xml:space="preserve">— Shared 0–10 scale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engraving-rules-sibelius.md</w:t>
      </w:r>
      <w:r>
        <w:t xml:space="preserve"> </w:t>
      </w:r>
      <w:r>
        <w:t xml:space="preserve">— Shared engraving rules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palettes/tonality-vault/</w:t>
      </w:r>
      <w:r>
        <w:t xml:space="preserve"> </w:t>
      </w:r>
      <w:r>
        <w:t xml:space="preserve">— Shared harmonic framework</w:t>
      </w:r>
    </w:p>
    <w:bookmarkEnd w:id="20"/>
    <w:bookmarkStart w:id="21" w:name="with-cursor-system-pack.md"/>
    <w:p>
      <w:pPr>
        <w:pStyle w:val="Heading3"/>
      </w:pPr>
      <w:r>
        <w:t xml:space="preserve">With cursor-system-pack.md</w:t>
      </w:r>
    </w:p>
    <w:p>
      <w:pPr>
        <w:pStyle w:val="Compact"/>
        <w:numPr>
          <w:ilvl w:val="0"/>
          <w:numId w:val="1009"/>
        </w:numPr>
      </w:pPr>
      <w:r>
        <w:t xml:space="preserve">Mode selection can include engine name (e.g. </w:t>
      </w:r>
      <w:r>
        <w:t xml:space="preserve">“Mode: Scofield–Holland”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Master file references creative-engines for Mighty Ten projects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ersioning"/>
    <w:p>
      <w:pPr>
        <w:pStyle w:val="Heading2"/>
      </w:pPr>
      <w:r>
        <w:t xml:space="preserve">Versioning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V1</w:t>
      </w:r>
      <w:r>
        <w:t xml:space="preserve"> </w:t>
      </w:r>
      <w:r>
        <w:t xml:space="preserve">— Basic user guide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V2</w:t>
      </w:r>
      <w:r>
        <w:t xml:space="preserve"> </w:t>
      </w:r>
      <w:r>
        <w:t xml:space="preserve">— Extended guide (matrix, prompts, orchestration)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V3</w:t>
      </w:r>
      <w:r>
        <w:t xml:space="preserve"> </w:t>
      </w:r>
      <w:r>
        <w:t xml:space="preserve">— Architecture guide (this document)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repository is the canonical source of creative excellence standards.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2026-03-10T16:23:29Z</dcterms:created>
  <dcterms:modified xsi:type="dcterms:W3CDTF">2026-03-10T16:23:29Z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