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3</w:t>
      </w:r>
    </w:p>
    <w:p>
      <w:pPr>
        <w:tabs>
          <w:tab w:val="right" w:pos="9638" w:leader="dot"/>
        </w:tabs>
        <w:spacing w:after="20" w:before="160"/>
        <w:ind w:left="0"/>
      </w:pPr>
      <w:r>
        <w:rPr>
          <w:rFonts w:ascii="Arial" w:cs="Arial" w:eastAsia="Arial" w:hAnsi="Arial"/>
          <w:b/>
          <w:bCs/>
          <w:sz w:val="21"/>
          <w:szCs w:val="21"/>
        </w:rPr>
        <w:t xml:space="preserve">Chapter 2. Installing the Client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5</w:t>
      </w:r>
    </w:p>
    <w:p>
      <w:pPr>
        <w:tabs>
          <w:tab w:val="right" w:pos="9638" w:leader="dot"/>
        </w:tabs>
        <w:spacing w:after="20" w:before="160"/>
        <w:ind w:left="0"/>
      </w:pPr>
      <w:r>
        <w:rPr>
          <w:rFonts w:ascii="Arial" w:cs="Arial" w:eastAsia="Arial" w:hAnsi="Arial"/>
          <w:b/>
          <w:bCs/>
          <w:sz w:val="21"/>
          <w:szCs w:val="21"/>
        </w:rPr>
        <w:t xml:space="preserve">Chapter 3. Using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8</w:t>
      </w:r>
    </w:p>
    <w:p>
      <w:pPr>
        <w:tabs>
          <w:tab w:val="right" w:pos="9638" w:leader="dot"/>
        </w:tabs>
        <w:spacing w:after="20" w:before="160"/>
        <w:ind w:left="0"/>
      </w:pPr>
      <w:r>
        <w:rPr>
          <w:rFonts w:ascii="Arial" w:cs="Arial" w:eastAsia="Arial" w:hAnsi="Arial"/>
          <w:b/>
          <w:bCs/>
          <w:sz w:val="21"/>
          <w:szCs w:val="21"/>
        </w:rPr>
        <w:t xml:space="preserve">Chapter 4. Creating and Publishing a Package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11</w:t>
      </w:r>
    </w:p>
    <w:p>
      <w:pPr>
        <w:tabs>
          <w:tab w:val="right" w:pos="9638" w:leader="dot"/>
        </w:tabs>
        <w:spacing w:after="20" w:before="160"/>
        <w:ind w:left="0"/>
      </w:pPr>
      <w:r>
        <w:rPr>
          <w:rFonts w:ascii="Arial" w:cs="Arial" w:eastAsia="Arial" w:hAnsi="Arial"/>
          <w:b/>
          <w:bCs/>
          <w:sz w:val="21"/>
          <w:szCs w:val="21"/>
        </w:rPr>
        <w:t xml:space="preserve">Chapter 5. Accounts, Tokens and Owners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13</w:t>
      </w:r>
    </w:p>
    <w:p>
      <w:pPr>
        <w:tabs>
          <w:tab w:val="right" w:pos="9638" w:leader="dot"/>
        </w:tabs>
        <w:spacing w:after="20" w:before="160"/>
        <w:ind w:left="0"/>
      </w:pPr>
      <w:r>
        <w:rPr>
          <w:rFonts w:ascii="Arial" w:cs="Arial" w:eastAsia="Arial" w:hAnsi="Arial"/>
          <w:b/>
          <w:bCs/>
          <w:sz w:val="21"/>
          <w:szCs w:val="21"/>
        </w:rPr>
        <w:t xml:space="preserve">Chapter 6. The Web Interface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14</w:t>
      </w:r>
    </w:p>
    <w:p>
      <w:pPr>
        <w:tabs>
          <w:tab w:val="right" w:pos="9638" w:leader="dot"/>
        </w:tabs>
        <w:spacing w:after="20" w:before="160"/>
        <w:ind w:left="0"/>
      </w:pPr>
      <w:r>
        <w:rPr>
          <w:rFonts w:ascii="Arial" w:cs="Arial" w:eastAsia="Arial" w:hAnsi="Arial"/>
          <w:b/>
          <w:bCs/>
          <w:sz w:val="21"/>
          <w:szCs w:val="21"/>
        </w:rPr>
        <w:t xml:space="preserve">Chapter 7. Installing the Server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17</w:t>
      </w:r>
    </w:p>
    <w:p>
      <w:pPr>
        <w:tabs>
          <w:tab w:val="right" w:pos="9638" w:leader="dot"/>
        </w:tabs>
        <w:spacing w:after="20" w:before="160"/>
        <w:ind w:left="0"/>
      </w:pPr>
      <w:r>
        <w:rPr>
          <w:rFonts w:ascii="Arial" w:cs="Arial" w:eastAsia="Arial" w:hAnsi="Arial"/>
          <w:b/>
          <w:bCs/>
          <w:sz w:val="21"/>
          <w:szCs w:val="21"/>
        </w:rPr>
        <w:t xml:space="preserve">Chapter 8. Operating the Server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19</w:t>
      </w:r>
    </w:p>
    <w:p>
      <w:pPr>
        <w:tabs>
          <w:tab w:val="right" w:pos="9638" w:leader="dot"/>
        </w:tabs>
        <w:spacing w:after="20" w:before="160"/>
        <w:ind w:left="0"/>
      </w:pPr>
      <w:r>
        <w:rPr>
          <w:rFonts w:ascii="Arial" w:cs="Arial" w:eastAsia="Arial" w:hAnsi="Arial"/>
          <w:b/>
          <w:bCs/>
          <w:sz w:val="21"/>
          <w:szCs w:val="21"/>
        </w:rPr>
        <w:t xml:space="preserve">Chapter 9. Protocol Reference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21</w:t>
      </w:r>
    </w:p>
    <w:p>
      <w:pPr>
        <w:tabs>
          <w:tab w:val="right" w:pos="9638" w:leader="dot"/>
        </w:tabs>
        <w:spacing w:after="20" w:before="160"/>
        <w:ind w:left="0"/>
      </w:pPr>
      <w:r>
        <w:rPr>
          <w:rFonts w:ascii="Arial" w:cs="Arial" w:eastAsia="Arial" w:hAnsi="Arial"/>
          <w:b/>
          <w:bCs/>
          <w:sz w:val="21"/>
          <w:szCs w:val="21"/>
        </w:rPr>
        <w:t xml:space="preserve">Chapter 10. Security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23</w:t>
      </w:r>
    </w:p>
    <w:p>
      <w:pPr>
        <w:tabs>
          <w:tab w:val="right" w:pos="9638" w:leader="dot"/>
        </w:tabs>
        <w:spacing w:after="20" w:before="160"/>
        <w:ind w:left="0"/>
      </w:pPr>
      <w:r>
        <w:rPr>
          <w:rFonts w:ascii="Arial" w:cs="Arial" w:eastAsia="Arial" w:hAnsi="Arial"/>
          <w:b/>
          <w:bCs/>
          <w:sz w:val="21"/>
          <w:szCs w:val="21"/>
        </w:rPr>
        <w:t xml:space="preserve">Chapter 11. Restrictions and Known Problems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24</w:t>
      </w:r>
    </w:p>
    <w:p>
      <w:pPr>
        <w:tabs>
          <w:tab w:val="right" w:pos="9638" w:leader="dot"/>
        </w:tabs>
        <w:spacing w:after="20" w:before="160"/>
        <w:ind w:left="0"/>
      </w:pPr>
      <w:r>
        <w:rPr>
          <w:rFonts w:ascii="Arial" w:cs="Arial" w:eastAsia="Arial" w:hAnsi="Arial"/>
          <w:b/>
          <w:bCs/>
          <w:sz w:val="21"/>
          <w:szCs w:val="21"/>
        </w:rPr>
        <w:t xml:space="preserve">Appendix A. Command Summary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25</w:t>
      </w:r>
    </w:p>
    <w:p>
      <w:pPr>
        <w:tabs>
          <w:tab w:val="right" w:pos="9638" w:leader="dot"/>
        </w:tabs>
        <w:spacing w:after="20" w:before="160"/>
        <w:ind w:left="0"/>
      </w:pPr>
      <w:r>
        <w:rPr>
          <w:rFonts w:ascii="Arial" w:cs="Arial" w:eastAsia="Arial" w:hAnsi="Arial"/>
          <w:b/>
          <w:bCs/>
          <w:sz w:val="21"/>
          <w:szCs w:val="21"/>
        </w:rPr>
        <w:t xml:space="preserve">Appendix B. Server Administration Commands	26</w:t>
      </w:r>
    </w:p>
    <w:p>
      <w:pPr>
        <w:tabs>
          <w:tab w:val="right" w:pos="9638" w:leader="dot"/>
        </w:tabs>
        <w:spacing w:after="20" w:before="160"/>
        <w:ind w:left="0"/>
      </w:pPr>
      <w:r>
        <w:rPr>
          <w:rFonts w:ascii="Arial" w:cs="Arial" w:eastAsia="Arial" w:hAnsi="Arial"/>
          <w:b/>
          <w:bCs/>
          <w:sz w:val="21"/>
          <w:szCs w:val="21"/>
        </w:rPr>
        <w:t xml:space="preserve">Appendix C. Environment Variables and Files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27</w:t>
      </w:r>
    </w:p>
    <w:p>
      <w:pPr>
        <w:tabs>
          <w:tab w:val="right" w:pos="9638" w:leader="dot"/>
        </w:tabs>
        <w:spacing w:after="20" w:before="160"/>
        <w:ind w:left="0"/>
      </w:pPr>
      <w:r>
        <w:rPr>
          <w:rFonts w:ascii="Arial" w:cs="Arial" w:eastAsia="Arial" w:hAnsi="Arial"/>
          <w:b/>
          <w:bCs/>
          <w:sz w:val="21"/>
          <w:szCs w:val="21"/>
        </w:rPr>
        <w:t xml:space="preserve">Appendix D. Contents of the Kit	28</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Troubleshooting guide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Actions that need a token</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180 checks, and a second suite runs one scenario of about 35 checks against each of the four clients (141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2026-10-13T21:19:29.751Z</dcterms:created>
  <dcterms:modified xsi:type="dcterms:W3CDTF">2026-10-13T21:19:29.751Z</dcterms:modified>
</cp:coreProperties>
</file>

<file path=docProps/custom.xml><?xml version="1.0" encoding="utf-8"?>
<Properties xmlns="http://schemas.openxmlformats.org/officeDocument/2006/custom-properties" xmlns:vt="http://schemas.openxmlformats.org/officeDocument/2006/docPropsVTypes"/>
</file>