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20</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22</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31</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35</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36</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37</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42</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Class files are compiled on the PC or in the Debian guest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and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Other NetRexxC options are passed on, for example </w:t>
      </w:r>
      <w:r>
        <w:rPr>
          <w:rFonts w:ascii="Courier New" w:cs="Courier New" w:eastAsia="Courier New" w:hAnsi="Courier New"/>
          <w:sz w:val="19"/>
          <w:szCs w:val="19"/>
        </w:rPr>
        <w:t xml:space="preserve">-nocompile -keepasjava</w:t>
      </w:r>
      <w:r>
        <w:rPr>
          <w:rFonts w:ascii="Times New Roman" w:cs="Times New Roman" w:eastAsia="Times New Roman" w:hAnsi="Times New Roman"/>
        </w:rPr>
        <w:t xml:space="preserve"> to translate to Java source only; there is no Java compiler on CMS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2026-10-14T12:41:41.880Z</dcterms:created>
  <dcterms:modified xsi:type="dcterms:W3CDTF">2026-10-14T12:41:41.881Z</dcterms:modified>
</cp:coreProperties>
</file>

<file path=docProps/custom.xml><?xml version="1.0" encoding="utf-8"?>
<Properties xmlns="http://schemas.openxmlformats.org/officeDocument/2006/custom-properties" xmlns:vt="http://schemas.openxmlformats.org/officeDocument/2006/docPropsVTypes"/>
</file>