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&amp;</w:t>
      </w:r>
      <w:r>
        <w:t xml:space="preserve"> </w:t>
      </w:r>
      <w:r>
        <w:t xml:space="preserve">transforming</w:t>
      </w:r>
      <w:r>
        <w:t xml:space="preserve"> </w:t>
      </w:r>
      <w:r>
        <w:t xml:space="preserve">data</w:t>
      </w:r>
    </w:p>
    <w:p>
      <w:pPr>
        <w:pStyle w:val="Author"/>
      </w:pPr>
      <w:r>
        <w:t xml:space="preserve">Mike</w:t>
      </w:r>
      <w:r>
        <w:t xml:space="preserve"> </w:t>
      </w:r>
      <w:r>
        <w:t xml:space="preserve">Blazanin</w:t>
      </w:r>
    </w:p>
    <w:p>
      <w:pPr>
        <w:pStyle w:val="Date"/>
      </w:pPr>
      <w:r>
        <w:t xml:space="preserve">2023-01-22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rPr>
          <w:bCs/>
          <w:b/>
        </w:rP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that demonstration done,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4"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Start w:id="27"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2" w:name="a-basic-example"/>
    <w:p>
      <w:pPr>
        <w:pStyle w:val="Heading3"/>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w:t>
      </w:r>
      <w:r>
        <w:br/>
      </w:r>
      <w:r>
        <w:rPr>
          <w:rStyle w:val="CommentTok"/>
        </w:rPr>
        <w:t xml:space="preserve">#&gt;  [4] "Plate1-0_45_00.csv"  "Plate1-1_00_00.csv"  "Plate1-1_15_00.csv" </w:t>
      </w:r>
      <w:r>
        <w:br/>
      </w:r>
      <w:r>
        <w:rPr>
          <w:rStyle w:val="CommentTok"/>
        </w:rPr>
        <w:t xml:space="preserve">#&gt;  [7] "Plate1-1_30_00.csv"  "Plate1-1_45_00.csv"  "Plate1-10_00_00.csv"</w:t>
      </w:r>
      <w:r>
        <w:br/>
      </w:r>
      <w:r>
        <w:rPr>
          <w:rStyle w:val="CommentTok"/>
        </w:rPr>
        <w:t xml:space="preserve">#&gt; [10] "Plate1-10_15_00.csv" "Plate1-10_30_00.csv" "Plate1-10_45_00.csv"</w:t>
      </w:r>
      <w:r>
        <w:br/>
      </w:r>
      <w:r>
        <w:rPr>
          <w:rStyle w:val="CommentTok"/>
        </w:rPr>
        <w:t xml:space="preserve">#&gt; [13] "Plate1-11_00_00.csv" "Plate1-11_15_00.csv" "Plate1-11_30_00.csv"</w:t>
      </w:r>
      <w:r>
        <w:br/>
      </w:r>
      <w:r>
        <w:rPr>
          <w:rStyle w:val="CommentTok"/>
        </w:rPr>
        <w:t xml:space="preserve">#&gt; [16] "Plate1-11_45_00.csv" "Plate1-12_00_00.csv" "Plate1-12_15_00.csv"</w:t>
      </w:r>
      <w:r>
        <w:br/>
      </w:r>
      <w:r>
        <w:rPr>
          <w:rStyle w:val="CommentTok"/>
        </w:rPr>
        <w:t xml:space="preserve">#&gt; [19] "Plate1-12_30_00.csv" "Plate1-12_45_00.csv" "Plate1-13_00_00.csv"</w:t>
      </w:r>
      <w:r>
        <w:br/>
      </w:r>
      <w:r>
        <w:rPr>
          <w:rStyle w:val="CommentTok"/>
        </w:rPr>
        <w:t xml:space="preserve">#&gt; [22] "Plate1-13_15_00.csv" "Plate1-13_30_00.csv" "Plate1-13_45_00.csv"</w:t>
      </w:r>
      <w:r>
        <w:br/>
      </w:r>
      <w:r>
        <w:rPr>
          <w:rStyle w:val="CommentTok"/>
        </w:rPr>
        <w:t xml:space="preserve">#&gt; [25] "Plate1-14_00_00.csv" "Plate1-14_15_00.csv" "Plate1-14_30_00.csv"</w:t>
      </w:r>
      <w:r>
        <w:br/>
      </w:r>
      <w:r>
        <w:rPr>
          <w:rStyle w:val="CommentTok"/>
        </w:rPr>
        <w:t xml:space="preserve">#&gt; [28] "Plate1-14_45_00.csv" "Plate1-15_00_00.csv" "Plate1-15_15_00.csv"</w:t>
      </w:r>
      <w:r>
        <w:br/>
      </w:r>
      <w:r>
        <w:rPr>
          <w:rStyle w:val="CommentTok"/>
        </w:rPr>
        <w:t xml:space="preserve">#&gt; [31] "Plate1-15_30_00.csv" "Plate1-15_45_00.csv" "Plate1-16_00_00.csv"</w:t>
      </w:r>
      <w:r>
        <w:br/>
      </w:r>
      <w:r>
        <w:rPr>
          <w:rStyle w:val="CommentTok"/>
        </w:rPr>
        <w:t xml:space="preserve">#&gt; [34] "Plate1-16_15_00.csv" "Plate1-16_30_00.csv" "Plate1-16_45_00.csv"</w:t>
      </w:r>
      <w:r>
        <w:br/>
      </w:r>
      <w:r>
        <w:rPr>
          <w:rStyle w:val="CommentTok"/>
        </w:rPr>
        <w:t xml:space="preserve">#&gt; [37] "Plate1-17_00_00.csv" "Plate1-17_15_00.csv" "Plate1-17_30_00.csv"</w:t>
      </w:r>
      <w:r>
        <w:br/>
      </w:r>
      <w:r>
        <w:rPr>
          <w:rStyle w:val="CommentTok"/>
        </w:rPr>
        <w:t xml:space="preserve">#&gt; [40] "Plate1-17_45_00.csv" "Plate1-18_00_00.csv" "Plate1-18_15_00.csv"</w:t>
      </w:r>
      <w:r>
        <w:br/>
      </w:r>
      <w:r>
        <w:rPr>
          <w:rStyle w:val="CommentTok"/>
        </w:rPr>
        <w:t xml:space="preserve">#&gt; [43] "Plate1-18_30_00.csv" "Plate1-18_45_00.csv" "Plate1-19_00_00.csv"</w:t>
      </w:r>
      <w:r>
        <w:br/>
      </w:r>
      <w:r>
        <w:rPr>
          <w:rStyle w:val="CommentTok"/>
        </w:rPr>
        <w:t xml:space="preserve">#&gt; [46] "Plate1-19_15_00.csv" "Plate1-19_30_00.csv" "Plate1-19_45_00.csv"</w:t>
      </w:r>
      <w:r>
        <w:br/>
      </w:r>
      <w:r>
        <w:rPr>
          <w:rStyle w:val="CommentTok"/>
        </w:rPr>
        <w:t xml:space="preserve">#&gt; [49] "Plate1-2_00_00.csv"  "Plate1-2_15_00.csv"  "Plate1-2_30_00.csv" </w:t>
      </w:r>
      <w:r>
        <w:br/>
      </w:r>
      <w:r>
        <w:rPr>
          <w:rStyle w:val="CommentTok"/>
        </w:rPr>
        <w:t xml:space="preserve">#&gt; [52] "Plate1-2_45_00.csv"  "Plate1-20_00_00.csv" "Plate1-20_15_00.csv"</w:t>
      </w:r>
      <w:r>
        <w:br/>
      </w:r>
      <w:r>
        <w:rPr>
          <w:rStyle w:val="CommentTok"/>
        </w:rPr>
        <w:t xml:space="preserve">#&gt; [55] "Plate1-20_30_00.csv" "Plate1-20_45_00.csv" "Plate1-21_00_00.csv"</w:t>
      </w:r>
      <w:r>
        <w:br/>
      </w:r>
      <w:r>
        <w:rPr>
          <w:rStyle w:val="CommentTok"/>
        </w:rPr>
        <w:t xml:space="preserve">#&gt; [58] "Plate1-21_15_00.csv" "Plate1-21_30_00.csv" "Plate1-21_45_00.csv"</w:t>
      </w:r>
      <w:r>
        <w:br/>
      </w:r>
      <w:r>
        <w:rPr>
          <w:rStyle w:val="CommentTok"/>
        </w:rPr>
        <w:t xml:space="preserve">#&gt; [61] "Plate1-22_00_00.csv" "Plate1-22_15_00.csv" "Plate1-22_30_00.csv"</w:t>
      </w:r>
      <w:r>
        <w:br/>
      </w:r>
      <w:r>
        <w:rPr>
          <w:rStyle w:val="CommentTok"/>
        </w:rPr>
        <w:t xml:space="preserve">#&gt; [64] "Plate1-22_45_00.csv" "Plate1-23_00_00.csv" "Plate1-23_15_00.csv"</w:t>
      </w:r>
      <w:r>
        <w:br/>
      </w:r>
      <w:r>
        <w:rPr>
          <w:rStyle w:val="CommentTok"/>
        </w:rPr>
        <w:t xml:space="preserve">#&gt; [67] "Plate1-23_30_00.csv" "Plate1-23_45_00.csv" "Plate1-24_00_00.csv"</w:t>
      </w:r>
      <w:r>
        <w:br/>
      </w:r>
      <w:r>
        <w:rPr>
          <w:rStyle w:val="CommentTok"/>
        </w:rPr>
        <w:t xml:space="preserve">#&gt; [70] "Plate1-3_00_00.csv"  "Plate1-3_15_00.csv"  "Plate1-3_30_00.csv" </w:t>
      </w:r>
      <w:r>
        <w:br/>
      </w:r>
      <w:r>
        <w:rPr>
          <w:rStyle w:val="CommentTok"/>
        </w:rPr>
        <w:t xml:space="preserve">#&gt; [73] "Plate1-3_45_00.csv"  "Plate1-4_00_00.csv"  "Plate1-4_15_00.csv" </w:t>
      </w:r>
      <w:r>
        <w:br/>
      </w:r>
      <w:r>
        <w:rPr>
          <w:rStyle w:val="CommentTok"/>
        </w:rPr>
        <w:t xml:space="preserve">#&gt; [76] "Plate1-4_30_00.csv"  "Plate1-4_45_00.csv"  "Plate1-5_00_00.csv" </w:t>
      </w:r>
      <w:r>
        <w:br/>
      </w:r>
      <w:r>
        <w:rPr>
          <w:rStyle w:val="CommentTok"/>
        </w:rPr>
        <w:t xml:space="preserve">#&gt; [79] "Plate1-5_15_00.csv"  "Plate1-5_30_00.csv"  "Plate1-5_45_00.csv" </w:t>
      </w:r>
      <w:r>
        <w:br/>
      </w:r>
      <w:r>
        <w:rPr>
          <w:rStyle w:val="CommentTok"/>
        </w:rPr>
        <w:t xml:space="preserve">#&gt; [82] "Plate1-6_00_00.csv"  "Plate1-6_15_00.csv"  "Plate1-6_30_00.csv" </w:t>
      </w:r>
      <w:r>
        <w:br/>
      </w:r>
      <w:r>
        <w:rPr>
          <w:rStyle w:val="CommentTok"/>
        </w:rPr>
        <w:t xml:space="preserve">#&gt; [85] "Plate1-6_45_00.csv"  "Plate1-7_00_00.csv"  "Plate1-7_15_00.csv" </w:t>
      </w:r>
      <w:r>
        <w:br/>
      </w:r>
      <w:r>
        <w:rPr>
          <w:rStyle w:val="CommentTok"/>
        </w:rPr>
        <w:t xml:space="preserve">#&gt; [88] "Plate1-7_30_00.csv"  "Plate1-7_45_00.csv"  "Plate1-8_00_00.csv" </w:t>
      </w:r>
      <w:r>
        <w:br/>
      </w:r>
      <w:r>
        <w:rPr>
          <w:rStyle w:val="CommentTok"/>
        </w:rPr>
        <w:t xml:space="preserve">#&gt; [91] "Plate1-8_15_00.csv"  "Plate1-8_30_00.csv"  "Plate1-8_45_00.csv" </w:t>
      </w:r>
      <w:r>
        <w:br/>
      </w:r>
      <w:r>
        <w:rPr>
          <w:rStyle w:val="CommentTok"/>
        </w:rPr>
        <w:t xml:space="preserve">#&gt; [94]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6e-12 4.0e-12   6e-12  6.0e-12 4.0e-12 6.0e-12 4.0e-12</w:t>
      </w:r>
      <w:r>
        <w:br/>
      </w:r>
      <w:r>
        <w:rPr>
          <w:rStyle w:val="CommentTok"/>
        </w:rPr>
        <w:t xml:space="preserve">#&gt; 2 Plate1-0_15_00 1.36e-10   2e-12 2.0e-12 4.00e-12   6e-12 4.0e-12   4e-12</w:t>
      </w:r>
      <w:r>
        <w:br/>
      </w:r>
      <w:r>
        <w:rPr>
          <w:rStyle w:val="CommentTok"/>
        </w:rPr>
        <w:t xml:space="preserve">#&gt; 3 Plate1-0_30_00    4e-12 4.0e-12   2e-12    4e-12 2.0e-12   6e-12   6e-12</w:t>
      </w:r>
      <w:r>
        <w:br/>
      </w:r>
      <w:r>
        <w:rPr>
          <w:rStyle w:val="CommentTok"/>
        </w:rPr>
        <w:t xml:space="preserve">#&gt; 4 Plate1-0_45_00    4e-12   4e-12 3.6e-11    4e-12 3.6e-11   4e-12 4.0e-12</w:t>
      </w:r>
      <w:r>
        <w:br/>
      </w:r>
      <w:r>
        <w:rPr>
          <w:rStyle w:val="CommentTok"/>
        </w:rPr>
        <w:t xml:space="preserve">#&gt; 5 Plate1-1_00_00    4e-12   6e-12 3.2e-11  4.0e-12 4.0e-12   4e-12   4e-12</w:t>
      </w:r>
      <w:r>
        <w:br/>
      </w:r>
      <w:r>
        <w:rPr>
          <w:rStyle w:val="CommentTok"/>
        </w:rPr>
        <w:t xml:space="preserve">#&gt; 6 Plate1-1_15_00    4e-12   4e-12   6e-12    4e-12 4.0e-12 4.0e-12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2"/>
    <w:bookmarkStart w:id="23"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6e-12 4.0e-12   6e-12  6.0e-12 4.0e-12 6.0e-12</w:t>
      </w:r>
      <w:r>
        <w:br/>
      </w:r>
      <w:r>
        <w:rPr>
          <w:rStyle w:val="CommentTok"/>
        </w:rPr>
        <w:t xml:space="preserve">#&gt; 2 Plate1-0_15_00  900 1.36e-10   2e-12 2.0e-12 4.00e-12   6e-12 4.0e-12</w:t>
      </w:r>
      <w:r>
        <w:br/>
      </w:r>
      <w:r>
        <w:rPr>
          <w:rStyle w:val="CommentTok"/>
        </w:rPr>
        <w:t xml:space="preserve">#&gt; 3 Plate1-0_30_00 1800    4e-12 4.0e-12   2e-12    4e-12 2.0e-12   6e-12</w:t>
      </w:r>
      <w:r>
        <w:br/>
      </w:r>
      <w:r>
        <w:rPr>
          <w:rStyle w:val="CommentTok"/>
        </w:rPr>
        <w:t xml:space="preserve">#&gt; 4 Plate1-0_45_00 2700    4e-12   4e-12 3.6e-11    4e-12 3.6e-11   4e-12</w:t>
      </w:r>
      <w:r>
        <w:br/>
      </w:r>
      <w:r>
        <w:rPr>
          <w:rStyle w:val="CommentTok"/>
        </w:rPr>
        <w:t xml:space="preserve">#&gt; 5 Plate1-1_00_00 3600    4e-12   6e-12 3.2e-11  4.0e-12 4.0e-12   4e-12</w:t>
      </w:r>
      <w:r>
        <w:br/>
      </w:r>
      <w:r>
        <w:rPr>
          <w:rStyle w:val="CommentTok"/>
        </w:rPr>
        <w:t xml:space="preserve">#&gt; 6 Plate1-1_15_00 4500    4e-12   4e-12   6e-12    4e-12 4.0e-12 4.0e-12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3"/>
    <w:bookmarkStart w:id="24" w:name="X499369697ceb8218cc2c166d4b55b9bdaa238b7"/>
    <w:p>
      <w:pPr>
        <w:pStyle w:val="Heading3"/>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6e-12   4e-12   6e-12    6e-12   4e-12   6e-12   4e-12</w:t>
      </w:r>
      <w:r>
        <w:br/>
      </w:r>
      <w:r>
        <w:rPr>
          <w:rStyle w:val="CommentTok"/>
        </w:rPr>
        <w:t xml:space="preserve">#&gt;          B          2e-12   4e-12   6e-12    4e-12   5e-11   4e-12 2.8e-11</w:t>
      </w:r>
      <w:r>
        <w:br/>
      </w:r>
      <w:r>
        <w:rPr>
          <w:rStyle w:val="CommentTok"/>
        </w:rPr>
        <w:t xml:space="preserve">#&gt;          C          4e-12 3.4e-11   6e-12    4e-12   4e-12   2e-12   6e-12</w:t>
      </w:r>
      <w:r>
        <w:br/>
      </w:r>
      <w:r>
        <w:rPr>
          <w:rStyle w:val="CommentTok"/>
        </w:rPr>
        <w:t xml:space="preserve">#&gt;          D          4e-12   2e-12   6e-12    6e-12   4e-12   4e-12   6e-12</w:t>
      </w:r>
      <w:r>
        <w:br/>
      </w:r>
      <w:r>
        <w:rPr>
          <w:rStyle w:val="CommentTok"/>
        </w:rPr>
        <w:t xml:space="preserve">#&gt;          E          4e-12   4e-12   6e-12    6e-12   4e-12   4e-12   2e-12</w:t>
      </w:r>
      <w:r>
        <w:br/>
      </w:r>
      <w:r>
        <w:rPr>
          <w:rStyle w:val="CommentTok"/>
        </w:rPr>
        <w:t xml:space="preserve">#&gt;          F          2e-12   4e-12   4e-12    2e-12   6e-12 1.4e-11   4e-12</w:t>
      </w:r>
      <w:r>
        <w:br/>
      </w:r>
      <w:r>
        <w:rPr>
          <w:rStyle w:val="CommentTok"/>
        </w:rPr>
        <w:t xml:space="preserve">#&gt;          G          4e-12   6e-12   4e-12    6e-12 7.8e-11   6e-12   2e-12</w:t>
      </w:r>
      <w:r>
        <w:br/>
      </w:r>
      <w:r>
        <w:rPr>
          <w:rStyle w:val="CommentTok"/>
        </w:rPr>
        <w:t xml:space="preserve">#&gt;          H          4e-12   2e-12   4e-12  3.8e-11   6e-12   6e-12   2e-12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1.36e-10   2e-12   2e-12    4e-12   6e-12   4e-12   4e-12</w:t>
      </w:r>
      <w:r>
        <w:br/>
      </w:r>
      <w:r>
        <w:rPr>
          <w:rStyle w:val="CommentTok"/>
        </w:rPr>
        <w:t xml:space="preserve">#&gt;          B          4e-12   1e-10   4e-12 1.44e-10   6e-12   2e-12   4e-12</w:t>
      </w:r>
      <w:r>
        <w:br/>
      </w:r>
      <w:r>
        <w:rPr>
          <w:rStyle w:val="CommentTok"/>
        </w:rPr>
        <w:t xml:space="preserve">#&gt;          C          4e-12   6e-12   2e-12    4e-12   4e-12 3.6e-11   2e-12</w:t>
      </w:r>
      <w:r>
        <w:br/>
      </w:r>
      <w:r>
        <w:rPr>
          <w:rStyle w:val="CommentTok"/>
        </w:rPr>
        <w:t xml:space="preserve">#&gt;          D          2e-12   4e-12 1.6e-10    4e-12   2e-12   4e-12   6e-12</w:t>
      </w:r>
      <w:r>
        <w:br/>
      </w:r>
      <w:r>
        <w:rPr>
          <w:rStyle w:val="CommentTok"/>
        </w:rPr>
        <w:t xml:space="preserve">#&gt;          E          4e-12   4e-12   2e-12  1.2e-11   2e-12   2e-12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6e-12 4.0e-12   6e-12  6.0e-12 4.0e-12 6.0e-12 4.0e-12</w:t>
      </w:r>
      <w:r>
        <w:br/>
      </w:r>
      <w:r>
        <w:rPr>
          <w:rStyle w:val="CommentTok"/>
        </w:rPr>
        <w:t xml:space="preserve">#&gt; 2 blocks_single 1.36e-10   2e-12 2.0e-12 4.00e-12   6e-12 4.0e-12   4e-12</w:t>
      </w:r>
      <w:r>
        <w:br/>
      </w:r>
      <w:r>
        <w:rPr>
          <w:rStyle w:val="CommentTok"/>
        </w:rPr>
        <w:t xml:space="preserve">#&gt; 3 blocks_single    4e-12 4.0e-12   2e-12    4e-12 2.0e-12   6e-12   6e-12</w:t>
      </w:r>
      <w:r>
        <w:br/>
      </w:r>
      <w:r>
        <w:rPr>
          <w:rStyle w:val="CommentTok"/>
        </w:rPr>
        <w:t xml:space="preserve">#&gt; 4 blocks_single    4e-12   4e-12 3.6e-11    4e-12 3.6e-11   4e-12 4.0e-12</w:t>
      </w:r>
      <w:r>
        <w:br/>
      </w:r>
      <w:r>
        <w:rPr>
          <w:rStyle w:val="CommentTok"/>
        </w:rPr>
        <w:t xml:space="preserve">#&gt; 5 blocks_single    4e-12   6e-12 3.2e-11  4.0e-12 4.0e-12   4e-12   4e-12</w:t>
      </w:r>
      <w:r>
        <w:br/>
      </w:r>
      <w:r>
        <w:rPr>
          <w:rStyle w:val="CommentTok"/>
        </w:rPr>
        <w:t xml:space="preserve">#&gt; 6 blocks_single    4e-12   4e-12   6e-12    4e-12 4.0e-12 4.0e-12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6e-12 4.0e-12   6e-12  6.0e-12 4.0e-12 6.0e-12</w:t>
      </w:r>
      <w:r>
        <w:br/>
      </w:r>
      <w:r>
        <w:rPr>
          <w:rStyle w:val="CommentTok"/>
        </w:rPr>
        <w:t xml:space="preserve">#&gt; 2 blocks_single  900 1.36e-10   2e-12 2.0e-12 4.00e-12   6e-12 4.0e-12</w:t>
      </w:r>
      <w:r>
        <w:br/>
      </w:r>
      <w:r>
        <w:rPr>
          <w:rStyle w:val="CommentTok"/>
        </w:rPr>
        <w:t xml:space="preserve">#&gt; 3 blocks_single 1800    4e-12 4.0e-12   2e-12    4e-12 2.0e-12   6e-12</w:t>
      </w:r>
      <w:r>
        <w:br/>
      </w:r>
      <w:r>
        <w:rPr>
          <w:rStyle w:val="CommentTok"/>
        </w:rPr>
        <w:t xml:space="preserve">#&gt; 4 blocks_single 2700    4e-12   4e-12 3.6e-11    4e-12 3.6e-11   4e-12</w:t>
      </w:r>
      <w:r>
        <w:br/>
      </w:r>
      <w:r>
        <w:rPr>
          <w:rStyle w:val="CommentTok"/>
        </w:rPr>
        <w:t xml:space="preserve">#&gt; 5 blocks_single 3600    4e-12   6e-12 3.2e-11  4.0e-12 4.0e-12   4e-12</w:t>
      </w:r>
      <w:r>
        <w:br/>
      </w:r>
      <w:r>
        <w:rPr>
          <w:rStyle w:val="CommentTok"/>
        </w:rPr>
        <w:t xml:space="preserve">#&gt; 6 blocks_single 4500    4e-12   4e-12   6e-12    4e-12 4.0e-12 4.0e-12</w:t>
      </w:r>
    </w:p>
    <w:bookmarkEnd w:id="24"/>
    <w:bookmarkStart w:id="25"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5"/>
    <w:bookmarkStart w:id="26" w:name="what-to-do-next"/>
    <w:p>
      <w:pPr>
        <w:pStyle w:val="Heading3"/>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6"/>
    <w:bookmarkEnd w:id="27"/>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8"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2023-01-22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0.003 0.001 0.002 0.002 0.002 0.001 0.002 0.002 0.002</w:t>
      </w:r>
      <w:r>
        <w:br/>
      </w:r>
      <w:r>
        <w:rPr>
          <w:rStyle w:val="CommentTok"/>
        </w:rPr>
        <w:t xml:space="preserve">#&gt;             900        0.068 0.002 0.002 0.001 0.002 0.002 0.001 0.002 0.001</w:t>
      </w:r>
      <w:r>
        <w:br/>
      </w:r>
      <w:r>
        <w:rPr>
          <w:rStyle w:val="CommentTok"/>
        </w:rPr>
        <w:t xml:space="preserve">#&gt;            1800        0.002 0.002 0.002 0.003 0.002 0.002 0.003 0.001 0.002</w:t>
      </w:r>
      <w:r>
        <w:br/>
      </w:r>
      <w:r>
        <w:rPr>
          <w:rStyle w:val="CommentTok"/>
        </w:rPr>
        <w:t xml:space="preserve">#&gt;            2700        0.002 0.003 0.003 0.044 0.135 0.002 0.003 0.012 0.002</w:t>
      </w:r>
      <w:r>
        <w:br/>
      </w:r>
      <w:r>
        <w:rPr>
          <w:rStyle w:val="CommentTok"/>
        </w:rPr>
        <w:t xml:space="preserve">#&gt;            3600        0.002 0.002 0.003 0.002 0.002 0.002 0.003 0.003 0.003</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0.003 0.001 0.002 0.002 0.002 0.001 0.002 0.002</w:t>
      </w:r>
      <w:r>
        <w:br/>
      </w:r>
      <w:r>
        <w:rPr>
          <w:rStyle w:val="CommentTok"/>
        </w:rPr>
        <w:t xml:space="preserve">#&gt; 7  widedata  900 0.068 0.002 0.002 0.001 0.002 0.002 0.001 0.002</w:t>
      </w:r>
      <w:r>
        <w:br/>
      </w:r>
      <w:r>
        <w:rPr>
          <w:rStyle w:val="CommentTok"/>
        </w:rPr>
        <w:t xml:space="preserve">#&gt; 8  widedata 1800 0.002 0.002 0.002 0.003 0.002 0.002 0.003 0.001</w:t>
      </w:r>
      <w:r>
        <w:br/>
      </w:r>
      <w:r>
        <w:rPr>
          <w:rStyle w:val="CommentTok"/>
        </w:rPr>
        <w:t xml:space="preserve">#&gt; 9  widedata 2700 0.002 0.003 0.003 0.044 0.135 0.002 0.003 0.012</w:t>
      </w:r>
      <w:r>
        <w:br/>
      </w:r>
      <w:r>
        <w:rPr>
          <w:rStyle w:val="CommentTok"/>
        </w:rPr>
        <w:t xml:space="preserve">#&gt; 10 widedata 3600 0.002 0.002 0.003 0.002 0.002 0.002 0.003 0.003</w:t>
      </w:r>
      <w:r>
        <w:br/>
      </w:r>
      <w:r>
        <w:rPr>
          <w:rStyle w:val="CommentTok"/>
        </w:rPr>
        <w:t xml:space="preserve">#&gt; 11 widedata 4500 0.002 0.003 0.002 0.043 0.017 0.001 0.002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2023-01-22    0 0.003 0.001 0.002 0.002</w:t>
      </w:r>
      <w:r>
        <w:br/>
      </w:r>
      <w:r>
        <w:rPr>
          <w:rStyle w:val="CommentTok"/>
        </w:rPr>
        <w:t xml:space="preserve">#&gt; 7  widedata    Experiment_1 2023-01-22  900 0.068 0.002 0.002 0.001</w:t>
      </w:r>
      <w:r>
        <w:br/>
      </w:r>
      <w:r>
        <w:rPr>
          <w:rStyle w:val="CommentTok"/>
        </w:rPr>
        <w:t xml:space="preserve">#&gt; 8  widedata    Experiment_1 2023-01-22 1800 0.002 0.002 0.002 0.003</w:t>
      </w:r>
      <w:r>
        <w:br/>
      </w:r>
      <w:r>
        <w:rPr>
          <w:rStyle w:val="CommentTok"/>
        </w:rPr>
        <w:t xml:space="preserve">#&gt; 9  widedata    Experiment_1 2023-01-22 2700 0.002 0.003 0.003 0.044</w:t>
      </w:r>
      <w:r>
        <w:br/>
      </w:r>
      <w:r>
        <w:rPr>
          <w:rStyle w:val="CommentTok"/>
        </w:rPr>
        <w:t xml:space="preserve">#&gt; 10 widedata    Experiment_1 2023-01-22 3600 0.002 0.002 0.003 0.002</w:t>
      </w:r>
      <w:r>
        <w:br/>
      </w:r>
      <w:r>
        <w:rPr>
          <w:rStyle w:val="CommentTok"/>
        </w:rPr>
        <w:t xml:space="preserve">#&gt; 11 widedata    Experiment_1 2023-01-22 4500 0.002 0.003 0.002 0.043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X3cf05bd72942ee79f723a2d5faeffcf3e546eb3"/>
    <w:p>
      <w:pPr>
        <w:pStyle w:val="Heading3"/>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0"/>
    <w:bookmarkStart w:id="31"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1"/>
    <w:bookmarkEnd w:id="32"/>
    <w:bookmarkStart w:id="33" w:name="importing-tidy-shaped-data"/>
    <w:p>
      <w:pPr>
        <w:pStyle w:val="Heading2"/>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r>
        <w:rPr>
          <w:bCs/>
          <w:b/>
        </w:rPr>
        <w:t xml:space="preserve">[Including design elements]</w:t>
      </w:r>
      <w:r>
        <w:t xml:space="preserve"> </w:t>
      </w:r>
      <w:r>
        <w:t xml:space="preserve">section.</w:t>
      </w:r>
    </w:p>
    <w:bookmarkEnd w:id="33"/>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p>
    <w:p>
      <w:pPr>
        <w:numPr>
          <w:ilvl w:val="0"/>
          <w:numId w:val="1002"/>
        </w:numPr>
        <w:pStyle w:val="Compact"/>
      </w:pPr>
      <w:r>
        <w:rPr>
          <w:bCs/>
          <w:b/>
        </w:rPr>
        <w:t xml:space="preserve">Importing &amp; transforming data</w:t>
      </w:r>
    </w:p>
    <w:p>
      <w:pPr>
        <w:numPr>
          <w:ilvl w:val="0"/>
          <w:numId w:val="1002"/>
        </w:numPr>
        <w:pStyle w:val="Compact"/>
      </w:pPr>
      <w:r>
        <w:t xml:space="preserve">Incorporating design information</w:t>
      </w:r>
    </w:p>
    <w:p>
      <w:pPr>
        <w:numPr>
          <w:ilvl w:val="0"/>
          <w:numId w:val="1002"/>
        </w:numPr>
        <w:pStyle w:val="Compact"/>
      </w:pPr>
      <w:r>
        <w:t xml:space="preserve">Pre-processing and plotting your data</w:t>
      </w:r>
    </w:p>
    <w:p>
      <w:pPr>
        <w:numPr>
          <w:ilvl w:val="0"/>
          <w:numId w:val="1002"/>
        </w:numPr>
        <w:pStyle w:val="Compact"/>
      </w:pPr>
      <w:r>
        <w:t xml:space="preserve">Processing your data</w:t>
      </w:r>
    </w:p>
    <w:p>
      <w:pPr>
        <w:numPr>
          <w:ilvl w:val="0"/>
          <w:numId w:val="1002"/>
        </w:numPr>
        <w:pStyle w:val="Compact"/>
      </w:pPr>
      <w:r>
        <w:t xml:space="preserve">Analyzing your data</w:t>
      </w:r>
    </w:p>
    <w:p>
      <w:pPr>
        <w:numPr>
          <w:ilvl w:val="0"/>
          <w:numId w:val="1002"/>
        </w:numPr>
        <w:pStyle w:val="Compact"/>
      </w:pPr>
      <w:r>
        <w:t xml:space="preserve">Statistics, merging other data, and other resources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&amp; transforming data</dc:title>
  <dc:creator>Mike Blazanin</dc:creator>
  <cp:keywords/>
  <dcterms:created xsi:type="dcterms:W3CDTF">2023-01-23T03:10:35Z</dcterms:created>
  <dcterms:modified xsi:type="dcterms:W3CDTF">2023-01-23T03:10:35Z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y fmtid="{D5CDD505-2E9C-101B-9397-08002B2CF9AE}" pid="4" name="vignette">
    <vt:lpwstr>% % %</vt:lpwstr>
  </property>
</Properties>
</file>