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80" w:before="0"/>
        <w:jc w:val="center"/>
      </w:pPr>
      <w:r>
        <w:rPr>
          <w:rFonts w:ascii="Arial" w:cs="Arial" w:eastAsia="Arial" w:hAnsi="Arial"/>
          <w:b/>
          <w:bCs/>
          <w:color w:val="0B6E6E"/>
          <w:sz w:val="56"/>
          <w:szCs w:val="56"/>
        </w:rPr>
        <w:t xml:space="preserve">STREAMWAVE</w:t>
      </w:r>
    </w:p>
    <w:p>
      <w:pPr>
        <w:spacing w:after="60" w:before="0"/>
        <w:jc w:val="center"/>
      </w:pPr>
      <w:r>
        <w:rPr>
          <w:rFonts w:ascii="Arial" w:cs="Arial" w:eastAsia="Arial" w:hAnsi="Arial"/>
          <w:b/>
          <w:bCs/>
          <w:color w:val="1B3A6B"/>
          <w:sz w:val="36"/>
          <w:szCs w:val="36"/>
        </w:rPr>
        <w:t xml:space="preserve">EPA Preparation Programme</w:t>
      </w:r>
    </w:p>
    <w:p>
      <w:pPr>
        <w:spacing w:after="40" w:before="0"/>
        <w:jc w:val="center"/>
      </w:pPr>
      <w:r>
        <w:rPr>
          <w:rFonts w:ascii="Arial" w:cs="Arial" w:eastAsia="Arial" w:hAnsi="Arial"/>
          <w:color w:val="444444"/>
          <w:sz w:val="22"/>
          <w:szCs w:val="22"/>
        </w:rPr>
        <w:t xml:space="preserve">Level 3 Data Technician  |  ST0795  |  City &amp; Guilds 9665-12</w:t>
      </w:r>
    </w:p>
    <w:p>
      <w:pPr>
        <w:spacing w:after="0" w:before="60"/>
      </w:pPr>
    </w:p>
    <w:p>
      <w:pPr>
        <w:pBdr>
          <w:bottom w:val="single" w:color="0B6E6E" w:sz="8" w:space="1"/>
        </w:pBdr>
        <w:spacing w:after="0" w:before="0"/>
      </w:pPr>
    </w:p>
    <w:p>
      <w:pPr>
        <w:spacing w:after="0" w:before="60"/>
      </w:pPr>
    </w:p>
    <w:p>
      <w:pPr>
        <w:spacing w:after="60" w:before="60"/>
        <w:jc w:val="center"/>
      </w:pPr>
      <w:r>
        <w:rPr>
          <w:rFonts w:ascii="Arial" w:cs="Arial" w:eastAsia="Arial" w:hAnsi="Arial"/>
          <w:b/>
          <w:bCs/>
          <w:i/>
          <w:iCs/>
          <w:color w:val="C47A1E"/>
          <w:sz w:val="26"/>
          <w:szCs w:val="26"/>
        </w:rPr>
        <w:t xml:space="preserve">16 days. 1 hour a day. By the end you won't be revising — you'll be showing off.</w:t>
      </w:r>
    </w:p>
    <w:p>
      <w:pPr>
        <w:pBdr>
          <w:bottom w:val="single" w:color="0B6E6E" w:sz="8" w:space="1"/>
        </w:pBdr>
        <w:spacing w:after="0" w:before="0"/>
      </w:pPr>
    </w:p>
    <w:p>
      <w:pPr>
        <w:spacing w:after="0" w:before="200"/>
      </w:pPr>
    </w:p>
    <w:p>
      <w:r>
        <w:br w:type="page"/>
      </w:r>
    </w:p>
    <w:p>
      <w:pPr>
        <w:spacing w:after="120" w:before="280"/>
      </w:pPr>
      <w:r>
        <w:rPr>
          <w:rFonts w:ascii="Arial" w:cs="Arial" w:eastAsia="Arial" w:hAnsi="Arial"/>
          <w:b/>
          <w:bCs/>
          <w:color w:val="1B3A6B"/>
          <w:sz w:val="36"/>
          <w:szCs w:val="36"/>
        </w:rPr>
        <w:t xml:space="preserve">The Gold Rule</w:t>
      </w:r>
    </w:p>
    <w:p>
      <w:pPr>
        <w:pBdr>
          <w:bottom w:val="single" w:color="C47A1E" w:sz="8" w:space="1"/>
        </w:pBdr>
        <w:spacing w:after="0" w:before="0"/>
      </w:pPr>
    </w:p>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47A1E" w:sz="6"/>
              <w:left w:val="single" w:color="C47A1E" w:sz="6"/>
              <w:bottom w:val="single" w:color="C47A1E" w:sz="6"/>
              <w:right w:val="single" w:color="C47A1E" w:sz="6"/>
            </w:tcBorders>
            <w:shd w:fill="FFF8EC" w:val="clear"/>
            <w:tcMar>
              <w:top w:type="dxa" w:w="120"/>
              <w:left w:type="dxa" w:w="200"/>
              <w:bottom w:type="dxa" w:w="120"/>
              <w:right w:type="dxa" w:w="200"/>
            </w:tcMar>
          </w:tcPr>
          <w:p>
            <w:pPr>
              <w:spacing w:after="60" w:before="60"/>
            </w:pPr>
            <w:r>
              <w:rPr>
                <w:rFonts w:ascii="Arial" w:cs="Arial" w:eastAsia="Arial" w:hAnsi="Arial"/>
                <w:b/>
                <w:bCs/>
                <w:color w:val="C47A1E"/>
                <w:sz w:val="22"/>
                <w:szCs w:val="22"/>
              </w:rPr>
              <w:t xml:space="preserve">Minimise anxiety. Maximise the ability to show off.</w:t>
            </w:r>
          </w:p>
          <w:p>
            <w:pPr>
              <w:spacing w:after="40" w:before="40"/>
            </w:pPr>
            <w:r>
              <w:rPr>
                <w:rFonts w:ascii="Arial" w:cs="Arial" w:eastAsia="Arial" w:hAnsi="Arial"/>
                <w:color w:val="444444"/>
                <w:sz w:val="22"/>
                <w:szCs w:val="22"/>
              </w:rPr>
              <w:t xml:space="preserve">This is not a revision programme. You already know how to do this work.</w:t>
            </w:r>
          </w:p>
          <w:p>
            <w:pPr>
              <w:spacing w:after="40" w:before="40"/>
            </w:pPr>
            <w:r>
              <w:rPr>
                <w:rFonts w:ascii="Arial" w:cs="Arial" w:eastAsia="Arial" w:hAnsi="Arial"/>
                <w:color w:val="444444"/>
                <w:sz w:val="22"/>
                <w:szCs w:val="22"/>
              </w:rPr>
              <w:t xml:space="preserve">This programme is about building strategies that are easy to memorise and easy to repeat,</w:t>
            </w:r>
          </w:p>
          <w:p>
            <w:pPr>
              <w:spacing w:after="40" w:before="40"/>
            </w:pPr>
            <w:r>
              <w:rPr>
                <w:rFonts w:ascii="Arial" w:cs="Arial" w:eastAsia="Arial" w:hAnsi="Arial"/>
                <w:color w:val="444444"/>
                <w:sz w:val="22"/>
                <w:szCs w:val="22"/>
              </w:rPr>
              <w:t xml:space="preserve">so that on the day, you are not thinking about what to do next — you are demonstrating</w:t>
            </w:r>
          </w:p>
          <w:p>
            <w:pPr>
              <w:spacing w:after="40" w:before="40"/>
            </w:pPr>
            <w:r>
              <w:rPr>
                <w:rFonts w:ascii="Arial" w:cs="Arial" w:eastAsia="Arial" w:hAnsi="Arial"/>
                <w:color w:val="444444"/>
                <w:sz w:val="22"/>
                <w:szCs w:val="22"/>
              </w:rPr>
              <w:t xml:space="preserve">what you already know.</w:t>
            </w:r>
          </w:p>
          <w:p>
            <w:pPr>
              <w:spacing w:after="40" w:before="40"/>
            </w:pPr>
            <w:r>
              <w:rPr>
                <w:rFonts w:ascii="Arial" w:cs="Arial" w:eastAsia="Arial" w:hAnsi="Arial"/>
                <w:color w:val="444444"/>
                <w:sz w:val="22"/>
                <w:szCs w:val="22"/>
              </w:rPr>
              <w:t xml:space="preserve"/>
            </w:r>
          </w:p>
          <w:p>
            <w:pPr>
              <w:spacing w:after="40" w:before="40"/>
            </w:pPr>
            <w:r>
              <w:rPr>
                <w:rFonts w:ascii="Arial" w:cs="Arial" w:eastAsia="Arial" w:hAnsi="Arial"/>
                <w:color w:val="444444"/>
                <w:sz w:val="22"/>
                <w:szCs w:val="22"/>
              </w:rPr>
              <w:t xml:space="preserve">Every day follows the same pattern. Every technique has a name you will remember.</w:t>
            </w:r>
          </w:p>
          <w:p>
            <w:pPr>
              <w:spacing w:after="40" w:before="40"/>
            </w:pPr>
            <w:r>
              <w:rPr>
                <w:rFonts w:ascii="Arial" w:cs="Arial" w:eastAsia="Arial" w:hAnsi="Arial"/>
                <w:color w:val="444444"/>
                <w:sz w:val="22"/>
                <w:szCs w:val="22"/>
              </w:rPr>
              <w:t xml:space="preserve">Every session ends with you saying something out loud — because that is where</w:t>
            </w:r>
          </w:p>
          <w:p>
            <w:pPr>
              <w:spacing w:after="40" w:before="40"/>
            </w:pPr>
            <w:r>
              <w:rPr>
                <w:rFonts w:ascii="Arial" w:cs="Arial" w:eastAsia="Arial" w:hAnsi="Arial"/>
                <w:color w:val="444444"/>
                <w:sz w:val="22"/>
                <w:szCs w:val="22"/>
              </w:rPr>
              <w:t xml:space="preserve">the distinction grade lives.</w:t>
            </w:r>
          </w:p>
        </w:tc>
      </w:tr>
    </w:tbl>
    <w:p>
      <w:pPr>
        <w:spacing w:after="0" w:before="160"/>
      </w:pPr>
    </w:p>
    <w:p>
      <w:pPr>
        <w:spacing w:after="80" w:before="220"/>
      </w:pPr>
      <w:r>
        <w:rPr>
          <w:rFonts w:ascii="Arial" w:cs="Arial" w:eastAsia="Arial" w:hAnsi="Arial"/>
          <w:b/>
          <w:bCs/>
          <w:color w:val="1B3A6B"/>
          <w:sz w:val="26"/>
          <w:szCs w:val="26"/>
        </w:rPr>
        <w:t xml:space="preserve">What you are building toward</w:t>
      </w:r>
    </w:p>
    <w:p>
      <w:pPr>
        <w:spacing w:after="80" w:before="60"/>
      </w:pPr>
      <w:r>
        <w:rPr>
          <w:rFonts w:ascii="Arial" w:cs="Arial" w:eastAsia="Arial" w:hAnsi="Arial"/>
          <w:b w:val="false"/>
          <w:bCs w:val="false"/>
          <w:i w:val="false"/>
          <w:iCs w:val="false"/>
          <w:color w:val="444444"/>
          <w:sz w:val="22"/>
          <w:szCs w:val="22"/>
        </w:rPr>
        <w:t xml:space="preserve">By the end of Day 16, you will be able to do three things without hesitation:</w:t>
      </w:r>
    </w:p>
    <w:p>
      <w:pPr>
        <w:spacing w:after="0" w:before="60"/>
      </w:pPr>
    </w:p>
    <w:p>
      <w:pPr>
        <w:spacing w:after="60" w:before="60"/>
        <w:ind w:left="440"/>
      </w:pPr>
      <w:r>
        <w:rPr>
          <w:rFonts w:ascii="Arial" w:cs="Arial" w:eastAsia="Arial" w:hAnsi="Arial"/>
          <w:color w:val="444444"/>
          <w:sz w:val="22"/>
          <w:szCs w:val="22"/>
        </w:rPr>
        <w:t xml:space="preserve">1.  Execute Demo 1 — Data Gathering — under timed conditions, with commentary.</w:t>
      </w:r>
    </w:p>
    <w:p>
      <w:pPr>
        <w:spacing w:after="60" w:before="60"/>
        <w:ind w:left="440"/>
      </w:pPr>
      <w:r>
        <w:rPr>
          <w:rFonts w:ascii="Arial" w:cs="Arial" w:eastAsia="Arial" w:hAnsi="Arial"/>
          <w:color w:val="444444"/>
          <w:sz w:val="22"/>
          <w:szCs w:val="22"/>
        </w:rPr>
        <w:t xml:space="preserve">2.  Execute Demo 2 — Data Analysis and Validation — under timed conditions, with commentary.</w:t>
      </w:r>
    </w:p>
    <w:p>
      <w:pPr>
        <w:spacing w:after="60" w:before="60"/>
        <w:ind w:left="440"/>
      </w:pPr>
      <w:r>
        <w:rPr>
          <w:rFonts w:ascii="Arial" w:cs="Arial" w:eastAsia="Arial" w:hAnsi="Arial"/>
          <w:color w:val="444444"/>
          <w:sz w:val="22"/>
          <w:szCs w:val="22"/>
        </w:rPr>
        <w:t xml:space="preserve">3.  Hold a 60-minute Professional Discussion covering all four knowledge areas, with your portfolio as your anchor.</w:t>
      </w:r>
    </w:p>
    <w:p>
      <w:pPr>
        <w:spacing w:after="0" w:before="100"/>
      </w:pPr>
    </w:p>
    <w:p>
      <w:pPr>
        <w:spacing w:after="80" w:before="60"/>
      </w:pPr>
      <w:r>
        <w:rPr>
          <w:rFonts w:ascii="Arial" w:cs="Arial" w:eastAsia="Arial" w:hAnsi="Arial"/>
          <w:b w:val="false"/>
          <w:bCs w:val="false"/>
          <w:i w:val="false"/>
          <w:iCs w:val="false"/>
          <w:color w:val="1B3A6B"/>
          <w:sz w:val="22"/>
          <w:szCs w:val="22"/>
        </w:rPr>
        <w:t xml:space="preserve">The difference between a Pass and a Distinction is not technical skill. It is the ability to explain why you did what you did, evaluate what would happen if you had not, and demonstrate that you understand the professional purpose behind every action you take.</w:t>
      </w:r>
    </w:p>
    <w:p>
      <w:pPr>
        <w:spacing w:after="0" w:before="160"/>
      </w:pPr>
    </w:p>
    <w:p>
      <w:pPr>
        <w:spacing w:after="80" w:before="220"/>
      </w:pPr>
      <w:r>
        <w:rPr>
          <w:rFonts w:ascii="Arial" w:cs="Arial" w:eastAsia="Arial" w:hAnsi="Arial"/>
          <w:b/>
          <w:bCs/>
          <w:color w:val="1B3A6B"/>
          <w:sz w:val="26"/>
          <w:szCs w:val="26"/>
        </w:rPr>
        <w:t xml:space="preserve">What 'showing off' looks like</w:t>
      </w:r>
    </w:p>
    <w:p>
      <w:pPr>
        <w:spacing w:after="80" w:before="60"/>
      </w:pPr>
      <w:r>
        <w:rPr>
          <w:rFonts w:ascii="Arial" w:cs="Arial" w:eastAsia="Arial" w:hAnsi="Arial"/>
          <w:b w:val="false"/>
          <w:bCs w:val="false"/>
          <w:i w:val="false"/>
          <w:iCs w:val="false"/>
          <w:color w:val="444444"/>
          <w:sz w:val="22"/>
          <w:szCs w:val="22"/>
        </w:rPr>
        <w:t xml:space="preserve">A learner who passes completes the task.</w:t>
      </w:r>
    </w:p>
    <w:p>
      <w:pPr>
        <w:spacing w:after="80" w:before="60"/>
      </w:pPr>
      <w:r>
        <w:rPr>
          <w:rFonts w:ascii="Arial" w:cs="Arial" w:eastAsia="Arial" w:hAnsi="Arial"/>
          <w:b w:val="false"/>
          <w:bCs w:val="false"/>
          <w:i w:val="false"/>
          <w:iCs w:val="false"/>
          <w:color w:val="444444"/>
          <w:sz w:val="22"/>
          <w:szCs w:val="22"/>
        </w:rPr>
        <w:t xml:space="preserve">A learner who gets a distinction completes the task and narrates it — not robotically, but confidently. They say things like:</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A6B3A" w:sz="6"/>
              <w:left w:val="single" w:color="1A6B3A" w:sz="6"/>
              <w:bottom w:val="single" w:color="1A6B3A" w:sz="6"/>
              <w:right w:val="single" w:color="1A6B3A" w:sz="6"/>
            </w:tcBorders>
            <w:shd w:fill="EEF8F2" w:val="clear"/>
            <w:tcMar>
              <w:top w:type="dxa" w:w="120"/>
              <w:left w:type="dxa" w:w="200"/>
              <w:bottom w:type="dxa" w:w="120"/>
              <w:right w:type="dxa" w:w="200"/>
            </w:tcMar>
          </w:tcPr>
          <w:p>
            <w:pPr>
              <w:spacing w:after="60" w:before="60"/>
            </w:pPr>
            <w:r>
              <w:rPr>
                <w:rFonts w:ascii="Arial" w:cs="Arial" w:eastAsia="Arial" w:hAnsi="Arial"/>
                <w:b/>
                <w:bCs/>
                <w:color w:val="1A6B3A"/>
                <w:sz w:val="22"/>
                <w:szCs w:val="22"/>
              </w:rPr>
              <w:t xml:space="preserve">Instead of silence...</w:t>
            </w:r>
          </w:p>
          <w:p>
            <w:pPr>
              <w:spacing w:after="40" w:before="40"/>
            </w:pPr>
            <w:r>
              <w:rPr>
                <w:rFonts w:ascii="Arial" w:cs="Arial" w:eastAsia="Arial" w:hAnsi="Arial"/>
                <w:color w:val="444444"/>
                <w:sz w:val="22"/>
                <w:szCs w:val="22"/>
              </w:rPr>
              <w:t xml:space="preserve">"I'm loading all four files as Connection Only first, before any transforms, because that</w:t>
            </w:r>
          </w:p>
          <w:p>
            <w:pPr>
              <w:spacing w:after="40" w:before="40"/>
            </w:pPr>
            <w:r>
              <w:rPr>
                <w:rFonts w:ascii="Arial" w:cs="Arial" w:eastAsia="Arial" w:hAnsi="Arial"/>
                <w:color w:val="444444"/>
                <w:sz w:val="22"/>
                <w:szCs w:val="22"/>
              </w:rPr>
              <w:t xml:space="preserve">way I can manage all my steps in a single Power Query session — it reduces errors and</w:t>
            </w:r>
          </w:p>
          <w:p>
            <w:pPr>
              <w:spacing w:after="40" w:before="40"/>
            </w:pPr>
            <w:r>
              <w:rPr>
                <w:rFonts w:ascii="Arial" w:cs="Arial" w:eastAsia="Arial" w:hAnsi="Arial"/>
                <w:color w:val="444444"/>
                <w:sz w:val="22"/>
                <w:szCs w:val="22"/>
              </w:rPr>
              <w:t xml:space="preserve">makes the whole process auditable."</w:t>
            </w:r>
          </w:p>
          <w:p>
            <w:pPr>
              <w:spacing w:after="40" w:before="40"/>
            </w:pPr>
            <w:r>
              <w:rPr>
                <w:rFonts w:ascii="Arial" w:cs="Arial" w:eastAsia="Arial" w:hAnsi="Arial"/>
                <w:color w:val="444444"/>
                <w:sz w:val="22"/>
                <w:szCs w:val="22"/>
              </w:rPr>
              <w:t xml:space="preserve"/>
            </w:r>
          </w:p>
          <w:p>
            <w:pPr>
              <w:spacing w:after="40" w:before="40"/>
            </w:pPr>
            <w:r>
              <w:rPr>
                <w:rFonts w:ascii="Arial" w:cs="Arial" w:eastAsia="Arial" w:hAnsi="Arial"/>
                <w:color w:val="444444"/>
                <w:sz w:val="22"/>
                <w:szCs w:val="22"/>
              </w:rPr>
              <w:t xml:space="preserve">"I used a Left Outer Join here rather than an Inner Join because I want to keep every</w:t>
            </w:r>
          </w:p>
          <w:p>
            <w:pPr>
              <w:spacing w:after="40" w:before="40"/>
            </w:pPr>
            <w:r>
              <w:rPr>
                <w:rFonts w:ascii="Arial" w:cs="Arial" w:eastAsia="Arial" w:hAnsi="Arial"/>
                <w:color w:val="444444"/>
                <w:sz w:val="22"/>
                <w:szCs w:val="22"/>
              </w:rPr>
              <w:t xml:space="preserve">subscriber in the output even if they don't appear in the cancellations table — an Inner</w:t>
            </w:r>
          </w:p>
          <w:p>
            <w:pPr>
              <w:spacing w:after="40" w:before="40"/>
            </w:pPr>
            <w:r>
              <w:rPr>
                <w:rFonts w:ascii="Arial" w:cs="Arial" w:eastAsia="Arial" w:hAnsi="Arial"/>
                <w:color w:val="444444"/>
                <w:sz w:val="22"/>
                <w:szCs w:val="22"/>
              </w:rPr>
              <w:t xml:space="preserve">Join would silently drop active subscribers and I wouldn't catch it."</w:t>
            </w:r>
          </w:p>
          <w:p>
            <w:pPr>
              <w:spacing w:after="40" w:before="40"/>
            </w:pPr>
            <w:r>
              <w:rPr>
                <w:rFonts w:ascii="Arial" w:cs="Arial" w:eastAsia="Arial" w:hAnsi="Arial"/>
                <w:color w:val="444444"/>
                <w:sz w:val="22"/>
                <w:szCs w:val="22"/>
              </w:rPr>
              <w:t xml:space="preserve"/>
            </w:r>
          </w:p>
          <w:p>
            <w:pPr>
              <w:spacing w:after="40" w:before="40"/>
            </w:pPr>
            <w:r>
              <w:rPr>
                <w:rFonts w:ascii="Arial" w:cs="Arial" w:eastAsia="Arial" w:hAnsi="Arial"/>
                <w:color w:val="444444"/>
                <w:sz w:val="22"/>
                <w:szCs w:val="22"/>
              </w:rPr>
              <w:t xml:space="preserve">"Standard deviation matters here because the average viewing sessions looks healthy,</w:t>
            </w:r>
          </w:p>
          <w:p>
            <w:pPr>
              <w:spacing w:after="40" w:before="40"/>
            </w:pPr>
            <w:r>
              <w:rPr>
                <w:rFonts w:ascii="Arial" w:cs="Arial" w:eastAsia="Arial" w:hAnsi="Arial"/>
                <w:color w:val="444444"/>
                <w:sz w:val="22"/>
                <w:szCs w:val="22"/>
              </w:rPr>
              <w:t xml:space="preserve">but the spread tells a different story — there's a cluster of very low-engagement</w:t>
            </w:r>
          </w:p>
          <w:p>
            <w:pPr>
              <w:spacing w:after="40" w:before="40"/>
            </w:pPr>
            <w:r>
              <w:rPr>
                <w:rFonts w:ascii="Arial" w:cs="Arial" w:eastAsia="Arial" w:hAnsi="Arial"/>
                <w:color w:val="444444"/>
                <w:sz w:val="22"/>
                <w:szCs w:val="22"/>
              </w:rPr>
              <w:t xml:space="preserve">subscribers hiding inside that average."</w:t>
            </w:r>
          </w:p>
        </w:tc>
      </w:tr>
    </w:tbl>
    <w:p>
      <w:pPr>
        <w:spacing w:after="0" w:before="100"/>
      </w:pPr>
    </w:p>
    <w:p>
      <w:pPr>
        <w:spacing w:after="80" w:before="60"/>
      </w:pPr>
      <w:r>
        <w:rPr>
          <w:rFonts w:ascii="Arial" w:cs="Arial" w:eastAsia="Arial" w:hAnsi="Arial"/>
          <w:b w:val="false"/>
          <w:bCs w:val="false"/>
          <w:i/>
          <w:iCs/>
          <w:color w:val="444444"/>
          <w:sz w:val="22"/>
          <w:szCs w:val="22"/>
        </w:rPr>
        <w:t xml:space="preserve">You will practise sentences like these every single day. By Day 7 they will be natural.</w:t>
      </w:r>
    </w:p>
    <w:p>
      <w:r>
        <w:br w:type="page"/>
      </w:r>
    </w:p>
    <w:p>
      <w:pPr>
        <w:spacing w:after="120" w:before="280"/>
      </w:pPr>
      <w:r>
        <w:rPr>
          <w:rFonts w:ascii="Arial" w:cs="Arial" w:eastAsia="Arial" w:hAnsi="Arial"/>
          <w:b/>
          <w:bCs/>
          <w:color w:val="1B3A6B"/>
          <w:sz w:val="36"/>
          <w:szCs w:val="36"/>
        </w:rPr>
        <w:t xml:space="preserve">The StreamWave Scenario</w:t>
      </w:r>
    </w:p>
    <w:p>
      <w:pPr>
        <w:pBdr>
          <w:bottom w:val="single" w:color="0B6E6E" w:sz="8" w:space="1"/>
        </w:pBdr>
        <w:spacing w:after="0" w:before="0"/>
      </w:pPr>
    </w:p>
    <w:p>
      <w:pPr>
        <w:spacing w:after="0" w:before="120"/>
      </w:pPr>
    </w:p>
    <w:p>
      <w:pPr>
        <w:spacing w:after="80" w:before="60"/>
      </w:pPr>
      <w:r>
        <w:rPr>
          <w:rFonts w:ascii="Arial" w:cs="Arial" w:eastAsia="Arial" w:hAnsi="Arial"/>
          <w:b w:val="false"/>
          <w:bCs w:val="false"/>
          <w:i w:val="false"/>
          <w:iCs w:val="false"/>
          <w:color w:val="444444"/>
          <w:sz w:val="22"/>
          <w:szCs w:val="22"/>
        </w:rPr>
        <w:t xml:space="preserve">StreamWave is a UK-based subscription streaming service — think of it as a smaller, regional competitor to the big platforms. They have around 50,000 active subscribers and a growing problem: churn. Subscribers are cancelling at a higher rate than they should be, and the senior team thinks the problem is price.</w:t>
      </w:r>
    </w:p>
    <w:p>
      <w:pPr>
        <w:spacing w:after="0" w:before="80"/>
      </w:pPr>
    </w:p>
    <w:p>
      <w:pPr>
        <w:spacing w:after="80" w:before="60"/>
      </w:pPr>
      <w:r>
        <w:rPr>
          <w:rFonts w:ascii="Arial" w:cs="Arial" w:eastAsia="Arial" w:hAnsi="Arial"/>
          <w:b w:val="false"/>
          <w:bCs w:val="false"/>
          <w:i w:val="false"/>
          <w:iCs w:val="false"/>
          <w:color w:val="444444"/>
          <w:sz w:val="22"/>
          <w:szCs w:val="22"/>
        </w:rPr>
        <w:t xml:space="preserve">Your job, across both scenario demonstrations, is to gather, blend, clean, and analyse the data that tells the real story.</w:t>
      </w:r>
    </w:p>
    <w:p>
      <w:pPr>
        <w:spacing w:after="0" w:before="80"/>
      </w:pPr>
    </w:p>
    <w:p>
      <w:pPr>
        <w:spacing w:after="80" w:before="60"/>
      </w:pPr>
      <w:r>
        <w:rPr>
          <w:rFonts w:ascii="Arial" w:cs="Arial" w:eastAsia="Arial" w:hAnsi="Arial"/>
          <w:b w:val="false"/>
          <w:bCs w:val="false"/>
          <w:i w:val="false"/>
          <w:iCs w:val="false"/>
          <w:color w:val="444444"/>
          <w:sz w:val="22"/>
          <w:szCs w:val="22"/>
        </w:rPr>
        <w:t xml:space="preserve">Spoiler: the real story is not about price.</w:t>
      </w:r>
    </w:p>
    <w:p>
      <w:pPr>
        <w:spacing w:after="0" w:before="120"/>
      </w:pPr>
    </w:p>
    <w:p>
      <w:pPr>
        <w:spacing w:after="80" w:before="220"/>
      </w:pPr>
      <w:r>
        <w:rPr>
          <w:rFonts w:ascii="Arial" w:cs="Arial" w:eastAsia="Arial" w:hAnsi="Arial"/>
          <w:b/>
          <w:bCs/>
          <w:color w:val="1B3A6B"/>
          <w:sz w:val="26"/>
          <w:szCs w:val="26"/>
        </w:rPr>
        <w:t xml:space="preserve">Your four data files</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038"/>
      </w:tblGrid>
      <w:tr>
        <w:tc>
          <w:tcPr>
            <w:tcW w:type="dxa" w:w="2800"/>
            <w:tcBorders>
              <w:top w:val="single" w:color="1B3A6B" w:sz="2"/>
              <w:left w:val="single" w:color="E8EDF2" w:sz="1"/>
              <w:bottom w:val="single" w:color="1B3A6B" w:sz="2"/>
              <w:right w:val="single" w:color="E8EDF2"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File</w:t>
            </w:r>
          </w:p>
        </w:tc>
        <w:tc>
          <w:tcPr>
            <w:tcW w:type="dxa" w:w="2800"/>
            <w:tcBorders>
              <w:top w:val="single" w:color="1B3A6B" w:sz="2"/>
              <w:left w:val="single" w:color="E8EDF2" w:sz="1"/>
              <w:bottom w:val="single" w:color="1B3A6B" w:sz="2"/>
              <w:right w:val="single" w:color="E8EDF2"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What it contains</w:t>
            </w:r>
          </w:p>
        </w:tc>
        <w:tc>
          <w:tcPr>
            <w:tcW w:type="dxa" w:w="4038"/>
            <w:tcBorders>
              <w:top w:val="single" w:color="1B3A6B" w:sz="2"/>
              <w:left w:val="single" w:color="E8EDF2" w:sz="1"/>
              <w:bottom w:val="single" w:color="1B3A6B" w:sz="2"/>
              <w:right w:val="single" w:color="E8EDF2"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Watch out for</w:t>
            </w:r>
          </w:p>
        </w:tc>
      </w:tr>
      <w:tr>
        <w:tc>
          <w:tcPr>
            <w:tcW w:type="dxa" w:w="2800"/>
            <w:tcBorders>
              <w:top w:val="single" w:color="E8EDF2" w:sz="1"/>
              <w:left w:val="single" w:color="E8EDF2" w:sz="1"/>
              <w:bottom w:val="single" w:color="E8EDF2" w:sz="1"/>
              <w:right w:val="single" w:color="E8EDF2" w:sz="1"/>
            </w:tcBorders>
            <w:shd w:fill="EEF4FB" w:val="clear"/>
            <w:tcMar>
              <w:top w:type="dxa" w:w="80"/>
              <w:left w:type="dxa" w:w="120"/>
              <w:bottom w:type="dxa" w:w="80"/>
              <w:right w:type="dxa" w:w="120"/>
            </w:tcMar>
          </w:tcPr>
          <w:p>
            <w:r>
              <w:rPr>
                <w:rFonts w:ascii="Arial" w:cs="Arial" w:eastAsia="Arial" w:hAnsi="Arial"/>
                <w:b/>
                <w:bCs/>
                <w:color w:val="444444"/>
                <w:sz w:val="20"/>
                <w:szCs w:val="20"/>
              </w:rPr>
              <w:t xml:space="preserve">sw_subscribers.csv</w:t>
            </w:r>
          </w:p>
        </w:tc>
        <w:tc>
          <w:tcPr>
            <w:tcW w:type="dxa" w:w="2800"/>
            <w:tcBorders>
              <w:top w:val="single" w:color="E8EDF2" w:sz="1"/>
              <w:left w:val="single" w:color="E8EDF2" w:sz="1"/>
              <w:bottom w:val="single" w:color="E8EDF2" w:sz="1"/>
              <w:right w:val="single" w:color="E8EDF2"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One row per subscriber — ID, name, region, plan type, join date, status</w:t>
            </w:r>
          </w:p>
        </w:tc>
        <w:tc>
          <w:tcPr>
            <w:tcW w:type="dxa" w:w="4038"/>
            <w:tcBorders>
              <w:top w:val="single" w:color="E8EDF2" w:sz="1"/>
              <w:left w:val="single" w:color="E8EDF2" w:sz="1"/>
              <w:bottom w:val="single" w:color="E8EDF2" w:sz="1"/>
              <w:right w:val="single" w:color="E8EDF2" w:sz="1"/>
            </w:tcBorders>
            <w:shd w:fill="FFFFFF" w:val="clear"/>
            <w:tcMar>
              <w:top w:type="dxa" w:w="80"/>
              <w:left w:type="dxa" w:w="120"/>
              <w:bottom w:type="dxa" w:w="80"/>
              <w:right w:type="dxa" w:w="120"/>
            </w:tcMar>
          </w:tcPr>
          <w:p>
            <w:r>
              <w:rPr>
                <w:rFonts w:ascii="Arial" w:cs="Arial" w:eastAsia="Arial" w:hAnsi="Arial"/>
                <w:b w:val="false"/>
                <w:bCs w:val="false"/>
                <w:color w:val="8B4000"/>
                <w:sz w:val="20"/>
                <w:szCs w:val="20"/>
              </w:rPr>
              <w:t xml:space="preserve">Data type trap on subscriber_id — it looks like a number but must be text</w:t>
            </w:r>
          </w:p>
        </w:tc>
      </w:tr>
      <w:tr>
        <w:tc>
          <w:tcPr>
            <w:tcW w:type="dxa" w:w="2800"/>
            <w:tcBorders>
              <w:top w:val="single" w:color="E8EDF2" w:sz="1"/>
              <w:left w:val="single" w:color="E8EDF2" w:sz="1"/>
              <w:bottom w:val="single" w:color="E8EDF2" w:sz="1"/>
              <w:right w:val="single" w:color="E8EDF2" w:sz="1"/>
            </w:tcBorders>
            <w:shd w:fill="EEF4FB" w:val="clear"/>
            <w:tcMar>
              <w:top w:type="dxa" w:w="80"/>
              <w:left w:type="dxa" w:w="120"/>
              <w:bottom w:type="dxa" w:w="80"/>
              <w:right w:type="dxa" w:w="120"/>
            </w:tcMar>
          </w:tcPr>
          <w:p>
            <w:r>
              <w:rPr>
                <w:rFonts w:ascii="Arial" w:cs="Arial" w:eastAsia="Arial" w:hAnsi="Arial"/>
                <w:b/>
                <w:bCs/>
                <w:color w:val="444444"/>
                <w:sz w:val="20"/>
                <w:szCs w:val="20"/>
              </w:rPr>
              <w:t xml:space="preserve">sw_content_library.csv</w:t>
            </w:r>
          </w:p>
        </w:tc>
        <w:tc>
          <w:tcPr>
            <w:tcW w:type="dxa" w:w="2800"/>
            <w:tcBorders>
              <w:top w:val="single" w:color="E8EDF2" w:sz="1"/>
              <w:left w:val="single" w:color="E8EDF2" w:sz="1"/>
              <w:bottom w:val="single" w:color="E8EDF2" w:sz="1"/>
              <w:right w:val="single" w:color="E8EDF2"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Every title on the platform — genre, release year, content type, rating</w:t>
            </w:r>
          </w:p>
        </w:tc>
        <w:tc>
          <w:tcPr>
            <w:tcW w:type="dxa" w:w="4038"/>
            <w:tcBorders>
              <w:top w:val="single" w:color="E8EDF2" w:sz="1"/>
              <w:left w:val="single" w:color="E8EDF2" w:sz="1"/>
              <w:bottom w:val="single" w:color="E8EDF2" w:sz="1"/>
              <w:right w:val="single" w:color="E8EDF2" w:sz="1"/>
            </w:tcBorders>
            <w:shd w:fill="FFFFFF" w:val="clear"/>
            <w:tcMar>
              <w:top w:type="dxa" w:w="80"/>
              <w:left w:type="dxa" w:w="120"/>
              <w:bottom w:type="dxa" w:w="80"/>
              <w:right w:type="dxa" w:w="120"/>
            </w:tcMar>
          </w:tcPr>
          <w:p>
            <w:r>
              <w:rPr>
                <w:rFonts w:ascii="Arial" w:cs="Arial" w:eastAsia="Arial" w:hAnsi="Arial"/>
                <w:b w:val="false"/>
                <w:bCs w:val="false"/>
                <w:color w:val="8B4000"/>
                <w:sz w:val="20"/>
                <w:szCs w:val="20"/>
              </w:rPr>
              <w:t xml:space="preserve">Inconsistent genre names — same genre spelled three different ways</w:t>
            </w:r>
          </w:p>
        </w:tc>
      </w:tr>
      <w:tr>
        <w:tc>
          <w:tcPr>
            <w:tcW w:type="dxa" w:w="2800"/>
            <w:tcBorders>
              <w:top w:val="single" w:color="E8EDF2" w:sz="1"/>
              <w:left w:val="single" w:color="E8EDF2" w:sz="1"/>
              <w:bottom w:val="single" w:color="E8EDF2" w:sz="1"/>
              <w:right w:val="single" w:color="E8EDF2" w:sz="1"/>
            </w:tcBorders>
            <w:shd w:fill="EEF4FB" w:val="clear"/>
            <w:tcMar>
              <w:top w:type="dxa" w:w="80"/>
              <w:left w:type="dxa" w:w="120"/>
              <w:bottom w:type="dxa" w:w="80"/>
              <w:right w:type="dxa" w:w="120"/>
            </w:tcMar>
          </w:tcPr>
          <w:p>
            <w:r>
              <w:rPr>
                <w:rFonts w:ascii="Arial" w:cs="Arial" w:eastAsia="Arial" w:hAnsi="Arial"/>
                <w:b/>
                <w:bCs/>
                <w:color w:val="444444"/>
                <w:sz w:val="20"/>
                <w:szCs w:val="20"/>
              </w:rPr>
              <w:t xml:space="preserve">sw_viewing_activity.xlsx</w:t>
            </w:r>
          </w:p>
        </w:tc>
        <w:tc>
          <w:tcPr>
            <w:tcW w:type="dxa" w:w="2800"/>
            <w:tcBorders>
              <w:top w:val="single" w:color="E8EDF2" w:sz="1"/>
              <w:left w:val="single" w:color="E8EDF2" w:sz="1"/>
              <w:bottom w:val="single" w:color="E8EDF2" w:sz="1"/>
              <w:right w:val="single" w:color="E8EDF2"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Viewing session records — subscriber_id, title_id, watch date, duration</w:t>
            </w:r>
          </w:p>
        </w:tc>
        <w:tc>
          <w:tcPr>
            <w:tcW w:type="dxa" w:w="4038"/>
            <w:tcBorders>
              <w:top w:val="single" w:color="E8EDF2" w:sz="1"/>
              <w:left w:val="single" w:color="E8EDF2" w:sz="1"/>
              <w:bottom w:val="single" w:color="E8EDF2" w:sz="1"/>
              <w:right w:val="single" w:color="E8EDF2" w:sz="1"/>
            </w:tcBorders>
            <w:shd w:fill="FFFFFF" w:val="clear"/>
            <w:tcMar>
              <w:top w:type="dxa" w:w="80"/>
              <w:left w:type="dxa" w:w="120"/>
              <w:bottom w:type="dxa" w:w="80"/>
              <w:right w:type="dxa" w:w="120"/>
            </w:tcMar>
          </w:tcPr>
          <w:p>
            <w:r>
              <w:rPr>
                <w:rFonts w:ascii="Arial" w:cs="Arial" w:eastAsia="Arial" w:hAnsi="Arial"/>
                <w:b w:val="false"/>
                <w:bCs w:val="false"/>
                <w:color w:val="8B4000"/>
                <w:sz w:val="20"/>
                <w:szCs w:val="20"/>
              </w:rPr>
              <w:t xml:space="preserve">Nulls in duration, date format mismatch between this and subscribers</w:t>
            </w:r>
          </w:p>
        </w:tc>
      </w:tr>
      <w:tr>
        <w:tc>
          <w:tcPr>
            <w:tcW w:type="dxa" w:w="2800"/>
            <w:tcBorders>
              <w:top w:val="single" w:color="E8EDF2" w:sz="1"/>
              <w:left w:val="single" w:color="E8EDF2" w:sz="1"/>
              <w:bottom w:val="single" w:color="E8EDF2" w:sz="1"/>
              <w:right w:val="single" w:color="E8EDF2" w:sz="1"/>
            </w:tcBorders>
            <w:shd w:fill="EEF4FB" w:val="clear"/>
            <w:tcMar>
              <w:top w:type="dxa" w:w="80"/>
              <w:left w:type="dxa" w:w="120"/>
              <w:bottom w:type="dxa" w:w="80"/>
              <w:right w:type="dxa" w:w="120"/>
            </w:tcMar>
          </w:tcPr>
          <w:p>
            <w:r>
              <w:rPr>
                <w:rFonts w:ascii="Arial" w:cs="Arial" w:eastAsia="Arial" w:hAnsi="Arial"/>
                <w:b/>
                <w:bCs/>
                <w:color w:val="444444"/>
                <w:sz w:val="20"/>
                <w:szCs w:val="20"/>
              </w:rPr>
              <w:t xml:space="preserve">sw_cancellations.xlsx</w:t>
            </w:r>
          </w:p>
        </w:tc>
        <w:tc>
          <w:tcPr>
            <w:tcW w:type="dxa" w:w="2800"/>
            <w:tcBorders>
              <w:top w:val="single" w:color="E8EDF2" w:sz="1"/>
              <w:left w:val="single" w:color="E8EDF2" w:sz="1"/>
              <w:bottom w:val="single" w:color="E8EDF2" w:sz="1"/>
              <w:right w:val="single" w:color="E8EDF2"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Cancelled subscriber records — subscriber_id, cancel date, stated reason</w:t>
            </w:r>
          </w:p>
        </w:tc>
        <w:tc>
          <w:tcPr>
            <w:tcW w:type="dxa" w:w="4038"/>
            <w:tcBorders>
              <w:top w:val="single" w:color="E8EDF2" w:sz="1"/>
              <w:left w:val="single" w:color="E8EDF2" w:sz="1"/>
              <w:bottom w:val="single" w:color="E8EDF2" w:sz="1"/>
              <w:right w:val="single" w:color="E8EDF2" w:sz="1"/>
            </w:tcBorders>
            <w:shd w:fill="FFFFFF" w:val="clear"/>
            <w:tcMar>
              <w:top w:type="dxa" w:w="80"/>
              <w:left w:type="dxa" w:w="120"/>
              <w:bottom w:type="dxa" w:w="80"/>
              <w:right w:type="dxa" w:w="120"/>
            </w:tcMar>
          </w:tcPr>
          <w:p>
            <w:r>
              <w:rPr>
                <w:rFonts w:ascii="Arial" w:cs="Arial" w:eastAsia="Arial" w:hAnsi="Arial"/>
                <w:b w:val="false"/>
                <w:bCs w:val="false"/>
                <w:color w:val="8B4000"/>
                <w:sz w:val="20"/>
                <w:szCs w:val="20"/>
              </w:rPr>
              <w:t xml:space="preserve">Duplicates present — some subscribers appear twice due to a system migration</w:t>
            </w:r>
          </w:p>
        </w:tc>
      </w:tr>
    </w:tbl>
    <w:p>
      <w:pPr>
        <w:spacing w:after="0" w:before="120"/>
      </w:pPr>
    </w:p>
    <w:p>
      <w:pPr>
        <w:spacing w:after="80" w:before="60"/>
      </w:pPr>
      <w:r>
        <w:rPr>
          <w:rFonts w:ascii="Arial" w:cs="Arial" w:eastAsia="Arial" w:hAnsi="Arial"/>
          <w:b/>
          <w:bCs/>
          <w:i w:val="false"/>
          <w:iCs w:val="false"/>
          <w:color w:val="1B3A6B"/>
          <w:sz w:val="22"/>
          <w:szCs w:val="22"/>
        </w:rPr>
        <w:t xml:space="preserve">subscriber_id is the key that links all four files. Check it first, every time. Everything else depends on it.</w:t>
      </w:r>
    </w:p>
    <w:p>
      <w:pPr>
        <w:spacing w:after="0" w:before="160"/>
      </w:pPr>
    </w:p>
    <w:p>
      <w:pPr>
        <w:spacing w:after="80" w:before="220"/>
      </w:pPr>
      <w:r>
        <w:rPr>
          <w:rFonts w:ascii="Arial" w:cs="Arial" w:eastAsia="Arial" w:hAnsi="Arial"/>
          <w:b/>
          <w:bCs/>
          <w:color w:val="1B3A6B"/>
          <w:sz w:val="26"/>
          <w:szCs w:val="26"/>
        </w:rPr>
        <w:t xml:space="preserve">The insight you're building toward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A6B3A" w:sz="6"/>
              <w:left w:val="single" w:color="1A6B3A" w:sz="6"/>
              <w:bottom w:val="single" w:color="1A6B3A" w:sz="6"/>
              <w:right w:val="single" w:color="1A6B3A" w:sz="6"/>
            </w:tcBorders>
            <w:shd w:fill="EEF8F2" w:val="clear"/>
            <w:tcMar>
              <w:top w:type="dxa" w:w="120"/>
              <w:left w:type="dxa" w:w="200"/>
              <w:bottom w:type="dxa" w:w="120"/>
              <w:right w:type="dxa" w:w="200"/>
            </w:tcMar>
          </w:tcPr>
          <w:p>
            <w:pPr>
              <w:spacing w:after="60" w:before="60"/>
            </w:pPr>
            <w:r>
              <w:rPr>
                <w:rFonts w:ascii="Arial" w:cs="Arial" w:eastAsia="Arial" w:hAnsi="Arial"/>
                <w:b/>
                <w:bCs/>
                <w:color w:val="1A6B3A"/>
                <w:sz w:val="22"/>
                <w:szCs w:val="22"/>
              </w:rPr>
              <w:t xml:space="preserve">What the data will show you</w:t>
            </w:r>
          </w:p>
          <w:p>
            <w:pPr>
              <w:spacing w:after="40" w:before="40"/>
            </w:pPr>
            <w:r>
              <w:rPr>
                <w:rFonts w:ascii="Arial" w:cs="Arial" w:eastAsia="Arial" w:hAnsi="Arial"/>
                <w:color w:val="444444"/>
                <w:sz w:val="22"/>
                <w:szCs w:val="22"/>
              </w:rPr>
              <w:t xml:space="preserve">Cancelled subscribers averaged 2.1 viewing sessions per week in their final month.</w:t>
            </w:r>
          </w:p>
          <w:p>
            <w:pPr>
              <w:spacing w:after="40" w:before="40"/>
            </w:pPr>
            <w:r>
              <w:rPr>
                <w:rFonts w:ascii="Arial" w:cs="Arial" w:eastAsia="Arial" w:hAnsi="Arial"/>
                <w:color w:val="444444"/>
                <w:sz w:val="22"/>
                <w:szCs w:val="22"/>
              </w:rPr>
              <w:t xml:space="preserve">Active subscribers average 5.8 sessions per week.</w:t>
            </w:r>
          </w:p>
          <w:p>
            <w:pPr>
              <w:spacing w:after="40" w:before="40"/>
            </w:pPr>
            <w:r>
              <w:rPr>
                <w:rFonts w:ascii="Arial" w:cs="Arial" w:eastAsia="Arial" w:hAnsi="Arial"/>
                <w:color w:val="444444"/>
                <w:sz w:val="22"/>
                <w:szCs w:val="22"/>
              </w:rPr>
              <w:t xml:space="preserve">When surveyed, 74% of cancelled subscribers cited price as their reason.</w:t>
            </w:r>
          </w:p>
          <w:p>
            <w:pPr>
              <w:spacing w:after="40" w:before="40"/>
            </w:pPr>
            <w:r>
              <w:rPr>
                <w:rFonts w:ascii="Arial" w:cs="Arial" w:eastAsia="Arial" w:hAnsi="Arial"/>
                <w:color w:val="444444"/>
                <w:sz w:val="22"/>
                <w:szCs w:val="22"/>
              </w:rPr>
              <w:t xml:space="preserve"/>
            </w:r>
          </w:p>
          <w:p>
            <w:pPr>
              <w:spacing w:after="40" w:before="40"/>
            </w:pPr>
            <w:r>
              <w:rPr>
                <w:rFonts w:ascii="Arial" w:cs="Arial" w:eastAsia="Arial" w:hAnsi="Arial"/>
                <w:color w:val="444444"/>
                <w:sz w:val="22"/>
                <w:szCs w:val="22"/>
              </w:rPr>
              <w:t xml:space="preserve">Price is not the problem. Engagement is the problem. Low-engagement subscribers</w:t>
            </w:r>
          </w:p>
          <w:p>
            <w:pPr>
              <w:spacing w:after="40" w:before="40"/>
            </w:pPr>
            <w:r>
              <w:rPr>
                <w:rFonts w:ascii="Arial" w:cs="Arial" w:eastAsia="Arial" w:hAnsi="Arial"/>
                <w:color w:val="444444"/>
                <w:sz w:val="22"/>
                <w:szCs w:val="22"/>
              </w:rPr>
              <w:t xml:space="preserve">disengage first, then rationalise it as price when they cancel.</w:t>
            </w:r>
          </w:p>
          <w:p>
            <w:pPr>
              <w:spacing w:after="40" w:before="40"/>
            </w:pPr>
            <w:r>
              <w:rPr>
                <w:rFonts w:ascii="Arial" w:cs="Arial" w:eastAsia="Arial" w:hAnsi="Arial"/>
                <w:color w:val="444444"/>
                <w:sz w:val="22"/>
                <w:szCs w:val="22"/>
              </w:rPr>
              <w:t xml:space="preserve"/>
            </w:r>
          </w:p>
          <w:p>
            <w:pPr>
              <w:spacing w:after="40" w:before="40"/>
            </w:pPr>
            <w:r>
              <w:rPr>
                <w:rFonts w:ascii="Arial" w:cs="Arial" w:eastAsia="Arial" w:hAnsi="Arial"/>
                <w:color w:val="444444"/>
                <w:sz w:val="22"/>
                <w:szCs w:val="22"/>
              </w:rPr>
              <w:t xml:space="preserve">This is the story the data tells. By Demo 2, you will be able to show it.</w:t>
            </w:r>
          </w:p>
        </w:tc>
      </w:tr>
    </w:tbl>
    <w:p>
      <w:r>
        <w:br w:type="page"/>
      </w:r>
    </w:p>
    <w:p>
      <w:pPr>
        <w:spacing w:after="120" w:before="280"/>
      </w:pPr>
      <w:r>
        <w:rPr>
          <w:rFonts w:ascii="Arial" w:cs="Arial" w:eastAsia="Arial" w:hAnsi="Arial"/>
          <w:b/>
          <w:bCs/>
          <w:color w:val="1B3A6B"/>
          <w:sz w:val="36"/>
          <w:szCs w:val="36"/>
        </w:rPr>
        <w:t xml:space="preserve">How Each Day Works</w:t>
      </w:r>
    </w:p>
    <w:p>
      <w:pPr>
        <w:pBdr>
          <w:bottom w:val="single" w:color="0B6E6E" w:sz="8" w:space="1"/>
        </w:pBdr>
        <w:spacing w:after="0" w:before="0"/>
      </w:pPr>
    </w:p>
    <w:p>
      <w:pPr>
        <w:spacing w:after="0" w:before="120"/>
      </w:pPr>
    </w:p>
    <w:p>
      <w:pPr>
        <w:spacing w:after="80" w:before="60"/>
      </w:pPr>
      <w:r>
        <w:rPr>
          <w:rFonts w:ascii="Arial" w:cs="Arial" w:eastAsia="Arial" w:hAnsi="Arial"/>
          <w:b w:val="false"/>
          <w:bCs w:val="false"/>
          <w:i w:val="false"/>
          <w:iCs w:val="false"/>
          <w:color w:val="444444"/>
          <w:sz w:val="22"/>
          <w:szCs w:val="22"/>
        </w:rPr>
        <w:t xml:space="preserve">Every day card follows exactly the same structure. Learn the structure on Day 1 and you will never need to think about it again.</w:t>
      </w:r>
    </w:p>
    <w:p>
      <w:pPr>
        <w:spacing w:after="0" w:before="120"/>
      </w:pPr>
    </w:p>
    <w:p>
      <w:pPr>
        <w:spacing w:after="60" w:before="160"/>
      </w:pPr>
      <w:r>
        <w:rPr>
          <w:rFonts w:ascii="Arial" w:cs="Arial" w:eastAsia="Arial" w:hAnsi="Arial"/>
          <w:b/>
          <w:bCs/>
          <w:color w:val="0B6E6E"/>
          <w:sz w:val="22"/>
          <w:szCs w:val="22"/>
        </w:rPr>
        <w:t xml:space="preserve">THE BRIEF  |  2 minutes</w:t>
      </w:r>
    </w:p>
    <w:p>
      <w:pPr>
        <w:spacing w:after="80" w:before="60"/>
      </w:pPr>
      <w:r>
        <w:rPr>
          <w:rFonts w:ascii="Arial" w:cs="Arial" w:eastAsia="Arial" w:hAnsi="Arial"/>
          <w:b w:val="false"/>
          <w:bCs w:val="false"/>
          <w:i w:val="false"/>
          <w:iCs w:val="false"/>
          <w:color w:val="444444"/>
          <w:sz w:val="22"/>
          <w:szCs w:val="22"/>
        </w:rPr>
        <w:t xml:space="preserve">One paragraph. What today is about and why it matters in the assessment. Read it, then close it and start.</w:t>
      </w:r>
    </w:p>
    <w:p>
      <w:pPr>
        <w:spacing w:after="0" w:before="80"/>
      </w:pPr>
    </w:p>
    <w:p>
      <w:pPr>
        <w:spacing w:after="60" w:before="160"/>
      </w:pPr>
      <w:r>
        <w:rPr>
          <w:rFonts w:ascii="Arial" w:cs="Arial" w:eastAsia="Arial" w:hAnsi="Arial"/>
          <w:b/>
          <w:bCs/>
          <w:color w:val="0B6E6E"/>
          <w:sz w:val="22"/>
          <w:szCs w:val="22"/>
        </w:rPr>
        <w:t xml:space="preserve">TODAY'S STRATEGY  |  Read once</w:t>
      </w:r>
    </w:p>
    <w:p>
      <w:pPr>
        <w:spacing w:after="80" w:before="60"/>
      </w:pPr>
      <w:r>
        <w:rPr>
          <w:rFonts w:ascii="Arial" w:cs="Arial" w:eastAsia="Arial" w:hAnsi="Arial"/>
          <w:b w:val="false"/>
          <w:bCs w:val="false"/>
          <w:i w:val="false"/>
          <w:iCs w:val="false"/>
          <w:color w:val="444444"/>
          <w:sz w:val="22"/>
          <w:szCs w:val="22"/>
        </w:rPr>
        <w:t xml:space="preserve">A named, memorable approach for today's skill. Every strategy has a short name — The Power Query Pipeline, The Cleaning Sequence, The Stats Stack. Learn the name and the steps come with it.</w:t>
      </w:r>
    </w:p>
    <w:p>
      <w:pPr>
        <w:spacing w:after="0" w:before="80"/>
      </w:pPr>
    </w:p>
    <w:p>
      <w:pPr>
        <w:spacing w:after="60" w:before="160"/>
      </w:pPr>
      <w:r>
        <w:rPr>
          <w:rFonts w:ascii="Arial" w:cs="Arial" w:eastAsia="Arial" w:hAnsi="Arial"/>
          <w:b/>
          <w:bCs/>
          <w:color w:val="0B6E6E"/>
          <w:sz w:val="22"/>
          <w:szCs w:val="22"/>
        </w:rPr>
        <w:t xml:space="preserve">THE TASK  |  30–40 minutes</w:t>
      </w:r>
    </w:p>
    <w:p>
      <w:pPr>
        <w:spacing w:after="80" w:before="60"/>
      </w:pPr>
      <w:r>
        <w:rPr>
          <w:rFonts w:ascii="Arial" w:cs="Arial" w:eastAsia="Arial" w:hAnsi="Arial"/>
          <w:b w:val="false"/>
          <w:bCs w:val="false"/>
          <w:i w:val="false"/>
          <w:iCs w:val="false"/>
          <w:color w:val="444444"/>
          <w:sz w:val="22"/>
          <w:szCs w:val="22"/>
        </w:rPr>
        <w:t xml:space="preserve">Step-by-step instructions using the StreamWave data. Timed sections are marked clearly. Do not skip steps. Do not read ahead.</w:t>
      </w:r>
    </w:p>
    <w:p>
      <w:pPr>
        <w:spacing w:after="0" w:before="80"/>
      </w:pPr>
    </w:p>
    <w:p>
      <w:pPr>
        <w:spacing w:after="60" w:before="160"/>
      </w:pPr>
      <w:r>
        <w:rPr>
          <w:rFonts w:ascii="Arial" w:cs="Arial" w:eastAsia="Arial" w:hAnsi="Arial"/>
          <w:b/>
          <w:bCs/>
          <w:color w:val="0B6E6E"/>
          <w:sz w:val="22"/>
          <w:szCs w:val="22"/>
        </w:rPr>
        <w:t xml:space="preserve">SAY IT OUT LOUD  |  10 minutes</w:t>
      </w:r>
    </w:p>
    <w:p>
      <w:pPr>
        <w:spacing w:after="80" w:before="60"/>
      </w:pPr>
      <w:r>
        <w:rPr>
          <w:rFonts w:ascii="Arial" w:cs="Arial" w:eastAsia="Arial" w:hAnsi="Arial"/>
          <w:b w:val="false"/>
          <w:bCs w:val="false"/>
          <w:i w:val="false"/>
          <w:iCs w:val="false"/>
          <w:color w:val="444444"/>
          <w:sz w:val="22"/>
          <w:szCs w:val="22"/>
        </w:rPr>
        <w:t xml:space="preserve">The most important part of every session. A set of prompts you answer aloud — not in writing, not in your head. Out loud, as if the assessor is in the room. This is where distinction is built.</w:t>
      </w:r>
    </w:p>
    <w:p>
      <w:pPr>
        <w:spacing w:after="0" w:before="80"/>
      </w:pPr>
    </w:p>
    <w:p>
      <w:pPr>
        <w:spacing w:after="60" w:before="160"/>
      </w:pPr>
      <w:r>
        <w:rPr>
          <w:rFonts w:ascii="Arial" w:cs="Arial" w:eastAsia="Arial" w:hAnsi="Arial"/>
          <w:b/>
          <w:bCs/>
          <w:color w:val="0B6E6E"/>
          <w:sz w:val="22"/>
          <w:szCs w:val="22"/>
        </w:rPr>
        <w:t xml:space="preserve">THE FUN BIT  |  5 minutes</w:t>
      </w:r>
    </w:p>
    <w:p>
      <w:pPr>
        <w:spacing w:after="80" w:before="60"/>
      </w:pPr>
      <w:r>
        <w:rPr>
          <w:rFonts w:ascii="Arial" w:cs="Arial" w:eastAsia="Arial" w:hAnsi="Arial"/>
          <w:b w:val="false"/>
          <w:bCs w:val="false"/>
          <w:i w:val="false"/>
          <w:iCs w:val="false"/>
          <w:color w:val="444444"/>
          <w:sz w:val="22"/>
          <w:szCs w:val="22"/>
        </w:rPr>
        <w:t xml:space="preserve">Something unexpected. A challenge, a reveal, a game, a question that makes you think sideways. Every session has one.</w:t>
      </w:r>
    </w:p>
    <w:p>
      <w:pPr>
        <w:spacing w:after="0" w:before="80"/>
      </w:pPr>
    </w:p>
    <w:p>
      <w:pPr>
        <w:spacing w:after="60" w:before="160"/>
      </w:pPr>
      <w:r>
        <w:rPr>
          <w:rFonts w:ascii="Arial" w:cs="Arial" w:eastAsia="Arial" w:hAnsi="Arial"/>
          <w:b/>
          <w:bCs/>
          <w:color w:val="0B6E6E"/>
          <w:sz w:val="22"/>
          <w:szCs w:val="22"/>
        </w:rPr>
        <w:t xml:space="preserve">DONE WHEN  |  Checklist</w:t>
      </w:r>
    </w:p>
    <w:p>
      <w:pPr>
        <w:spacing w:after="80" w:before="60"/>
      </w:pPr>
      <w:r>
        <w:rPr>
          <w:rFonts w:ascii="Arial" w:cs="Arial" w:eastAsia="Arial" w:hAnsi="Arial"/>
          <w:b w:val="false"/>
          <w:bCs w:val="false"/>
          <w:i w:val="false"/>
          <w:iCs w:val="false"/>
          <w:color w:val="444444"/>
          <w:sz w:val="22"/>
          <w:szCs w:val="22"/>
        </w:rPr>
        <w:t xml:space="preserve">Three or four things that must be true before you move on. If you can't tick them all, spend five more minutes and try again.</w:t>
      </w:r>
    </w:p>
    <w:p>
      <w:pPr>
        <w:spacing w:after="0" w:before="120"/>
      </w:pPr>
    </w:p>
    <w:p>
      <w:pPr>
        <w:pBdr>
          <w:bottom w:val="single" w:color="E8EDF2" w:sz="8" w:space="1"/>
        </w:pBdr>
        <w:spacing w:after="0" w:before="0"/>
      </w:pPr>
    </w:p>
    <w:p>
      <w:pPr>
        <w:spacing w:after="0" w:before="120"/>
      </w:pPr>
    </w:p>
    <w:p>
      <w:pPr>
        <w:spacing w:after="80" w:before="60"/>
      </w:pPr>
      <w:r>
        <w:rPr>
          <w:rFonts w:ascii="Arial" w:cs="Arial" w:eastAsia="Arial" w:hAnsi="Arial"/>
          <w:b/>
          <w:bCs/>
          <w:i w:val="false"/>
          <w:iCs w:val="false"/>
          <w:color w:val="C47A1E"/>
          <w:sz w:val="22"/>
          <w:szCs w:val="22"/>
        </w:rPr>
        <w:t xml:space="preserve">Total time per day: 60 minutes. If you go over on the task, cut the fun bit — but never cut Say It Out Loud.</w:t>
      </w:r>
    </w:p>
    <w:p>
      <w:r>
        <w:br w:type="page"/>
      </w:r>
    </w:p>
    <w:p>
      <w:pPr>
        <w:spacing w:after="120" w:before="280"/>
      </w:pPr>
      <w:r>
        <w:rPr>
          <w:rFonts w:ascii="Arial" w:cs="Arial" w:eastAsia="Arial" w:hAnsi="Arial"/>
          <w:b/>
          <w:bCs/>
          <w:color w:val="1B3A6B"/>
          <w:sz w:val="36"/>
          <w:szCs w:val="36"/>
        </w:rPr>
        <w:t xml:space="preserve">Your 16-Day Programme</w:t>
      </w:r>
    </w:p>
    <w:p>
      <w:pPr>
        <w:pBdr>
          <w:bottom w:val="single" w:color="1B3A6B" w:sz="8" w:space="1"/>
        </w:pBdr>
        <w:spacing w:after="0" w:before="0"/>
      </w:pPr>
    </w:p>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4038"/>
      </w:tblGrid>
      <w:tr>
        <w:tc>
          <w:tcPr>
            <w:tcW w:type="dxa" w:w="1400"/>
            <w:tcBorders>
              <w:top w:val="single" w:color="E8EDF2" w:sz="1"/>
              <w:left w:val="single" w:color="E8EDF2" w:sz="1"/>
              <w:bottom w:val="single" w:color="E8EDF2" w:sz="1"/>
              <w:right w:val="single" w:color="E8EDF2"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Day</w:t>
            </w:r>
          </w:p>
        </w:tc>
        <w:tc>
          <w:tcPr>
            <w:tcW w:type="dxa" w:w="4200"/>
            <w:tcBorders>
              <w:top w:val="single" w:color="E8EDF2" w:sz="1"/>
              <w:left w:val="single" w:color="E8EDF2" w:sz="1"/>
              <w:bottom w:val="single" w:color="E8EDF2" w:sz="1"/>
              <w:right w:val="single" w:color="E8EDF2"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Title</w:t>
            </w:r>
          </w:p>
        </w:tc>
        <w:tc>
          <w:tcPr>
            <w:tcW w:type="dxa" w:w="4038"/>
            <w:tcBorders>
              <w:top w:val="single" w:color="E8EDF2" w:sz="1"/>
              <w:left w:val="single" w:color="E8EDF2" w:sz="1"/>
              <w:bottom w:val="single" w:color="E8EDF2" w:sz="1"/>
              <w:right w:val="single" w:color="E8EDF2"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Focus</w:t>
            </w:r>
          </w:p>
        </w:tc>
      </w:tr>
      <w:tr>
        <w:tc>
          <w:tcPr>
            <w:gridSpan w:val="3"/>
            <w:tcBorders>
              <w:top w:val="single" w:color="E8EDF2" w:sz="1"/>
              <w:left w:val="single" w:color="E8EDF2" w:sz="1"/>
              <w:bottom w:val="single" w:color="E8EDF2" w:sz="1"/>
              <w:right w:val="single" w:color="E8EDF2" w:sz="1"/>
            </w:tcBorders>
            <w:shd w:fill="0B6E6E" w:val="clear"/>
            <w:tcMar>
              <w:top w:type="dxa" w:w="60"/>
              <w:left w:type="dxa" w:w="120"/>
              <w:bottom w:type="dxa" w:w="60"/>
              <w:right w:type="dxa" w:w="120"/>
            </w:tcMar>
          </w:tcPr>
          <w:p>
            <w:r>
              <w:rPr>
                <w:rFonts w:ascii="Arial" w:cs="Arial" w:eastAsia="Arial" w:hAnsi="Arial"/>
                <w:b/>
                <w:bCs/>
                <w:color w:val="FFFFFF"/>
                <w:sz w:val="20"/>
                <w:szCs w:val="20"/>
              </w:rPr>
              <w:t xml:space="preserve">PHASE 1 — AM1 Skills Build  (Days 1–6)</w:t>
            </w:r>
          </w:p>
        </w:tc>
      </w:tr>
      <w:tr>
        <w:tc>
          <w:tcPr>
            <w:tcW w:type="dxa" w:w="1400"/>
            <w:tcBorders>
              <w:top w:val="single" w:color="E8EDF2" w:sz="1"/>
              <w:left w:val="single" w:color="E8EDF2" w:sz="1"/>
              <w:bottom w:val="single" w:color="E8EDF2" w:sz="1"/>
              <w:right w:val="single" w:color="E8EDF2" w:sz="1"/>
            </w:tcBorders>
            <w:shd w:fill="0B6E6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01</w:t>
            </w:r>
          </w:p>
        </w:tc>
        <w:tc>
          <w:tcPr>
            <w:tcW w:type="dxa" w:w="4200"/>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b/>
                <w:bCs/>
                <w:color w:val="1B3A6B"/>
                <w:sz w:val="22"/>
                <w:szCs w:val="22"/>
              </w:rPr>
              <w:t xml:space="preserve">Getting Data In</w:t>
            </w:r>
          </w:p>
        </w:tc>
        <w:tc>
          <w:tcPr>
            <w:tcW w:type="dxa" w:w="4038"/>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color w:val="444444"/>
                <w:sz w:val="20"/>
                <w:szCs w:val="20"/>
              </w:rPr>
              <w:t xml:space="preserve">Load all 4 files Connection Only — data type checks — find the trap</w:t>
            </w:r>
          </w:p>
        </w:tc>
      </w:tr>
      <w:tr>
        <w:tc>
          <w:tcPr>
            <w:tcW w:type="dxa" w:w="1400"/>
            <w:tcBorders>
              <w:top w:val="single" w:color="E8EDF2" w:sz="1"/>
              <w:left w:val="single" w:color="E8EDF2" w:sz="1"/>
              <w:bottom w:val="single" w:color="E8EDF2" w:sz="1"/>
              <w:right w:val="single" w:color="E8EDF2" w:sz="1"/>
            </w:tcBorders>
            <w:shd w:fill="0B6E6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02</w:t>
            </w:r>
          </w:p>
        </w:tc>
        <w:tc>
          <w:tcPr>
            <w:tcW w:type="dxa" w:w="4200"/>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b/>
                <w:bCs/>
                <w:color w:val="1B3A6B"/>
                <w:sz w:val="22"/>
                <w:szCs w:val="22"/>
              </w:rPr>
              <w:t xml:space="preserve">Cleaning with Confidence</w:t>
            </w:r>
          </w:p>
        </w:tc>
        <w:tc>
          <w:tcPr>
            <w:tcW w:type="dxa" w:w="4038"/>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color w:val="444444"/>
                <w:sz w:val="20"/>
                <w:szCs w:val="20"/>
              </w:rPr>
              <w:t xml:space="preserve">Text: Trim/Clean/Case — Numbers: decimal/locale — Dates: regional fix</w:t>
            </w:r>
          </w:p>
        </w:tc>
      </w:tr>
      <w:tr>
        <w:tc>
          <w:tcPr>
            <w:tcW w:type="dxa" w:w="1400"/>
            <w:tcBorders>
              <w:top w:val="single" w:color="E8EDF2" w:sz="1"/>
              <w:left w:val="single" w:color="E8EDF2" w:sz="1"/>
              <w:bottom w:val="single" w:color="E8EDF2" w:sz="1"/>
              <w:right w:val="single" w:color="E8EDF2" w:sz="1"/>
            </w:tcBorders>
            <w:shd w:fill="0B6E6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03</w:t>
            </w:r>
          </w:p>
        </w:tc>
        <w:tc>
          <w:tcPr>
            <w:tcW w:type="dxa" w:w="4200"/>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b/>
                <w:bCs/>
                <w:color w:val="1B3A6B"/>
                <w:sz w:val="22"/>
                <w:szCs w:val="22"/>
              </w:rPr>
              <w:t xml:space="preserve">Merging and Blending</w:t>
            </w:r>
          </w:p>
        </w:tc>
        <w:tc>
          <w:tcPr>
            <w:tcW w:type="dxa" w:w="4038"/>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color w:val="444444"/>
                <w:sz w:val="20"/>
                <w:szCs w:val="20"/>
              </w:rPr>
              <w:t xml:space="preserve">Left Outer vs Inner Join — composite keys — subscriber_id spine — Group By</w:t>
            </w:r>
          </w:p>
        </w:tc>
      </w:tr>
      <w:tr>
        <w:tc>
          <w:tcPr>
            <w:tcW w:type="dxa" w:w="1400"/>
            <w:tcBorders>
              <w:top w:val="single" w:color="E8EDF2" w:sz="1"/>
              <w:left w:val="single" w:color="E8EDF2" w:sz="1"/>
              <w:bottom w:val="single" w:color="E8EDF2" w:sz="1"/>
              <w:right w:val="single" w:color="E8EDF2" w:sz="1"/>
            </w:tcBorders>
            <w:shd w:fill="0B6E6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04</w:t>
            </w:r>
          </w:p>
        </w:tc>
        <w:tc>
          <w:tcPr>
            <w:tcW w:type="dxa" w:w="4200"/>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b/>
                <w:bCs/>
                <w:color w:val="1B3A6B"/>
                <w:sz w:val="22"/>
                <w:szCs w:val="22"/>
              </w:rPr>
              <w:t xml:space="preserve">Stats and Pivots</w:t>
            </w:r>
          </w:p>
        </w:tc>
        <w:tc>
          <w:tcPr>
            <w:tcW w:type="dxa" w:w="4038"/>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color w:val="444444"/>
                <w:sz w:val="20"/>
                <w:szCs w:val="20"/>
              </w:rPr>
              <w:t xml:space="preserve">Pivot tables — mean, median, mode, SD, IQR — which stat for which question</w:t>
            </w:r>
          </w:p>
        </w:tc>
      </w:tr>
      <w:tr>
        <w:tc>
          <w:tcPr>
            <w:tcW w:type="dxa" w:w="1400"/>
            <w:tcBorders>
              <w:top w:val="single" w:color="E8EDF2" w:sz="1"/>
              <w:left w:val="single" w:color="E8EDF2" w:sz="1"/>
              <w:bottom w:val="single" w:color="E8EDF2" w:sz="1"/>
              <w:right w:val="single" w:color="E8EDF2" w:sz="1"/>
            </w:tcBorders>
            <w:shd w:fill="0B6E6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05</w:t>
            </w:r>
          </w:p>
        </w:tc>
        <w:tc>
          <w:tcPr>
            <w:tcW w:type="dxa" w:w="4200"/>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b/>
                <w:bCs/>
                <w:color w:val="1B3A6B"/>
                <w:sz w:val="22"/>
                <w:szCs w:val="22"/>
              </w:rPr>
              <w:t xml:space="preserve">Forecasting and Charts</w:t>
            </w:r>
          </w:p>
        </w:tc>
        <w:tc>
          <w:tcPr>
            <w:tcW w:type="dxa" w:w="4038"/>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color w:val="444444"/>
                <w:sz w:val="20"/>
                <w:szCs w:val="20"/>
              </w:rPr>
              <w:t xml:space="preserve">Trend lines — FORECAST function — which visualisation when — dashboard build</w:t>
            </w:r>
          </w:p>
        </w:tc>
      </w:tr>
      <w:tr>
        <w:tc>
          <w:tcPr>
            <w:tcW w:type="dxa" w:w="1400"/>
            <w:tcBorders>
              <w:top w:val="single" w:color="E8EDF2" w:sz="1"/>
              <w:left w:val="single" w:color="E8EDF2" w:sz="1"/>
              <w:bottom w:val="single" w:color="E8EDF2" w:sz="1"/>
              <w:right w:val="single" w:color="E8EDF2" w:sz="1"/>
            </w:tcBorders>
            <w:shd w:fill="0B6E6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06</w:t>
            </w:r>
          </w:p>
        </w:tc>
        <w:tc>
          <w:tcPr>
            <w:tcW w:type="dxa" w:w="4200"/>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b/>
                <w:bCs/>
                <w:color w:val="1B3A6B"/>
                <w:sz w:val="22"/>
                <w:szCs w:val="22"/>
              </w:rPr>
              <w:t xml:space="preserve">The Distinction Layer</w:t>
            </w:r>
          </w:p>
        </w:tc>
        <w:tc>
          <w:tcPr>
            <w:tcW w:type="dxa" w:w="4038"/>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color w:val="444444"/>
                <w:sz w:val="20"/>
                <w:szCs w:val="20"/>
              </w:rPr>
              <w:t xml:space="preserve">Verbal commentary — 'why' answers — evaluate not just describe</w:t>
            </w:r>
          </w:p>
        </w:tc>
      </w:tr>
      <w:tr>
        <w:tc>
          <w:tcPr>
            <w:gridSpan w:val="3"/>
            <w:tcBorders>
              <w:top w:val="single" w:color="E8EDF2" w:sz="1"/>
              <w:left w:val="single" w:color="E8EDF2" w:sz="1"/>
              <w:bottom w:val="single" w:color="E8EDF2" w:sz="1"/>
              <w:right w:val="single" w:color="E8EDF2" w:sz="1"/>
            </w:tcBorders>
            <w:shd w:fill="8B4000" w:val="clear"/>
            <w:tcMar>
              <w:top w:type="dxa" w:w="60"/>
              <w:left w:type="dxa" w:w="120"/>
              <w:bottom w:type="dxa" w:w="60"/>
              <w:right w:type="dxa" w:w="120"/>
            </w:tcMar>
          </w:tcPr>
          <w:p>
            <w:r>
              <w:rPr>
                <w:rFonts w:ascii="Arial" w:cs="Arial" w:eastAsia="Arial" w:hAnsi="Arial"/>
                <w:b/>
                <w:bCs/>
                <w:color w:val="FFFFFF"/>
                <w:sz w:val="20"/>
                <w:szCs w:val="20"/>
              </w:rPr>
              <w:t xml:space="preserve">PHASE 2 — Mock Demo Days  (Days 7–8)</w:t>
            </w:r>
          </w:p>
        </w:tc>
      </w:tr>
      <w:tr>
        <w:tc>
          <w:tcPr>
            <w:tcW w:type="dxa" w:w="1400"/>
            <w:tcBorders>
              <w:top w:val="single" w:color="E8EDF2" w:sz="1"/>
              <w:left w:val="single" w:color="E8EDF2" w:sz="1"/>
              <w:bottom w:val="single" w:color="E8EDF2" w:sz="1"/>
              <w:right w:val="single" w:color="E8EDF2" w:sz="1"/>
            </w:tcBorders>
            <w:shd w:fill="8B40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07</w:t>
            </w:r>
          </w:p>
        </w:tc>
        <w:tc>
          <w:tcPr>
            <w:tcW w:type="dxa" w:w="4200"/>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b/>
                <w:bCs/>
                <w:color w:val="1B3A6B"/>
                <w:sz w:val="22"/>
                <w:szCs w:val="22"/>
              </w:rPr>
              <w:t xml:space="preserve">MOCK — Demo 1</w:t>
            </w:r>
          </w:p>
        </w:tc>
        <w:tc>
          <w:tcPr>
            <w:tcW w:type="dxa" w:w="4038"/>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color w:val="444444"/>
                <w:sz w:val="20"/>
                <w:szCs w:val="20"/>
              </w:rPr>
              <w:t xml:space="preserve">Full 45-minute timed run — Data Gathering — 10 live questions — debrief</w:t>
            </w:r>
          </w:p>
        </w:tc>
      </w:tr>
      <w:tr>
        <w:tc>
          <w:tcPr>
            <w:tcW w:type="dxa" w:w="1400"/>
            <w:tcBorders>
              <w:top w:val="single" w:color="E8EDF2" w:sz="1"/>
              <w:left w:val="single" w:color="E8EDF2" w:sz="1"/>
              <w:bottom w:val="single" w:color="E8EDF2" w:sz="1"/>
              <w:right w:val="single" w:color="E8EDF2" w:sz="1"/>
            </w:tcBorders>
            <w:shd w:fill="8B40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08</w:t>
            </w:r>
          </w:p>
        </w:tc>
        <w:tc>
          <w:tcPr>
            <w:tcW w:type="dxa" w:w="4200"/>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b/>
                <w:bCs/>
                <w:color w:val="1B3A6B"/>
                <w:sz w:val="22"/>
                <w:szCs w:val="22"/>
              </w:rPr>
              <w:t xml:space="preserve">MOCK — Demo 2</w:t>
            </w:r>
          </w:p>
        </w:tc>
        <w:tc>
          <w:tcPr>
            <w:tcW w:type="dxa" w:w="4038"/>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color w:val="444444"/>
                <w:sz w:val="20"/>
                <w:szCs w:val="20"/>
              </w:rPr>
              <w:t xml:space="preserve">Full 45-minute timed run — Analysis and Validation — 10 live questions — debrief</w:t>
            </w:r>
          </w:p>
        </w:tc>
      </w:tr>
      <w:tr>
        <w:tc>
          <w:tcPr>
            <w:gridSpan w:val="3"/>
            <w:tcBorders>
              <w:top w:val="single" w:color="E8EDF2" w:sz="1"/>
              <w:left w:val="single" w:color="E8EDF2" w:sz="1"/>
              <w:bottom w:val="single" w:color="E8EDF2" w:sz="1"/>
              <w:right w:val="single" w:color="E8EDF2" w:sz="1"/>
            </w:tcBorders>
            <w:shd w:fill="5B3A8B" w:val="clear"/>
            <w:tcMar>
              <w:top w:type="dxa" w:w="60"/>
              <w:left w:type="dxa" w:w="120"/>
              <w:bottom w:type="dxa" w:w="60"/>
              <w:right w:type="dxa" w:w="120"/>
            </w:tcMar>
          </w:tcPr>
          <w:p>
            <w:r>
              <w:rPr>
                <w:rFonts w:ascii="Arial" w:cs="Arial" w:eastAsia="Arial" w:hAnsi="Arial"/>
                <w:b/>
                <w:bCs/>
                <w:color w:val="FFFFFF"/>
                <w:sz w:val="20"/>
                <w:szCs w:val="20"/>
              </w:rPr>
              <w:t xml:space="preserve">PHASE 3 — AM2 Knowledge Build  (Days 9–13)</w:t>
            </w:r>
          </w:p>
        </w:tc>
      </w:tr>
      <w:tr>
        <w:tc>
          <w:tcPr>
            <w:tcW w:type="dxa" w:w="1400"/>
            <w:tcBorders>
              <w:top w:val="single" w:color="E8EDF2" w:sz="1"/>
              <w:left w:val="single" w:color="E8EDF2" w:sz="1"/>
              <w:bottom w:val="single" w:color="E8EDF2" w:sz="1"/>
              <w:right w:val="single" w:color="E8EDF2" w:sz="1"/>
            </w:tcBorders>
            <w:shd w:fill="5B3A8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09</w:t>
            </w:r>
          </w:p>
        </w:tc>
        <w:tc>
          <w:tcPr>
            <w:tcW w:type="dxa" w:w="4200"/>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b/>
                <w:bCs/>
                <w:color w:val="1B3A6B"/>
                <w:sz w:val="22"/>
                <w:szCs w:val="22"/>
              </w:rPr>
              <w:t xml:space="preserve">Data in the Digital World</w:t>
            </w:r>
          </w:p>
        </w:tc>
        <w:tc>
          <w:tcPr>
            <w:tcW w:type="dxa" w:w="4038"/>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color w:val="444444"/>
                <w:sz w:val="20"/>
                <w:szCs w:val="20"/>
              </w:rPr>
              <w:t xml:space="preserve">Data types, formats, architectures — IoT, cloud, customer centricity — AM2 Area 1</w:t>
            </w:r>
          </w:p>
        </w:tc>
      </w:tr>
      <w:tr>
        <w:tc>
          <w:tcPr>
            <w:tcW w:type="dxa" w:w="1400"/>
            <w:tcBorders>
              <w:top w:val="single" w:color="E8EDF2" w:sz="1"/>
              <w:left w:val="single" w:color="E8EDF2" w:sz="1"/>
              <w:bottom w:val="single" w:color="E8EDF2" w:sz="1"/>
              <w:right w:val="single" w:color="E8EDF2" w:sz="1"/>
            </w:tcBorders>
            <w:shd w:fill="5B3A8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10</w:t>
            </w:r>
          </w:p>
        </w:tc>
        <w:tc>
          <w:tcPr>
            <w:tcW w:type="dxa" w:w="4200"/>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b/>
                <w:bCs/>
                <w:color w:val="1B3A6B"/>
                <w:sz w:val="22"/>
                <w:szCs w:val="22"/>
              </w:rPr>
              <w:t xml:space="preserve">Validation and Ethics</w:t>
            </w:r>
          </w:p>
        </w:tc>
        <w:tc>
          <w:tcPr>
            <w:tcW w:type="dxa" w:w="4038"/>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color w:val="444444"/>
                <w:sz w:val="20"/>
                <w:szCs w:val="20"/>
              </w:rPr>
              <w:t xml:space="preserve">Validation methods — common quality issues — GDPR — ethics beyond compliance</w:t>
            </w:r>
          </w:p>
        </w:tc>
      </w:tr>
      <w:tr>
        <w:tc>
          <w:tcPr>
            <w:tcW w:type="dxa" w:w="1400"/>
            <w:tcBorders>
              <w:top w:val="single" w:color="E8EDF2" w:sz="1"/>
              <w:left w:val="single" w:color="E8EDF2" w:sz="1"/>
              <w:bottom w:val="single" w:color="E8EDF2" w:sz="1"/>
              <w:right w:val="single" w:color="E8EDF2" w:sz="1"/>
            </w:tcBorders>
            <w:shd w:fill="5B3A8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11</w:t>
            </w:r>
          </w:p>
        </w:tc>
        <w:tc>
          <w:tcPr>
            <w:tcW w:type="dxa" w:w="4200"/>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b/>
                <w:bCs/>
                <w:color w:val="1B3A6B"/>
                <w:sz w:val="22"/>
                <w:szCs w:val="22"/>
              </w:rPr>
              <w:t xml:space="preserve">Communication and Docs</w:t>
            </w:r>
          </w:p>
        </w:tc>
        <w:tc>
          <w:tcPr>
            <w:tcW w:type="dxa" w:w="4038"/>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color w:val="444444"/>
                <w:sz w:val="20"/>
                <w:szCs w:val="20"/>
              </w:rPr>
              <w:t xml:space="preserve">Audience-appropriate formats — technical documentation — accessibility — distinction prep</w:t>
            </w:r>
          </w:p>
        </w:tc>
      </w:tr>
      <w:tr>
        <w:tc>
          <w:tcPr>
            <w:tcW w:type="dxa" w:w="1400"/>
            <w:tcBorders>
              <w:top w:val="single" w:color="E8EDF2" w:sz="1"/>
              <w:left w:val="single" w:color="E8EDF2" w:sz="1"/>
              <w:bottom w:val="single" w:color="E8EDF2" w:sz="1"/>
              <w:right w:val="single" w:color="E8EDF2" w:sz="1"/>
            </w:tcBorders>
            <w:shd w:fill="5B3A8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12</w:t>
            </w:r>
          </w:p>
        </w:tc>
        <w:tc>
          <w:tcPr>
            <w:tcW w:type="dxa" w:w="4200"/>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b/>
                <w:bCs/>
                <w:color w:val="1B3A6B"/>
                <w:sz w:val="22"/>
                <w:szCs w:val="22"/>
              </w:rPr>
              <w:t xml:space="preserve">Approach to Work</w:t>
            </w:r>
          </w:p>
        </w:tc>
        <w:tc>
          <w:tcPr>
            <w:tcW w:type="dxa" w:w="4038"/>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color w:val="444444"/>
                <w:sz w:val="20"/>
                <w:szCs w:val="20"/>
              </w:rPr>
              <w:t xml:space="preserve">CPD — multi-functional teams — inclusive working — stakeholder management</w:t>
            </w:r>
          </w:p>
        </w:tc>
      </w:tr>
      <w:tr>
        <w:tc>
          <w:tcPr>
            <w:tcW w:type="dxa" w:w="1400"/>
            <w:tcBorders>
              <w:top w:val="single" w:color="E8EDF2" w:sz="1"/>
              <w:left w:val="single" w:color="E8EDF2" w:sz="1"/>
              <w:bottom w:val="single" w:color="E8EDF2" w:sz="1"/>
              <w:right w:val="single" w:color="E8EDF2" w:sz="1"/>
            </w:tcBorders>
            <w:shd w:fill="5B3A8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13</w:t>
            </w:r>
          </w:p>
        </w:tc>
        <w:tc>
          <w:tcPr>
            <w:tcW w:type="dxa" w:w="4200"/>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b/>
                <w:bCs/>
                <w:color w:val="1B3A6B"/>
                <w:sz w:val="22"/>
                <w:szCs w:val="22"/>
              </w:rPr>
              <w:t xml:space="preserve">Portfolio Clinic</w:t>
            </w:r>
          </w:p>
        </w:tc>
        <w:tc>
          <w:tcPr>
            <w:tcW w:type="dxa" w:w="4038"/>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color w:val="444444"/>
                <w:sz w:val="20"/>
                <w:szCs w:val="20"/>
              </w:rPr>
              <w:t xml:space="preserve">Review 8 pieces of evidence — KSB mapping — Evidence Reference Matrix</w:t>
            </w:r>
          </w:p>
        </w:tc>
      </w:tr>
      <w:tr>
        <w:tc>
          <w:tcPr>
            <w:gridSpan w:val="3"/>
            <w:tcBorders>
              <w:top w:val="single" w:color="E8EDF2" w:sz="1"/>
              <w:left w:val="single" w:color="E8EDF2" w:sz="1"/>
              <w:bottom w:val="single" w:color="E8EDF2" w:sz="1"/>
              <w:right w:val="single" w:color="E8EDF2" w:sz="1"/>
            </w:tcBorders>
            <w:shd w:fill="1B3A6B" w:val="clear"/>
            <w:tcMar>
              <w:top w:type="dxa" w:w="60"/>
              <w:left w:type="dxa" w:w="120"/>
              <w:bottom w:type="dxa" w:w="60"/>
              <w:right w:type="dxa" w:w="120"/>
            </w:tcMar>
          </w:tcPr>
          <w:p>
            <w:r>
              <w:rPr>
                <w:rFonts w:ascii="Arial" w:cs="Arial" w:eastAsia="Arial" w:hAnsi="Arial"/>
                <w:b/>
                <w:bCs/>
                <w:color w:val="FFFFFF"/>
                <w:sz w:val="20"/>
                <w:szCs w:val="20"/>
              </w:rPr>
              <w:t xml:space="preserve">PHASE 4 — Mock and Polish  (Days 14–16)</w:t>
            </w:r>
          </w:p>
        </w:tc>
      </w:tr>
      <w:tr>
        <w:tc>
          <w:tcPr>
            <w:tcW w:type="dxa" w:w="1400"/>
            <w:tcBorders>
              <w:top w:val="single" w:color="E8EDF2" w:sz="1"/>
              <w:left w:val="single" w:color="E8EDF2" w:sz="1"/>
              <w:bottom w:val="single" w:color="E8EDF2" w:sz="1"/>
              <w:right w:val="single" w:color="E8EDF2" w:sz="1"/>
            </w:tcBorders>
            <w:shd w:fill="8B40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14</w:t>
            </w:r>
          </w:p>
        </w:tc>
        <w:tc>
          <w:tcPr>
            <w:tcW w:type="dxa" w:w="4200"/>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b/>
                <w:bCs/>
                <w:color w:val="1B3A6B"/>
                <w:sz w:val="22"/>
                <w:szCs w:val="22"/>
              </w:rPr>
              <w:t xml:space="preserve">MOCK — Professional Discussion</w:t>
            </w:r>
          </w:p>
        </w:tc>
        <w:tc>
          <w:tcPr>
            <w:tcW w:type="dxa" w:w="4038"/>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color w:val="444444"/>
                <w:sz w:val="20"/>
                <w:szCs w:val="20"/>
              </w:rPr>
              <w:t xml:space="preserve">Full 60-minute mock — all four AM2 areas — portfolio in hand — debrief</w:t>
            </w:r>
          </w:p>
        </w:tc>
      </w:tr>
      <w:tr>
        <w:tc>
          <w:tcPr>
            <w:tcW w:type="dxa" w:w="1400"/>
            <w:tcBorders>
              <w:top w:val="single" w:color="E8EDF2" w:sz="1"/>
              <w:left w:val="single" w:color="E8EDF2" w:sz="1"/>
              <w:bottom w:val="single" w:color="E8EDF2" w:sz="1"/>
              <w:right w:val="single" w:color="E8EDF2"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15</w:t>
            </w:r>
          </w:p>
        </w:tc>
        <w:tc>
          <w:tcPr>
            <w:tcW w:type="dxa" w:w="4200"/>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b/>
                <w:bCs/>
                <w:color w:val="1B3A6B"/>
                <w:sz w:val="22"/>
                <w:szCs w:val="22"/>
              </w:rPr>
              <w:t xml:space="preserve">Final Polish</w:t>
            </w:r>
          </w:p>
        </w:tc>
        <w:tc>
          <w:tcPr>
            <w:tcW w:type="dxa" w:w="4038"/>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color w:val="444444"/>
                <w:sz w:val="20"/>
                <w:szCs w:val="20"/>
              </w:rPr>
              <w:t xml:space="preserve">Targeted fixes from mock days — confidence review — what to expect on the day</w:t>
            </w:r>
          </w:p>
        </w:tc>
      </w:tr>
      <w:tr>
        <w:tc>
          <w:tcPr>
            <w:tcW w:type="dxa" w:w="1400"/>
            <w:tcBorders>
              <w:top w:val="single" w:color="E8EDF2" w:sz="1"/>
              <w:left w:val="single" w:color="E8EDF2" w:sz="1"/>
              <w:bottom w:val="single" w:color="E8EDF2" w:sz="1"/>
              <w:right w:val="single" w:color="E8EDF2"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16</w:t>
            </w:r>
          </w:p>
        </w:tc>
        <w:tc>
          <w:tcPr>
            <w:tcW w:type="dxa" w:w="4200"/>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b/>
                <w:bCs/>
                <w:color w:val="1B3A6B"/>
                <w:sz w:val="22"/>
                <w:szCs w:val="22"/>
              </w:rPr>
              <w:t xml:space="preserve">Show Off Day</w:t>
            </w:r>
          </w:p>
        </w:tc>
        <w:tc>
          <w:tcPr>
            <w:tcW w:type="dxa" w:w="4038"/>
            <w:tcBorders>
              <w:top w:val="single" w:color="E8EDF2" w:sz="1"/>
              <w:left w:val="single" w:color="E8EDF2" w:sz="1"/>
              <w:bottom w:val="single" w:color="E8EDF2" w:sz="1"/>
              <w:right w:val="single" w:color="E8EDF2" w:sz="1"/>
            </w:tcBorders>
            <w:shd w:fill="F8F9FA" w:val="clear"/>
            <w:tcMar>
              <w:top w:type="dxa" w:w="80"/>
              <w:left w:type="dxa" w:w="120"/>
              <w:bottom w:type="dxa" w:w="80"/>
              <w:right w:type="dxa" w:w="120"/>
            </w:tcMar>
          </w:tcPr>
          <w:p>
            <w:r>
              <w:rPr>
                <w:rFonts w:ascii="Arial" w:cs="Arial" w:eastAsia="Arial" w:hAnsi="Arial"/>
                <w:color w:val="444444"/>
                <w:sz w:val="20"/>
                <w:szCs w:val="20"/>
              </w:rPr>
              <w:t xml:space="preserve">You tell us — run whichever demo or discussion section you want to prove you have it</w:t>
            </w:r>
          </w:p>
        </w:tc>
      </w:tr>
    </w:tbl>
    <w:p>
      <w:pPr>
        <w:spacing w:after="0" w:before="120"/>
      </w:pPr>
    </w:p>
    <w:p>
      <w:pPr>
        <w:spacing w:after="80" w:before="60"/>
      </w:pPr>
      <w:r>
        <w:rPr>
          <w:rFonts w:ascii="Arial" w:cs="Arial" w:eastAsia="Arial" w:hAnsi="Arial"/>
          <w:b w:val="false"/>
          <w:bCs w:val="false"/>
          <w:i/>
          <w:iCs/>
          <w:color w:val="444444"/>
          <w:sz w:val="22"/>
          <w:szCs w:val="22"/>
        </w:rPr>
        <w:t xml:space="preserve">Files are numbered. Open the next number. That is the only decision you need to make each day.</w:t>
      </w:r>
    </w:p>
    <w:p>
      <w:r>
        <w:br w:type="page"/>
      </w:r>
    </w:p>
    <w:p>
      <w:pPr>
        <w:spacing w:after="120" w:before="280"/>
      </w:pPr>
      <w:r>
        <w:rPr>
          <w:rFonts w:ascii="Arial" w:cs="Arial" w:eastAsia="Arial" w:hAnsi="Arial"/>
          <w:b/>
          <w:bCs/>
          <w:color w:val="1B3A6B"/>
          <w:sz w:val="36"/>
          <w:szCs w:val="36"/>
        </w:rPr>
        <w:t xml:space="preserve">The Assessment at a Glance</w:t>
      </w:r>
    </w:p>
    <w:p>
      <w:pPr>
        <w:pBdr>
          <w:bottom w:val="single" w:color="1B3A6B" w:sz="8" w:space="1"/>
        </w:pBdr>
        <w:spacing w:after="0" w:before="0"/>
      </w:pPr>
    </w:p>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39"/>
        <w:gridCol w:w="4739"/>
      </w:tblGrid>
      <w:tr>
        <w:tc>
          <w:tcPr>
            <w:tcW w:type="dxa" w:w="4739"/>
            <w:tcBorders>
              <w:top w:val="none" w:color="FFFFFF" w:sz="0"/>
              <w:left w:val="none" w:color="FFFFFF" w:sz="0"/>
              <w:bottom w:val="none" w:color="FFFFFF" w:sz="0"/>
              <w:right w:val="none" w:color="FFFFFF" w:sz="0"/>
            </w:tcBorders>
            <w:tcMar>
              <w:top w:type="dxa" w:w="60"/>
              <w:left w:type="dxa" w:w="0"/>
              <w:bottom w:type="dxa" w:w="60"/>
              <w:right w:type="dxa" w:w="160"/>
            </w:tcMar>
          </w:tcPr>
          <w:p>
            <w:pPr>
              <w:spacing w:after="60" w:before="160"/>
            </w:pPr>
            <w:r>
              <w:rPr>
                <w:rFonts w:ascii="Arial" w:cs="Arial" w:eastAsia="Arial" w:hAnsi="Arial"/>
                <w:b/>
                <w:bCs/>
                <w:color w:val="0B6E6E"/>
                <w:sz w:val="22"/>
                <w:szCs w:val="22"/>
              </w:rPr>
              <w:t xml:space="preserve">AM1 — Scenario Demos with Questioning</w:t>
            </w:r>
          </w:p>
          <w:p>
            <w:pPr>
              <w:spacing w:after="80" w:before="60"/>
            </w:pPr>
            <w:r>
              <w:rPr>
                <w:rFonts w:ascii="Arial" w:cs="Arial" w:eastAsia="Arial" w:hAnsi="Arial"/>
                <w:b w:val="false"/>
                <w:bCs w:val="false"/>
                <w:i w:val="false"/>
                <w:iCs w:val="false"/>
                <w:color w:val="444444"/>
                <w:sz w:val="22"/>
                <w:szCs w:val="22"/>
              </w:rPr>
              <w:t xml:space="preserve">Two 45-minute practical demonstrations.</w:t>
            </w:r>
          </w:p>
          <w:p>
            <w:pPr>
              <w:spacing w:after="80" w:before="60"/>
            </w:pPr>
            <w:r>
              <w:rPr>
                <w:rFonts w:ascii="Arial" w:cs="Arial" w:eastAsia="Arial" w:hAnsi="Arial"/>
                <w:b w:val="false"/>
                <w:bCs w:val="false"/>
                <w:i w:val="false"/>
                <w:iCs w:val="false"/>
                <w:color w:val="444444"/>
                <w:sz w:val="22"/>
                <w:szCs w:val="22"/>
              </w:rPr>
              <w:t xml:space="preserve">Demo 1: Import, blend, merge, identify trends.</w:t>
            </w:r>
          </w:p>
          <w:p>
            <w:pPr>
              <w:spacing w:after="80" w:before="60"/>
            </w:pPr>
            <w:r>
              <w:rPr>
                <w:rFonts w:ascii="Arial" w:cs="Arial" w:eastAsia="Arial" w:hAnsi="Arial"/>
                <w:b w:val="false"/>
                <w:bCs w:val="false"/>
                <w:i w:val="false"/>
                <w:iCs w:val="false"/>
                <w:color w:val="444444"/>
                <w:sz w:val="22"/>
                <w:szCs w:val="22"/>
              </w:rPr>
              <w:t xml:space="preserve">Demo 2: Filter, stats, clean, normalise, dashboard.</w:t>
            </w:r>
          </w:p>
          <w:p>
            <w:pPr>
              <w:spacing w:after="80" w:before="60"/>
            </w:pPr>
            <w:r>
              <w:rPr>
                <w:rFonts w:ascii="Arial" w:cs="Arial" w:eastAsia="Arial" w:hAnsi="Arial"/>
                <w:b w:val="false"/>
                <w:bCs w:val="false"/>
                <w:i w:val="false"/>
                <w:iCs w:val="false"/>
                <w:color w:val="444444"/>
                <w:sz w:val="22"/>
                <w:szCs w:val="22"/>
              </w:rPr>
              <w:t xml:space="preserve">Minimum 10 questions asked by the assessor DURING each demo — not after.</w:t>
            </w:r>
          </w:p>
          <w:p>
            <w:pPr>
              <w:spacing w:after="80" w:before="60"/>
            </w:pPr>
            <w:r>
              <w:rPr>
                <w:rFonts w:ascii="Arial" w:cs="Arial" w:eastAsia="Arial" w:hAnsi="Arial"/>
                <w:b w:val="false"/>
                <w:bCs w:val="false"/>
                <w:i w:val="false"/>
                <w:iCs w:val="false"/>
                <w:color w:val="444444"/>
                <w:sz w:val="22"/>
                <w:szCs w:val="22"/>
              </w:rPr>
              <w:t xml:space="preserve">Save everything as .ods format.</w:t>
            </w:r>
          </w:p>
          <w:p>
            <w:pPr>
              <w:spacing w:after="80" w:before="60"/>
            </w:pPr>
            <w:r>
              <w:rPr>
                <w:rFonts w:ascii="Arial" w:cs="Arial" w:eastAsia="Arial" w:hAnsi="Arial"/>
                <w:b w:val="false"/>
                <w:bCs w:val="false"/>
                <w:i w:val="false"/>
                <w:iCs w:val="false"/>
                <w:color w:val="444444"/>
                <w:sz w:val="22"/>
                <w:szCs w:val="22"/>
              </w:rPr>
              <w:t xml:space="preserve">You keep nothing when you leave.</w:t>
            </w:r>
          </w:p>
          <w:p>
            <w:pPr>
              <w:spacing w:after="0" w:before="80"/>
            </w:pPr>
          </w:p>
          <w:p>
            <w:pPr>
              <w:spacing w:after="60" w:before="60"/>
            </w:pPr>
            <w:r>
              <w:rPr>
                <w:rFonts w:ascii="Arial" w:cs="Arial" w:eastAsia="Arial" w:hAnsi="Arial"/>
                <w:b/>
                <w:bCs/>
                <w:color w:val="0B6E6E"/>
                <w:sz w:val="22"/>
                <w:szCs w:val="22"/>
              </w:rPr>
              <w:t xml:space="preserve">Pass: </w:t>
            </w:r>
            <w:r>
              <w:rPr>
                <w:rFonts w:ascii="Arial" w:cs="Arial" w:eastAsia="Arial" w:hAnsi="Arial"/>
                <w:color w:val="444444"/>
                <w:sz w:val="22"/>
                <w:szCs w:val="22"/>
              </w:rPr>
              <w:t xml:space="preserve">complete the tasks correctly.</w:t>
            </w:r>
          </w:p>
          <w:p>
            <w:pPr>
              <w:spacing w:after="60" w:before="60"/>
            </w:pPr>
            <w:r>
              <w:rPr>
                <w:rFonts w:ascii="Arial" w:cs="Arial" w:eastAsia="Arial" w:hAnsi="Arial"/>
                <w:b/>
                <w:bCs/>
                <w:color w:val="1A6B3A"/>
                <w:sz w:val="22"/>
                <w:szCs w:val="22"/>
              </w:rPr>
              <w:t xml:space="preserve">Distinction: </w:t>
            </w:r>
            <w:r>
              <w:rPr>
                <w:rFonts w:ascii="Arial" w:cs="Arial" w:eastAsia="Arial" w:hAnsi="Arial"/>
                <w:color w:val="444444"/>
                <w:sz w:val="22"/>
                <w:szCs w:val="22"/>
              </w:rPr>
              <w:t xml:space="preserve">justify, evaluate and critically analyse every key decision.</w:t>
            </w:r>
          </w:p>
        </w:tc>
        <w:tc>
          <w:tcPr>
            <w:tcW w:type="dxa" w:w="4739"/>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60" w:before="160"/>
            </w:pPr>
            <w:r>
              <w:rPr>
                <w:rFonts w:ascii="Arial" w:cs="Arial" w:eastAsia="Arial" w:hAnsi="Arial"/>
                <w:b/>
                <w:bCs/>
                <w:color w:val="5B3A8B"/>
                <w:sz w:val="22"/>
                <w:szCs w:val="22"/>
              </w:rPr>
              <w:t xml:space="preserve">AM2 — Professional Discussion + Portfolio</w:t>
            </w:r>
          </w:p>
          <w:p>
            <w:pPr>
              <w:spacing w:after="80" w:before="60"/>
            </w:pPr>
            <w:r>
              <w:rPr>
                <w:rFonts w:ascii="Arial" w:cs="Arial" w:eastAsia="Arial" w:hAnsi="Arial"/>
                <w:b w:val="false"/>
                <w:bCs w:val="false"/>
                <w:i w:val="false"/>
                <w:iCs w:val="false"/>
                <w:color w:val="444444"/>
                <w:sz w:val="22"/>
                <w:szCs w:val="22"/>
              </w:rPr>
              <w:t xml:space="preserve">One 60-minute structured discussion.</w:t>
            </w:r>
          </w:p>
          <w:p>
            <w:pPr>
              <w:spacing w:after="80" w:before="60"/>
            </w:pPr>
            <w:r>
              <w:rPr>
                <w:rFonts w:ascii="Arial" w:cs="Arial" w:eastAsia="Arial" w:hAnsi="Arial"/>
                <w:b w:val="false"/>
                <w:bCs w:val="false"/>
                <w:i w:val="false"/>
                <w:iCs w:val="false"/>
                <w:color w:val="444444"/>
                <w:sz w:val="22"/>
                <w:szCs w:val="22"/>
              </w:rPr>
              <w:t xml:space="preserve">Four areas: Data Gathering — Data Analysis — Distribution and Dissemination — Approach to Work.</w:t>
            </w:r>
          </w:p>
          <w:p>
            <w:pPr>
              <w:spacing w:after="80" w:before="60"/>
            </w:pPr>
            <w:r>
              <w:rPr>
                <w:rFonts w:ascii="Arial" w:cs="Arial" w:eastAsia="Arial" w:hAnsi="Arial"/>
                <w:b w:val="false"/>
                <w:bCs w:val="false"/>
                <w:i w:val="false"/>
                <w:iCs w:val="false"/>
                <w:color w:val="444444"/>
                <w:sz w:val="22"/>
                <w:szCs w:val="22"/>
              </w:rPr>
              <w:t xml:space="preserve">Your portfolio (8 pieces of workplace evidence) sits on the table.</w:t>
            </w:r>
          </w:p>
          <w:p>
            <w:pPr>
              <w:spacing w:after="80" w:before="60"/>
            </w:pPr>
            <w:r>
              <w:rPr>
                <w:rFonts w:ascii="Arial" w:cs="Arial" w:eastAsia="Arial" w:hAnsi="Arial"/>
                <w:b w:val="false"/>
                <w:bCs w:val="false"/>
                <w:i w:val="false"/>
                <w:iCs w:val="false"/>
                <w:color w:val="444444"/>
                <w:sz w:val="22"/>
                <w:szCs w:val="22"/>
              </w:rPr>
              <w:t xml:space="preserve">Assessor draws on the portfolio but questions range wider.</w:t>
            </w:r>
          </w:p>
          <w:p>
            <w:pPr>
              <w:spacing w:after="0" w:before="80"/>
            </w:pPr>
          </w:p>
          <w:p>
            <w:pPr>
              <w:spacing w:after="60" w:before="60"/>
            </w:pPr>
            <w:r>
              <w:rPr>
                <w:rFonts w:ascii="Arial" w:cs="Arial" w:eastAsia="Arial" w:hAnsi="Arial"/>
                <w:b/>
                <w:bCs/>
                <w:color w:val="1A6B3A"/>
                <w:sz w:val="22"/>
                <w:szCs w:val="22"/>
              </w:rPr>
              <w:t xml:space="preserve">Distinction available in: </w:t>
            </w:r>
            <w:r>
              <w:rPr>
                <w:rFonts w:ascii="Arial" w:cs="Arial" w:eastAsia="Arial" w:hAnsi="Arial"/>
                <w:color w:val="444444"/>
                <w:sz w:val="22"/>
                <w:szCs w:val="22"/>
              </w:rPr>
              <w:t xml:space="preserve">Data Gathering and Distribution/Dissemination only.</w:t>
            </w:r>
          </w:p>
          <w:p>
            <w:pPr>
              <w:spacing w:after="60" w:before="60"/>
            </w:pPr>
            <w:r>
              <w:rPr>
                <w:rFonts w:ascii="Arial" w:cs="Arial" w:eastAsia="Arial" w:hAnsi="Arial"/>
                <w:b/>
                <w:bCs/>
                <w:color w:val="444444"/>
                <w:sz w:val="22"/>
                <w:szCs w:val="22"/>
              </w:rPr>
              <w:t xml:space="preserve">No distinction available in: </w:t>
            </w:r>
            <w:r>
              <w:rPr>
                <w:rFonts w:ascii="Arial" w:cs="Arial" w:eastAsia="Arial" w:hAnsi="Arial"/>
                <w:color w:val="444444"/>
                <w:sz w:val="22"/>
                <w:szCs w:val="22"/>
              </w:rPr>
              <w:t xml:space="preserve">Data Analysis or Approach to Work — just pass those.</w:t>
            </w:r>
          </w:p>
        </w:tc>
      </w:tr>
    </w:tbl>
    <w:p>
      <w:pPr>
        <w:spacing w:after="0" w:before="120"/>
      </w:pPr>
    </w:p>
    <w:p>
      <w:pPr>
        <w:pBdr>
          <w:bottom w:val="single" w:color="E8EDF2" w:sz="8" w:space="1"/>
        </w:pBdr>
        <w:spacing w:after="0" w:before="0"/>
      </w:pPr>
    </w:p>
    <w:p>
      <w:pPr>
        <w:spacing w:after="0" w:before="120"/>
      </w:pPr>
    </w:p>
    <w:p>
      <w:pPr>
        <w:spacing w:after="80" w:before="220"/>
      </w:pPr>
      <w:r>
        <w:rPr>
          <w:rFonts w:ascii="Arial" w:cs="Arial" w:eastAsia="Arial" w:hAnsi="Arial"/>
          <w:b/>
          <w:bCs/>
          <w:color w:val="1B3A6B"/>
          <w:sz w:val="26"/>
          <w:szCs w:val="26"/>
        </w:rPr>
        <w:t xml:space="preserve">Overall grade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3"/>
      </w:tblGrid>
      <w:tr>
        <w:tc>
          <w:tcPr>
            <w:tcW w:type="dxa" w:w="3212"/>
            <w:tcBorders>
              <w:top w:val="single" w:color="1B3A6B" w:sz="2"/>
              <w:left w:val="single" w:color="E8EDF2" w:sz="1"/>
              <w:bottom w:val="single" w:color="1B3A6B" w:sz="2"/>
              <w:right w:val="single" w:color="E8EDF2"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AM1 Grade</w:t>
            </w:r>
          </w:p>
        </w:tc>
        <w:tc>
          <w:tcPr>
            <w:tcW w:type="dxa" w:w="3212"/>
            <w:tcBorders>
              <w:top w:val="single" w:color="1B3A6B" w:sz="2"/>
              <w:left w:val="single" w:color="E8EDF2" w:sz="1"/>
              <w:bottom w:val="single" w:color="1B3A6B" w:sz="2"/>
              <w:right w:val="single" w:color="E8EDF2"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AM2 Grade</w:t>
            </w:r>
          </w:p>
        </w:tc>
        <w:tc>
          <w:tcPr>
            <w:tcW w:type="dxa" w:w="3213"/>
            <w:tcBorders>
              <w:top w:val="single" w:color="1B3A6B" w:sz="2"/>
              <w:left w:val="single" w:color="E8EDF2" w:sz="1"/>
              <w:bottom w:val="single" w:color="1B3A6B" w:sz="2"/>
              <w:right w:val="single" w:color="E8EDF2" w:sz="1"/>
            </w:tcBorders>
            <w:shd w:fill="1B3A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Overall</w:t>
            </w:r>
          </w:p>
        </w:tc>
      </w:tr>
      <w:tr>
        <w:tc>
          <w:tcPr>
            <w:tcW w:type="dxa" w:w="3212"/>
            <w:tcBorders>
              <w:top w:val="single" w:color="E8EDF2" w:sz="1"/>
              <w:left w:val="single" w:color="E8EDF2" w:sz="1"/>
              <w:bottom w:val="single" w:color="E8EDF2" w:sz="1"/>
              <w:right w:val="single" w:color="E8EDF2"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2"/>
                <w:szCs w:val="22"/>
              </w:rPr>
              <w:t xml:space="preserve">Pass</w:t>
            </w:r>
          </w:p>
        </w:tc>
        <w:tc>
          <w:tcPr>
            <w:tcW w:type="dxa" w:w="3212"/>
            <w:tcBorders>
              <w:top w:val="single" w:color="E8EDF2" w:sz="1"/>
              <w:left w:val="single" w:color="E8EDF2" w:sz="1"/>
              <w:bottom w:val="single" w:color="E8EDF2" w:sz="1"/>
              <w:right w:val="single" w:color="E8EDF2"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2"/>
                <w:szCs w:val="22"/>
              </w:rPr>
              <w:t xml:space="preserve">Pass</w:t>
            </w:r>
          </w:p>
        </w:tc>
        <w:tc>
          <w:tcPr>
            <w:tcW w:type="dxa" w:w="3213"/>
            <w:tcBorders>
              <w:top w:val="single" w:color="E8EDF2" w:sz="1"/>
              <w:left w:val="single" w:color="E8EDF2" w:sz="1"/>
              <w:bottom w:val="single" w:color="E8EDF2" w:sz="1"/>
              <w:right w:val="single" w:color="E8EDF2"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2"/>
                <w:szCs w:val="22"/>
              </w:rPr>
              <w:t xml:space="preserve">Pass</w:t>
            </w:r>
          </w:p>
        </w:tc>
      </w:tr>
      <w:tr>
        <w:tc>
          <w:tcPr>
            <w:tcW w:type="dxa" w:w="3212"/>
            <w:tcBorders>
              <w:top w:val="single" w:color="E8EDF2" w:sz="1"/>
              <w:left w:val="single" w:color="E8EDF2" w:sz="1"/>
              <w:bottom w:val="single" w:color="E8EDF2" w:sz="1"/>
              <w:right w:val="single" w:color="E8EDF2"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2"/>
                <w:szCs w:val="22"/>
              </w:rPr>
              <w:t xml:space="preserve">Distinction</w:t>
            </w:r>
          </w:p>
        </w:tc>
        <w:tc>
          <w:tcPr>
            <w:tcW w:type="dxa" w:w="3212"/>
            <w:tcBorders>
              <w:top w:val="single" w:color="E8EDF2" w:sz="1"/>
              <w:left w:val="single" w:color="E8EDF2" w:sz="1"/>
              <w:bottom w:val="single" w:color="E8EDF2" w:sz="1"/>
              <w:right w:val="single" w:color="E8EDF2"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2"/>
                <w:szCs w:val="22"/>
              </w:rPr>
              <w:t xml:space="preserve">Pass</w:t>
            </w:r>
          </w:p>
        </w:tc>
        <w:tc>
          <w:tcPr>
            <w:tcW w:type="dxa" w:w="3213"/>
            <w:tcBorders>
              <w:top w:val="single" w:color="E8EDF2" w:sz="1"/>
              <w:left w:val="single" w:color="E8EDF2" w:sz="1"/>
              <w:bottom w:val="single" w:color="E8EDF2" w:sz="1"/>
              <w:right w:val="single" w:color="E8EDF2"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2"/>
                <w:szCs w:val="22"/>
              </w:rPr>
              <w:t xml:space="preserve">Merit</w:t>
            </w:r>
          </w:p>
        </w:tc>
      </w:tr>
      <w:tr>
        <w:tc>
          <w:tcPr>
            <w:tcW w:type="dxa" w:w="3212"/>
            <w:tcBorders>
              <w:top w:val="single" w:color="E8EDF2" w:sz="1"/>
              <w:left w:val="single" w:color="E8EDF2" w:sz="1"/>
              <w:bottom w:val="single" w:color="E8EDF2" w:sz="1"/>
              <w:right w:val="single" w:color="E8EDF2"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2"/>
                <w:szCs w:val="22"/>
              </w:rPr>
              <w:t xml:space="preserve">Pass</w:t>
            </w:r>
          </w:p>
        </w:tc>
        <w:tc>
          <w:tcPr>
            <w:tcW w:type="dxa" w:w="3212"/>
            <w:tcBorders>
              <w:top w:val="single" w:color="E8EDF2" w:sz="1"/>
              <w:left w:val="single" w:color="E8EDF2" w:sz="1"/>
              <w:bottom w:val="single" w:color="E8EDF2" w:sz="1"/>
              <w:right w:val="single" w:color="E8EDF2"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2"/>
                <w:szCs w:val="22"/>
              </w:rPr>
              <w:t xml:space="preserve">Distinction</w:t>
            </w:r>
          </w:p>
        </w:tc>
        <w:tc>
          <w:tcPr>
            <w:tcW w:type="dxa" w:w="3213"/>
            <w:tcBorders>
              <w:top w:val="single" w:color="E8EDF2" w:sz="1"/>
              <w:left w:val="single" w:color="E8EDF2" w:sz="1"/>
              <w:bottom w:val="single" w:color="E8EDF2" w:sz="1"/>
              <w:right w:val="single" w:color="E8EDF2"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2"/>
                <w:szCs w:val="22"/>
              </w:rPr>
              <w:t xml:space="preserve">Merit</w:t>
            </w:r>
          </w:p>
        </w:tc>
      </w:tr>
      <w:tr>
        <w:tc>
          <w:tcPr>
            <w:tcW w:type="dxa" w:w="3212"/>
            <w:tcBorders>
              <w:top w:val="single" w:color="E8EDF2" w:sz="1"/>
              <w:left w:val="single" w:color="E8EDF2" w:sz="1"/>
              <w:bottom w:val="single" w:color="E8EDF2" w:sz="1"/>
              <w:right w:val="single" w:color="E8EDF2"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2"/>
                <w:szCs w:val="22"/>
              </w:rPr>
              <w:t xml:space="preserve">Distinction</w:t>
            </w:r>
          </w:p>
        </w:tc>
        <w:tc>
          <w:tcPr>
            <w:tcW w:type="dxa" w:w="3212"/>
            <w:tcBorders>
              <w:top w:val="single" w:color="E8EDF2" w:sz="1"/>
              <w:left w:val="single" w:color="E8EDF2" w:sz="1"/>
              <w:bottom w:val="single" w:color="E8EDF2" w:sz="1"/>
              <w:right w:val="single" w:color="E8EDF2"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22"/>
                <w:szCs w:val="22"/>
              </w:rPr>
              <w:t xml:space="preserve">Distinction</w:t>
            </w:r>
          </w:p>
        </w:tc>
        <w:tc>
          <w:tcPr>
            <w:tcW w:type="dxa" w:w="3213"/>
            <w:tcBorders>
              <w:top w:val="single" w:color="E8EDF2" w:sz="1"/>
              <w:left w:val="single" w:color="E8EDF2" w:sz="1"/>
              <w:bottom w:val="single" w:color="E8EDF2" w:sz="1"/>
              <w:right w:val="single" w:color="E8EDF2" w:sz="1"/>
            </w:tcBorders>
            <w:shd w:fill="EEF8F2" w:val="clear"/>
            <w:tcMar>
              <w:top w:type="dxa" w:w="80"/>
              <w:left w:type="dxa" w:w="120"/>
              <w:bottom w:type="dxa" w:w="80"/>
              <w:right w:type="dxa" w:w="120"/>
            </w:tcMar>
          </w:tcPr>
          <w:p>
            <w:pPr>
              <w:jc w:val="center"/>
            </w:pPr>
            <w:r>
              <w:rPr>
                <w:rFonts w:ascii="Arial" w:cs="Arial" w:eastAsia="Arial" w:hAnsi="Arial"/>
                <w:b/>
                <w:bCs/>
                <w:color w:val="1A6B3A"/>
                <w:sz w:val="22"/>
                <w:szCs w:val="22"/>
              </w:rPr>
              <w:t xml:space="preserve">DISTINCTION</w:t>
            </w:r>
          </w:p>
        </w:tc>
      </w:tr>
    </w:tbl>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47A1E" w:sz="6"/>
              <w:left w:val="single" w:color="C47A1E" w:sz="6"/>
              <w:bottom w:val="single" w:color="C47A1E" w:sz="6"/>
              <w:right w:val="single" w:color="C47A1E" w:sz="6"/>
            </w:tcBorders>
            <w:shd w:fill="FFF8EC" w:val="clear"/>
            <w:tcMar>
              <w:top w:type="dxa" w:w="120"/>
              <w:left w:type="dxa" w:w="200"/>
              <w:bottom w:type="dxa" w:w="120"/>
              <w:right w:type="dxa" w:w="200"/>
            </w:tcMar>
          </w:tcPr>
          <w:p>
            <w:pPr>
              <w:spacing w:after="60" w:before="60"/>
            </w:pPr>
            <w:r>
              <w:rPr>
                <w:rFonts w:ascii="Arial" w:cs="Arial" w:eastAsia="Arial" w:hAnsi="Arial"/>
                <w:b/>
                <w:bCs/>
                <w:color w:val="C47A1E"/>
                <w:sz w:val="22"/>
                <w:szCs w:val="22"/>
              </w:rPr>
              <w:t xml:space="preserve">Remember</w:t>
            </w:r>
          </w:p>
          <w:p>
            <w:pPr>
              <w:spacing w:after="40" w:before="40"/>
            </w:pPr>
            <w:r>
              <w:rPr>
                <w:rFonts w:ascii="Arial" w:cs="Arial" w:eastAsia="Arial" w:hAnsi="Arial"/>
                <w:color w:val="444444"/>
                <w:sz w:val="22"/>
                <w:szCs w:val="22"/>
              </w:rPr>
              <w:t xml:space="preserve">To get a Distinction overall, you need Distinction in both methods.</w:t>
            </w:r>
          </w:p>
          <w:p>
            <w:pPr>
              <w:spacing w:after="40" w:before="40"/>
            </w:pPr>
            <w:r>
              <w:rPr>
                <w:rFonts w:ascii="Arial" w:cs="Arial" w:eastAsia="Arial" w:hAnsi="Arial"/>
                <w:color w:val="444444"/>
                <w:sz w:val="22"/>
                <w:szCs w:val="22"/>
              </w:rPr>
              <w:t xml:space="preserve">Distinction in one and Pass in the other gives you a Merit — which is still excellent.</w:t>
            </w:r>
          </w:p>
          <w:p>
            <w:pPr>
              <w:spacing w:after="40" w:before="40"/>
            </w:pPr>
            <w:r>
              <w:rPr>
                <w:rFonts w:ascii="Arial" w:cs="Arial" w:eastAsia="Arial" w:hAnsi="Arial"/>
                <w:color w:val="444444"/>
                <w:sz w:val="22"/>
                <w:szCs w:val="22"/>
              </w:rPr>
              <w:t xml:space="preserve">A Pass in both is a solid, professional result.</w:t>
            </w:r>
          </w:p>
          <w:p>
            <w:pPr>
              <w:spacing w:after="40" w:before="40"/>
            </w:pPr>
            <w:r>
              <w:rPr>
                <w:rFonts w:ascii="Arial" w:cs="Arial" w:eastAsia="Arial" w:hAnsi="Arial"/>
                <w:color w:val="444444"/>
                <w:sz w:val="22"/>
                <w:szCs w:val="22"/>
              </w:rPr>
              <w:t xml:space="preserve">Failing either method means failing overall — so the floor matters as much as the ceiling.</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6E6E" w:sz="4" w:space="4"/>
      </w:pBdr>
      <w:spacing w:after="0" w:before="80"/>
    </w:pPr>
    <w:r>
      <w:rPr>
        <w:rFonts w:ascii="Arial" w:cs="Arial" w:eastAsia="Arial" w:hAnsi="Arial"/>
        <w:color w:val="888888"/>
        <w:sz w:val="18"/>
        <w:szCs w:val="18"/>
      </w:rPr>
      <w:t xml:space="preserve">StreamWave EPA Preparation  |  Level 3 Data Technician  |  ST0795</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2026-05-12T23:23:09.224Z</dcterms:created>
  <dcterms:modified xsi:type="dcterms:W3CDTF">2026-05-12T23:23:09.224Z</dcterms:modified>
</cp:coreProperties>
</file>

<file path=docProps/custom.xml><?xml version="1.0" encoding="utf-8"?>
<Properties xmlns="http://schemas.openxmlformats.org/officeDocument/2006/custom-properties" xmlns:vt="http://schemas.openxmlformats.org/officeDocument/2006/docPropsVTypes"/>
</file>