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rPr>
        <w:t>Laboratorio de Desarrollo Asistido: predicción de clientes insatisfechos en un chatbot de servicio al cliente</w:t>
      </w:r>
    </w:p>
    <w:p/>
    <w:p>
      <w:pPr>
        <w:jc w:val="center"/>
      </w:pPr>
      <w:r>
        <w:rPr>
          <w:b w:val="0"/>
          <w:i w:val="0"/>
        </w:rPr>
        <w:t>[Nombre del estudiante]</w:t>
      </w:r>
    </w:p>
    <w:p>
      <w:pPr>
        <w:jc w:val="center"/>
      </w:pPr>
      <w:r>
        <w:rPr>
          <w:b w:val="0"/>
          <w:i w:val="0"/>
        </w:rPr>
        <w:t>Atlantis University</w:t>
      </w:r>
    </w:p>
    <w:p>
      <w:pPr>
        <w:jc w:val="center"/>
      </w:pPr>
      <w:r>
        <w:rPr>
          <w:b w:val="0"/>
          <w:i w:val="0"/>
        </w:rPr>
        <w:t>MAI540 – Módulo 1, Tarea 1.2: Laboratorio de Desarrollo Asistido</w:t>
      </w:r>
    </w:p>
    <w:p>
      <w:pPr>
        <w:jc w:val="center"/>
      </w:pPr>
      <w:r>
        <w:rPr>
          <w:b w:val="0"/>
          <w:i w:val="0"/>
        </w:rPr>
        <w:t>[Nombre del profesor]</w:t>
      </w:r>
    </w:p>
    <w:p>
      <w:pPr>
        <w:jc w:val="center"/>
      </w:pPr>
      <w:r>
        <w:rPr>
          <w:b w:val="0"/>
          <w:i w:val="0"/>
        </w:rPr>
        <w:t>26 de septiembre de 2026</w:t>
      </w:r>
    </w:p>
    <w:p>
      <w:r>
        <w:br w:type="page"/>
      </w:r>
    </w:p>
    <w:p>
      <w:pPr>
        <w:jc w:val="center"/>
      </w:pPr>
      <w:r>
        <w:rPr>
          <w:b/>
          <w:i w:val="0"/>
        </w:rPr>
        <w:t>Laboratorio de Desarrollo Asistido: predicción de clientes insatisfechos en un chatbot de servicio al cliente</w:t>
      </w:r>
    </w:p>
    <w:p>
      <w:pPr>
        <w:ind w:firstLine="720"/>
      </w:pPr>
      <w:r>
        <w:rPr>
          <w:b w:val="0"/>
          <w:i w:val="0"/>
        </w:rPr>
        <w:t>Este informe documenta el desarrollo asistido por Claude Code (Anthropic, 2026) de un modelo de clasificación binaria que anticipa si un cliente quedará insatisfecho tras ser atendido por un chatbot de inteligencia artificial o por un agente humano. Se describe la comprensión inicial del proyecto, la ejecución de la línea base (ANTES), la interacción con la herramienta, la verificación realizada y los resultados obtenidos (DESPUÉS).</w:t>
      </w:r>
    </w:p>
    <w:p>
      <w:pPr>
        <w:pStyle w:val="Heading1"/>
      </w:pPr>
      <w:r>
        <w:t>Comprensión inicial</w:t>
      </w:r>
    </w:p>
    <w:p>
      <w:pPr>
        <w:ind w:firstLine="720"/>
      </w:pPr>
      <w:r>
        <w:rPr>
          <w:b w:val="0"/>
          <w:i w:val="0"/>
        </w:rPr>
        <w:t>El proyecto resuelve un problema de clasificación binaria: predecir si un cliente quedará insatisfecho, definido como una calificación de satisfacción menor o igual a 2 (</w:t>
      </w:r>
      <w:r>
        <w:rPr>
          <w:b w:val="0"/>
          <w:i/>
        </w:rPr>
        <w:t>Insatisfecho = Yes</w:t>
      </w:r>
      <w:r>
        <w:rPr>
          <w:b w:val="0"/>
          <w:i w:val="0"/>
        </w:rPr>
        <w:t>, clase positiva). Anticipar estos casos permitiría dar seguimiento antes de que el cliente responda la encuesta.</w:t>
      </w:r>
    </w:p>
    <w:p>
      <w:pPr>
        <w:ind w:firstLine="720"/>
      </w:pPr>
      <w:r>
        <w:rPr>
          <w:b w:val="0"/>
          <w:i w:val="0"/>
        </w:rPr>
        <w:t xml:space="preserve">Los datos provienen del </w:t>
      </w:r>
      <w:r>
        <w:rPr>
          <w:b w:val="0"/>
          <w:i/>
        </w:rPr>
        <w:t>Customer Service Interaction Dataset</w:t>
      </w:r>
      <w:r>
        <w:rPr>
          <w:b w:val="0"/>
          <w:i w:val="0"/>
        </w:rPr>
        <w:t xml:space="preserve"> (Zadafiya, s. f.), un conjunto sintético de Kaggle. La muestra utilizada contiene 4.500 interacciones y 13 columnas, sin valores nulos. Aproximadamente el 20 % de los casos son insatisfechos, por lo que las clases están desbalanceadas. Además, la variable </w:t>
      </w:r>
      <w:r>
        <w:rPr>
          <w:b w:val="0"/>
          <w:i/>
        </w:rPr>
        <w:t>customer_sentiment</w:t>
      </w:r>
      <w:r>
        <w:rPr>
          <w:b w:val="0"/>
          <w:i w:val="0"/>
        </w:rPr>
        <w:t xml:space="preserve"> oscila entre −0,72 y 1,00, aunque la documentación indica un rango de 0 a 1.</w:t>
      </w:r>
    </w:p>
    <w:p>
      <w:pPr>
        <w:ind w:firstLine="720"/>
      </w:pPr>
      <w:r>
        <w:rPr>
          <w:b w:val="0"/>
          <w:i w:val="0"/>
        </w:rPr>
        <w:t xml:space="preserve">El modelo inicial es una regresión logística (Pedregosa et al., 2011) con imputación por mediana que usa solo tres variables numéricas: </w:t>
      </w:r>
      <w:r>
        <w:rPr>
          <w:b w:val="0"/>
          <w:i/>
        </w:rPr>
        <w:t>response_time_min</w:t>
      </w:r>
      <w:r>
        <w:rPr>
          <w:b w:val="0"/>
          <w:i w:val="0"/>
        </w:rPr>
        <w:t xml:space="preserve">, </w:t>
      </w:r>
      <w:r>
        <w:rPr>
          <w:b w:val="0"/>
          <w:i/>
        </w:rPr>
        <w:t>interaction_cost_usd</w:t>
      </w:r>
      <w:r>
        <w:rPr>
          <w:b w:val="0"/>
          <w:i w:val="0"/>
        </w:rPr>
        <w:t xml:space="preserve"> y </w:t>
      </w:r>
      <w:r>
        <w:rPr>
          <w:b w:val="0"/>
          <w:i/>
        </w:rPr>
        <w:t>customer_sentiment</w:t>
      </w:r>
      <w:r>
        <w:rPr>
          <w:b w:val="0"/>
          <w:i w:val="0"/>
        </w:rPr>
        <w:t xml:space="preserve">. Le faltaban las variables categóricas (incluido </w:t>
      </w:r>
      <w:r>
        <w:rPr>
          <w:b w:val="0"/>
          <w:i/>
        </w:rPr>
        <w:t>dia_semana</w:t>
      </w:r>
      <w:r>
        <w:rPr>
          <w:b w:val="0"/>
          <w:i w:val="0"/>
        </w:rPr>
        <w:t xml:space="preserve">, derivado de </w:t>
      </w:r>
      <w:r>
        <w:rPr>
          <w:b w:val="0"/>
          <w:i/>
        </w:rPr>
        <w:t>timestamp</w:t>
      </w:r>
      <w:r>
        <w:rPr>
          <w:b w:val="0"/>
          <w:i w:val="0"/>
        </w:rPr>
        <w:t>), un transformador de columnas con escalado y codificación one-hot, el balanceo de clases, las métricas de la clase positiva y la comparación ANTES/DESPUÉS.</w:t>
      </w:r>
    </w:p>
    <w:p>
      <w:pPr>
        <w:pStyle w:val="Heading1"/>
      </w:pPr>
      <w:r>
        <w:t>Ejecución inicial (ANTES)</w:t>
      </w:r>
    </w:p>
    <w:p>
      <w:pPr>
        <w:ind w:firstLine="720"/>
      </w:pPr>
      <w:r>
        <w:rPr>
          <w:b w:val="0"/>
          <w:i w:val="0"/>
        </w:rPr>
        <w:t xml:space="preserve">Se ejecutó </w:t>
      </w:r>
      <w:r>
        <w:rPr>
          <w:b w:val="0"/>
          <w:i/>
        </w:rPr>
        <w:t>python main.py</w:t>
      </w:r>
      <w:r>
        <w:rPr>
          <w:b w:val="0"/>
          <w:i w:val="0"/>
        </w:rPr>
        <w:t xml:space="preserve"> sin modificar el archivo. El programa terminó sin errores (código de salida 0). El modelo alcanzó una exactitud (</w:t>
      </w:r>
      <w:r>
        <w:rPr>
          <w:b w:val="0"/>
          <w:i/>
        </w:rPr>
        <w:t>accuracy</w:t>
      </w:r>
      <w:r>
        <w:rPr>
          <w:b w:val="0"/>
          <w:i w:val="0"/>
        </w:rPr>
        <w:t xml:space="preserve">) de 0,8009 con la matriz de confusión [[901, 0], [224, 0]]. Es decir, predijo «No» en los 1.125 casos de prueba y no detectó a ninguno de los 224 clientes insatisfechos: la exactitud coincide con la proporción de la clase mayoritaria, y precisión, </w:t>
      </w:r>
      <w:r>
        <w:rPr>
          <w:b w:val="0"/>
          <w:i/>
        </w:rPr>
        <w:t>recall</w:t>
      </w:r>
      <w:r>
        <w:rPr>
          <w:b w:val="0"/>
          <w:i w:val="0"/>
        </w:rPr>
        <w:t xml:space="preserve"> y F1 de la clase positiva son 0. La única anomalía observada fue un problema de codificación de caracteres en la consola de Windows.</w:t>
      </w:r>
    </w:p>
    <w:p>
      <w:pPr>
        <w:pStyle w:val="Heading1"/>
      </w:pPr>
      <w:r>
        <w:t>Interacción con Claude Code</w:t>
      </w:r>
    </w:p>
    <w:p>
      <w:pPr>
        <w:pStyle w:val="Heading2"/>
      </w:pPr>
      <w:r>
        <w:t>Pasos e instrucciones</w:t>
      </w:r>
    </w:p>
    <w:p>
      <w:pPr>
        <w:ind w:firstLine="720"/>
      </w:pPr>
      <w:r>
        <w:rPr>
          <w:b w:val="0"/>
          <w:i w:val="0"/>
        </w:rPr>
        <w:t xml:space="preserve">En el primer paso el objetivo era entender el proyecto sin alterarlo; la instrucción fue leerlo y explicarlo sin modificar archivos, y funcionó. En el segundo paso se pidió ejecutarlo tal como estaba para obtener la línea base, lo que también funcionó y produjo el archivo </w:t>
      </w:r>
      <w:r>
        <w:rPr>
          <w:b w:val="0"/>
          <w:i/>
        </w:rPr>
        <w:t>ANTES_salida.txt</w:t>
      </w:r>
      <w:r>
        <w:rPr>
          <w:b w:val="0"/>
          <w:i w:val="0"/>
        </w:rPr>
        <w:t xml:space="preserve">. En el tercer paso se solicitó un plan antes de programar. Claude propuso un plan de nueve puntos ajustado al alcance del enunciado (diez variables, </w:t>
      </w:r>
      <w:r>
        <w:rPr>
          <w:b w:val="0"/>
          <w:i/>
        </w:rPr>
        <w:t>ColumnTransformer</w:t>
      </w:r>
      <w:r>
        <w:rPr>
          <w:b w:val="0"/>
          <w:i w:val="0"/>
        </w:rPr>
        <w:t xml:space="preserve">, </w:t>
      </w:r>
      <w:r>
        <w:rPr>
          <w:b w:val="0"/>
          <w:i/>
        </w:rPr>
        <w:t>class_weight='balanced'</w:t>
      </w:r>
      <w:r>
        <w:rPr>
          <w:b w:val="0"/>
          <w:i w:val="0"/>
        </w:rPr>
        <w:t>, cuatro métricas y una comparación ANTES/DESPUÉS); tras revisarlo, se autorizó la escritura del código.</w:t>
      </w:r>
    </w:p>
    <w:p>
      <w:pPr>
        <w:ind w:firstLine="720"/>
      </w:pPr>
      <w:r>
        <w:rPr>
          <w:b w:val="0"/>
          <w:i w:val="0"/>
        </w:rPr>
        <w:t>Respecto a la entrega, primero se indicó no subir nada al repositorio y después se pidió publicar la tarea en el repositorio MAESTRIA-IA con un nombre de carpeta específico y entregar una copia en la carpeta del Módulo 1 con este informe. La segunda instrucción, más precisa, permitió que la herramienta localizara el repositorio y la carpeta y completara la publicación.</w:t>
      </w:r>
    </w:p>
    <w:p>
      <w:pPr>
        <w:ind w:firstLine="720"/>
      </w:pPr>
      <w:r>
        <w:rPr>
          <w:b w:val="0"/>
          <w:i w:val="0"/>
        </w:rPr>
        <w:t xml:space="preserve">Posteriormente se pidió el informe en formato APA 7 y un cuaderno de Google Colab. Dos cosas no funcionaron a la primera: el informe inicial usaba fuente de 10,5 pt y márgenes de 1,25", por lo que no cumplía APA 7 y fue rehecho; y la primera versión del Colab incrustaba los datos como un bloque enorme de texto en base64, ilegible e inadecuado para una entrega, defecto que se detectó al abrirlo en Colab. Tras la instrucción «revisa el colab porque no está bien», la carga se cambió para leer </w:t>
      </w:r>
      <w:r>
        <w:rPr>
          <w:b w:val="0"/>
          <w:i/>
        </w:rPr>
        <w:t>datos.csv</w:t>
      </w:r>
      <w:r>
        <w:rPr>
          <w:b w:val="0"/>
          <w:i w:val="0"/>
        </w:rPr>
        <w:t xml:space="preserve"> desde el repositorio de GitHub, con subida manual como respaldo, y el cuaderno pasó de 456 KB a 41 KB. Además, la carpeta se borró del repositorio y del computador para regenerar el Colab y se volvió a publicar con todos los cambios; Claude hizo un respaldo local y sincronizó con </w:t>
      </w:r>
      <w:r>
        <w:rPr>
          <w:b w:val="0"/>
          <w:i/>
        </w:rPr>
        <w:t>pull --rebase</w:t>
      </w:r>
      <w:r>
        <w:rPr>
          <w:b w:val="0"/>
          <w:i w:val="0"/>
        </w:rPr>
        <w:t>, sin forzar.</w:t>
      </w:r>
    </w:p>
    <w:p>
      <w:pPr>
        <w:pStyle w:val="Heading2"/>
      </w:pPr>
      <w:r>
        <w:t>Decisiones tomadas por Claude por cuenta propia</w:t>
      </w:r>
    </w:p>
    <w:p>
      <w:pPr>
        <w:ind w:firstLine="720"/>
      </w:pPr>
      <w:r>
        <w:rPr>
          <w:b w:val="0"/>
          <w:i w:val="0"/>
        </w:rPr>
        <w:t xml:space="preserve">Claude decidió (a) revisar nulos, rango de sentimiento y proporción de clases; (b) conservar el modelo ANTES dentro del mismo </w:t>
      </w:r>
      <w:r>
        <w:rPr>
          <w:b w:val="0"/>
          <w:i/>
        </w:rPr>
        <w:t>main.py</w:t>
      </w:r>
      <w:r>
        <w:rPr>
          <w:b w:val="0"/>
          <w:i w:val="0"/>
        </w:rPr>
        <w:t xml:space="preserve"> para compararlo con idéntica partición; (c) guardar el original como </w:t>
      </w:r>
      <w:r>
        <w:rPr>
          <w:b w:val="0"/>
          <w:i/>
        </w:rPr>
        <w:t>main_original.py</w:t>
      </w:r>
      <w:r>
        <w:rPr>
          <w:b w:val="0"/>
          <w:i w:val="0"/>
        </w:rPr>
        <w:t xml:space="preserve">; (d) reconfigurar la salida a UTF-8; (e) usar </w:t>
      </w:r>
      <w:r>
        <w:rPr>
          <w:b w:val="0"/>
          <w:i/>
        </w:rPr>
        <w:t>zero_division=0</w:t>
      </w:r>
      <w:r>
        <w:rPr>
          <w:b w:val="0"/>
          <w:i w:val="0"/>
        </w:rPr>
        <w:t xml:space="preserve"> en las métricas del modelo ANTES; (f) regenerar </w:t>
      </w:r>
      <w:r>
        <w:rPr>
          <w:b w:val="0"/>
          <w:i/>
        </w:rPr>
        <w:t>DESPUES_salida.txt</w:t>
      </w:r>
      <w:r>
        <w:rPr>
          <w:b w:val="0"/>
          <w:i w:val="0"/>
        </w:rPr>
        <w:t xml:space="preserve"> con codificación limpia tras comprobar que las cifras eran idénticas; (g) integrar con </w:t>
      </w:r>
      <w:r>
        <w:rPr>
          <w:b w:val="0"/>
          <w:i/>
        </w:rPr>
        <w:t>pull --rebase</w:t>
      </w:r>
      <w:r>
        <w:rPr>
          <w:b w:val="0"/>
          <w:i w:val="0"/>
        </w:rPr>
        <w:t xml:space="preserve">, sin forzar, cuando el primer </w:t>
      </w:r>
      <w:r>
        <w:rPr>
          <w:b w:val="0"/>
          <w:i/>
        </w:rPr>
        <w:t>push</w:t>
      </w:r>
      <w:r>
        <w:rPr>
          <w:b w:val="0"/>
          <w:i w:val="0"/>
        </w:rPr>
        <w:t xml:space="preserve"> fue rechazado; (h) publicar solo la carpeta de la tarea, sin tocar otros cambios pendientes del repositorio; (i) incrustar los datos en base64 en el primer Colab (decisión errónea, corregida después); (j) ejecutar las celdas del Colab con un script propio y guardar sus salidas en el cuaderno, por no haber </w:t>
      </w:r>
      <w:r>
        <w:rPr>
          <w:b w:val="0"/>
          <w:i/>
        </w:rPr>
        <w:t>nbconvert</w:t>
      </w:r>
      <w:r>
        <w:rPr>
          <w:b w:val="0"/>
          <w:i w:val="0"/>
        </w:rPr>
        <w:t>; (k) rehacer el informe en APA 7; y (l) respaldar la carpeta antes de sincronizar con el remoto.</w:t>
      </w:r>
    </w:p>
    <w:p>
      <w:pPr>
        <w:pStyle w:val="Heading1"/>
      </w:pPr>
      <w:r>
        <w:t>Verificación</w:t>
      </w:r>
    </w:p>
    <w:p>
      <w:pPr>
        <w:ind w:firstLine="720"/>
      </w:pPr>
      <w:r>
        <w:rPr>
          <w:b w:val="0"/>
          <w:i w:val="0"/>
        </w:rPr>
        <w:t xml:space="preserve">Se ejecutó </w:t>
      </w:r>
      <w:r>
        <w:rPr>
          <w:b w:val="0"/>
          <w:i/>
        </w:rPr>
        <w:t>python main.py</w:t>
      </w:r>
      <w:r>
        <w:rPr>
          <w:b w:val="0"/>
          <w:i w:val="0"/>
        </w:rPr>
        <w:t xml:space="preserve"> y se guardó </w:t>
      </w:r>
      <w:r>
        <w:rPr>
          <w:b w:val="0"/>
          <w:i/>
        </w:rPr>
        <w:t>DESPUES_salida.txt</w:t>
      </w:r>
      <w:r>
        <w:rPr>
          <w:b w:val="0"/>
          <w:i w:val="0"/>
        </w:rPr>
        <w:t xml:space="preserve"> (código de salida 0, sin errores ni advertencias). El bloque ANTES del nuevo </w:t>
      </w:r>
      <w:r>
        <w:rPr>
          <w:b w:val="0"/>
          <w:i/>
        </w:rPr>
        <w:t>main.py</w:t>
      </w:r>
      <w:r>
        <w:rPr>
          <w:b w:val="0"/>
          <w:i w:val="0"/>
        </w:rPr>
        <w:t xml:space="preserve"> reproduce exactamente la salida original (accuracy de 0,8009 y matriz [[901, 0], [224, 0]]), lo que confirma que ambos modelos se evalúan sobre la misma partición (</w:t>
      </w:r>
      <w:r>
        <w:rPr>
          <w:b w:val="0"/>
          <w:i/>
        </w:rPr>
        <w:t>test_size</w:t>
      </w:r>
      <w:r>
        <w:rPr>
          <w:b w:val="0"/>
          <w:i w:val="0"/>
        </w:rPr>
        <w:t xml:space="preserve"> = 0,25, </w:t>
      </w:r>
      <w:r>
        <w:rPr>
          <w:b w:val="0"/>
          <w:i/>
        </w:rPr>
        <w:t>random_state</w:t>
      </w:r>
      <w:r>
        <w:rPr>
          <w:b w:val="0"/>
          <w:i w:val="0"/>
        </w:rPr>
        <w:t xml:space="preserve"> = 42, estratificada). En el código se inspeccionó que se usan exactamente las diez variables exigidas; que no entran </w:t>
      </w:r>
      <w:r>
        <w:rPr>
          <w:b w:val="0"/>
          <w:i/>
        </w:rPr>
        <w:t>customer_satisfaction</w:t>
      </w:r>
      <w:r>
        <w:rPr>
          <w:b w:val="0"/>
          <w:i w:val="0"/>
        </w:rPr>
        <w:t xml:space="preserve">, </w:t>
      </w:r>
      <w:r>
        <w:rPr>
          <w:b w:val="0"/>
          <w:i/>
        </w:rPr>
        <w:t>interaction_id</w:t>
      </w:r>
      <w:r>
        <w:rPr>
          <w:b w:val="0"/>
          <w:i w:val="0"/>
        </w:rPr>
        <w:t xml:space="preserve">, </w:t>
      </w:r>
      <w:r>
        <w:rPr>
          <w:b w:val="0"/>
          <w:i/>
        </w:rPr>
        <w:t>customer_id</w:t>
      </w:r>
      <w:r>
        <w:rPr>
          <w:b w:val="0"/>
          <w:i w:val="0"/>
        </w:rPr>
        <w:t xml:space="preserve"> ni </w:t>
      </w:r>
      <w:r>
        <w:rPr>
          <w:b w:val="0"/>
          <w:i/>
        </w:rPr>
        <w:t>timestamp</w:t>
      </w:r>
      <w:r>
        <w:rPr>
          <w:b w:val="0"/>
          <w:i w:val="0"/>
        </w:rPr>
        <w:t xml:space="preserve">; y que el preprocesamiento se ajusta solo con datos de entrenamiento, al estar dentro del </w:t>
      </w:r>
      <w:r>
        <w:rPr>
          <w:b w:val="0"/>
          <w:i/>
        </w:rPr>
        <w:t>Pipeline</w:t>
      </w:r>
      <w:r>
        <w:rPr>
          <w:b w:val="0"/>
          <w:i w:val="0"/>
        </w:rPr>
        <w:t>. Finalmente, ambas matrices suman 1.125 casos de prueba con 224 insatisfechos reales.</w:t>
      </w:r>
    </w:p>
    <w:p>
      <w:pPr>
        <w:ind w:firstLine="720"/>
      </w:pPr>
      <w:r>
        <w:rPr>
          <w:b w:val="0"/>
          <w:i w:val="0"/>
        </w:rPr>
        <w:t xml:space="preserve">Del cuaderno de Colab se ejecutaron todas las celdas en local: sus salidas coinciden con </w:t>
      </w:r>
      <w:r>
        <w:rPr>
          <w:b w:val="0"/>
          <w:i/>
        </w:rPr>
        <w:t>main.py</w:t>
      </w:r>
      <w:r>
        <w:rPr>
          <w:b w:val="0"/>
          <w:i w:val="0"/>
        </w:rPr>
        <w:t xml:space="preserve"> y sus aserciones (diez variables, sin columnas prohibidas, partición del 25 %, matrices que suman 1.125 y ANTES = 0,8009) pasaron. También se comprobó que las direcciones de </w:t>
      </w:r>
      <w:r>
        <w:rPr>
          <w:b w:val="0"/>
          <w:i/>
        </w:rPr>
        <w:t>datos.csv</w:t>
      </w:r>
      <w:r>
        <w:rPr>
          <w:b w:val="0"/>
          <w:i w:val="0"/>
        </w:rPr>
        <w:t xml:space="preserve"> y del cuaderno en GitHub responden correctamente y que la copia de la carpeta en el computador es idéntica a la del repositorio. Queda pendiente ejecutarlo dentro de Colab.</w:t>
      </w:r>
    </w:p>
    <w:p>
      <w:pPr>
        <w:pStyle w:val="Heading1"/>
      </w:pPr>
      <w:r>
        <w:t>Resultado (DESPUÉS)</w:t>
      </w:r>
    </w:p>
    <w:p>
      <w:pPr>
        <w:ind w:firstLine="720"/>
      </w:pPr>
      <w:r>
        <w:rPr>
          <w:b w:val="0"/>
          <w:i w:val="0"/>
        </w:rPr>
        <w:t xml:space="preserve">El modelo final usa las diez variables, un </w:t>
      </w:r>
      <w:r>
        <w:rPr>
          <w:b w:val="0"/>
          <w:i/>
        </w:rPr>
        <w:t>ColumnTransformer</w:t>
      </w:r>
      <w:r>
        <w:rPr>
          <w:b w:val="0"/>
          <w:i w:val="0"/>
        </w:rPr>
        <w:t xml:space="preserve"> (rama numérica: imputación por mediana y </w:t>
      </w:r>
      <w:r>
        <w:rPr>
          <w:b w:val="0"/>
          <w:i/>
        </w:rPr>
        <w:t>StandardScaler</w:t>
      </w:r>
      <w:r>
        <w:rPr>
          <w:b w:val="0"/>
          <w:i w:val="0"/>
        </w:rPr>
        <w:t xml:space="preserve">; rama categórica: imputación por moda y </w:t>
      </w:r>
      <w:r>
        <w:rPr>
          <w:b w:val="0"/>
          <w:i/>
        </w:rPr>
        <w:t>OneHotEncoder</w:t>
      </w:r>
      <w:r>
        <w:rPr>
          <w:b w:val="0"/>
          <w:i w:val="0"/>
        </w:rPr>
        <w:t xml:space="preserve">) y una regresión logística con </w:t>
      </w:r>
      <w:r>
        <w:rPr>
          <w:b w:val="0"/>
          <w:i/>
        </w:rPr>
        <w:t>class_weight='balanced'</w:t>
      </w:r>
      <w:r>
        <w:rPr>
          <w:b w:val="0"/>
          <w:i w:val="0"/>
        </w:rPr>
        <w:t xml:space="preserve">. La Tabla 1 compara las métricas de la clase </w:t>
      </w:r>
      <w:r>
        <w:rPr>
          <w:b w:val="0"/>
          <w:i/>
        </w:rPr>
        <w:t>Insatisfecho = Yes</w:t>
      </w:r>
      <w:r>
        <w:rPr>
          <w:b w:val="0"/>
          <w:i w:val="0"/>
        </w:rPr>
        <w:t xml:space="preserve"> y la Tabla 2 muestra las matrices de confusión.</w:t>
      </w:r>
    </w:p>
    <w:p>
      <w:pPr>
        <w:keepNext/>
      </w:pPr>
      <w:r>
        <w:rPr>
          <w:b/>
          <w:i w:val="0"/>
        </w:rPr>
        <w:t>Tabla 1</w:t>
      </w:r>
    </w:p>
    <w:p>
      <w:pPr>
        <w:keepNext/>
      </w:pPr>
      <w:r>
        <w:rPr>
          <w:b w:val="0"/>
          <w:i/>
        </w:rPr>
        <w:t>Métricas de la clase Insatisfecho = Yes antes y después de la mejora</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tcBorders>
              <w:top w:val="single" w:sz="8" w:space="0" w:color="000000"/>
              <w:bottom w:val="single" w:sz="8" w:space="0" w:color="000000"/>
            </w:tcBorders>
          </w:tcPr>
          <w:p>
            <w:pPr>
              <w:spacing w:line="240" w:lineRule="auto"/>
              <w:jc w:val="left"/>
            </w:pPr>
            <w:r>
              <w:t>Métrica</w:t>
            </w:r>
          </w:p>
        </w:tc>
        <w:tc>
          <w:tcPr>
            <w:tcW w:type="dxa" w:w="1872"/>
            <w:tcBorders>
              <w:top w:val="single" w:sz="8" w:space="0" w:color="000000"/>
              <w:bottom w:val="single" w:sz="8" w:space="0" w:color="000000"/>
            </w:tcBorders>
          </w:tcPr>
          <w:p>
            <w:pPr>
              <w:spacing w:line="240" w:lineRule="auto"/>
              <w:jc w:val="center"/>
            </w:pPr>
            <w:r>
              <w:t>ANTES</w:t>
            </w:r>
          </w:p>
        </w:tc>
        <w:tc>
          <w:tcPr>
            <w:tcW w:type="dxa" w:w="1872"/>
            <w:tcBorders>
              <w:top w:val="single" w:sz="8" w:space="0" w:color="000000"/>
              <w:bottom w:val="single" w:sz="8" w:space="0" w:color="000000"/>
            </w:tcBorders>
          </w:tcPr>
          <w:p>
            <w:pPr>
              <w:spacing w:line="240" w:lineRule="auto"/>
              <w:jc w:val="center"/>
            </w:pPr>
            <w:r>
              <w:t>DESPUÉS</w:t>
            </w:r>
          </w:p>
        </w:tc>
        <w:tc>
          <w:tcPr>
            <w:tcW w:type="dxa" w:w="1872"/>
            <w:tcBorders>
              <w:top w:val="single" w:sz="8" w:space="0" w:color="000000"/>
              <w:bottom w:val="single" w:sz="8" w:space="0" w:color="000000"/>
            </w:tcBorders>
          </w:tcPr>
          <w:p>
            <w:pPr>
              <w:spacing w:line="240" w:lineRule="auto"/>
              <w:jc w:val="center"/>
            </w:pPr>
            <w:r>
              <w:t>Cambio</w:t>
            </w:r>
          </w:p>
        </w:tc>
      </w:tr>
      <w:tr>
        <w:tc>
          <w:tcPr>
            <w:tcW w:type="dxa" w:w="2592"/>
          </w:tcPr>
          <w:p>
            <w:pPr>
              <w:spacing w:line="240" w:lineRule="auto"/>
              <w:jc w:val="left"/>
            </w:pPr>
            <w:r>
              <w:t>Exactitud</w:t>
            </w:r>
          </w:p>
        </w:tc>
        <w:tc>
          <w:tcPr>
            <w:tcW w:type="dxa" w:w="1872"/>
          </w:tcPr>
          <w:p>
            <w:pPr>
              <w:spacing w:line="240" w:lineRule="auto"/>
              <w:jc w:val="center"/>
            </w:pPr>
            <w:r>
              <w:t>0,8009</w:t>
            </w:r>
          </w:p>
        </w:tc>
        <w:tc>
          <w:tcPr>
            <w:tcW w:type="dxa" w:w="1872"/>
          </w:tcPr>
          <w:p>
            <w:pPr>
              <w:spacing w:line="240" w:lineRule="auto"/>
              <w:jc w:val="center"/>
            </w:pPr>
            <w:r>
              <w:t>0,8204</w:t>
            </w:r>
          </w:p>
        </w:tc>
        <w:tc>
          <w:tcPr>
            <w:tcW w:type="dxa" w:w="1872"/>
          </w:tcPr>
          <w:p>
            <w:pPr>
              <w:spacing w:line="240" w:lineRule="auto"/>
              <w:jc w:val="center"/>
            </w:pPr>
            <w:r>
              <w:t>+0,0196</w:t>
            </w:r>
          </w:p>
        </w:tc>
      </w:tr>
      <w:tr>
        <w:tc>
          <w:tcPr>
            <w:tcW w:type="dxa" w:w="2592"/>
          </w:tcPr>
          <w:p>
            <w:pPr>
              <w:spacing w:line="240" w:lineRule="auto"/>
              <w:jc w:val="left"/>
            </w:pPr>
            <w:r>
              <w:t>Precisión</w:t>
            </w:r>
          </w:p>
        </w:tc>
        <w:tc>
          <w:tcPr>
            <w:tcW w:type="dxa" w:w="1872"/>
          </w:tcPr>
          <w:p>
            <w:pPr>
              <w:spacing w:line="240" w:lineRule="auto"/>
              <w:jc w:val="center"/>
            </w:pPr>
            <w:r>
              <w:t>0,0000</w:t>
            </w:r>
          </w:p>
        </w:tc>
        <w:tc>
          <w:tcPr>
            <w:tcW w:type="dxa" w:w="1872"/>
          </w:tcPr>
          <w:p>
            <w:pPr>
              <w:spacing w:line="240" w:lineRule="auto"/>
              <w:jc w:val="center"/>
            </w:pPr>
            <w:r>
              <w:t>0,5372</w:t>
            </w:r>
          </w:p>
        </w:tc>
        <w:tc>
          <w:tcPr>
            <w:tcW w:type="dxa" w:w="1872"/>
          </w:tcPr>
          <w:p>
            <w:pPr>
              <w:spacing w:line="240" w:lineRule="auto"/>
              <w:jc w:val="center"/>
            </w:pPr>
            <w:r>
              <w:t>+0,5372</w:t>
            </w:r>
          </w:p>
        </w:tc>
      </w:tr>
      <w:tr>
        <w:tc>
          <w:tcPr>
            <w:tcW w:type="dxa" w:w="2592"/>
          </w:tcPr>
          <w:p>
            <w:pPr>
              <w:spacing w:line="240" w:lineRule="auto"/>
              <w:jc w:val="left"/>
            </w:pPr>
            <w:r>
              <w:t>Recall</w:t>
            </w:r>
          </w:p>
        </w:tc>
        <w:tc>
          <w:tcPr>
            <w:tcW w:type="dxa" w:w="1872"/>
          </w:tcPr>
          <w:p>
            <w:pPr>
              <w:spacing w:line="240" w:lineRule="auto"/>
              <w:jc w:val="center"/>
            </w:pPr>
            <w:r>
              <w:t>0,0000</w:t>
            </w:r>
          </w:p>
        </w:tc>
        <w:tc>
          <w:tcPr>
            <w:tcW w:type="dxa" w:w="1872"/>
          </w:tcPr>
          <w:p>
            <w:pPr>
              <w:spacing w:line="240" w:lineRule="auto"/>
              <w:jc w:val="center"/>
            </w:pPr>
            <w:r>
              <w:t>0,7098</w:t>
            </w:r>
          </w:p>
        </w:tc>
        <w:tc>
          <w:tcPr>
            <w:tcW w:type="dxa" w:w="1872"/>
          </w:tcPr>
          <w:p>
            <w:pPr>
              <w:spacing w:line="240" w:lineRule="auto"/>
              <w:jc w:val="center"/>
            </w:pPr>
            <w:r>
              <w:t>+0,7098</w:t>
            </w:r>
          </w:p>
        </w:tc>
      </w:tr>
      <w:tr>
        <w:tc>
          <w:tcPr>
            <w:tcW w:type="dxa" w:w="2592"/>
            <w:tcBorders>
              <w:bottom w:val="single" w:sz="8" w:space="0" w:color="000000"/>
            </w:tcBorders>
          </w:tcPr>
          <w:p>
            <w:pPr>
              <w:spacing w:line="240" w:lineRule="auto"/>
              <w:jc w:val="left"/>
            </w:pPr>
            <w:r>
              <w:t>F1</w:t>
            </w:r>
          </w:p>
        </w:tc>
        <w:tc>
          <w:tcPr>
            <w:tcW w:type="dxa" w:w="1872"/>
            <w:tcBorders>
              <w:bottom w:val="single" w:sz="8" w:space="0" w:color="000000"/>
            </w:tcBorders>
          </w:tcPr>
          <w:p>
            <w:pPr>
              <w:spacing w:line="240" w:lineRule="auto"/>
              <w:jc w:val="center"/>
            </w:pPr>
            <w:r>
              <w:t>0,0000</w:t>
            </w:r>
          </w:p>
        </w:tc>
        <w:tc>
          <w:tcPr>
            <w:tcW w:type="dxa" w:w="1872"/>
            <w:tcBorders>
              <w:bottom w:val="single" w:sz="8" w:space="0" w:color="000000"/>
            </w:tcBorders>
          </w:tcPr>
          <w:p>
            <w:pPr>
              <w:spacing w:line="240" w:lineRule="auto"/>
              <w:jc w:val="center"/>
            </w:pPr>
            <w:r>
              <w:t>0,6115</w:t>
            </w:r>
          </w:p>
        </w:tc>
        <w:tc>
          <w:tcPr>
            <w:tcW w:type="dxa" w:w="1872"/>
            <w:tcBorders>
              <w:bottom w:val="single" w:sz="8" w:space="0" w:color="000000"/>
            </w:tcBorders>
          </w:tcPr>
          <w:p>
            <w:pPr>
              <w:spacing w:line="240" w:lineRule="auto"/>
              <w:jc w:val="center"/>
            </w:pPr>
            <w:r>
              <w:t>+0,6115</w:t>
            </w:r>
          </w:p>
        </w:tc>
      </w:tr>
    </w:tbl>
    <w:p>
      <w:pPr>
        <w:spacing w:line="240" w:lineRule="auto" w:before="80" w:after="240"/>
      </w:pPr>
      <w:r>
        <w:rPr>
          <w:b w:val="0"/>
          <w:i/>
        </w:rPr>
        <w:t>Nota.</w:t>
      </w:r>
      <w:r>
        <w:rPr>
          <w:b w:val="0"/>
          <w:i w:val="0"/>
        </w:rPr>
        <w:t xml:space="preserve"> Conjunto de prueba de 1.125 casos (224 insatisfechos). Elaboración propia.</w:t>
      </w:r>
    </w:p>
    <w:p>
      <w:pPr>
        <w:keepNext/>
      </w:pPr>
      <w:r>
        <w:rPr>
          <w:b/>
          <w:i w:val="0"/>
        </w:rPr>
        <w:t>Tabla 2</w:t>
      </w:r>
    </w:p>
    <w:p>
      <w:pPr>
        <w:keepNext/>
      </w:pPr>
      <w:r>
        <w:rPr>
          <w:b w:val="0"/>
          <w:i/>
        </w:rPr>
        <w:t>Matrices de confusión en el conjunto de prueba</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584"/>
            <w:tcBorders>
              <w:top w:val="single" w:sz="8" w:space="0" w:color="000000"/>
              <w:bottom w:val="single" w:sz="8" w:space="0" w:color="000000"/>
            </w:tcBorders>
          </w:tcPr>
          <w:p>
            <w:pPr>
              <w:spacing w:line="240" w:lineRule="auto"/>
              <w:jc w:val="left"/>
            </w:pPr>
            <w:r>
              <w:t>Modelo</w:t>
            </w:r>
          </w:p>
        </w:tc>
        <w:tc>
          <w:tcPr>
            <w:tcW w:type="dxa" w:w="2016"/>
            <w:tcBorders>
              <w:top w:val="single" w:sz="8" w:space="0" w:color="000000"/>
              <w:bottom w:val="single" w:sz="8" w:space="0" w:color="000000"/>
            </w:tcBorders>
          </w:tcPr>
          <w:p>
            <w:pPr>
              <w:spacing w:line="240" w:lineRule="auto"/>
              <w:jc w:val="center"/>
            </w:pPr>
            <w:r>
              <w:t>Verdaderos negativos</w:t>
            </w:r>
          </w:p>
        </w:tc>
        <w:tc>
          <w:tcPr>
            <w:tcW w:type="dxa" w:w="1872"/>
            <w:tcBorders>
              <w:top w:val="single" w:sz="8" w:space="0" w:color="000000"/>
              <w:bottom w:val="single" w:sz="8" w:space="0" w:color="000000"/>
            </w:tcBorders>
          </w:tcPr>
          <w:p>
            <w:pPr>
              <w:spacing w:line="240" w:lineRule="auto"/>
              <w:jc w:val="center"/>
            </w:pPr>
            <w:r>
              <w:t>Falsos positivos</w:t>
            </w:r>
          </w:p>
        </w:tc>
        <w:tc>
          <w:tcPr>
            <w:tcW w:type="dxa" w:w="1872"/>
            <w:tcBorders>
              <w:top w:val="single" w:sz="8" w:space="0" w:color="000000"/>
              <w:bottom w:val="single" w:sz="8" w:space="0" w:color="000000"/>
            </w:tcBorders>
          </w:tcPr>
          <w:p>
            <w:pPr>
              <w:spacing w:line="240" w:lineRule="auto"/>
              <w:jc w:val="center"/>
            </w:pPr>
            <w:r>
              <w:t>Falsos negativos</w:t>
            </w:r>
          </w:p>
        </w:tc>
        <w:tc>
          <w:tcPr>
            <w:tcW w:type="dxa" w:w="2016"/>
            <w:tcBorders>
              <w:top w:val="single" w:sz="8" w:space="0" w:color="000000"/>
              <w:bottom w:val="single" w:sz="8" w:space="0" w:color="000000"/>
            </w:tcBorders>
          </w:tcPr>
          <w:p>
            <w:pPr>
              <w:spacing w:line="240" w:lineRule="auto"/>
              <w:jc w:val="center"/>
            </w:pPr>
            <w:r>
              <w:t>Verdaderos positivos</w:t>
            </w:r>
          </w:p>
        </w:tc>
      </w:tr>
      <w:tr>
        <w:tc>
          <w:tcPr>
            <w:tcW w:type="dxa" w:w="1584"/>
          </w:tcPr>
          <w:p>
            <w:pPr>
              <w:spacing w:line="240" w:lineRule="auto"/>
              <w:jc w:val="left"/>
            </w:pPr>
            <w:r>
              <w:t>ANTES</w:t>
            </w:r>
          </w:p>
        </w:tc>
        <w:tc>
          <w:tcPr>
            <w:tcW w:type="dxa" w:w="2016"/>
          </w:tcPr>
          <w:p>
            <w:pPr>
              <w:spacing w:line="240" w:lineRule="auto"/>
              <w:jc w:val="center"/>
            </w:pPr>
            <w:r>
              <w:t>901</w:t>
            </w:r>
          </w:p>
        </w:tc>
        <w:tc>
          <w:tcPr>
            <w:tcW w:type="dxa" w:w="1872"/>
          </w:tcPr>
          <w:p>
            <w:pPr>
              <w:spacing w:line="240" w:lineRule="auto"/>
              <w:jc w:val="center"/>
            </w:pPr>
            <w:r>
              <w:t>0</w:t>
            </w:r>
          </w:p>
        </w:tc>
        <w:tc>
          <w:tcPr>
            <w:tcW w:type="dxa" w:w="1872"/>
          </w:tcPr>
          <w:p>
            <w:pPr>
              <w:spacing w:line="240" w:lineRule="auto"/>
              <w:jc w:val="center"/>
            </w:pPr>
            <w:r>
              <w:t>224</w:t>
            </w:r>
          </w:p>
        </w:tc>
        <w:tc>
          <w:tcPr>
            <w:tcW w:type="dxa" w:w="2016"/>
          </w:tcPr>
          <w:p>
            <w:pPr>
              <w:spacing w:line="240" w:lineRule="auto"/>
              <w:jc w:val="center"/>
            </w:pPr>
            <w:r>
              <w:t>0</w:t>
            </w:r>
          </w:p>
        </w:tc>
      </w:tr>
      <w:tr>
        <w:tc>
          <w:tcPr>
            <w:tcW w:type="dxa" w:w="1584"/>
            <w:tcBorders>
              <w:bottom w:val="single" w:sz="8" w:space="0" w:color="000000"/>
            </w:tcBorders>
          </w:tcPr>
          <w:p>
            <w:pPr>
              <w:spacing w:line="240" w:lineRule="auto"/>
              <w:jc w:val="left"/>
            </w:pPr>
            <w:r>
              <w:t>DESPUÉS</w:t>
            </w:r>
          </w:p>
        </w:tc>
        <w:tc>
          <w:tcPr>
            <w:tcW w:type="dxa" w:w="2016"/>
            <w:tcBorders>
              <w:bottom w:val="single" w:sz="8" w:space="0" w:color="000000"/>
            </w:tcBorders>
          </w:tcPr>
          <w:p>
            <w:pPr>
              <w:spacing w:line="240" w:lineRule="auto"/>
              <w:jc w:val="center"/>
            </w:pPr>
            <w:r>
              <w:t>764</w:t>
            </w:r>
          </w:p>
        </w:tc>
        <w:tc>
          <w:tcPr>
            <w:tcW w:type="dxa" w:w="1872"/>
            <w:tcBorders>
              <w:bottom w:val="single" w:sz="8" w:space="0" w:color="000000"/>
            </w:tcBorders>
          </w:tcPr>
          <w:p>
            <w:pPr>
              <w:spacing w:line="240" w:lineRule="auto"/>
              <w:jc w:val="center"/>
            </w:pPr>
            <w:r>
              <w:t>137</w:t>
            </w:r>
          </w:p>
        </w:tc>
        <w:tc>
          <w:tcPr>
            <w:tcW w:type="dxa" w:w="1872"/>
            <w:tcBorders>
              <w:bottom w:val="single" w:sz="8" w:space="0" w:color="000000"/>
            </w:tcBorders>
          </w:tcPr>
          <w:p>
            <w:pPr>
              <w:spacing w:line="240" w:lineRule="auto"/>
              <w:jc w:val="center"/>
            </w:pPr>
            <w:r>
              <w:t>65</w:t>
            </w:r>
          </w:p>
        </w:tc>
        <w:tc>
          <w:tcPr>
            <w:tcW w:type="dxa" w:w="2016"/>
            <w:tcBorders>
              <w:bottom w:val="single" w:sz="8" w:space="0" w:color="000000"/>
            </w:tcBorders>
          </w:tcPr>
          <w:p>
            <w:pPr>
              <w:spacing w:line="240" w:lineRule="auto"/>
              <w:jc w:val="center"/>
            </w:pPr>
            <w:r>
              <w:t>159</w:t>
            </w:r>
          </w:p>
        </w:tc>
      </w:tr>
    </w:tbl>
    <w:p>
      <w:pPr>
        <w:spacing w:line="240" w:lineRule="auto" w:before="80" w:after="240"/>
      </w:pPr>
      <w:r>
        <w:rPr>
          <w:b w:val="0"/>
          <w:i/>
        </w:rPr>
        <w:t>Nota.</w:t>
      </w:r>
      <w:r>
        <w:rPr>
          <w:b w:val="0"/>
          <w:i w:val="0"/>
        </w:rPr>
        <w:t xml:space="preserve"> Clase positiva = Insatisfecho. Elaboración propia.</w:t>
      </w:r>
    </w:p>
    <w:p>
      <w:pPr>
        <w:ind w:firstLine="720"/>
      </w:pPr>
      <w:r>
        <w:rPr>
          <w:b w:val="0"/>
          <w:i w:val="0"/>
        </w:rPr>
        <w:t>El modelo pasó de no detectar ningún cliente insatisfecho a detectar 159 de 224 (</w:t>
      </w:r>
      <w:r>
        <w:rPr>
          <w:b w:val="0"/>
          <w:i/>
        </w:rPr>
        <w:t>recall</w:t>
      </w:r>
      <w:r>
        <w:rPr>
          <w:b w:val="0"/>
          <w:i w:val="0"/>
        </w:rPr>
        <w:t xml:space="preserve"> = 0,71). La exactitud aumenta solo 0,02, pero precisión, </w:t>
      </w:r>
      <w:r>
        <w:rPr>
          <w:b w:val="0"/>
          <w:i/>
        </w:rPr>
        <w:t>recall</w:t>
      </w:r>
      <w:r>
        <w:rPr>
          <w:b w:val="0"/>
          <w:i w:val="0"/>
        </w:rPr>
        <w:t xml:space="preserve"> y F1 pasan de 0 a 0,54, 0,71 y 0,61, respectivamente. El costo es la aparición de 137 falsos positivos. La mejora obedece a que </w:t>
      </w:r>
      <w:r>
        <w:rPr>
          <w:b w:val="0"/>
          <w:i/>
        </w:rPr>
        <w:t>class_weight='balanced'</w:t>
      </w:r>
      <w:r>
        <w:rPr>
          <w:b w:val="0"/>
          <w:i w:val="0"/>
        </w:rPr>
        <w:t xml:space="preserve"> da mayor peso a la clase minoritaria y a que las variables categóricas aportan información nueva.</w:t>
      </w:r>
    </w:p>
    <w:p>
      <w:pPr>
        <w:pStyle w:val="Heading1"/>
      </w:pPr>
      <w:r>
        <w:t>Explicación propia</w:t>
      </w:r>
    </w:p>
    <w:p>
      <w:pPr>
        <w:ind w:firstLine="720"/>
      </w:pPr>
      <w:r>
        <w:rPr>
          <w:b w:val="0"/>
          <w:i w:val="0"/>
          <w:highlight w:val="yellow"/>
        </w:rPr>
        <w:t>[Pendiente: redactar con las propias palabras del estudiante qué hace el código incorporado (conversión de timestamp a dia_semana, tratamiento de follow_up_required, ColumnTransformer con sus dos ramas, ajuste solo con entrenamiento, class_weight='balanced' y métricas de la clase positiva) y por qué resuelve el problema del modelo inicial. Explicar también por qué la exactitud engaña con clases desbalanceadas.]</w:t>
      </w:r>
    </w:p>
    <w:p>
      <w:r>
        <w:br w:type="page"/>
      </w:r>
    </w:p>
    <w:p>
      <w:pPr>
        <w:pStyle w:val="Heading1"/>
      </w:pPr>
      <w:r>
        <w:t>Referencias</w:t>
      </w:r>
    </w:p>
    <w:p>
      <w:pPr>
        <w:ind w:left="720" w:hanging="720"/>
      </w:pPr>
      <w:r>
        <w:rPr>
          <w:b w:val="0"/>
          <w:i w:val="0"/>
        </w:rPr>
        <w:t xml:space="preserve">Anthropic. (2026). </w:t>
      </w:r>
      <w:r>
        <w:rPr>
          <w:b w:val="0"/>
          <w:i/>
        </w:rPr>
        <w:t>Claude Code</w:t>
      </w:r>
      <w:r>
        <w:rPr>
          <w:b w:val="0"/>
          <w:i w:val="0"/>
        </w:rPr>
        <w:t xml:space="preserve"> [Software]. https://claude.com/claude-code</w:t>
      </w:r>
    </w:p>
    <w:p>
      <w:pPr>
        <w:ind w:left="720" w:hanging="720"/>
      </w:pPr>
      <w:r>
        <w:rPr>
          <w:b w:val="0"/>
          <w:i w:val="0"/>
        </w:rPr>
        <w:t xml:space="preserve">McKinney, W. (2010). Data structures for statistical computing in Python. En S. van der Walt &amp; J. Millman (Eds.), </w:t>
      </w:r>
      <w:r>
        <w:rPr>
          <w:b w:val="0"/>
          <w:i/>
        </w:rPr>
        <w:t>Proceedings of the 9th Python in Science Conference</w:t>
      </w:r>
      <w:r>
        <w:rPr>
          <w:b w:val="0"/>
          <w:i w:val="0"/>
        </w:rPr>
        <w:t xml:space="preserve"> (pp. 56–61). https://doi.org/10.25080/Majora-92bf1922-00a</w:t>
      </w:r>
    </w:p>
    <w:p>
      <w:pPr>
        <w:ind w:left="720" w:hanging="720"/>
      </w:pPr>
      <w:r>
        <w:rPr>
          <w:b w:val="0"/>
          <w:i w:val="0"/>
        </w:rPr>
        <w:t xml:space="preserve">Pedregosa, F., Varoquaux, G., Gramfort, A., Michel, V., Thirion, B., Grisel, O., Blondel, M., Prettenhofer, P., Weiss, R., Dubourg, V., Vanderplas, J., Passos, A., Cournapeau, D., Brucher, M., Perrot, M., &amp; Duchesnay, É. (2011). Scikit-learn: Machine learning in Python. </w:t>
      </w:r>
      <w:r>
        <w:rPr>
          <w:b w:val="0"/>
          <w:i/>
        </w:rPr>
        <w:t>Journal of Machine Learning Research, 12</w:t>
      </w:r>
      <w:r>
        <w:rPr>
          <w:b w:val="0"/>
          <w:i w:val="0"/>
        </w:rPr>
        <w:t>, 2825–2830.</w:t>
      </w:r>
    </w:p>
    <w:p>
      <w:pPr>
        <w:ind w:left="720" w:hanging="720"/>
      </w:pPr>
      <w:r>
        <w:rPr>
          <w:b w:val="0"/>
          <w:i w:val="0"/>
        </w:rPr>
        <w:t xml:space="preserve">Zadafiya, B. (s. f.). </w:t>
      </w:r>
      <w:r>
        <w:rPr>
          <w:b w:val="0"/>
          <w:i/>
        </w:rPr>
        <w:t>Customer service interaction dataset</w:t>
      </w:r>
      <w:r>
        <w:rPr>
          <w:b w:val="0"/>
          <w:i w:val="0"/>
        </w:rPr>
        <w:t xml:space="preserve"> [Conjunto de datos]. Kaggle. https://www.kaggle.com/datasets/zadafiyabhrami/customer-service-ineraction-dataset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center"/>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jc w:val="left"/>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de Desarrollo Asistido - Tarea 1.2</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