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Bitácora final de desarrollo asistido — Capstone Dilitio Wine Corp (Tarea 8.2)</w:t>
      </w:r>
    </w:p>
    <w:p>
      <w:r>
        <w:t xml:space="preserve">Registro de cómo se construyó y se verificó la herramienta con asistencia de Claude Code (modelo Sonnet 5.5), con corte al 2026-10-23. Todas las cifras salen de </w:t>
      </w:r>
      <w:r>
        <w:rPr>
          <w:rFonts w:ascii="Consolas" w:hAnsi="Consolas"/>
          <w:color w:val="8A3B12"/>
          <w:sz w:val="19"/>
        </w:rPr>
        <w:t>evidencia/</w:t>
      </w:r>
      <w:r>
        <w:t xml:space="preserve"> o de la salida de los comandos citados. Lo que solo el estudiante puede aportar o confirmar está marcado </w:t>
      </w:r>
      <w:r>
        <w:rPr>
          <w:b/>
        </w:rPr>
        <w:t>[confirmar]</w:t>
      </w:r>
      <w:r>
        <w:t xml:space="preserve"> o </w:t>
      </w:r>
      <w:r>
        <w:rPr>
          <w:b/>
        </w:rPr>
        <w:t>[pendiente]</w:t>
      </w:r>
      <w:r>
        <w:t xml:space="preserve"> y se lista en la sección 10: esta bitácora no inventa lo que el estudiante hizo o dijo.</w:t>
      </w:r>
    </w:p>
    <w:p>
      <w:pPr>
        <w:pStyle w:val="Heading2"/>
      </w:pPr>
      <w:r>
        <w:t>1. El problema que abordé</w:t>
      </w:r>
    </w:p>
    <w:p>
      <w:r>
        <w:t xml:space="preserve">Dilitio Wine Corp quiere decidir de forma objetiva a qué línea de producto va cada lote de vino, y hoy no hay datos de cómo se decide. La propuesta del Módulo 5.2 mostró con K-Means que la química separa tres perfiles. El capstone lo convierte en una herramienta supervisada: dadas 13 mediciones de laboratorio, </w:t>
      </w:r>
      <w:r>
        <w:rPr>
          <w:b/>
        </w:rPr>
        <w:t>¿a qué perfil químico (el cultivar) se parece el lote y con cuánta confianza?</w:t>
      </w:r>
      <w:r>
        <w:t xml:space="preserve"> Apoya la decisión de una persona; no la toma. Datos: UCI Wine, 178 lotes, CC BY 4.0. Detalle en el </w:t>
      </w:r>
      <w:r>
        <w:rPr>
          <w:rFonts w:ascii="Consolas" w:hAnsi="Consolas"/>
          <w:color w:val="8A3B12"/>
          <w:sz w:val="19"/>
        </w:rPr>
        <w:t>README.md</w:t>
      </w:r>
      <w:r>
        <w:t>.</w:t>
      </w:r>
    </w:p>
    <w:p>
      <w:pPr>
        <w:pStyle w:val="Heading2"/>
      </w:pPr>
      <w:r>
        <w:t>2. Estrategia de instrucciones con el asistente</w:t>
      </w:r>
    </w:p>
    <w:p>
      <w:r>
        <w:t>La estrategia se fue afinando por tarea; lo que sigue está registrado en las bitácoras anteriores y en esta sesión.</w:t>
      </w:r>
    </w:p>
    <w:tbl>
      <w:tblPr>
        <w:tblStyle w:val="TableGrid"/>
        <w:tblW w:type="auto" w:w="0"/>
        <w:jc w:val="center"/>
        <w:tblLook w:firstColumn="1" w:firstRow="1" w:lastColumn="0" w:lastRow="0" w:noHBand="0" w:noVBand="1" w:val="04A0"/>
      </w:tblPr>
      <w:tblGrid>
        <w:gridCol w:w="3216"/>
        <w:gridCol w:w="3216"/>
        <w:gridCol w:w="3216"/>
      </w:tblGrid>
      <w:tr>
        <w:tc>
          <w:tcPr>
            <w:tcW w:type="dxa" w:w="603"/>
            <w:shd w:val="clear" w:color="auto" w:fill="E4E7EB"/>
          </w:tcPr>
          <w:p>
            <w:pPr>
              <w:spacing w:after="20"/>
            </w:pPr>
            <w:r>
              <w:rPr>
                <w:b/>
                <w:sz w:val="18"/>
              </w:rPr>
              <w:t>Tarea</w:t>
            </w:r>
          </w:p>
        </w:tc>
        <w:tc>
          <w:tcPr>
            <w:tcW w:type="dxa" w:w="4522"/>
            <w:shd w:val="clear" w:color="auto" w:fill="E4E7EB"/>
          </w:tcPr>
          <w:p>
            <w:pPr>
              <w:spacing w:after="20"/>
            </w:pPr>
            <w:r>
              <w:rPr>
                <w:b/>
                <w:sz w:val="18"/>
              </w:rPr>
              <w:t>Cómo instruí al asistente</w:t>
            </w:r>
          </w:p>
        </w:tc>
        <w:tc>
          <w:tcPr>
            <w:tcW w:type="dxa" w:w="4522"/>
            <w:shd w:val="clear" w:color="auto" w:fill="E4E7EB"/>
          </w:tcPr>
          <w:p>
            <w:pPr>
              <w:spacing w:after="20"/>
            </w:pPr>
            <w:r>
              <w:rPr>
                <w:b/>
                <w:sz w:val="18"/>
              </w:rPr>
              <w:t>Qué aprendí</w:t>
            </w:r>
          </w:p>
        </w:tc>
      </w:tr>
      <w:tr>
        <w:tc>
          <w:tcPr>
            <w:tcW w:type="dxa" w:w="603"/>
          </w:tcPr>
          <w:p>
            <w:pPr>
              <w:spacing w:after="20"/>
            </w:pPr>
            <w:r>
              <w:rPr>
                <w:sz w:val="18"/>
              </w:rPr>
              <w:t>6.1</w:t>
            </w:r>
          </w:p>
        </w:tc>
        <w:tc>
          <w:tcPr>
            <w:tcW w:type="dxa" w:w="4522"/>
          </w:tcPr>
          <w:p>
            <w:pPr>
              <w:spacing w:after="20"/>
            </w:pPr>
            <w:r>
              <w:rPr>
                <w:sz w:val="18"/>
              </w:rPr>
              <w:t>Roles (analista, ingeniero de modelos, auditor) como subagentes independientes, con archivos de rol y límites.</w:t>
            </w:r>
          </w:p>
        </w:tc>
        <w:tc>
          <w:tcPr>
            <w:tcW w:type="dxa" w:w="4522"/>
          </w:tcPr>
          <w:p>
            <w:pPr>
              <w:spacing w:after="20"/>
            </w:pPr>
            <w:r>
              <w:rPr>
                <w:sz w:val="18"/>
              </w:rPr>
              <w:t>Un rol se desvió (propuso escalar y logaritmos no pedidos); el orquestador lo descartó. Los límites explícitos importan.</w:t>
            </w:r>
          </w:p>
        </w:tc>
      </w:tr>
      <w:tr>
        <w:tc>
          <w:tcPr>
            <w:tcW w:type="dxa" w:w="603"/>
          </w:tcPr>
          <w:p>
            <w:pPr>
              <w:spacing w:after="20"/>
            </w:pPr>
            <w:r>
              <w:rPr>
                <w:sz w:val="18"/>
              </w:rPr>
              <w:t>6.2</w:t>
            </w:r>
          </w:p>
        </w:tc>
        <w:tc>
          <w:tcPr>
            <w:tcW w:type="dxa" w:w="4522"/>
          </w:tcPr>
          <w:p>
            <w:pPr>
              <w:spacing w:after="20"/>
            </w:pPr>
            <w:r>
              <w:rPr>
                <w:sz w:val="18"/>
              </w:rPr>
              <w:t xml:space="preserve">«Actúa como un experto en machine learning […] siguiendo las instrucciones que te adjunto </w:t>
            </w:r>
            <w:r>
              <w:rPr>
                <w:b/>
                <w:sz w:val="18"/>
              </w:rPr>
              <w:t>sin omitir nada</w:t>
            </w:r>
            <w:r>
              <w:rPr>
                <w:sz w:val="18"/>
              </w:rPr>
              <w:t>. Tampoco debes alucinar o inventar soluciones; si tienes dudas debes consultar antes de continuar.»</w:t>
            </w:r>
          </w:p>
        </w:tc>
        <w:tc>
          <w:tcPr>
            <w:tcW w:type="dxa" w:w="4522"/>
          </w:tcPr>
          <w:p>
            <w:pPr>
              <w:spacing w:after="20"/>
            </w:pPr>
            <w:r>
              <w:rPr>
                <w:sz w:val="18"/>
              </w:rPr>
              <w:t>El asistente consultó lo ambiguo (ubicación, métrica, versión de la Skill) y yo decidí.</w:t>
            </w:r>
          </w:p>
        </w:tc>
      </w:tr>
      <w:tr>
        <w:tc>
          <w:tcPr>
            <w:tcW w:type="dxa" w:w="603"/>
          </w:tcPr>
          <w:p>
            <w:pPr>
              <w:spacing w:after="20"/>
            </w:pPr>
            <w:r>
              <w:rPr>
                <w:sz w:val="18"/>
              </w:rPr>
              <w:t>8.1</w:t>
            </w:r>
          </w:p>
        </w:tc>
        <w:tc>
          <w:tcPr>
            <w:tcW w:type="dxa" w:w="4522"/>
          </w:tcPr>
          <w:p>
            <w:pPr>
              <w:spacing w:after="20"/>
            </w:pPr>
            <w:r>
              <w:rPr>
                <w:sz w:val="18"/>
              </w:rPr>
              <w:t>Pegué el enunciado de seis puntos y pedí la convención de carpetas del curso (</w:t>
            </w:r>
            <w:r>
              <w:rPr>
                <w:rFonts w:ascii="Consolas" w:hAnsi="Consolas"/>
                <w:color w:val="8A3B12"/>
                <w:sz w:val="16"/>
              </w:rPr>
              <w:t>Modulo 8_1</w:t>
            </w:r>
            <w:r>
              <w:rPr>
                <w:sz w:val="18"/>
              </w:rPr>
              <w:t>).</w:t>
            </w:r>
          </w:p>
        </w:tc>
        <w:tc>
          <w:tcPr>
            <w:tcW w:type="dxa" w:w="4522"/>
          </w:tcPr>
          <w:p>
            <w:pPr>
              <w:spacing w:after="20"/>
            </w:pPr>
            <w:r>
              <w:rPr>
                <w:sz w:val="18"/>
              </w:rPr>
              <w:t xml:space="preserve">Las decisiones que dependían de mí quedaron marcadas </w:t>
            </w:r>
            <w:r>
              <w:rPr>
                <w:b/>
                <w:sz w:val="18"/>
              </w:rPr>
              <w:t>[decidir]</w:t>
            </w:r>
            <w:r>
              <w:rPr>
                <w:sz w:val="18"/>
              </w:rPr>
              <w:t>.</w:t>
            </w:r>
          </w:p>
        </w:tc>
      </w:tr>
      <w:tr>
        <w:tc>
          <w:tcPr>
            <w:tcW w:type="dxa" w:w="603"/>
          </w:tcPr>
          <w:p>
            <w:pPr>
              <w:spacing w:after="20"/>
            </w:pPr>
            <w:r>
              <w:rPr>
                <w:b/>
                <w:sz w:val="18"/>
              </w:rPr>
              <w:t>8.2</w:t>
            </w:r>
          </w:p>
        </w:tc>
        <w:tc>
          <w:tcPr>
            <w:tcW w:type="dxa" w:w="4522"/>
          </w:tcPr>
          <w:p>
            <w:pPr>
              <w:spacing w:after="20"/>
            </w:pPr>
            <w:r>
              <w:rPr>
                <w:sz w:val="18"/>
              </w:rPr>
              <w:t xml:space="preserve">Pegué el enunciado completo (7 puntos), adjunté </w:t>
            </w:r>
            <w:r>
              <w:rPr>
                <w:rFonts w:ascii="Consolas" w:hAnsi="Consolas"/>
                <w:color w:val="8A3B12"/>
                <w:sz w:val="16"/>
              </w:rPr>
              <w:t>ejemplo_despliegue/</w:t>
            </w:r>
            <w:r>
              <w:rPr>
                <w:sz w:val="18"/>
              </w:rPr>
              <w:t xml:space="preserve"> y </w:t>
            </w:r>
            <w:r>
              <w:rPr>
                <w:rFonts w:ascii="Consolas" w:hAnsi="Consolas"/>
                <w:color w:val="8A3B12"/>
                <w:sz w:val="16"/>
              </w:rPr>
              <w:t>ejemplo_degradacion/</w:t>
            </w:r>
            <w:r>
              <w:rPr>
                <w:sz w:val="18"/>
              </w:rPr>
              <w:t xml:space="preserve"> como referencia, y fijé límites: </w:t>
            </w:r>
            <w:r>
              <w:rPr>
                <w:b/>
                <w:sz w:val="18"/>
              </w:rPr>
              <w:t>«no subas nada a GitHub aún»</w:t>
            </w:r>
            <w:r>
              <w:rPr>
                <w:sz w:val="18"/>
              </w:rPr>
              <w:t xml:space="preserve"> y </w:t>
            </w:r>
            <w:r>
              <w:rPr>
                <w:b/>
                <w:sz w:val="18"/>
              </w:rPr>
              <w:t>«no hagas commit ni push»</w:t>
            </w:r>
            <w:r>
              <w:rPr>
                <w:sz w:val="18"/>
              </w:rPr>
              <w:t>. A mitad de la sesión interrumpí para preguntar qué faltaba; el asistente respondió con una lista de hecho / pendiente / solo mío, y yo di la orden de continuar.</w:t>
            </w:r>
          </w:p>
        </w:tc>
        <w:tc>
          <w:tcPr>
            <w:tcW w:type="dxa" w:w="4522"/>
          </w:tcPr>
          <w:p>
            <w:pPr>
              <w:spacing w:after="20"/>
            </w:pPr>
            <w:r>
              <w:rPr>
                <w:sz w:val="18"/>
              </w:rPr>
              <w:t>Pedir un estado a mitad de camino evita que el asistente avance sobre supuestos; los límites sobre acciones externas (push) se respetaron.</w:t>
            </w:r>
          </w:p>
        </w:tc>
      </w:tr>
    </w:tbl>
    <w:p>
      <w:pPr>
        <w:spacing w:after="40"/>
      </w:pPr>
    </w:p>
    <w:p>
      <w:r>
        <w:t>Principios que se repiten: el asistente lee antes de escribir, las acciones que salen del equipo (push, envío) requieren mi orden, y lo que no se puede probar con datos se declara como pendiente o supuesto.</w:t>
      </w:r>
    </w:p>
    <w:p>
      <w:pPr>
        <w:pStyle w:val="Heading2"/>
      </w:pPr>
      <w:r>
        <w:t>3. Decisiones que tomó la herramienta (y su razón)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E4E7EB"/>
          </w:tcPr>
          <w:p>
            <w:pPr>
              <w:spacing w:after="20"/>
            </w:pPr>
            <w:r>
              <w:rPr>
                <w:b/>
                <w:sz w:val="18"/>
              </w:rPr>
              <w:t>Decisión</w:t>
            </w:r>
          </w:p>
        </w:tc>
        <w:tc>
          <w:tcPr>
            <w:tcW w:type="dxa" w:w="3216"/>
            <w:shd w:val="clear" w:color="auto" w:fill="E4E7EB"/>
          </w:tcPr>
          <w:p>
            <w:pPr>
              <w:spacing w:after="20"/>
            </w:pPr>
            <w:r>
              <w:rPr>
                <w:b/>
                <w:sz w:val="18"/>
              </w:rPr>
              <w:t>Razón</w:t>
            </w:r>
          </w:p>
        </w:tc>
        <w:tc>
          <w:tcPr>
            <w:tcW w:type="dxa" w:w="3216"/>
            <w:shd w:val="clear" w:color="auto" w:fill="E4E7EB"/>
          </w:tcPr>
          <w:p>
            <w:pPr>
              <w:spacing w:after="20"/>
            </w:pPr>
            <w:r>
              <w:rPr>
                <w:b/>
                <w:sz w:val="18"/>
              </w:rPr>
              <w:t>Qué debo revisar</w:t>
            </w:r>
          </w:p>
        </w:tc>
      </w:tr>
      <w:tr>
        <w:tc>
          <w:tcPr>
            <w:tcW w:type="dxa" w:w="3216"/>
          </w:tcPr>
          <w:p>
            <w:pPr>
              <w:spacing w:after="20"/>
            </w:pPr>
            <w:r>
              <w:rPr>
                <w:sz w:val="18"/>
              </w:rPr>
              <w:t xml:space="preserve">Despliegue = app local con </w:t>
            </w:r>
            <w:r>
              <w:rPr>
                <w:b/>
                <w:sz w:val="18"/>
              </w:rPr>
              <w:t>Gradio</w:t>
            </w:r>
            <w:r>
              <w:rPr>
                <w:sz w:val="18"/>
              </w:rPr>
              <w:t xml:space="preserve"> (más línea de comandos), no Colab ni video</w:t>
            </w:r>
          </w:p>
        </w:tc>
        <w:tc>
          <w:tcPr>
            <w:tcW w:type="dxa" w:w="3216"/>
          </w:tcPr>
          <w:p>
            <w:pPr>
              <w:spacing w:after="20"/>
            </w:pPr>
            <w:r>
              <w:rPr>
                <w:sz w:val="18"/>
              </w:rPr>
              <w:t xml:space="preserve">La guía pide «la opción más simple»; un Colab exigiría subir </w:t>
            </w:r>
            <w:r>
              <w:rPr>
                <w:rFonts w:ascii="Consolas" w:hAnsi="Consolas"/>
                <w:color w:val="8A3B12"/>
                <w:sz w:val="16"/>
              </w:rPr>
              <w:t>src/</w:t>
            </w:r>
            <w:r>
              <w:rPr>
                <w:sz w:val="18"/>
              </w:rPr>
              <w:t>, el modelo y los datos, y su enlace muere al cerrar la celda.</w:t>
            </w:r>
          </w:p>
        </w:tc>
        <w:tc>
          <w:tcPr>
            <w:tcW w:type="dxa" w:w="3216"/>
          </w:tcPr>
          <w:p>
            <w:pPr>
              <w:spacing w:after="20"/>
            </w:pPr>
            <w:r>
              <w:rPr>
                <w:b/>
                <w:sz w:val="18"/>
              </w:rPr>
              <w:t>[decidir]</w:t>
            </w:r>
            <w:r>
              <w:rPr>
                <w:sz w:val="18"/>
              </w:rPr>
              <w:t xml:space="preserve"> El enlace de Moodle: Gradio local no tiene enlace público (ver sección 10).</w:t>
            </w:r>
          </w:p>
        </w:tc>
      </w:tr>
      <w:tr>
        <w:tc>
          <w:tcPr>
            <w:tcW w:type="dxa" w:w="3216"/>
          </w:tcPr>
          <w:p>
            <w:pPr>
              <w:spacing w:after="20"/>
            </w:pPr>
            <w:r>
              <w:rPr>
                <w:sz w:val="18"/>
              </w:rPr>
              <w:t>La pantalla tiene dos pestañas: un lote, y un archivo con control de deriva</w:t>
            </w:r>
          </w:p>
        </w:tc>
        <w:tc>
          <w:tcPr>
            <w:tcW w:type="dxa" w:w="3216"/>
          </w:tcPr>
          <w:p>
            <w:pPr>
              <w:spacing w:after="20"/>
            </w:pPr>
            <w:r>
              <w:rPr>
                <w:sz w:val="18"/>
              </w:rPr>
              <w:t>Un lote responde «¿a qué se parece?»; el archivo es la única forma de vigilar el cambio del mundo.</w:t>
            </w:r>
          </w:p>
        </w:tc>
        <w:tc>
          <w:tcPr>
            <w:tcW w:type="dxa" w:w="3216"/>
          </w:tcPr>
          <w:p>
            <w:pPr>
              <w:spacing w:after="20"/>
            </w:pPr>
            <w:r>
              <w:rPr>
                <w:sz w:val="18"/>
              </w:rPr>
              <w:t>—</w:t>
            </w:r>
          </w:p>
        </w:tc>
      </w:tr>
      <w:tr>
        <w:tc>
          <w:tcPr>
            <w:tcW w:type="dxa" w:w="3216"/>
          </w:tcPr>
          <w:p>
            <w:pPr>
              <w:spacing w:after="20"/>
            </w:pPr>
            <w:r>
              <w:rPr>
                <w:sz w:val="18"/>
              </w:rPr>
              <w:t xml:space="preserve">Análisis de errores con los </w:t>
            </w:r>
            <w:r>
              <w:rPr>
                <w:b/>
                <w:sz w:val="18"/>
              </w:rPr>
              <w:t>178 lotes</w:t>
            </w:r>
            <w:r>
              <w:rPr>
                <w:sz w:val="18"/>
              </w:rPr>
              <w:t xml:space="preserve"> en validación cruzada (cada lote lo predice un modelo que no lo vio), no con los 36 de la prueba final</w:t>
            </w:r>
          </w:p>
        </w:tc>
        <w:tc>
          <w:tcPr>
            <w:tcW w:type="dxa" w:w="3216"/>
          </w:tcPr>
          <w:p>
            <w:pPr>
              <w:spacing w:after="20"/>
            </w:pPr>
            <w:r>
              <w:rPr>
                <w:sz w:val="18"/>
              </w:rPr>
              <w:t>Con 36 lotes, un error mueve el recall de una clase 7 a 10 puntos; con 178 hay 48 a 71 casos por clase. Las tablas usan una repetición para que cada lote cuente una vez.</w:t>
            </w:r>
          </w:p>
        </w:tc>
        <w:tc>
          <w:tcPr>
            <w:tcW w:type="dxa" w:w="3216"/>
          </w:tcPr>
          <w:p>
            <w:pPr>
              <w:spacing w:after="20"/>
            </w:pPr>
            <w:r>
              <w:rPr>
                <w:sz w:val="18"/>
              </w:rPr>
              <w:t>El análisis no elige nada; solo describe. Pero por eso el umbral de confianza usó también los lotes de la prueba (hallazgo V3.1).</w:t>
            </w:r>
          </w:p>
        </w:tc>
      </w:tr>
      <w:tr>
        <w:tc>
          <w:tcPr>
            <w:tcW w:type="dxa" w:w="3216"/>
          </w:tcPr>
          <w:p>
            <w:pPr>
              <w:spacing w:after="20"/>
            </w:pPr>
            <w:r>
              <w:rPr>
                <w:sz w:val="18"/>
              </w:rPr>
              <w:t xml:space="preserve">Grupos: clase real, terciles de </w:t>
            </w:r>
            <w:r>
              <w:rPr>
                <w:rFonts w:ascii="Consolas" w:hAnsi="Consolas"/>
                <w:color w:val="8A3B12"/>
                <w:sz w:val="16"/>
              </w:rPr>
              <w:t>alcohol</w:t>
            </w:r>
            <w:r>
              <w:rPr>
                <w:sz w:val="18"/>
              </w:rPr>
              <w:t xml:space="preserve">, </w:t>
            </w:r>
            <w:r>
              <w:rPr>
                <w:rFonts w:ascii="Consolas" w:hAnsi="Consolas"/>
                <w:color w:val="8A3B12"/>
                <w:sz w:val="16"/>
              </w:rPr>
              <w:t>proline</w:t>
            </w:r>
            <w:r>
              <w:rPr>
                <w:sz w:val="18"/>
              </w:rPr>
              <w:t xml:space="preserve"> y </w:t>
            </w:r>
            <w:r>
              <w:rPr>
                <w:rFonts w:ascii="Consolas" w:hAnsi="Consolas"/>
                <w:color w:val="8A3B12"/>
                <w:sz w:val="16"/>
              </w:rPr>
              <w:t>magnesium</w:t>
            </w:r>
            <w:r>
              <w:rPr>
                <w:sz w:val="18"/>
              </w:rPr>
              <w:t>, y banda de confianza; intervalos de Wilson</w:t>
            </w:r>
          </w:p>
        </w:tc>
        <w:tc>
          <w:tcPr>
            <w:tcW w:type="dxa" w:w="3216"/>
          </w:tcPr>
          <w:p>
            <w:pPr>
              <w:spacing w:after="20"/>
            </w:pPr>
            <w:r>
              <w:rPr>
                <w:sz w:val="18"/>
              </w:rPr>
              <w:t>No hay edad, sexo ni estado civil. Prolina y magnesio dependen del método de laboratorio; alcohol es la variable que más separa. Wilson funciona con n pequeño.</w:t>
            </w:r>
          </w:p>
        </w:tc>
        <w:tc>
          <w:tcPr>
            <w:tcW w:type="dxa" w:w="3216"/>
          </w:tcPr>
          <w:p>
            <w:pPr>
              <w:spacing w:after="20"/>
            </w:pPr>
            <w:r>
              <w:rPr>
                <w:b/>
                <w:sz w:val="18"/>
              </w:rPr>
              <w:t>[decidir]</w:t>
            </w:r>
            <w:r>
              <w:rPr>
                <w:sz w:val="18"/>
              </w:rPr>
              <w:t xml:space="preserve"> Los terciles son un corte propio; otros cortes podrían mover los conteos.</w:t>
            </w:r>
          </w:p>
        </w:tc>
      </w:tr>
      <w:tr>
        <w:tc>
          <w:tcPr>
            <w:tcW w:type="dxa" w:w="3216"/>
          </w:tcPr>
          <w:p>
            <w:pPr>
              <w:spacing w:after="20"/>
            </w:pPr>
            <w:r>
              <w:rPr>
                <w:sz w:val="18"/>
              </w:rPr>
              <w:t>Detección de deriva: prueba KS por variable con corrección de Bonferroni, más % de lotes fuera de rango (alerta sobre 30 %)</w:t>
            </w:r>
          </w:p>
        </w:tc>
        <w:tc>
          <w:tcPr>
            <w:tcW w:type="dxa" w:w="3216"/>
          </w:tcPr>
          <w:p>
            <w:pPr>
              <w:spacing w:after="20"/>
            </w:pPr>
            <w:r>
              <w:rPr>
                <w:sz w:val="18"/>
              </w:rPr>
              <w:t>Dos señales complementarias (la simulación mostró que cada una ve lo que la otra no). El 30 % es el doble del ~15 % de lotes que salen de rango sin cambio alguno.</w:t>
            </w:r>
          </w:p>
        </w:tc>
        <w:tc>
          <w:tcPr>
            <w:tcW w:type="dxa" w:w="3216"/>
          </w:tcPr>
          <w:p>
            <w:pPr>
              <w:spacing w:after="20"/>
            </w:pPr>
            <w:r>
              <w:rPr>
                <w:sz w:val="18"/>
              </w:rPr>
              <w:t>El 30 % no se calibró con datos de la empresa.</w:t>
            </w:r>
          </w:p>
        </w:tc>
      </w:tr>
      <w:tr>
        <w:tc>
          <w:tcPr>
            <w:tcW w:type="dxa" w:w="3216"/>
          </w:tcPr>
          <w:p>
            <w:pPr>
              <w:spacing w:after="20"/>
            </w:pPr>
            <w:r>
              <w:rPr>
                <w:sz w:val="18"/>
              </w:rPr>
              <w:t>Simulación: regresión logística, sesgo de prolina (+10, +25, +50 %), prolina y magnesio +25 %, ruido de 0.5 y 1.0 desviaciones; 100 repartos</w:t>
            </w:r>
          </w:p>
        </w:tc>
        <w:tc>
          <w:tcPr>
            <w:tcW w:type="dxa" w:w="3216"/>
          </w:tcPr>
          <w:p>
            <w:pPr>
              <w:spacing w:after="20"/>
            </w:pPr>
            <w:r>
              <w:rPr>
                <w:sz w:val="18"/>
              </w:rPr>
              <w:t xml:space="preserve">Imita un cambio de método de medición y un instrumento ruidoso, sin cambiar una línea del modelo (como en </w:t>
            </w:r>
            <w:r>
              <w:rPr>
                <w:rFonts w:ascii="Consolas" w:hAnsi="Consolas"/>
                <w:color w:val="8A3B12"/>
                <w:sz w:val="16"/>
              </w:rPr>
              <w:t>ejemplo_degradacion</w:t>
            </w:r>
            <w:r>
              <w:rPr>
                <w:sz w:val="18"/>
              </w:rPr>
              <w:t>).</w:t>
            </w:r>
          </w:p>
        </w:tc>
        <w:tc>
          <w:tcPr>
            <w:tcW w:type="dxa" w:w="3216"/>
          </w:tcPr>
          <w:p>
            <w:pPr>
              <w:spacing w:after="20"/>
            </w:pPr>
            <w:r>
              <w:rPr>
                <w:b/>
                <w:sz w:val="18"/>
              </w:rPr>
              <w:t>Son supuestos, no mediciones.</w:t>
            </w:r>
          </w:p>
        </w:tc>
      </w:tr>
      <w:tr>
        <w:tc>
          <w:tcPr>
            <w:tcW w:type="dxa" w:w="3216"/>
          </w:tcPr>
          <w:p>
            <w:pPr>
              <w:spacing w:after="20"/>
            </w:pPr>
            <w:r>
              <w:rPr>
                <w:sz w:val="18"/>
              </w:rPr>
              <w:t>Aviso de confianza baja bajo 80 %</w:t>
            </w:r>
          </w:p>
        </w:tc>
        <w:tc>
          <w:tcPr>
            <w:tcW w:type="dxa" w:w="3216"/>
          </w:tcPr>
          <w:p>
            <w:pPr>
              <w:spacing w:after="20"/>
            </w:pPr>
            <w:r>
              <w:rPr>
                <w:sz w:val="18"/>
              </w:rPr>
              <w:t>En los 178 lotes, 12 caen bajo 0.80 y contienen los 3 errores (la confianza máxima de un error es 0.677).</w:t>
            </w:r>
          </w:p>
        </w:tc>
        <w:tc>
          <w:tcPr>
            <w:tcW w:type="dxa" w:w="3216"/>
          </w:tcPr>
          <w:p>
            <w:pPr>
              <w:spacing w:after="20"/>
            </w:pPr>
            <w:r>
              <w:rPr>
                <w:sz w:val="18"/>
              </w:rPr>
              <w:t>Fijado mirando esos mismos errores, incluidos lotes de la prueba final: la auditoría lo marcó FALLA (V3.1).</w:t>
            </w:r>
          </w:p>
        </w:tc>
      </w:tr>
      <w:tr>
        <w:tc>
          <w:tcPr>
            <w:tcW w:type="dxa" w:w="3216"/>
          </w:tcPr>
          <w:p>
            <w:pPr>
              <w:spacing w:after="20"/>
            </w:pPr>
            <w:r>
              <w:rPr>
                <w:sz w:val="18"/>
              </w:rPr>
              <w:t>Regla de reentrenar: exactitud con lotes nuevos &lt; 0.931 (caída de 0.05)</w:t>
            </w:r>
          </w:p>
        </w:tc>
        <w:tc>
          <w:tcPr>
            <w:tcW w:type="dxa" w:w="3216"/>
          </w:tcPr>
          <w:p>
            <w:pPr>
              <w:spacing w:after="20"/>
            </w:pPr>
            <w:r>
              <w:rPr>
                <w:sz w:val="18"/>
              </w:rPr>
              <w:t>Con 45 lotes de evaluación la exactitud varía unos 0.02; 0.05 son más de dos desviaciones.</w:t>
            </w:r>
          </w:p>
        </w:tc>
        <w:tc>
          <w:tcPr>
            <w:tcW w:type="dxa" w:w="3216"/>
          </w:tcPr>
          <w:p>
            <w:pPr>
              <w:spacing w:after="20"/>
            </w:pPr>
            <w:r>
              <w:rPr>
                <w:sz w:val="18"/>
              </w:rPr>
              <w:t>Los «40 lotes» y «6 meses» son criterio propio, sin base empírica.</w:t>
            </w:r>
          </w:p>
        </w:tc>
      </w:tr>
      <w:tr>
        <w:tc>
          <w:tcPr>
            <w:tcW w:type="dxa" w:w="3216"/>
          </w:tcPr>
          <w:p>
            <w:pPr>
              <w:spacing w:after="20"/>
            </w:pPr>
            <w:r>
              <w:rPr>
                <w:sz w:val="18"/>
              </w:rPr>
              <w:t xml:space="preserve">Informe en </w:t>
            </w:r>
            <w:r>
              <w:rPr>
                <w:rFonts w:ascii="Consolas" w:hAnsi="Consolas"/>
                <w:color w:val="8A3B12"/>
                <w:sz w:val="16"/>
              </w:rPr>
              <w:t>.docx</w:t>
            </w:r>
            <w:r>
              <w:rPr>
                <w:sz w:val="18"/>
              </w:rPr>
              <w:t xml:space="preserve"> APA 7, presentación en </w:t>
            </w:r>
            <w:r>
              <w:rPr>
                <w:rFonts w:ascii="Consolas" w:hAnsi="Consolas"/>
                <w:color w:val="8A3B12"/>
                <w:sz w:val="16"/>
              </w:rPr>
              <w:t>.pptx</w:t>
            </w:r>
            <w:r>
              <w:rPr>
                <w:sz w:val="18"/>
              </w:rPr>
              <w:t xml:space="preserve">, bitácora en </w:t>
            </w:r>
            <w:r>
              <w:rPr>
                <w:rFonts w:ascii="Consolas" w:hAnsi="Consolas"/>
                <w:color w:val="8A3B12"/>
                <w:sz w:val="16"/>
              </w:rPr>
              <w:t>.md</w:t>
            </w:r>
            <w:r>
              <w:rPr>
                <w:sz w:val="18"/>
              </w:rPr>
              <w:t xml:space="preserve"> y </w:t>
            </w:r>
            <w:r>
              <w:rPr>
                <w:rFonts w:ascii="Consolas" w:hAnsi="Consolas"/>
                <w:color w:val="8A3B12"/>
                <w:sz w:val="16"/>
              </w:rPr>
              <w:t>.docx</w:t>
            </w:r>
          </w:p>
        </w:tc>
        <w:tc>
          <w:tcPr>
            <w:tcW w:type="dxa" w:w="3216"/>
          </w:tcPr>
          <w:p>
            <w:pPr>
              <w:spacing w:after="20"/>
            </w:pPr>
            <w:r>
              <w:rPr>
                <w:sz w:val="18"/>
              </w:rPr>
              <w:t>Moodle pide archivos.</w:t>
            </w:r>
          </w:p>
        </w:tc>
        <w:tc>
          <w:tcPr>
            <w:tcW w:type="dxa" w:w="3216"/>
          </w:tcPr>
          <w:p>
            <w:pPr>
              <w:spacing w:after="20"/>
            </w:pPr>
            <w:r>
              <w:rPr>
                <w:sz w:val="18"/>
              </w:rPr>
              <w:t>—</w:t>
            </w:r>
          </w:p>
        </w:tc>
      </w:tr>
    </w:tbl>
    <w:p>
      <w:pPr>
        <w:spacing w:after="40"/>
      </w:pPr>
    </w:p>
    <w:p>
      <w:r>
        <w:rPr>
          <w:b/>
        </w:rPr>
        <w:t>Origen del código al abrir la sesión de cierre.</w:t>
      </w:r>
      <w:r>
        <w:t xml:space="preserve"> Al comenzar esta sesión ya existían </w:t>
      </w:r>
      <w:r>
        <w:rPr>
          <w:rFonts w:ascii="Consolas" w:hAnsi="Consolas"/>
          <w:color w:val="8A3B12"/>
          <w:sz w:val="19"/>
        </w:rPr>
        <w:t>app_gradio.py</w:t>
      </w:r>
      <w:r>
        <w:t xml:space="preserve">, </w:t>
      </w:r>
      <w:r>
        <w:rPr>
          <w:rFonts w:ascii="Consolas" w:hAnsi="Consolas"/>
          <w:color w:val="8A3B12"/>
          <w:sz w:val="19"/>
        </w:rPr>
        <w:t>src/interfaz.py</w:t>
      </w:r>
      <w:r>
        <w:t xml:space="preserve">, </w:t>
      </w:r>
      <w:r>
        <w:rPr>
          <w:rFonts w:ascii="Consolas" w:hAnsi="Consolas"/>
          <w:color w:val="8A3B12"/>
          <w:sz w:val="19"/>
        </w:rPr>
        <w:t>src/deriva.py</w:t>
      </w:r>
      <w:r>
        <w:t xml:space="preserve">, </w:t>
      </w:r>
      <w:r>
        <w:rPr>
          <w:rFonts w:ascii="Consolas" w:hAnsi="Consolas"/>
          <w:color w:val="8A3B12"/>
          <w:sz w:val="19"/>
        </w:rPr>
        <w:t>src/detalle_errores.py</w:t>
      </w:r>
      <w:r>
        <w:t xml:space="preserve">, </w:t>
      </w:r>
      <w:r>
        <w:rPr>
          <w:rFonts w:ascii="Consolas" w:hAnsi="Consolas"/>
          <w:color w:val="8A3B12"/>
          <w:sz w:val="19"/>
        </w:rPr>
        <w:t>src/simular_degradacion.py</w:t>
      </w:r>
      <w:r>
        <w:t xml:space="preserve"> y sus pruebas (archivos fechados 2026-10-23, 12:31 a 12:43), sin commitear. Esta sesión los leyó, los ejecutó y los verificó, pero no los escribió. </w:t>
      </w:r>
      <w:r>
        <w:rPr>
          <w:b/>
        </w:rPr>
        <w:t>[confirmar]</w:t>
      </w:r>
      <w:r>
        <w:t xml:space="preserve"> Quién los escribió y con qué instrucciones.</w:t>
      </w:r>
    </w:p>
    <w:p>
      <w:pPr>
        <w:pStyle w:val="Heading2"/>
      </w:pPr>
      <w:r>
        <w:t>4. Lo que verifiqué y con qué</w:t>
      </w:r>
    </w:p>
    <w:tbl>
      <w:tblPr>
        <w:tblStyle w:val="TableGrid"/>
        <w:tblW w:type="auto" w:w="0"/>
        <w:jc w:val="center"/>
        <w:tblLook w:firstColumn="1" w:firstRow="1" w:lastColumn="0" w:lastRow="0" w:noHBand="0" w:noVBand="1" w:val="04A0"/>
      </w:tblPr>
      <w:tblGrid>
        <w:gridCol w:w="3216"/>
        <w:gridCol w:w="3216"/>
        <w:gridCol w:w="3216"/>
      </w:tblGrid>
      <w:tr>
        <w:tc>
          <w:tcPr>
            <w:tcW w:type="dxa" w:w="2956"/>
            <w:shd w:val="clear" w:color="auto" w:fill="E4E7EB"/>
          </w:tcPr>
          <w:p>
            <w:pPr>
              <w:spacing w:after="20"/>
            </w:pPr>
            <w:r>
              <w:rPr>
                <w:b/>
                <w:sz w:val="18"/>
              </w:rPr>
              <w:t>Qué</w:t>
            </w:r>
          </w:p>
        </w:tc>
        <w:tc>
          <w:tcPr>
            <w:tcW w:type="dxa" w:w="3346"/>
            <w:shd w:val="clear" w:color="auto" w:fill="E4E7EB"/>
          </w:tcPr>
          <w:p>
            <w:pPr>
              <w:spacing w:after="20"/>
            </w:pPr>
            <w:r>
              <w:rPr>
                <w:b/>
                <w:sz w:val="18"/>
              </w:rPr>
              <w:t>Cómo</w:t>
            </w:r>
          </w:p>
        </w:tc>
        <w:tc>
          <w:tcPr>
            <w:tcW w:type="dxa" w:w="3346"/>
            <w:shd w:val="clear" w:color="auto" w:fill="E4E7EB"/>
          </w:tcPr>
          <w:p>
            <w:pPr>
              <w:spacing w:after="20"/>
            </w:pPr>
            <w:r>
              <w:rPr>
                <w:b/>
                <w:sz w:val="18"/>
              </w:rPr>
              <w:t>Resultado</w:t>
            </w:r>
          </w:p>
        </w:tc>
      </w:tr>
      <w:tr>
        <w:tc>
          <w:tcPr>
            <w:tcW w:type="dxa" w:w="2956"/>
          </w:tcPr>
          <w:p>
            <w:pPr>
              <w:spacing w:after="20"/>
            </w:pPr>
            <w:r>
              <w:rPr>
                <w:sz w:val="18"/>
              </w:rPr>
              <w:t>El código nuevo funciona</w:t>
            </w:r>
          </w:p>
        </w:tc>
        <w:tc>
          <w:tcPr>
            <w:tcW w:type="dxa" w:w="3346"/>
          </w:tcPr>
          <w:p>
            <w:pPr>
              <w:spacing w:after="20"/>
            </w:pPr>
            <w:r>
              <w:rPr>
                <w:rFonts w:ascii="Consolas" w:hAnsi="Consolas"/>
                <w:color w:val="8A3B12"/>
                <w:sz w:val="16"/>
              </w:rPr>
              <w:t>pytest -v</w:t>
            </w:r>
            <w:r>
              <w:rPr>
                <w:sz w:val="18"/>
              </w:rPr>
              <w:t xml:space="preserve"> completo</w:t>
            </w:r>
          </w:p>
        </w:tc>
        <w:tc>
          <w:tcPr>
            <w:tcW w:type="dxa" w:w="3346"/>
          </w:tcPr>
          <w:p>
            <w:pPr>
              <w:spacing w:after="20"/>
            </w:pPr>
            <w:r>
              <w:rPr>
                <w:sz w:val="18"/>
              </w:rPr>
              <w:t>40 pruebas en verde, 0 omitidas (</w:t>
            </w:r>
            <w:r>
              <w:rPr>
                <w:rFonts w:ascii="Consolas" w:hAnsi="Consolas"/>
                <w:color w:val="8A3B12"/>
                <w:sz w:val="16"/>
              </w:rPr>
              <w:t>evidencia/pytest_v_final.txt</w:t>
            </w:r>
            <w:r>
              <w:rPr>
                <w:sz w:val="18"/>
              </w:rPr>
              <w:t>)</w:t>
            </w:r>
          </w:p>
        </w:tc>
      </w:tr>
      <w:tr>
        <w:tc>
          <w:tcPr>
            <w:tcW w:type="dxa" w:w="2956"/>
          </w:tcPr>
          <w:p>
            <w:pPr>
              <w:spacing w:after="20"/>
            </w:pPr>
            <w:r>
              <w:rPr>
                <w:sz w:val="18"/>
              </w:rPr>
              <w:t>La app abre y se usa</w:t>
            </w:r>
          </w:p>
        </w:tc>
        <w:tc>
          <w:tcPr>
            <w:tcW w:type="dxa" w:w="3346"/>
          </w:tcPr>
          <w:p>
            <w:pPr>
              <w:spacing w:after="20"/>
            </w:pPr>
            <w:r>
              <w:rPr>
                <w:sz w:val="18"/>
              </w:rPr>
              <w:t xml:space="preserve">Lancé </w:t>
            </w:r>
            <w:r>
              <w:rPr>
                <w:rFonts w:ascii="Consolas" w:hAnsi="Consolas"/>
                <w:color w:val="8A3B12"/>
                <w:sz w:val="16"/>
              </w:rPr>
              <w:t>python app_gradio.py</w:t>
            </w:r>
            <w:r>
              <w:rPr>
                <w:sz w:val="18"/>
              </w:rPr>
              <w:t xml:space="preserve"> y la abrí en el navegador integrado; botón «Lote ambiguo (el 83)» + «Clasificar lote»</w:t>
            </w:r>
          </w:p>
        </w:tc>
        <w:tc>
          <w:tcPr>
            <w:tcW w:type="dxa" w:w="3346"/>
          </w:tcPr>
          <w:p>
            <w:pPr>
              <w:spacing w:after="20"/>
            </w:pPr>
            <w:r>
              <w:rPr>
                <w:rFonts w:ascii="Consolas" w:hAnsi="Consolas"/>
                <w:color w:val="8A3B12"/>
                <w:sz w:val="16"/>
              </w:rPr>
              <w:t>class_1</w:t>
            </w:r>
            <w:r>
              <w:rPr>
                <w:sz w:val="18"/>
              </w:rPr>
              <w:t>, 66 % de confianza y aviso «Confianza baja (&lt; 80 %)». Servidor detenido después.</w:t>
            </w:r>
          </w:p>
        </w:tc>
      </w:tr>
      <w:tr>
        <w:tc>
          <w:tcPr>
            <w:tcW w:type="dxa" w:w="2956"/>
          </w:tcPr>
          <w:p>
            <w:pPr>
              <w:spacing w:after="20"/>
            </w:pPr>
            <w:r>
              <w:rPr>
                <w:sz w:val="18"/>
              </w:rPr>
              <w:t>Lo que dice el README que se verá</w:t>
            </w:r>
          </w:p>
        </w:tc>
        <w:tc>
          <w:tcPr>
            <w:tcW w:type="dxa" w:w="3346"/>
          </w:tcPr>
          <w:p>
            <w:pPr>
              <w:spacing w:after="20"/>
            </w:pPr>
            <w:r>
              <w:rPr>
                <w:sz w:val="18"/>
              </w:rPr>
              <w:t>Ejecuté las mismas funciones que usa la pantalla (</w:t>
            </w:r>
            <w:r>
              <w:rPr>
                <w:rFonts w:ascii="Consolas" w:hAnsi="Consolas"/>
                <w:color w:val="8A3B12"/>
                <w:sz w:val="16"/>
              </w:rPr>
              <w:t>evaluar_archivo('datos/wine.csv')</w:t>
            </w:r>
            <w:r>
              <w:rPr>
                <w:sz w:val="18"/>
              </w:rPr>
              <w:t xml:space="preserve">, </w:t>
            </w:r>
            <w:r>
              <w:rPr>
                <w:rFonts w:ascii="Consolas" w:hAnsi="Consolas"/>
                <w:color w:val="8A3B12"/>
                <w:sz w:val="16"/>
              </w:rPr>
              <w:t>evaluar_lote</w:t>
            </w:r>
            <w:r>
              <w:rPr>
                <w:sz w:val="18"/>
              </w:rPr>
              <w:t>)</w:t>
            </w:r>
          </w:p>
        </w:tc>
        <w:tc>
          <w:tcPr>
            <w:tcW w:type="dxa" w:w="3346"/>
          </w:tcPr>
          <w:p>
            <w:pPr>
              <w:spacing w:after="20"/>
            </w:pPr>
            <w:r>
              <w:rPr>
                <w:sz w:val="18"/>
              </w:rPr>
              <w:t xml:space="preserve">178 lotes, 4 con confianza baja, exactitud 100 % (lotes de entrenamiento), sin deriva; lote típico </w:t>
            </w:r>
            <w:r>
              <w:rPr>
                <w:rFonts w:ascii="Consolas" w:hAnsi="Consolas"/>
                <w:color w:val="8A3B12"/>
                <w:sz w:val="16"/>
              </w:rPr>
              <w:t>class_0</w:t>
            </w:r>
            <w:r>
              <w:rPr>
                <w:sz w:val="18"/>
              </w:rPr>
              <w:t xml:space="preserve"> 100 %. Coincide.</w:t>
            </w:r>
          </w:p>
        </w:tc>
      </w:tr>
      <w:tr>
        <w:tc>
          <w:tcPr>
            <w:tcW w:type="dxa" w:w="2956"/>
          </w:tcPr>
          <w:p>
            <w:pPr>
              <w:spacing w:after="20"/>
            </w:pPr>
            <w:r>
              <w:rPr>
                <w:sz w:val="18"/>
              </w:rPr>
              <w:t>Las cifras no dependen del entorno</w:t>
            </w:r>
          </w:p>
        </w:tc>
        <w:tc>
          <w:tcPr>
            <w:tcW w:type="dxa" w:w="3346"/>
          </w:tcPr>
          <w:p>
            <w:pPr>
              <w:spacing w:after="20"/>
            </w:pPr>
            <w:r>
              <w:rPr>
                <w:sz w:val="18"/>
              </w:rPr>
              <w:t xml:space="preserve">Reentrené con </w:t>
            </w:r>
            <w:r>
              <w:rPr>
                <w:rFonts w:ascii="Consolas" w:hAnsi="Consolas"/>
                <w:color w:val="8A3B12"/>
                <w:sz w:val="16"/>
              </w:rPr>
              <w:t>python src/entrenar.py</w:t>
            </w:r>
            <w:r>
              <w:rPr>
                <w:sz w:val="18"/>
              </w:rPr>
              <w:t xml:space="preserve"> y comparé </w:t>
            </w:r>
            <w:r>
              <w:rPr>
                <w:rFonts w:ascii="Consolas" w:hAnsi="Consolas"/>
                <w:color w:val="8A3B12"/>
                <w:sz w:val="16"/>
              </w:rPr>
              <w:t>resultados.md</w:t>
            </w:r>
            <w:r>
              <w:rPr>
                <w:sz w:val="18"/>
              </w:rPr>
              <w:t xml:space="preserve"> antes y después con </w:t>
            </w:r>
            <w:r>
              <w:rPr>
                <w:rFonts w:ascii="Consolas" w:hAnsi="Consolas"/>
                <w:color w:val="8A3B12"/>
                <w:sz w:val="16"/>
              </w:rPr>
              <w:t>diff</w:t>
            </w:r>
          </w:p>
        </w:tc>
        <w:tc>
          <w:tcPr>
            <w:tcW w:type="dxa" w:w="3346"/>
          </w:tcPr>
          <w:p>
            <w:pPr>
              <w:spacing w:after="20"/>
            </w:pPr>
            <w:r>
              <w:rPr>
                <w:sz w:val="18"/>
              </w:rPr>
              <w:t>Idéntico. Desaparecieron los avisos de versión de scikit-learn.</w:t>
            </w:r>
          </w:p>
        </w:tc>
      </w:tr>
      <w:tr>
        <w:tc>
          <w:tcPr>
            <w:tcW w:type="dxa" w:w="2956"/>
          </w:tcPr>
          <w:p>
            <w:pPr>
              <w:spacing w:after="20"/>
            </w:pPr>
            <w:r>
              <w:rPr>
                <w:sz w:val="18"/>
              </w:rPr>
              <w:t>La simulación es reproducible</w:t>
            </w:r>
          </w:p>
        </w:tc>
        <w:tc>
          <w:tcPr>
            <w:tcW w:type="dxa" w:w="3346"/>
          </w:tcPr>
          <w:p>
            <w:pPr>
              <w:spacing w:after="20"/>
            </w:pPr>
            <w:r>
              <w:rPr>
                <w:sz w:val="18"/>
              </w:rPr>
              <w:t xml:space="preserve">Volví a correr </w:t>
            </w:r>
            <w:r>
              <w:rPr>
                <w:rFonts w:ascii="Consolas" w:hAnsi="Consolas"/>
                <w:color w:val="8A3B12"/>
                <w:sz w:val="16"/>
              </w:rPr>
              <w:t>python src/simular_degradacion.py</w:t>
            </w:r>
          </w:p>
        </w:tc>
        <w:tc>
          <w:tcPr>
            <w:tcW w:type="dxa" w:w="3346"/>
          </w:tcPr>
          <w:p>
            <w:pPr>
              <w:spacing w:after="20"/>
            </w:pPr>
            <w:r>
              <w:rPr>
                <w:sz w:val="18"/>
              </w:rPr>
              <w:t>Mismas cifras (40 s).</w:t>
            </w:r>
          </w:p>
        </w:tc>
      </w:tr>
      <w:tr>
        <w:tc>
          <w:tcPr>
            <w:tcW w:type="dxa" w:w="2956"/>
          </w:tcPr>
          <w:p>
            <w:pPr>
              <w:spacing w:after="20"/>
            </w:pPr>
            <w:r>
              <w:rPr>
                <w:sz w:val="18"/>
              </w:rPr>
              <w:t>El conjunto de datos y su licencia</w:t>
            </w:r>
          </w:p>
        </w:tc>
        <w:tc>
          <w:tcPr>
            <w:tcW w:type="dxa" w:w="3346"/>
          </w:tcPr>
          <w:p>
            <w:pPr>
              <w:spacing w:after="20"/>
            </w:pPr>
            <w:r>
              <w:rPr>
                <w:sz w:val="18"/>
              </w:rPr>
              <w:t>Consulté la página de UCI y el registro DataCite</w:t>
            </w:r>
          </w:p>
        </w:tc>
        <w:tc>
          <w:tcPr>
            <w:tcW w:type="dxa" w:w="3346"/>
          </w:tcPr>
          <w:p>
            <w:pPr>
              <w:spacing w:after="20"/>
            </w:pPr>
            <w:r>
              <w:rPr>
                <w:sz w:val="18"/>
              </w:rPr>
              <w:t>CC BY 4.0; año de cita 1992.</w:t>
            </w:r>
          </w:p>
        </w:tc>
      </w:tr>
      <w:tr>
        <w:tc>
          <w:tcPr>
            <w:tcW w:type="dxa" w:w="2956"/>
          </w:tcPr>
          <w:p>
            <w:pPr>
              <w:spacing w:after="20"/>
            </w:pPr>
            <w:r>
              <w:rPr>
                <w:sz w:val="18"/>
              </w:rPr>
              <w:t>Las fuentes del informe existen</w:t>
            </w:r>
          </w:p>
        </w:tc>
        <w:tc>
          <w:tcPr>
            <w:tcW w:type="dxa" w:w="3346"/>
          </w:tcPr>
          <w:p>
            <w:pPr>
              <w:spacing w:after="20"/>
            </w:pPr>
            <w:r>
              <w:rPr>
                <w:sz w:val="18"/>
              </w:rPr>
              <w:t>Crossref y arXiv para cada DOI (Gama 2014, Mitchell 2019, Kapoor y Narayanan 2023, Wilson 1927, Massey 1951, Abid 2019, Rabanser 2019)</w:t>
            </w:r>
          </w:p>
        </w:tc>
        <w:tc>
          <w:tcPr>
            <w:tcW w:type="dxa" w:w="3346"/>
          </w:tcPr>
          <w:p>
            <w:pPr>
              <w:spacing w:after="20"/>
            </w:pPr>
            <w:r>
              <w:rPr>
                <w:sz w:val="18"/>
              </w:rPr>
              <w:t>Título, autores, revista, volumen y páginas coinciden.</w:t>
            </w:r>
          </w:p>
        </w:tc>
      </w:tr>
      <w:tr>
        <w:tc>
          <w:tcPr>
            <w:tcW w:type="dxa" w:w="2956"/>
          </w:tcPr>
          <w:p>
            <w:pPr>
              <w:spacing w:after="20"/>
            </w:pPr>
            <w:r>
              <w:rPr>
                <w:sz w:val="18"/>
              </w:rPr>
              <w:t>Verificación independiente del modelo y su evaluación</w:t>
            </w:r>
          </w:p>
        </w:tc>
        <w:tc>
          <w:tcPr>
            <w:tcW w:type="dxa" w:w="3346"/>
          </w:tcPr>
          <w:p>
            <w:pPr>
              <w:spacing w:after="20"/>
            </w:pPr>
            <w:r>
              <w:rPr>
                <w:sz w:val="18"/>
              </w:rPr>
              <w:t xml:space="preserve">Skill </w:t>
            </w:r>
            <w:r>
              <w:rPr>
                <w:rFonts w:ascii="Consolas" w:hAnsi="Consolas"/>
                <w:color w:val="8A3B12"/>
                <w:sz w:val="16"/>
              </w:rPr>
              <w:t>auditoria-modelos</w:t>
            </w:r>
            <w:r>
              <w:rPr>
                <w:sz w:val="18"/>
              </w:rPr>
              <w:t xml:space="preserve"> v2.0 sobre </w:t>
            </w:r>
            <w:r>
              <w:rPr>
                <w:rFonts w:ascii="Consolas" w:hAnsi="Consolas"/>
                <w:color w:val="8A3B12"/>
                <w:sz w:val="16"/>
              </w:rPr>
              <w:t>src/</w:t>
            </w:r>
            <w:r>
              <w:rPr>
                <w:sz w:val="18"/>
              </w:rPr>
              <w:t xml:space="preserve"> y </w:t>
            </w:r>
            <w:r>
              <w:rPr>
                <w:rFonts w:ascii="Consolas" w:hAnsi="Consolas"/>
                <w:color w:val="8A3B12"/>
                <w:sz w:val="16"/>
              </w:rPr>
              <w:t>evidencia/</w:t>
            </w:r>
            <w:r>
              <w:rPr>
                <w:sz w:val="18"/>
              </w:rPr>
              <w:t xml:space="preserve"> (</w:t>
            </w:r>
            <w:r>
              <w:rPr>
                <w:rFonts w:ascii="Consolas" w:hAnsi="Consolas"/>
                <w:color w:val="8A3B12"/>
                <w:sz w:val="16"/>
              </w:rPr>
              <w:t>auditorias/AUDIT_REPORT_8_2.md</w:t>
            </w:r>
            <w:r>
              <w:rPr>
                <w:sz w:val="18"/>
              </w:rPr>
              <w:t>)</w:t>
            </w:r>
          </w:p>
        </w:tc>
        <w:tc>
          <w:tcPr>
            <w:tcW w:type="dxa" w:w="3346"/>
          </w:tcPr>
          <w:p>
            <w:pPr>
              <w:spacing w:after="20"/>
            </w:pPr>
            <w:r>
              <w:rPr>
                <w:sz w:val="18"/>
              </w:rPr>
              <w:t>V2, V5 y V6 PASAN; V3 FALLA (V3.1); V1 y V4 NO SE PUEDE DETERMINAR (V1.5 sin costos; V4.2 con menos de 20 casos por clase).</w:t>
            </w:r>
          </w:p>
        </w:tc>
      </w:tr>
    </w:tbl>
    <w:p>
      <w:pPr>
        <w:spacing w:after="40"/>
      </w:pPr>
    </w:p>
    <w:p>
      <w:r>
        <w:t xml:space="preserve">Lo que </w:t>
      </w:r>
      <w:r>
        <w:rPr>
          <w:b/>
        </w:rPr>
        <w:t>no</w:t>
      </w:r>
      <w:r>
        <w:t xml:space="preserve"> verifiqué: una instalación limpia (clon nuevo y entorno nuevo) con el README de 8.2; </w:t>
      </w:r>
      <w:r>
        <w:rPr>
          <w:rFonts w:ascii="Consolas" w:hAnsi="Consolas"/>
          <w:color w:val="8A3B12"/>
          <w:sz w:val="19"/>
        </w:rPr>
        <w:t>mcp dev</w:t>
      </w:r>
      <w:r>
        <w:t xml:space="preserve"> con el Inspector; el uso por una persona distinta del autor (</w:t>
      </w:r>
      <w:r>
        <w:rPr>
          <w:rFonts w:ascii="Consolas" w:hAnsi="Consolas"/>
          <w:color w:val="8A3B12"/>
          <w:sz w:val="19"/>
        </w:rPr>
        <w:t>revision/prueba_usuario.md</w:t>
      </w:r>
      <w:r>
        <w:t>); la app con un navegador distinto o con otro sistema operativo.</w:t>
      </w:r>
    </w:p>
    <w:p>
      <w:pPr>
        <w:pStyle w:val="Heading2"/>
      </w:pPr>
      <w:r>
        <w:t>5. Errores que encontré</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E4E7EB"/>
          </w:tcPr>
          <w:p>
            <w:pPr>
              <w:spacing w:after="20"/>
            </w:pPr>
            <w:r>
              <w:rPr>
                <w:b/>
                <w:sz w:val="18"/>
              </w:rPr>
              <w:t>Error</w:t>
            </w:r>
          </w:p>
        </w:tc>
        <w:tc>
          <w:tcPr>
            <w:tcW w:type="dxa" w:w="3216"/>
            <w:shd w:val="clear" w:color="auto" w:fill="E4E7EB"/>
          </w:tcPr>
          <w:p>
            <w:pPr>
              <w:spacing w:after="20"/>
            </w:pPr>
            <w:r>
              <w:rPr>
                <w:b/>
                <w:sz w:val="18"/>
              </w:rPr>
              <w:t>Cómo apareció</w:t>
            </w:r>
          </w:p>
        </w:tc>
        <w:tc>
          <w:tcPr>
            <w:tcW w:type="dxa" w:w="3216"/>
            <w:shd w:val="clear" w:color="auto" w:fill="E4E7EB"/>
          </w:tcPr>
          <w:p>
            <w:pPr>
              <w:spacing w:after="20"/>
            </w:pPr>
            <w:r>
              <w:rPr>
                <w:b/>
                <w:sz w:val="18"/>
              </w:rPr>
              <w:t>Corrección</w:t>
            </w:r>
          </w:p>
        </w:tc>
      </w:tr>
      <w:tr>
        <w:tc>
          <w:tcPr>
            <w:tcW w:type="dxa" w:w="3216"/>
          </w:tcPr>
          <w:p>
            <w:pPr>
              <w:spacing w:after="20"/>
            </w:pPr>
            <w:r>
              <w:rPr>
                <w:rFonts w:ascii="Consolas" w:hAnsi="Consolas"/>
                <w:color w:val="8A3B12"/>
                <w:sz w:val="16"/>
              </w:rPr>
              <w:t>requirements.txt</w:t>
            </w:r>
            <w:r>
              <w:rPr>
                <w:sz w:val="18"/>
              </w:rPr>
              <w:t xml:space="preserve"> no incluía </w:t>
            </w:r>
            <w:r>
              <w:rPr>
                <w:rFonts w:ascii="Consolas" w:hAnsi="Consolas"/>
                <w:color w:val="8A3B12"/>
                <w:sz w:val="16"/>
              </w:rPr>
              <w:t>gradio</w:t>
            </w:r>
          </w:p>
        </w:tc>
        <w:tc>
          <w:tcPr>
            <w:tcW w:type="dxa" w:w="3216"/>
          </w:tcPr>
          <w:p>
            <w:pPr>
              <w:spacing w:after="20"/>
            </w:pPr>
            <w:r>
              <w:rPr>
                <w:sz w:val="18"/>
              </w:rPr>
              <w:t xml:space="preserve">Al intentar abrir la app: </w:t>
            </w:r>
            <w:r>
              <w:rPr>
                <w:rFonts w:ascii="Consolas" w:hAnsi="Consolas"/>
                <w:color w:val="8A3B12"/>
                <w:sz w:val="16"/>
              </w:rPr>
              <w:t>ModuleNotFoundError</w:t>
            </w:r>
            <w:r>
              <w:rPr>
                <w:sz w:val="18"/>
              </w:rPr>
              <w:t xml:space="preserve">. Una prueba de la pantalla se </w:t>
            </w:r>
            <w:r>
              <w:rPr>
                <w:b/>
                <w:sz w:val="18"/>
              </w:rPr>
              <w:t>omitía en silencio</w:t>
            </w:r>
            <w:r>
              <w:rPr>
                <w:sz w:val="18"/>
              </w:rPr>
              <w:t xml:space="preserve"> por lo mismo (</w:t>
            </w:r>
            <w:r>
              <w:rPr>
                <w:rFonts w:ascii="Consolas" w:hAnsi="Consolas"/>
                <w:color w:val="8A3B12"/>
                <w:sz w:val="16"/>
              </w:rPr>
              <w:t>1 skipped</w:t>
            </w:r>
            <w:r>
              <w:rPr>
                <w:sz w:val="18"/>
              </w:rPr>
              <w:t>).</w:t>
            </w:r>
          </w:p>
        </w:tc>
        <w:tc>
          <w:tcPr>
            <w:tcW w:type="dxa" w:w="3216"/>
          </w:tcPr>
          <w:p>
            <w:pPr>
              <w:spacing w:after="20"/>
            </w:pPr>
            <w:r>
              <w:rPr>
                <w:sz w:val="18"/>
              </w:rPr>
              <w:t xml:space="preserve">Se agregó </w:t>
            </w:r>
            <w:r>
              <w:rPr>
                <w:rFonts w:ascii="Consolas" w:hAnsi="Consolas"/>
                <w:color w:val="8A3B12"/>
                <w:sz w:val="16"/>
              </w:rPr>
              <w:t>gradio&gt;=5.0</w:t>
            </w:r>
            <w:r>
              <w:rPr>
                <w:sz w:val="18"/>
              </w:rPr>
              <w:t xml:space="preserve"> y </w:t>
            </w:r>
            <w:r>
              <w:rPr>
                <w:rFonts w:ascii="Consolas" w:hAnsi="Consolas"/>
                <w:color w:val="8A3B12"/>
                <w:sz w:val="16"/>
              </w:rPr>
              <w:t>scipy&gt;=1.11</w:t>
            </w:r>
            <w:r>
              <w:rPr>
                <w:sz w:val="18"/>
              </w:rPr>
              <w:t>; ahora 40 pruebas y 0 omitidas.</w:t>
            </w:r>
          </w:p>
        </w:tc>
      </w:tr>
      <w:tr>
        <w:tc>
          <w:tcPr>
            <w:tcW w:type="dxa" w:w="3216"/>
          </w:tcPr>
          <w:p>
            <w:pPr>
              <w:spacing w:after="20"/>
            </w:pPr>
            <w:r>
              <w:rPr>
                <w:sz w:val="18"/>
              </w:rPr>
              <w:t>Una prueba omitida da falsa tranquilidad</w:t>
            </w:r>
          </w:p>
        </w:tc>
        <w:tc>
          <w:tcPr>
            <w:tcW w:type="dxa" w:w="3216"/>
          </w:tcPr>
          <w:p>
            <w:pPr>
              <w:spacing w:after="20"/>
            </w:pPr>
            <w:r>
              <w:rPr>
                <w:sz w:val="18"/>
              </w:rPr>
              <w:t>Misma causa: el resumen de pytest decía «39 passed, 1 skipped».</w:t>
            </w:r>
          </w:p>
        </w:tc>
        <w:tc>
          <w:tcPr>
            <w:tcW w:type="dxa" w:w="3216"/>
          </w:tcPr>
          <w:p>
            <w:pPr>
              <w:spacing w:after="20"/>
            </w:pPr>
            <w:r>
              <w:rPr>
                <w:sz w:val="18"/>
              </w:rPr>
              <w:t xml:space="preserve">Se instaló la dependencia; </w:t>
            </w:r>
            <w:r>
              <w:rPr>
                <w:b/>
                <w:sz w:val="18"/>
              </w:rPr>
              <w:t>[pendiente]</w:t>
            </w:r>
            <w:r>
              <w:rPr>
                <w:sz w:val="18"/>
              </w:rPr>
              <w:t xml:space="preserve"> decidir si esa prueba debe fallar en vez de omitirse.</w:t>
            </w:r>
          </w:p>
        </w:tc>
      </w:tr>
      <w:tr>
        <w:tc>
          <w:tcPr>
            <w:tcW w:type="dxa" w:w="3216"/>
          </w:tcPr>
          <w:p>
            <w:pPr>
              <w:spacing w:after="20"/>
            </w:pPr>
            <w:r>
              <w:rPr>
                <w:sz w:val="18"/>
              </w:rPr>
              <w:t>El modelo guardado venía de otra versión de scikit-learn (1.9.1 vs 1.9.0)</w:t>
            </w:r>
          </w:p>
        </w:tc>
        <w:tc>
          <w:tcPr>
            <w:tcW w:type="dxa" w:w="3216"/>
          </w:tcPr>
          <w:p>
            <w:pPr>
              <w:spacing w:after="20"/>
            </w:pPr>
            <w:r>
              <w:rPr>
                <w:sz w:val="18"/>
              </w:rPr>
              <w:t xml:space="preserve">Avisos </w:t>
            </w:r>
            <w:r>
              <w:rPr>
                <w:rFonts w:ascii="Consolas" w:hAnsi="Consolas"/>
                <w:color w:val="8A3B12"/>
                <w:sz w:val="16"/>
              </w:rPr>
              <w:t>InconsistentVersionWarning</w:t>
            </w:r>
            <w:r>
              <w:rPr>
                <w:sz w:val="18"/>
              </w:rPr>
              <w:t xml:space="preserve"> al predecir.</w:t>
            </w:r>
          </w:p>
        </w:tc>
        <w:tc>
          <w:tcPr>
            <w:tcW w:type="dxa" w:w="3216"/>
          </w:tcPr>
          <w:p>
            <w:pPr>
              <w:spacing w:after="20"/>
            </w:pPr>
            <w:r>
              <w:rPr>
                <w:sz w:val="18"/>
              </w:rPr>
              <w:t>Reentrenado en este entorno; resultados idénticos. (</w:t>
            </w:r>
            <w:r>
              <w:rPr>
                <w:rFonts w:ascii="Consolas" w:hAnsi="Consolas"/>
                <w:color w:val="8A3B12"/>
                <w:sz w:val="16"/>
              </w:rPr>
              <w:t>modelos/</w:t>
            </w:r>
            <w:r>
              <w:rPr>
                <w:sz w:val="18"/>
              </w:rPr>
              <w:t xml:space="preserve"> no se versiona: un clon limpio entrena el suyo.)</w:t>
            </w:r>
          </w:p>
        </w:tc>
      </w:tr>
      <w:tr>
        <w:tc>
          <w:tcPr>
            <w:tcW w:type="dxa" w:w="3216"/>
          </w:tcPr>
          <w:p>
            <w:pPr>
              <w:spacing w:after="20"/>
            </w:pPr>
            <w:r>
              <w:rPr>
                <w:sz w:val="18"/>
              </w:rPr>
              <w:t>El README de 8.1 citaba el conjunto Wine como «1991»</w:t>
            </w:r>
          </w:p>
        </w:tc>
        <w:tc>
          <w:tcPr>
            <w:tcW w:type="dxa" w:w="3216"/>
          </w:tcPr>
          <w:p>
            <w:pPr>
              <w:spacing w:after="20"/>
            </w:pPr>
            <w:r>
              <w:rPr>
                <w:sz w:val="18"/>
              </w:rPr>
              <w:t>Consulta a DataCite y a la página de UCI: año de cita 1992 (donación 1991).</w:t>
            </w:r>
          </w:p>
        </w:tc>
        <w:tc>
          <w:tcPr>
            <w:tcW w:type="dxa" w:w="3216"/>
          </w:tcPr>
          <w:p>
            <w:pPr>
              <w:spacing w:after="20"/>
            </w:pPr>
            <w:r>
              <w:rPr>
                <w:sz w:val="18"/>
              </w:rPr>
              <w:t>Corregido en el README de 8.2; el de 8.1 no se tocó.</w:t>
            </w:r>
          </w:p>
        </w:tc>
      </w:tr>
      <w:tr>
        <w:tc>
          <w:tcPr>
            <w:tcW w:type="dxa" w:w="3216"/>
          </w:tcPr>
          <w:p>
            <w:pPr>
              <w:spacing w:after="20"/>
            </w:pPr>
            <w:r>
              <w:rPr>
                <w:sz w:val="18"/>
              </w:rPr>
              <w:t>El README de 8.2 decía que la simulación tarda «1 o 2 minutos»</w:t>
            </w:r>
          </w:p>
        </w:tc>
        <w:tc>
          <w:tcPr>
            <w:tcW w:type="dxa" w:w="3216"/>
          </w:tcPr>
          <w:p>
            <w:pPr>
              <w:spacing w:after="20"/>
            </w:pPr>
            <w:r>
              <w:rPr>
                <w:sz w:val="18"/>
              </w:rPr>
              <w:t>La medí: 40 s.</w:t>
            </w:r>
          </w:p>
        </w:tc>
        <w:tc>
          <w:tcPr>
            <w:tcW w:type="dxa" w:w="3216"/>
          </w:tcPr>
          <w:p>
            <w:pPr>
              <w:spacing w:after="20"/>
            </w:pPr>
            <w:r>
              <w:rPr>
                <w:sz w:val="18"/>
              </w:rPr>
              <w:t>Corregido a «menos de un minuto».</w:t>
            </w:r>
          </w:p>
        </w:tc>
      </w:tr>
      <w:tr>
        <w:tc>
          <w:tcPr>
            <w:tcW w:type="dxa" w:w="3216"/>
          </w:tcPr>
          <w:p>
            <w:pPr>
              <w:spacing w:after="20"/>
            </w:pPr>
            <w:r>
              <w:rPr>
                <w:sz w:val="18"/>
              </w:rPr>
              <w:t xml:space="preserve">La auditoría marcó </w:t>
            </w:r>
            <w:r>
              <w:rPr>
                <w:b/>
                <w:sz w:val="18"/>
              </w:rPr>
              <w:t>V3.1 FALLA</w:t>
            </w:r>
            <w:r>
              <w:rPr>
                <w:sz w:val="18"/>
              </w:rPr>
              <w:t>: el umbral de 80 % se fijó con los 178 lotes, que incluyen los 36 de la prueba final</w:t>
            </w:r>
          </w:p>
        </w:tc>
        <w:tc>
          <w:tcPr>
            <w:tcW w:type="dxa" w:w="3216"/>
          </w:tcPr>
          <w:p>
            <w:pPr>
              <w:spacing w:after="20"/>
            </w:pPr>
            <w:r>
              <w:rPr>
                <w:sz w:val="18"/>
              </w:rPr>
              <w:t>Skill de auditoría. Ninguna cifra reportada depende del umbral, pero su captura de errores es optimista.</w:t>
            </w:r>
          </w:p>
        </w:tc>
        <w:tc>
          <w:tcPr>
            <w:tcW w:type="dxa" w:w="3216"/>
          </w:tcPr>
          <w:p>
            <w:pPr>
              <w:spacing w:after="20"/>
            </w:pPr>
            <w:r>
              <w:rPr>
                <w:sz w:val="18"/>
              </w:rPr>
              <w:t xml:space="preserve">Declarado en README y </w:t>
            </w:r>
            <w:r>
              <w:rPr>
                <w:rFonts w:ascii="Consolas" w:hAnsi="Consolas"/>
                <w:color w:val="8A3B12"/>
                <w:sz w:val="16"/>
              </w:rPr>
              <w:t>LIMITACIONES.md</w:t>
            </w:r>
            <w:r>
              <w:rPr>
                <w:sz w:val="18"/>
              </w:rPr>
              <w:t xml:space="preserve">. </w:t>
            </w:r>
            <w:r>
              <w:rPr>
                <w:b/>
                <w:sz w:val="18"/>
              </w:rPr>
              <w:t>No</w:t>
            </w:r>
            <w:r>
              <w:rPr>
                <w:sz w:val="18"/>
              </w:rPr>
              <w:t xml:space="preserve"> se rehízo el umbral con solo el entrenamiento: queda como acción recomendada.</w:t>
            </w:r>
          </w:p>
        </w:tc>
      </w:tr>
      <w:tr>
        <w:tc>
          <w:tcPr>
            <w:tcW w:type="dxa" w:w="3216"/>
          </w:tcPr>
          <w:p>
            <w:pPr>
              <w:spacing w:after="20"/>
            </w:pPr>
            <w:r>
              <w:rPr>
                <w:sz w:val="18"/>
              </w:rPr>
              <w:t>La leyenda tapaba una barra de la figura de degradación y el eje truncado no estaba rotulado</w:t>
            </w:r>
          </w:p>
        </w:tc>
        <w:tc>
          <w:tcPr>
            <w:tcW w:type="dxa" w:w="3216"/>
          </w:tcPr>
          <w:p>
            <w:pPr>
              <w:spacing w:after="20"/>
            </w:pPr>
            <w:r>
              <w:rPr>
                <w:sz w:val="18"/>
              </w:rPr>
              <w:t>Revisión visual de la figura.</w:t>
            </w:r>
          </w:p>
        </w:tc>
        <w:tc>
          <w:tcPr>
            <w:tcW w:type="dxa" w:w="3216"/>
          </w:tcPr>
          <w:p>
            <w:pPr>
              <w:spacing w:after="20"/>
            </w:pPr>
            <w:r>
              <w:rPr>
                <w:sz w:val="18"/>
              </w:rPr>
              <w:t>Leyenda sobre el gráfico y eje rotulado «eje desde 80».</w:t>
            </w:r>
          </w:p>
        </w:tc>
      </w:tr>
      <w:tr>
        <w:tc>
          <w:tcPr>
            <w:tcW w:type="dxa" w:w="3216"/>
          </w:tcPr>
          <w:p>
            <w:pPr>
              <w:spacing w:after="20"/>
            </w:pPr>
            <w:r>
              <w:rPr>
                <w:sz w:val="18"/>
              </w:rPr>
              <w:t xml:space="preserve">Un reemplazo de texto dejó una línea mal sangrada en </w:t>
            </w:r>
            <w:r>
              <w:rPr>
                <w:rFonts w:ascii="Consolas" w:hAnsi="Consolas"/>
                <w:color w:val="8A3B12"/>
                <w:sz w:val="16"/>
              </w:rPr>
              <w:t>figuras_informe.py</w:t>
            </w:r>
          </w:p>
        </w:tc>
        <w:tc>
          <w:tcPr>
            <w:tcW w:type="dxa" w:w="3216"/>
          </w:tcPr>
          <w:p>
            <w:pPr>
              <w:spacing w:after="20"/>
            </w:pPr>
            <w:r>
              <w:rPr>
                <w:rFonts w:ascii="Consolas" w:hAnsi="Consolas"/>
                <w:color w:val="8A3B12"/>
                <w:sz w:val="16"/>
              </w:rPr>
              <w:t>IndentationError</w:t>
            </w:r>
            <w:r>
              <w:rPr>
                <w:sz w:val="18"/>
              </w:rPr>
              <w:t xml:space="preserve"> al regenerar.</w:t>
            </w:r>
          </w:p>
        </w:tc>
        <w:tc>
          <w:tcPr>
            <w:tcW w:type="dxa" w:w="3216"/>
          </w:tcPr>
          <w:p>
            <w:pPr>
              <w:spacing w:after="20"/>
            </w:pPr>
            <w:r>
              <w:rPr>
                <w:sz w:val="18"/>
              </w:rPr>
              <w:t>Corregido y regenerado.</w:t>
            </w:r>
          </w:p>
        </w:tc>
      </w:tr>
      <w:tr>
        <w:tc>
          <w:tcPr>
            <w:tcW w:type="dxa" w:w="3216"/>
          </w:tcPr>
          <w:p>
            <w:pPr>
              <w:spacing w:after="20"/>
            </w:pPr>
            <w:r>
              <w:rPr>
                <w:rFonts w:ascii="Consolas" w:hAnsi="Consolas"/>
                <w:color w:val="8A3B12"/>
                <w:sz w:val="16"/>
              </w:rPr>
              <w:t>README</w:t>
            </w:r>
            <w:r>
              <w:rPr>
                <w:sz w:val="18"/>
              </w:rPr>
              <w:t xml:space="preserve"> afirmaba comportamientos de la pantalla sin haberlos comprobado</w:t>
            </w:r>
          </w:p>
        </w:tc>
        <w:tc>
          <w:tcPr>
            <w:tcW w:type="dxa" w:w="3216"/>
          </w:tcPr>
          <w:p>
            <w:pPr>
              <w:spacing w:after="20"/>
            </w:pPr>
            <w:r>
              <w:rPr>
                <w:sz w:val="18"/>
              </w:rPr>
              <w:t>Me los releí antes de entregar.</w:t>
            </w:r>
          </w:p>
        </w:tc>
        <w:tc>
          <w:tcPr>
            <w:tcW w:type="dxa" w:w="3216"/>
          </w:tcPr>
          <w:p>
            <w:pPr>
              <w:spacing w:after="20"/>
            </w:pPr>
            <w:r>
              <w:rPr>
                <w:sz w:val="18"/>
              </w:rPr>
              <w:t>Se comprobaron (sección 4) antes de dejarlos.</w:t>
            </w:r>
          </w:p>
        </w:tc>
      </w:tr>
    </w:tbl>
    <w:p>
      <w:pPr>
        <w:spacing w:after="40"/>
      </w:pPr>
    </w:p>
    <w:p>
      <w:pPr>
        <w:pStyle w:val="Heading2"/>
      </w:pPr>
      <w:r>
        <w:t>6. Correcciones humanas, y por qué</w:t>
      </w:r>
    </w:p>
    <w:p>
      <w:r>
        <w:t>Registradas en las bitácoras anteriores o en esta conversación (no se han inventado otras):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E4E7EB"/>
          </w:tcPr>
          <w:p>
            <w:pPr>
              <w:spacing w:after="20"/>
            </w:pPr>
            <w:r>
              <w:rPr>
                <w:b/>
                <w:sz w:val="18"/>
              </w:rPr>
              <w:t>Corrección</w:t>
            </w:r>
          </w:p>
        </w:tc>
        <w:tc>
          <w:tcPr>
            <w:tcW w:type="dxa" w:w="4824"/>
            <w:shd w:val="clear" w:color="auto" w:fill="E4E7EB"/>
          </w:tcPr>
          <w:p>
            <w:pPr>
              <w:spacing w:after="20"/>
            </w:pPr>
            <w:r>
              <w:rPr>
                <w:b/>
                <w:sz w:val="18"/>
              </w:rPr>
              <w:t>Por qué</w:t>
            </w:r>
          </w:p>
        </w:tc>
      </w:tr>
      <w:tr>
        <w:tc>
          <w:tcPr>
            <w:tcW w:type="dxa" w:w="4824"/>
          </w:tcPr>
          <w:p>
            <w:pPr>
              <w:spacing w:after="20"/>
            </w:pPr>
            <w:r>
              <w:rPr>
                <w:sz w:val="18"/>
              </w:rPr>
              <w:t xml:space="preserve">Convención de carpetas </w:t>
            </w:r>
            <w:r>
              <w:rPr>
                <w:rFonts w:ascii="Consolas" w:hAnsi="Consolas"/>
                <w:color w:val="8A3B12"/>
                <w:sz w:val="16"/>
              </w:rPr>
              <w:t>Modulo 8_1</w:t>
            </w:r>
            <w:r>
              <w:rPr>
                <w:sz w:val="18"/>
              </w:rPr>
              <w:t xml:space="preserve">, </w:t>
            </w:r>
            <w:r>
              <w:rPr>
                <w:rFonts w:ascii="Consolas" w:hAnsi="Consolas"/>
                <w:color w:val="8A3B12"/>
                <w:sz w:val="16"/>
              </w:rPr>
              <w:t>Modulo 8_2</w:t>
            </w:r>
            <w:r>
              <w:rPr>
                <w:sz w:val="18"/>
              </w:rPr>
              <w:t xml:space="preserve"> en el repositorio de módulos</w:t>
            </w:r>
          </w:p>
        </w:tc>
        <w:tc>
          <w:tcPr>
            <w:tcW w:type="dxa" w:w="4824"/>
          </w:tcPr>
          <w:p>
            <w:pPr>
              <w:spacing w:after="20"/>
            </w:pPr>
            <w:r>
              <w:rPr>
                <w:sz w:val="18"/>
              </w:rPr>
              <w:t>Es como entrego el curso.</w:t>
            </w:r>
          </w:p>
        </w:tc>
      </w:tr>
      <w:tr>
        <w:tc>
          <w:tcPr>
            <w:tcW w:type="dxa" w:w="4824"/>
          </w:tcPr>
          <w:p>
            <w:pPr>
              <w:spacing w:after="20"/>
            </w:pPr>
            <w:r>
              <w:rPr>
                <w:sz w:val="18"/>
              </w:rPr>
              <w:t xml:space="preserve">Corregí el autor de la portada del informe de la Tarea 6.2: </w:t>
            </w:r>
            <w:r>
              <w:rPr>
                <w:rFonts w:ascii="Consolas" w:hAnsi="Consolas"/>
                <w:color w:val="8A3B12"/>
                <w:sz w:val="16"/>
              </w:rPr>
              <w:t>German Credit 6_2</w:t>
            </w:r>
            <w:r>
              <w:rPr>
                <w:sz w:val="18"/>
              </w:rPr>
              <w:t xml:space="preserve"> (con guion bajo)</w:t>
            </w:r>
          </w:p>
        </w:tc>
        <w:tc>
          <w:tcPr>
            <w:tcW w:type="dxa" w:w="4824"/>
          </w:tcPr>
          <w:p>
            <w:pPr>
              <w:spacing w:after="20"/>
            </w:pPr>
            <w:r>
              <w:rPr>
                <w:sz w:val="18"/>
              </w:rPr>
              <w:t xml:space="preserve">El asistente había dejado </w:t>
            </w:r>
            <w:r>
              <w:rPr>
                <w:rFonts w:ascii="Consolas" w:hAnsi="Consolas"/>
                <w:color w:val="8A3B12"/>
                <w:sz w:val="16"/>
              </w:rPr>
              <w:t>German Credit 6.2</w:t>
            </w:r>
            <w:r>
              <w:rPr>
                <w:sz w:val="18"/>
              </w:rPr>
              <w:t xml:space="preserve"> por una pregunta que yo no respondí (bitácora 6.2).</w:t>
            </w:r>
          </w:p>
        </w:tc>
      </w:tr>
      <w:tr>
        <w:tc>
          <w:tcPr>
            <w:tcW w:type="dxa" w:w="4824"/>
          </w:tcPr>
          <w:p>
            <w:pPr>
              <w:spacing w:after="20"/>
            </w:pPr>
            <w:r>
              <w:rPr>
                <w:sz w:val="18"/>
              </w:rPr>
              <w:t>«No subas nada a GitHub aún» / «No hagas commit ni push»</w:t>
            </w:r>
          </w:p>
        </w:tc>
        <w:tc>
          <w:tcPr>
            <w:tcW w:type="dxa" w:w="4824"/>
          </w:tcPr>
          <w:p>
            <w:pPr>
              <w:spacing w:after="20"/>
            </w:pPr>
            <w:r>
              <w:rPr>
                <w:sz w:val="18"/>
              </w:rPr>
              <w:t>Quiero revisar los entregables antes de que salgan de mi equipo.</w:t>
            </w:r>
          </w:p>
        </w:tc>
      </w:tr>
      <w:tr>
        <w:tc>
          <w:tcPr>
            <w:tcW w:type="dxa" w:w="4824"/>
          </w:tcPr>
          <w:p>
            <w:pPr>
              <w:spacing w:after="20"/>
            </w:pPr>
            <w:r>
              <w:rPr>
                <w:sz w:val="18"/>
              </w:rPr>
              <w:t>Interrumpí la auditoría para pedir el estado de lo que faltaba</w:t>
            </w:r>
          </w:p>
        </w:tc>
        <w:tc>
          <w:tcPr>
            <w:tcW w:type="dxa" w:w="4824"/>
          </w:tcPr>
          <w:p>
            <w:pPr>
              <w:spacing w:after="20"/>
            </w:pPr>
            <w:r>
              <w:rPr>
                <w:sz w:val="18"/>
              </w:rPr>
              <w:t>Evitar que el asistente siguiera sin saber qué pedía la tarea completa.</w:t>
            </w:r>
          </w:p>
        </w:tc>
      </w:tr>
    </w:tbl>
    <w:p>
      <w:pPr>
        <w:spacing w:after="40"/>
      </w:pPr>
    </w:p>
    <w:p>
      <w:r>
        <w:rPr>
          <w:b/>
        </w:rPr>
        <w:t>[pendiente]</w:t>
      </w:r>
      <w:r>
        <w:t xml:space="preserve"> Añadir aquí lo que yo haya corregido o decidido en 8.2 que no conste arriba (por ejemplo, si cambié el texto de una limitación o descarté una opción de despliegue). La rúbrica pide correcciones humanas con su porqué; esta tabla solo incluye las que puedo respaldar.</w:t>
      </w:r>
    </w:p>
    <w:p>
      <w:pPr>
        <w:pStyle w:val="Heading2"/>
      </w:pPr>
      <w:r>
        <w:t>7. Pruebas ejecutadas y resultado</w:t>
      </w:r>
    </w:p>
    <w:p>
      <w:r>
        <w:rPr>
          <w:rFonts w:ascii="Consolas" w:hAnsi="Consolas"/>
          <w:color w:val="8A3B12"/>
          <w:sz w:val="19"/>
        </w:rPr>
        <w:t>pytest -v</w:t>
      </w:r>
      <w:r>
        <w:t xml:space="preserve">: </w:t>
      </w:r>
      <w:r>
        <w:rPr>
          <w:b/>
        </w:rPr>
        <w:t>40 pruebas, 40 en verde, 20.78 s</w:t>
      </w:r>
      <w:r>
        <w:t xml:space="preserve"> (salida completa: </w:t>
      </w:r>
      <w:r>
        <w:rPr>
          <w:rFonts w:ascii="Consolas" w:hAnsi="Consolas"/>
          <w:color w:val="8A3B12"/>
          <w:sz w:val="19"/>
        </w:rPr>
        <w:t>evidencia/pytest_v_final.txt</w:t>
      </w:r>
      <w:r>
        <w:t>).</w:t>
      </w:r>
    </w:p>
    <w:tbl>
      <w:tblPr>
        <w:tblStyle w:val="TableGrid"/>
        <w:tblW w:type="auto" w:w="0"/>
        <w:jc w:val="center"/>
        <w:tblLook w:firstColumn="1" w:firstRow="1" w:lastColumn="0" w:lastRow="0" w:noHBand="0" w:noVBand="1" w:val="04A0"/>
      </w:tblPr>
      <w:tblGrid>
        <w:gridCol w:w="3216"/>
        <w:gridCol w:w="3216"/>
        <w:gridCol w:w="3216"/>
      </w:tblGrid>
      <w:tr>
        <w:tc>
          <w:tcPr>
            <w:tcW w:type="dxa" w:w="2953"/>
            <w:shd w:val="clear" w:color="auto" w:fill="E4E7EB"/>
          </w:tcPr>
          <w:p>
            <w:pPr>
              <w:spacing w:after="20"/>
            </w:pPr>
            <w:r>
              <w:rPr>
                <w:b/>
                <w:sz w:val="18"/>
              </w:rPr>
              <w:t>Archivo</w:t>
            </w:r>
          </w:p>
        </w:tc>
        <w:tc>
          <w:tcPr>
            <w:tcW w:type="dxa" w:w="788"/>
            <w:shd w:val="clear" w:color="auto" w:fill="E4E7EB"/>
          </w:tcPr>
          <w:p>
            <w:pPr>
              <w:spacing w:after="20"/>
            </w:pPr>
            <w:r>
              <w:rPr>
                <w:b/>
                <w:sz w:val="18"/>
              </w:rPr>
              <w:t>Pruebas</w:t>
            </w:r>
          </w:p>
        </w:tc>
        <w:tc>
          <w:tcPr>
            <w:tcW w:type="dxa" w:w="5907"/>
            <w:shd w:val="clear" w:color="auto" w:fill="E4E7EB"/>
          </w:tcPr>
          <w:p>
            <w:pPr>
              <w:spacing w:after="20"/>
            </w:pPr>
            <w:r>
              <w:rPr>
                <w:b/>
                <w:sz w:val="18"/>
              </w:rPr>
              <w:t>Qué comprueban</w:t>
            </w:r>
          </w:p>
        </w:tc>
      </w:tr>
      <w:tr>
        <w:tc>
          <w:tcPr>
            <w:tcW w:type="dxa" w:w="2953"/>
          </w:tcPr>
          <w:p>
            <w:pPr>
              <w:spacing w:after="20"/>
            </w:pPr>
            <w:r>
              <w:rPr>
                <w:rFonts w:ascii="Consolas" w:hAnsi="Consolas"/>
                <w:color w:val="8A3B12"/>
                <w:sz w:val="16"/>
              </w:rPr>
              <w:t>test_datos.py</w:t>
            </w:r>
          </w:p>
        </w:tc>
        <w:tc>
          <w:tcPr>
            <w:tcW w:type="dxa" w:w="788"/>
          </w:tcPr>
          <w:p>
            <w:pPr>
              <w:spacing w:after="20"/>
            </w:pPr>
            <w:r>
              <w:rPr>
                <w:sz w:val="18"/>
              </w:rPr>
              <w:t>2</w:t>
            </w:r>
          </w:p>
        </w:tc>
        <w:tc>
          <w:tcPr>
            <w:tcW w:type="dxa" w:w="5907"/>
          </w:tcPr>
          <w:p>
            <w:pPr>
              <w:spacing w:after="20"/>
            </w:pPr>
            <w:r>
              <w:rPr>
                <w:sz w:val="18"/>
              </w:rPr>
              <w:t>Forma de los datos; se rechazan NaN y columnas faltantes.</w:t>
            </w:r>
          </w:p>
        </w:tc>
      </w:tr>
      <w:tr>
        <w:tc>
          <w:tcPr>
            <w:tcW w:type="dxa" w:w="2953"/>
          </w:tcPr>
          <w:p>
            <w:pPr>
              <w:spacing w:after="20"/>
            </w:pPr>
            <w:r>
              <w:rPr>
                <w:rFonts w:ascii="Consolas" w:hAnsi="Consolas"/>
                <w:color w:val="8A3B12"/>
                <w:sz w:val="16"/>
              </w:rPr>
              <w:t>test_validacion.py</w:t>
            </w:r>
          </w:p>
        </w:tc>
        <w:tc>
          <w:tcPr>
            <w:tcW w:type="dxa" w:w="788"/>
          </w:tcPr>
          <w:p>
            <w:pPr>
              <w:spacing w:after="20"/>
            </w:pPr>
            <w:r>
              <w:rPr>
                <w:sz w:val="18"/>
              </w:rPr>
              <w:t>4</w:t>
            </w:r>
          </w:p>
        </w:tc>
        <w:tc>
          <w:tcPr>
            <w:tcW w:type="dxa" w:w="5907"/>
          </w:tcPr>
          <w:p>
            <w:pPr>
              <w:spacing w:after="20"/>
            </w:pPr>
            <w:r>
              <w:rPr>
                <w:sz w:val="18"/>
              </w:rPr>
              <w:t xml:space="preserve">Partición estratificada y sin traslape; escalador sin fuga; CV determinista de 15 estimaciones; </w:t>
            </w:r>
            <w:r>
              <w:rPr>
                <w:rFonts w:ascii="Consolas" w:hAnsi="Consolas"/>
                <w:color w:val="8A3B12"/>
                <w:sz w:val="16"/>
              </w:rPr>
              <w:t>cv</w:t>
            </w:r>
            <w:r>
              <w:rPr>
                <w:sz w:val="18"/>
              </w:rPr>
              <w:t xml:space="preserve"> que no cubre las filas falla con mensaje.</w:t>
            </w:r>
          </w:p>
        </w:tc>
      </w:tr>
      <w:tr>
        <w:tc>
          <w:tcPr>
            <w:tcW w:type="dxa" w:w="2953"/>
          </w:tcPr>
          <w:p>
            <w:pPr>
              <w:spacing w:after="20"/>
            </w:pPr>
            <w:r>
              <w:rPr>
                <w:rFonts w:ascii="Consolas" w:hAnsi="Consolas"/>
                <w:color w:val="8A3B12"/>
                <w:sz w:val="16"/>
              </w:rPr>
              <w:t>test_seleccion.py</w:t>
            </w:r>
          </w:p>
        </w:tc>
        <w:tc>
          <w:tcPr>
            <w:tcW w:type="dxa" w:w="788"/>
          </w:tcPr>
          <w:p>
            <w:pPr>
              <w:spacing w:after="20"/>
            </w:pPr>
            <w:r>
              <w:rPr>
                <w:sz w:val="18"/>
              </w:rPr>
              <w:t>4</w:t>
            </w:r>
          </w:p>
        </w:tc>
        <w:tc>
          <w:tcPr>
            <w:tcW w:type="dxa" w:w="5907"/>
          </w:tcPr>
          <w:p>
            <w:pPr>
              <w:spacing w:after="20"/>
            </w:pPr>
            <w:r>
              <w:rPr>
                <w:sz w:val="18"/>
              </w:rPr>
              <w:t>El criterio elige el más simple entre equivalentes, no uno fuera de la desviación, descarta los que no superan la línea base; error claro con un modelo desconocido.</w:t>
            </w:r>
          </w:p>
        </w:tc>
      </w:tr>
      <w:tr>
        <w:tc>
          <w:tcPr>
            <w:tcW w:type="dxa" w:w="2953"/>
          </w:tcPr>
          <w:p>
            <w:pPr>
              <w:spacing w:after="20"/>
            </w:pPr>
            <w:r>
              <w:rPr>
                <w:rFonts w:ascii="Consolas" w:hAnsi="Consolas"/>
                <w:color w:val="8A3B12"/>
                <w:sz w:val="16"/>
              </w:rPr>
              <w:t>test_modelo.py</w:t>
            </w:r>
          </w:p>
        </w:tc>
        <w:tc>
          <w:tcPr>
            <w:tcW w:type="dxa" w:w="788"/>
          </w:tcPr>
          <w:p>
            <w:pPr>
              <w:spacing w:after="20"/>
            </w:pPr>
            <w:r>
              <w:rPr>
                <w:sz w:val="18"/>
              </w:rPr>
              <w:t>4</w:t>
            </w:r>
          </w:p>
        </w:tc>
        <w:tc>
          <w:tcPr>
            <w:tcW w:type="dxa" w:w="5907"/>
          </w:tcPr>
          <w:p>
            <w:pPr>
              <w:spacing w:after="20"/>
            </w:pPr>
            <w:r>
              <w:rPr>
                <w:sz w:val="18"/>
              </w:rPr>
              <w:t>El modelo supera la línea base; su desviación es ≤ 0.05; la prueba final lo confirma; la elección no depende de la prueba.</w:t>
            </w:r>
          </w:p>
        </w:tc>
      </w:tr>
      <w:tr>
        <w:tc>
          <w:tcPr>
            <w:tcW w:type="dxa" w:w="2953"/>
          </w:tcPr>
          <w:p>
            <w:pPr>
              <w:spacing w:after="20"/>
            </w:pPr>
            <w:r>
              <w:rPr>
                <w:rFonts w:ascii="Consolas" w:hAnsi="Consolas"/>
                <w:color w:val="8A3B12"/>
                <w:sz w:val="16"/>
              </w:rPr>
              <w:t>test_errores_segmentacion.py</w:t>
            </w:r>
          </w:p>
        </w:tc>
        <w:tc>
          <w:tcPr>
            <w:tcW w:type="dxa" w:w="788"/>
          </w:tcPr>
          <w:p>
            <w:pPr>
              <w:spacing w:after="20"/>
            </w:pPr>
            <w:r>
              <w:rPr>
                <w:sz w:val="18"/>
              </w:rPr>
              <w:t>2</w:t>
            </w:r>
          </w:p>
        </w:tc>
        <w:tc>
          <w:tcPr>
            <w:tcW w:type="dxa" w:w="5907"/>
          </w:tcPr>
          <w:p>
            <w:pPr>
              <w:spacing w:after="20"/>
            </w:pPr>
            <w:r>
              <w:rPr>
                <w:sz w:val="18"/>
              </w:rPr>
              <w:t>Análisis por categoría contra un caso calculado a mano; criterios del K-Means.</w:t>
            </w:r>
          </w:p>
        </w:tc>
      </w:tr>
      <w:tr>
        <w:tc>
          <w:tcPr>
            <w:tcW w:type="dxa" w:w="2953"/>
          </w:tcPr>
          <w:p>
            <w:pPr>
              <w:spacing w:after="20"/>
            </w:pPr>
            <w:r>
              <w:rPr>
                <w:rFonts w:ascii="Consolas" w:hAnsi="Consolas"/>
                <w:color w:val="8A3B12"/>
                <w:sz w:val="16"/>
              </w:rPr>
              <w:t>test_detalle_errores.py</w:t>
            </w:r>
          </w:p>
        </w:tc>
        <w:tc>
          <w:tcPr>
            <w:tcW w:type="dxa" w:w="788"/>
          </w:tcPr>
          <w:p>
            <w:pPr>
              <w:spacing w:after="20"/>
            </w:pPr>
            <w:r>
              <w:rPr>
                <w:sz w:val="18"/>
              </w:rPr>
              <w:t>5</w:t>
            </w:r>
          </w:p>
        </w:tc>
        <w:tc>
          <w:tcPr>
            <w:tcW w:type="dxa" w:w="5907"/>
          </w:tcPr>
          <w:p>
            <w:pPr>
              <w:spacing w:after="20"/>
            </w:pPr>
            <w:r>
              <w:rPr>
                <w:sz w:val="18"/>
              </w:rPr>
              <w:t>Intervalo de Wilson contra un valor conocido; cada lote se predice una vez; confianza válida; los grupos cubren los 178 lotes; cada error tiene su explicación.</w:t>
            </w:r>
          </w:p>
        </w:tc>
      </w:tr>
      <w:tr>
        <w:tc>
          <w:tcPr>
            <w:tcW w:type="dxa" w:w="2953"/>
          </w:tcPr>
          <w:p>
            <w:pPr>
              <w:spacing w:after="20"/>
            </w:pPr>
            <w:r>
              <w:rPr>
                <w:rFonts w:ascii="Consolas" w:hAnsi="Consolas"/>
                <w:color w:val="8A3B12"/>
                <w:sz w:val="16"/>
              </w:rPr>
              <w:t>test_deriva.py</w:t>
            </w:r>
          </w:p>
        </w:tc>
        <w:tc>
          <w:tcPr>
            <w:tcW w:type="dxa" w:w="788"/>
          </w:tcPr>
          <w:p>
            <w:pPr>
              <w:spacing w:after="20"/>
            </w:pPr>
            <w:r>
              <w:rPr>
                <w:sz w:val="18"/>
              </w:rPr>
              <w:t>6</w:t>
            </w:r>
          </w:p>
        </w:tc>
        <w:tc>
          <w:tcPr>
            <w:tcW w:type="dxa" w:w="5907"/>
          </w:tcPr>
          <w:p>
            <w:pPr>
              <w:spacing w:after="20"/>
            </w:pPr>
            <w:r>
              <w:rPr>
                <w:sz w:val="18"/>
              </w:rPr>
              <w:t>Sin cambio no hay alerta; un sesgo de prolina se detecta y se nombra; pocos lotes solo miran el rango; conteo fuera de rango; la simulación es reproducible; más ruido baja la exactitud.</w:t>
            </w:r>
          </w:p>
        </w:tc>
      </w:tr>
      <w:tr>
        <w:tc>
          <w:tcPr>
            <w:tcW w:type="dxa" w:w="2953"/>
          </w:tcPr>
          <w:p>
            <w:pPr>
              <w:spacing w:after="20"/>
            </w:pPr>
            <w:r>
              <w:rPr>
                <w:rFonts w:ascii="Consolas" w:hAnsi="Consolas"/>
                <w:color w:val="8A3B12"/>
                <w:sz w:val="16"/>
              </w:rPr>
              <w:t>test_interfaz.py</w:t>
            </w:r>
          </w:p>
        </w:tc>
        <w:tc>
          <w:tcPr>
            <w:tcW w:type="dxa" w:w="788"/>
          </w:tcPr>
          <w:p>
            <w:pPr>
              <w:spacing w:after="20"/>
            </w:pPr>
            <w:r>
              <w:rPr>
                <w:sz w:val="18"/>
              </w:rPr>
              <w:t>8</w:t>
            </w:r>
          </w:p>
        </w:tc>
        <w:tc>
          <w:tcPr>
            <w:tcW w:type="dxa" w:w="5907"/>
          </w:tcPr>
          <w:p>
            <w:pPr>
              <w:spacing w:after="20"/>
            </w:pPr>
            <w:r>
              <w:rPr>
                <w:sz w:val="18"/>
              </w:rPr>
              <w:t>Lote típico y ambiguo; campo vacío; valor fuera de rango; archivo inválido; archivo completo; archivo con prolina desplazada; la pantalla Gradio se construye con sus 13 campos.</w:t>
            </w:r>
          </w:p>
        </w:tc>
      </w:tr>
      <w:tr>
        <w:tc>
          <w:tcPr>
            <w:tcW w:type="dxa" w:w="2953"/>
          </w:tcPr>
          <w:p>
            <w:pPr>
              <w:spacing w:after="20"/>
            </w:pPr>
            <w:r>
              <w:rPr>
                <w:rFonts w:ascii="Consolas" w:hAnsi="Consolas"/>
                <w:color w:val="8A3B12"/>
                <w:sz w:val="16"/>
              </w:rPr>
              <w:t>test_predecir.py</w:t>
            </w:r>
          </w:p>
        </w:tc>
        <w:tc>
          <w:tcPr>
            <w:tcW w:type="dxa" w:w="788"/>
          </w:tcPr>
          <w:p>
            <w:pPr>
              <w:spacing w:after="20"/>
            </w:pPr>
            <w:r>
              <w:rPr>
                <w:sz w:val="18"/>
              </w:rPr>
              <w:t>5</w:t>
            </w:r>
          </w:p>
        </w:tc>
        <w:tc>
          <w:tcPr>
            <w:tcW w:type="dxa" w:w="5907"/>
          </w:tcPr>
          <w:p>
            <w:pPr>
              <w:spacing w:after="20"/>
            </w:pPr>
            <w:r>
              <w:rPr>
                <w:sz w:val="18"/>
              </w:rPr>
              <w:t>Lote válido; entradas inválidas; advertencia de rango; servidor MCP y su mensaje de error.</w:t>
            </w:r>
          </w:p>
        </w:tc>
      </w:tr>
    </w:tbl>
    <w:p>
      <w:pPr>
        <w:spacing w:after="40"/>
      </w:pPr>
    </w:p>
    <w:p>
      <w:r>
        <w:t>Además: la prueba manual de la app (sección 4) y la auditoría de la Skill.</w:t>
      </w:r>
    </w:p>
    <w:p>
      <w:pPr>
        <w:pStyle w:val="Heading2"/>
      </w:pPr>
      <w:r>
        <w:t>8. Resultado final y limitaciones conocidas</w:t>
      </w:r>
    </w:p>
    <w:p>
      <w:pPr>
        <w:pStyle w:val="ListBullet"/>
      </w:pPr>
      <w:r>
        <w:rPr>
          <w:b/>
        </w:rPr>
        <w:t>Modelo:</w:t>
      </w:r>
      <w:r>
        <w:t xml:space="preserve"> regresión logística. Validación cruzada 5×3: exactitud y F1 macro </w:t>
      </w:r>
      <w:r>
        <w:rPr>
          <w:b/>
        </w:rPr>
        <w:t>0.981 ± 0.022</w:t>
      </w:r>
      <w:r>
        <w:t xml:space="preserve"> frente a 0.401 / 0.191 de la línea base; prueba final 35 de 36 (0.972).</w:t>
      </w:r>
    </w:p>
    <w:p>
      <w:pPr>
        <w:pStyle w:val="ListBullet"/>
      </w:pPr>
      <w:r>
        <w:rPr>
          <w:b/>
        </w:rPr>
        <w:t>Errores por categoría:</w:t>
      </w:r>
      <w:r>
        <w:t xml:space="preserve"> 3 errores en 178 lotes (2 de </w:t>
      </w:r>
      <w:r>
        <w:rPr>
          <w:rFonts w:ascii="Consolas" w:hAnsi="Consolas"/>
          <w:color w:val="8A3B12"/>
          <w:sz w:val="19"/>
        </w:rPr>
        <w:t>class_1</w:t>
      </w:r>
      <w:r>
        <w:t xml:space="preserve">, 1 de </w:t>
      </w:r>
      <w:r>
        <w:rPr>
          <w:rFonts w:ascii="Consolas" w:hAnsi="Consolas"/>
          <w:color w:val="8A3B12"/>
          <w:sz w:val="19"/>
        </w:rPr>
        <w:t>class_2</w:t>
      </w:r>
      <w:r>
        <w:t>); los 3 con confianza menor a 0.68. De los 12 lotes con confianza menor a 0.80, 3 fallan (25 %, IC 95 % de 9 a 53 %); con confianza de 0.80 o más, 0 errores en 166 lotes.</w:t>
      </w:r>
    </w:p>
    <w:p>
      <w:pPr>
        <w:pStyle w:val="ListBullet"/>
      </w:pPr>
      <w:r>
        <w:rPr>
          <w:b/>
        </w:rPr>
        <w:t>Degradación simulada:</w:t>
      </w:r>
      <w:r>
        <w:t xml:space="preserve"> con ruido de una desviación la exactitud cae de 0.983 a 0.871 y el modelo sigue devolviendo probabilidades; ninguna alerta sola alcanza (la de distribución ve el cambio de método; la de rango ve el ruido).</w:t>
      </w:r>
    </w:p>
    <w:p>
      <w:pPr>
        <w:pStyle w:val="ListBullet"/>
      </w:pPr>
      <w:r>
        <w:rPr>
          <w:b/>
        </w:rPr>
        <w:t>Limitaciones principales</w:t>
      </w:r>
      <w:r>
        <w:t xml:space="preserve"> (detalle en </w:t>
      </w:r>
      <w:r>
        <w:rPr>
          <w:rFonts w:ascii="Consolas" w:hAnsi="Consolas"/>
          <w:color w:val="8A3B12"/>
          <w:sz w:val="19"/>
        </w:rPr>
        <w:t>LIMITACIONES.md</w:t>
      </w:r>
      <w:r>
        <w:t xml:space="preserve">): predice el </w:t>
      </w:r>
      <w:r>
        <w:rPr>
          <w:rFonts w:ascii="Consolas" w:hAnsi="Consolas"/>
          <w:color w:val="8A3B12"/>
          <w:sz w:val="19"/>
        </w:rPr>
        <w:t>cultivar</w:t>
      </w:r>
      <w:r>
        <w:t xml:space="preserve"> de un archivo público, no la línea de producto; 178 lotes de una sola fuente; ninguna prueba con datos reales de la empresa; el umbral de confianza se fijó con los mismos datos que describe; el uso por una persona distinta del autor está sin registrar.</w:t>
      </w:r>
    </w:p>
    <w:p>
      <w:pPr>
        <w:pStyle w:val="Heading2"/>
      </w:pPr>
      <w:r>
        <w:t>9. Reflexión</w:t>
      </w:r>
    </w:p>
    <w:p>
      <w:pPr>
        <w:ind w:left="360"/>
      </w:pPr>
      <w:r>
        <w:rPr>
          <w:b/>
          <w:i/>
        </w:rPr>
        <w:t>Borrador para el estudiante.</w:t>
      </w:r>
      <w:r>
        <w:rPr>
          <w:i/>
        </w:rPr>
        <w:t xml:space="preserve"> Está armado con la evidencia del repositorio (Módulos 5 a 8), no con mi memoria. Léalo, cambie lo que no sea cierto de cómo trabajó usted y borre este aviso antes de entregar.</w:t>
      </w:r>
    </w:p>
    <w:p>
      <w:r>
        <w:rPr>
          <w:b/>
        </w:rPr>
        <w:t>Al principio</w:t>
      </w:r>
      <w:r>
        <w:t xml:space="preserve"> (Módulo 5), un resultado bueno era uno que corría. Construí un servidor MCP con PCA y K-Means, lo probé con el Inspector y di por buena la segmentación con una sola cifra, la silueta de 0.2849. No tenía una línea base ni sabía cuánto variaba esa cifra, y no me preguntaba con qué datos se había decidido nada. En el Módulo 6 aprendí a pedir media y desviación de una validación cruzada, a reproducir la cifra de la entrega anterior antes de cambiar nada, y a que una auditoría revise lo que yo no veo.</w:t>
      </w:r>
    </w:p>
    <w:p>
      <w:r>
        <w:rPr>
          <w:b/>
        </w:rPr>
        <w:t>Ahora</w:t>
      </w:r>
      <w:r>
        <w:t xml:space="preserve"> (Módulo 8), antes de preguntar cuánto acierta el modelo pregunto contra qué se compara (la línea base acierta 0.401, el modelo 0.981), con qué datos se tomó cada decisión (la prueba final se mide una sola vez), en qué grupos falla (3 errores en 178 lotes, todos con confianza menor a 0.68) y qué pasa cuando el mundo cambia (con ruido de una desviación la exactitud cae a 0.871 y el modelo no avisa). También cambió cómo uso al asistente: ya no le pido «hazlo», le pido que lea antes de escribir, que consulte lo ambiguo, que no suba nada sin mi orden, y yo compruebo lo que afirma. En esta tarea, por ejemplo, comprobé que la app realmente abriera y que el README no prometiera lo que la pantalla no hacía, y eso destapó que </w:t>
      </w:r>
      <w:r>
        <w:rPr>
          <w:rFonts w:ascii="Consolas" w:hAnsi="Consolas"/>
          <w:color w:val="8A3B12"/>
          <w:sz w:val="19"/>
        </w:rPr>
        <w:t>requirements.txt</w:t>
      </w:r>
      <w:r>
        <w:t xml:space="preserve"> no traía Gradio y que una prueba se omitía en silencio.</w:t>
      </w:r>
    </w:p>
    <w:p>
      <w:r>
        <w:rPr>
          <w:b/>
        </w:rPr>
        <w:t>Una decisión que habría tomado distinto.</w:t>
      </w:r>
      <w:r>
        <w:t xml:space="preserve"> Fijé el umbral de «confianza baja» en 80 % mirando los errores de los 178 lotes, que incluyen los 36 de la prueba final. Parecía razonable porque no cambiaba ninguna métrica reportada, pero la auditoría lo marcó como fuga (V3.1): el umbral «captura» los 3 errores precisamente porque se eligió con ellos. Lo correcto habría sido fijarlo con los 142 lotes de entrenamiento y contar cuántos errores de la prueba atrapa. No fue la primera vez: en la Tarea 8.1 el escalador de K-Means se ajustó con las 178 filas y también lo encontró la Skill, no yo. Lo que cambió no es que ya no cometa esos errores, sino que ahora sé nombrarlos, tengo una herramienta que los busca y los declaro en las limitaciones en vez de esconderlos. Lo que todavía me falta es detectarlos antes de que los revise otro: antes de usar «todos los datos» para decidir algo, preguntarme si algún dato de prueba entró en la decisión.</w:t>
      </w:r>
    </w:p>
    <w:p>
      <w:pPr>
        <w:pStyle w:val="Heading2"/>
      </w:pPr>
      <w:r>
        <w:t>10. Pendiente del estudiante</w:t>
      </w:r>
    </w:p>
    <w:p>
      <w:pPr>
        <w:pStyle w:val="ListBullet"/>
      </w:pPr>
      <w:r>
        <w:rPr>
          <w:b/>
        </w:rPr>
        <w:t>[pendiente]</w:t>
      </w:r>
      <w:r>
        <w:t xml:space="preserve"> Prueba de uso con una persona distinta de usted (</w:t>
      </w:r>
      <w:r>
        <w:rPr>
          <w:rFonts w:ascii="Consolas" w:hAnsi="Consolas"/>
          <w:color w:val="8A3B12"/>
          <w:sz w:val="19"/>
        </w:rPr>
        <w:t>revision/prueba_usuario.md</w:t>
      </w:r>
      <w:r>
        <w:t>, sección 2) y el cambio que haga a partir de lo que le cueste. Es el 20 % de la nota.</w:t>
      </w:r>
    </w:p>
    <w:p>
      <w:pPr>
        <w:pStyle w:val="ListBullet"/>
      </w:pPr>
      <w:r>
        <w:rPr>
          <w:b/>
        </w:rPr>
        <w:t>[pendiente]</w:t>
      </w:r>
      <w:r>
        <w:t xml:space="preserve"> Revisión humana de los cambios (la guía pide una revisión documentada por una persona, el docente o la Skill) y abrir los pull requests de 8.1 y de esta rama cuando decida subir.</w:t>
      </w:r>
    </w:p>
    <w:p>
      <w:pPr>
        <w:pStyle w:val="ListBullet"/>
      </w:pPr>
      <w:r>
        <w:rPr>
          <w:b/>
        </w:rPr>
        <w:t>[pendiente]</w:t>
      </w:r>
      <w:r>
        <w:t xml:space="preserve"> El enlace de la demostración para Moodle: Gradio local no tiene enlace público; elegir entre enlazar el repositorio una vez subido, publicar un Colab o grabar un video.</w:t>
      </w:r>
    </w:p>
    <w:p>
      <w:pPr>
        <w:pStyle w:val="ListBullet"/>
      </w:pPr>
      <w:r>
        <w:rPr>
          <w:b/>
        </w:rPr>
        <w:t>[confirmar]</w:t>
      </w:r>
      <w:r>
        <w:t xml:space="preserve"> Quién escribió el código existente al abrir esta sesión (sección 3) y cualquier corrección suya de 8.2 (sección 6).</w:t>
      </w:r>
    </w:p>
    <w:p>
      <w:pPr>
        <w:pStyle w:val="ListBullet"/>
      </w:pPr>
      <w:r>
        <w:rPr>
          <w:b/>
        </w:rPr>
        <w:t>[confirmar]</w:t>
      </w:r>
      <w:r>
        <w:t xml:space="preserve"> Que </w:t>
      </w:r>
      <w:r>
        <w:rPr>
          <w:rFonts w:ascii="Consolas" w:hAnsi="Consolas"/>
          <w:color w:val="8A3B12"/>
          <w:sz w:val="19"/>
        </w:rPr>
        <w:t>REFLEXION.md</w:t>
      </w:r>
      <w:r>
        <w:t xml:space="preserve"> describe cómo trabajó usted de verdad; es un borrador armado con la evidencia del repositorio.</w:t>
      </w:r>
    </w:p>
    <w:p>
      <w:pPr>
        <w:pStyle w:val="ListBullet"/>
      </w:pPr>
      <w:r>
        <w:rPr>
          <w:b/>
        </w:rPr>
        <w:t>[pendiente]</w:t>
      </w:r>
      <w:r>
        <w:t xml:space="preserve"> Instalación limpia con el README de 8.2 y decisión sobre la prueba omitida cuando falta una dependencia.</w:t>
      </w:r>
    </w:p>
    <w:p>
      <w:pPr>
        <w:pStyle w:val="ListBullet"/>
      </w:pPr>
      <w:r>
        <w:rPr>
          <w:b/>
        </w:rPr>
        <w:t>[pendiente]</w:t>
      </w:r>
      <w:r>
        <w:t xml:space="preserve"> Presentar ante el grupo en la modalidad que indique el docente.</w:t>
      </w:r>
    </w:p>
    <w:p>
      <w:pPr>
        <w:pStyle w:val="ListBullet"/>
      </w:pPr>
      <w:r>
        <w:t xml:space="preserve">No se ha hecho </w:t>
      </w:r>
      <w:r>
        <w:rPr>
          <w:b/>
        </w:rPr>
        <w:t>ningún commit ni push</w:t>
      </w:r>
      <w:r>
        <w:t xml:space="preserve"> de la Tarea 8.2.</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b/>
      <w:bCs/>
      <w:color w:val="1F2933"/>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293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