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Desk — Active Specs Manifest</w:t>
      </w:r>
    </w:p>
    <w:p>
      <w:pPr>
        <w:spacing w:after="80"/>
      </w:pPr>
      <w:r>
        <w:rPr>
          <w:b/>
        </w:rPr>
        <w:t>Status:</w:t>
      </w:r>
      <w:r>
        <w:t xml:space="preserve"> LOCKED FOR BUILD 1–2 / CODING-AGENT DRY RUN  </w:t>
      </w:r>
    </w:p>
    <w:p>
      <w:pPr>
        <w:spacing w:after="80"/>
      </w:pPr>
      <w:r>
        <w:rPr>
          <w:b/>
        </w:rPr>
        <w:t>Date:</w:t>
      </w:r>
      <w:r>
        <w:t xml:space="preserve"> September 26, 2026  </w:t>
      </w:r>
    </w:p>
    <w:p>
      <w:pPr>
        <w:spacing w:after="80"/>
      </w:pPr>
      <w:r>
        <w:rPr>
          <w:b/>
        </w:rPr>
        <w:t>Purpose:</w:t>
      </w:r>
      <w:r>
        <w:t xml:space="preserve"> Single implementation-facing authority index after Implementation Readiness Review v1.0, Supplement S1, and accepted Operator Repair requirement.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DEDED"/>
          </w:tcPr>
          <w:p>
            <w:pPr>
              <w:spacing w:after="0"/>
            </w:pPr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016"/>
            <w:shd w:fill="EDEDED"/>
          </w:tcPr>
          <w:p>
            <w:pPr>
              <w:spacing w:after="0"/>
            </w:pPr>
            <w:r>
              <w:rPr>
                <w:b/>
                <w:sz w:val="15"/>
              </w:rPr>
              <w:t>Version</w:t>
            </w:r>
          </w:p>
        </w:tc>
        <w:tc>
          <w:tcPr>
            <w:tcW w:type="dxa" w:w="2016"/>
            <w:shd w:fill="EDEDED"/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2016"/>
            <w:shd w:fill="EDEDED"/>
          </w:tcPr>
          <w:p>
            <w:pPr>
              <w:spacing w:after="0"/>
            </w:pPr>
            <w:r>
              <w:rPr>
                <w:b/>
                <w:sz w:val="15"/>
              </w:rPr>
              <w:t>Required by</w:t>
            </w:r>
          </w:p>
        </w:tc>
        <w:tc>
          <w:tcPr>
            <w:tcW w:type="dxa" w:w="2016"/>
            <w:shd w:fill="EDEDED"/>
          </w:tcPr>
          <w:p>
            <w:pPr>
              <w:spacing w:after="0"/>
            </w:pPr>
            <w:r>
              <w:rPr>
                <w:b/>
                <w:sz w:val="15"/>
              </w:rPr>
              <w:t>Owns</w:t>
            </w:r>
          </w:p>
        </w:tc>
        <w:trPr>
          <w:tblHeader/>
        </w:trPr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Technical Architecture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v1.0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ACCEPTED / FROZEN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All builds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System boundaries, durable artifacts, lifecycle, persistence/lineage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ADR-001 Coverage Commissioning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001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ACCEPTED AMENDMENT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Builds 3–5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Commissioning, enrichment, internal context retrieval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ADR-002 Application Runtime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002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ACCEPTED AMENDMENT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Build 1+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TypeScript, Node.js 24 LTS, strict mode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ADR-003 Autonomous Operation &amp; Operator Repair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003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ACCEPTED AMENDMENT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Build 1+ / launch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Autonomous operating model, READY review socket, repair authority/boundaries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Operator Repair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v0.1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ACTIVE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Builds 1–2 / launch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Natural-language feedback → typed repair plan/re-entry contract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Coverage Commissioning &amp; Knowledge Readiness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v0.1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ACTIVE, NO BUILD 1–2 IMPLEMENTATION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Build 3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Coverage readiness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Claims Policy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v0.1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ACTIVE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Builds 2, 6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Claims, usage, grounding, incidents, implied access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Evidence Package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v0.2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ACTIVE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Builds 2, 5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Frozen evidence contract/exposure/context candidates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Showrunner Planning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v0.1.2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ACTIVE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Builds 2, 5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Mode/template selection, brief-owned program blocks, launch registries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Writing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v0.2.1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ACTIVE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Builds 2, 6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Spoken text, two-pass writing, spans/gates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Performance &amp; Render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v0.1.2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ACTIVE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Builds 2, 7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Direction/render/takes/assembly; automatic take policy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Character Bible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v0.1.3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ACTIVE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Builds 2, 5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Character identity/behavior only; no render topology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Engineering Standards &amp; Security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v0.1.2-skeleton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ACTIVE SKELETON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Builds 1–2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Engineering/security floor; durable wait/repair least privilege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Walking-Skeleton Contract Trace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v0.3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ACTIVE IMPLEMENTATION CONTRACT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Builds 1–2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Conformance and failure drills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Frozen Walking-Skeleton Fixture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v0.3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ACTIVE EXECUTABLE CONTRACT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Builds 1–2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Synthetic conformance/config/review/repair examples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Lore Pipeline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v0.1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LEGACY ONLY WHERE NOT SUPERSEDED; BANNER REQUIRED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Until Build 3 revision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Narrow legacy lore behavior only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Ingest &amp; Digest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v0.1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LEGACY ONLY WHERE NOT SUPERSEDED; BANNER REQUIRED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Until Build 4 revision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Narrow legacy ingest behavior only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Render Test Kit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prototype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TEST FIXTURE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Build 2 experiments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Provider capability experiments only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Episode Input Package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v0.1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SUPERSEDED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None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Historical only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Script Spec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v0.1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SUPERSEDED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None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5"/>
              </w:rPr>
              <w:t>Historical only; launch rundown migrated into v0.3 config</w:t>
            </w:r>
          </w:p>
        </w:tc>
      </w:tr>
    </w:tbl>
    <w:p>
      <w:pPr>
        <w:pStyle w:val="Heading1"/>
      </w:pPr>
      <w:r>
        <w:t>Precedence</w:t>
      </w:r>
    </w:p>
    <w:p>
      <w:pPr>
        <w:pStyle w:val="ListNumber"/>
      </w:pPr>
      <w:r>
        <w:t>Technical Architecture v1.0 and accepted ADRs.</w:t>
      </w:r>
    </w:p>
    <w:p>
      <w:pPr>
        <w:pStyle w:val="ListNumber"/>
      </w:pPr>
      <w:r>
        <w:t>Active successor specifications.</w:t>
      </w:r>
    </w:p>
    <w:p>
      <w:pPr>
        <w:pStyle w:val="ListNumber"/>
      </w:pPr>
      <w:r>
        <w:t>Active skeleton/implementation contracts where they do not alter higher-level authority.</w:t>
      </w:r>
    </w:p>
    <w:p>
      <w:pPr>
        <w:pStyle w:val="ListNumber"/>
      </w:pPr>
      <w:r>
        <w:t>Bannered legacy documents only for narrow material not addressed by a newer active spec.</w:t>
      </w:r>
    </w:p>
    <w:p>
      <w:pPr>
        <w:pStyle w:val="ListNumber"/>
      </w:pPr>
      <w:r>
        <w:t>Test fixtures only as experiments/examples.</w:t>
      </w:r>
    </w:p>
    <w:p>
      <w:pPr>
        <w:spacing w:after="80"/>
      </w:pPr>
      <w:r>
        <w:t>If active documents appear to conflict, stop and surface the conflict. Do not silently reconcile.</w:t>
      </w:r>
    </w:p>
    <w:p>
      <w:pPr>
        <w:pStyle w:val="Heading1"/>
      </w:pPr>
      <w:r>
        <w:t>Legacy hazard rule</w:t>
      </w:r>
    </w:p>
    <w:p>
      <w:pPr>
        <w:spacing w:after="80"/>
      </w:pPr>
      <w:r>
        <w:t>Never implement from unbannered copies of Lore Pipeline v0.1 or Ingest &amp; Digest v0.1. In particular, do not carry forward source-text discard/paraphrase-only retention, sombre override, mutable cached pronunciation correction, fixed press/fan source counts, or ingest-owned ritual/prediction decisions. Re-derive pronunciation, retention, incident/sombre, and rights behavior from the active successor chain.</w:t>
      </w:r>
    </w:p>
    <w:p>
      <w:pPr>
        <w:pStyle w:val="Heading1"/>
      </w:pPr>
      <w:r>
        <w:t>Build 1–2 lock</w:t>
      </w:r>
    </w:p>
    <w:p>
      <w:pPr>
        <w:spacing w:after="80"/>
      </w:pPr>
      <w:r>
        <w:t>General foundation review is closed. Reopen only for a concrete implementation contradiction, failing conformance test, measured provider/runtime fact, security/rights defect, or explicit new product decision. The next step is the coding-agent dry run in Handoff v0.3.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ACTIVE SPECS LOCKED v1.1</dc:title>
  <dc:subject/>
  <dc:creator>The Desk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