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desk---active-specs-manifest-v1.2.1"/>
    <w:p>
      <w:pPr>
        <w:pStyle w:val="Heading1"/>
      </w:pPr>
      <w:r>
        <w:t xml:space="preserve">The Desk - Active Specs Manifest v1.2.1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 IMPLEMENTATION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Single implementation-facing authority index after the independent Codex/Claude dry runs and the bounded v1.2.1 corrective lock.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boundaries, durable artifacts, lifecycle, persistence/lineage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Coverage Commissioning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Commissioning, enrichment, internal context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Application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Node.js 24 LTS,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Autonomous Operation &amp; 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operating model, READY review socket, repair authority/boundaries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ADR-003A READY &amp; Repair-Attempt Semantics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Evaluation/READY separation, fixture READY proof, child-attempt repair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feedback -&gt; typed repair plan; READY repair child-attempt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Commissioning &amp; Knowledge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NO BUILD 1-2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usage, grounding, required-attribution semantics, silent non-leak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evidence contract and consumer-exposure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Mode/template selection, brief-owned program blocks, comprehension targets, closing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&amp; Invisible Comprehension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- LAUNCH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standard, Craft Critic, semantic reinforcement, comprehension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text, bounded craft revision, speech texture, spans/gates subject to hash/span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Render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Direction/render/takes/assembly, mechanical reroll rule, provider-call ledger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Bible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identity, ensemble relationships, shared object of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Standards &amp;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v0.1.3-skeleton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Engineering/security floor, staging/error-tracking proof, provider-call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Hashing, Fingerprints &amp; Text Spans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serializer domains, stage fingerprints, revision-parent identity, Unicode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Contract Trace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Conformance/failure drills after dry-run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Walking-Skeleton Fixture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EXECUTABLE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synthetic conformance/config/review/repair vectors and fixture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Coding Handoff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Build-1/2 scope and completion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3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lore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&amp; Digest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4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ingest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Test Kit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2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capability experiments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Input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</w:tbl>
    <w:bookmarkStart w:id="20" w:name="precedence"/>
    <w:p>
      <w:pPr>
        <w:pStyle w:val="Heading2"/>
      </w:pPr>
      <w:r>
        <w:t xml:space="preserve">Precedence</w:t>
      </w:r>
    </w:p>
    <w:p>
      <w:pPr>
        <w:pStyle w:val="Compact"/>
        <w:numPr>
          <w:ilvl w:val="0"/>
          <w:numId w:val="1001"/>
        </w:numPr>
      </w:pPr>
      <w:r>
        <w:t xml:space="preserve">Technical Architecture v1.0 and accepted ADRs/addenda.</w:t>
      </w:r>
    </w:p>
    <w:p>
      <w:pPr>
        <w:pStyle w:val="Compact"/>
        <w:numPr>
          <w:ilvl w:val="0"/>
          <w:numId w:val="1001"/>
        </w:numPr>
      </w:pPr>
      <w:r>
        <w:t xml:space="preserve">Active successor specifications.</w:t>
      </w:r>
    </w:p>
    <w:p>
      <w:pPr>
        <w:pStyle w:val="Compact"/>
        <w:numPr>
          <w:ilvl w:val="0"/>
          <w:numId w:val="1001"/>
        </w:numPr>
      </w:pPr>
      <w:r>
        <w:t xml:space="preserve">Active Build 1–2 implementation contracts/handoff where they do not alter higher-level authority.</w:t>
      </w:r>
    </w:p>
    <w:p>
      <w:pPr>
        <w:pStyle w:val="Compact"/>
        <w:numPr>
          <w:ilvl w:val="0"/>
          <w:numId w:val="1001"/>
        </w:numPr>
      </w:pPr>
      <w:r>
        <w:t xml:space="preserve">Bannered legacy documents only for narrow material not addressed by a newer active spec.</w:t>
      </w:r>
    </w:p>
    <w:p>
      <w:pPr>
        <w:pStyle w:val="Compact"/>
        <w:numPr>
          <w:ilvl w:val="0"/>
          <w:numId w:val="1001"/>
        </w:numPr>
      </w:pPr>
      <w:r>
        <w:t xml:space="preserve">Test fixtures as executable examples subordinate to the governing contracts.</w:t>
      </w:r>
    </w:p>
    <w:p>
      <w:pPr>
        <w:pStyle w:val="FirstParagraph"/>
      </w:pPr>
      <w:r>
        <w:t xml:space="preserve">If active documents appear to conflict, stop and surface the conflict. Do not silently reconcile.</w:t>
      </w:r>
    </w:p>
    <w:bookmarkEnd w:id="20"/>
    <w:bookmarkStart w:id="21" w:name="v1.2.1-corrective-decisions"/>
    <w:p>
      <w:pPr>
        <w:pStyle w:val="Heading2"/>
      </w:pPr>
      <w:r>
        <w:t xml:space="preserve">v1.2.1 corrective decisions</w:t>
      </w:r>
    </w:p>
    <w:p>
      <w:pPr>
        <w:pStyle w:val="FirstParagraph"/>
      </w:pPr>
      <w:r>
        <w:t xml:space="preserve">This lock closes the four blockers raised by the independent implementation-readiness passes: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READY topology:</w:t>
      </w:r>
      <w:r>
        <w:t xml:space="preserve"> </w:t>
      </w:r>
      <w:r>
        <w:t xml:space="preserve">evaluation remains barred from READY; Build 2 uses a separate production-purpose, publication-disabled review run with deterministic fixture audio and a real validated master.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Repair attempts:</w:t>
      </w:r>
      <w:r>
        <w:t xml:space="preserve"> </w:t>
      </w:r>
      <w:r>
        <w:t xml:space="preserve">a confirmed repair of a READY candidate forks a child attempt; the parent never moves backward; fresh READY review is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Fixture conformance:</w:t>
      </w:r>
      <w:r>
        <w:t xml:space="preserve"> </w:t>
      </w:r>
      <w:r>
        <w:t xml:space="preserve">v0.4.1 corrects evidence-axis enums, required template slots, attribution, timestamps, repair records, consumer exposure, reroll trigger, provider-call ledger, actor/knowledge/model records, and materializes fixture audio/master.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Hash/fingerprint contract:</w:t>
      </w:r>
      <w:r>
        <w:t xml:space="preserve"> </w:t>
      </w:r>
      <w:r>
        <w:t xml:space="preserve">domains, revision-parent identity, stage-specific fingerprints, and Unicode code-point spans are now normative and executable.</w:t>
      </w:r>
    </w:p>
    <w:bookmarkEnd w:id="21"/>
    <w:bookmarkStart w:id="22" w:name="build-1-implementation-boundary"/>
    <w:p>
      <w:pPr>
        <w:pStyle w:val="Heading2"/>
      </w:pPr>
      <w:r>
        <w:t xml:space="preserve">Build 1 implementation boundary</w:t>
      </w:r>
    </w:p>
    <w:p>
      <w:pPr>
        <w:pStyle w:val="FirstParagraph"/>
      </w:pPr>
      <w:r>
        <w:t xml:space="preserve">General architecture review is closed. Routine implementation choices such as package manager, validation library, test runner, thin SQL migration runner, UUID library, and file/directory naming do not require Mike adjudication unless they materially alter architecture, security, provenance, recoverability, or cost.</w:t>
      </w:r>
    </w:p>
    <w:p>
      <w:pPr>
        <w:pStyle w:val="BodyText"/>
      </w:pPr>
      <w:r>
        <w:t xml:space="preserve">Build 1 must still prove an isolated staging deployment and correlation to hosted error tracking before Build 1 is called complete. Production hosting, publication infrastructure, full live revalidation, ingest, commissioning automation, polished review UI, and alternate provider failover remain deferred.</w:t>
      </w:r>
    </w:p>
    <w:p>
      <w:pPr>
        <w:pStyle w:val="BodyText"/>
      </w:pPr>
      <w:r>
        <w:t xml:space="preserve">The next step is</w:t>
      </w:r>
      <w:r>
        <w:t xml:space="preserve"> </w:t>
      </w:r>
      <w:r>
        <w:rPr>
          <w:b/>
          <w:bCs/>
        </w:rPr>
        <w:t xml:space="preserve">Build 1 implementation under Handoff v0.5</w:t>
      </w:r>
      <w:r>
        <w:t xml:space="preserve">, beginning with a short mechanical conformance check against Fixture v0.4.1 rather than another general architecture review.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2026-09-27T14:38:07Z</dcterms:created>
  <dcterms:modified xsi:type="dcterms:W3CDTF">2026-09-27T14:38:07Z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