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rPr>
          <w:rFonts w:ascii="Inter" w:hAnsi="Inter"/>
          <w:sz w:val="44"/>
        </w:rPr>
        <w:t>ADR-002 — Application Runtime: TypeScript on Node.js</w:t>
      </w:r>
    </w:p>
    <w:p>
      <w:pPr>
        <w:spacing w:after="20"/>
      </w:pPr>
    </w:p>
    <w:p>
      <w:pPr>
        <w:spacing w:after="80" w:line="259" w:lineRule="auto"/>
      </w:pPr>
      <w:r>
        <w:rPr>
          <w:rFonts w:ascii="Inter" w:hAnsi="Inter"/>
          <w:b/>
          <w:sz w:val="19"/>
        </w:rPr>
        <w:t>Status:</w:t>
      </w:r>
      <w:r>
        <w:rPr>
          <w:rFonts w:ascii="Inter" w:hAnsi="Inter"/>
          <w:sz w:val="19"/>
        </w:rPr>
        <w:t xml:space="preserve"> ACCEPTED  </w:t>
      </w:r>
    </w:p>
    <w:p>
      <w:pPr>
        <w:spacing w:after="80" w:line="259" w:lineRule="auto"/>
      </w:pPr>
      <w:r>
        <w:rPr>
          <w:rFonts w:ascii="Inter" w:hAnsi="Inter"/>
          <w:b/>
          <w:sz w:val="19"/>
        </w:rPr>
        <w:t>Date:</w:t>
      </w:r>
      <w:r>
        <w:rPr>
          <w:rFonts w:ascii="Inter" w:hAnsi="Inter"/>
          <w:sz w:val="19"/>
        </w:rPr>
        <w:t xml:space="preserve"> September 26, 2026  </w:t>
      </w:r>
    </w:p>
    <w:p>
      <w:pPr>
        <w:spacing w:after="80" w:line="259" w:lineRule="auto"/>
      </w:pPr>
      <w:r>
        <w:rPr>
          <w:rFonts w:ascii="Inter" w:hAnsi="Inter"/>
          <w:b/>
          <w:sz w:val="19"/>
        </w:rPr>
        <w:t>Decision owner:</w:t>
      </w:r>
      <w:r>
        <w:rPr>
          <w:rFonts w:ascii="Inter" w:hAnsi="Inter"/>
          <w:sz w:val="19"/>
        </w:rPr>
        <w:t xml:space="preserve"> Mike  </w:t>
      </w:r>
    </w:p>
    <w:p>
      <w:pPr>
        <w:spacing w:after="80" w:line="259" w:lineRule="auto"/>
      </w:pPr>
      <w:r>
        <w:rPr>
          <w:rFonts w:ascii="Inter" w:hAnsi="Inter"/>
          <w:b/>
          <w:sz w:val="19"/>
        </w:rPr>
        <w:t>Scope:</w:t>
      </w:r>
      <w:r>
        <w:rPr>
          <w:rFonts w:ascii="Inter" w:hAnsi="Inter"/>
          <w:sz w:val="19"/>
        </w:rPr>
        <w:t xml:space="preserve"> Build 1 onward</w:t>
      </w:r>
    </w:p>
    <w:p>
      <w:pPr>
        <w:spacing w:after="20"/>
      </w:pPr>
    </w:p>
    <w:p>
      <w:pPr>
        <w:pStyle w:val="Heading1"/>
        <w:spacing w:before="200" w:after="80"/>
      </w:pPr>
      <w:r>
        <w:rPr>
          <w:rFonts w:ascii="Inter" w:hAnsi="Inter"/>
          <w:sz w:val="30"/>
        </w:rPr>
        <w:t>Context</w:t>
      </w:r>
    </w:p>
    <w:p>
      <w:pPr>
        <w:spacing w:after="20"/>
      </w:pPr>
    </w:p>
    <w:p>
      <w:pPr>
        <w:spacing w:after="80" w:line="259" w:lineRule="auto"/>
      </w:pPr>
      <w:r>
        <w:rPr>
          <w:rFonts w:ascii="Inter" w:hAnsi="Inter"/>
          <w:sz w:val="19"/>
        </w:rPr>
        <w:t>The Desk's first implementation is primarily a typed orchestration and artifact-lineage system: immutable JSON-like contracts, Postgres persistence, workflow state, provider adapters, canonical hashing, schema validation, retries, cost controls, and eventually a small operator/admin surface.</w:t>
      </w:r>
    </w:p>
    <w:p>
      <w:pPr>
        <w:spacing w:after="20"/>
      </w:pPr>
    </w:p>
    <w:p>
      <w:pPr>
        <w:spacing w:after="80" w:line="259" w:lineRule="auto"/>
      </w:pPr>
      <w:r>
        <w:rPr>
          <w:rFonts w:ascii="Inter" w:hAnsi="Inter"/>
          <w:sz w:val="19"/>
        </w:rPr>
        <w:t>The architecture deliberately does not depend on a Python-native ML stack. Model and TTS providers are external adapter boundaries, and FFmpeg remains an external media-processing boundary.</w:t>
      </w:r>
    </w:p>
    <w:p>
      <w:pPr>
        <w:spacing w:after="20"/>
      </w:pPr>
    </w:p>
    <w:p>
      <w:pPr>
        <w:spacing w:after="80" w:line="259" w:lineRule="auto"/>
      </w:pPr>
      <w:r>
        <w:rPr>
          <w:rFonts w:ascii="Inter" w:hAnsi="Inter"/>
          <w:sz w:val="19"/>
        </w:rPr>
        <w:t>The final implementation-readiness red team identified the application language/runtime as the only unmade Build-1 platform decision.</w:t>
      </w:r>
    </w:p>
    <w:p>
      <w:pPr>
        <w:spacing w:after="20"/>
      </w:pPr>
    </w:p>
    <w:p>
      <w:pPr>
        <w:pStyle w:val="Heading1"/>
        <w:spacing w:before="200" w:after="80"/>
      </w:pPr>
      <w:r>
        <w:rPr>
          <w:rFonts w:ascii="Inter" w:hAnsi="Inter"/>
          <w:sz w:val="30"/>
        </w:rPr>
        <w:t>Decision</w:t>
      </w:r>
    </w:p>
    <w:p>
      <w:pPr>
        <w:spacing w:after="20"/>
      </w:pPr>
    </w:p>
    <w:p>
      <w:pPr>
        <w:spacing w:after="80" w:line="259" w:lineRule="auto"/>
      </w:pPr>
      <w:r>
        <w:rPr>
          <w:rFonts w:ascii="Inter" w:hAnsi="Inter"/>
          <w:sz w:val="19"/>
        </w:rPr>
        <w:t>The primary application runtime is:</w:t>
      </w:r>
    </w:p>
    <w:p>
      <w:pPr>
        <w:spacing w:after="20"/>
      </w:pPr>
    </w:p>
    <w:p>
      <w:pPr>
        <w:spacing w:before="60" w:after="100"/>
        <w:ind w:left="317" w:right="216"/>
        <w:shd w:fill="F5F5F5"/>
      </w:pPr>
      <w:r>
        <w:rPr>
          <w:rFonts w:ascii="Liberation Mono" w:hAnsi="Liberation Mono"/>
          <w:sz w:val="16"/>
        </w:rPr>
        <w:t>TypeScript</w:t>
      </w:r>
      <w:r>
        <w:br/>
      </w:r>
      <w:r>
        <w:rPr>
          <w:rFonts w:ascii="Liberation Mono" w:hAnsi="Liberation Mono"/>
          <w:sz w:val="16"/>
        </w:rPr>
        <w:t>Node.js 24 LTS</w:t>
      </w:r>
      <w:r>
        <w:br/>
      </w:r>
      <w:r>
        <w:rPr>
          <w:rFonts w:ascii="Liberation Mono" w:hAnsi="Liberation Mono"/>
          <w:sz w:val="16"/>
        </w:rPr>
        <w:t>TypeScript strict mode</w:t>
      </w:r>
    </w:p>
    <w:p>
      <w:pPr>
        <w:spacing w:after="20"/>
      </w:pPr>
    </w:p>
    <w:p>
      <w:pPr>
        <w:spacing w:after="80" w:line="259" w:lineRule="auto"/>
      </w:pPr>
      <w:r>
        <w:rPr>
          <w:rFonts w:ascii="Inter" w:hAnsi="Inter"/>
          <w:sz w:val="19"/>
        </w:rPr>
        <w:t>The repository must pin the Node major/runtime line in developer and CI tooling. Exact patch/minor versions and the exact TypeScript compiler version are dependency-management decisions and are locked by repository tooling/lockfiles.</w:t>
      </w:r>
    </w:p>
    <w:p>
      <w:pPr>
        <w:spacing w:after="20"/>
      </w:pPr>
    </w:p>
    <w:p>
      <w:pPr>
        <w:spacing w:after="80" w:line="259" w:lineRule="auto"/>
      </w:pPr>
      <w:r>
        <w:rPr>
          <w:rFonts w:ascii="Inter" w:hAnsi="Inter"/>
          <w:sz w:val="19"/>
        </w:rPr>
        <w:t>TypeScript is the default language for:</w:t>
      </w:r>
    </w:p>
    <w:p>
      <w:pPr>
        <w:spacing w:after="20"/>
      </w:pPr>
    </w:p>
    <w:p>
      <w:pPr>
        <w:pStyle w:val="ListBullet"/>
        <w:spacing w:after="20"/>
      </w:pPr>
      <w:r>
        <w:rPr>
          <w:rFonts w:ascii="Inter" w:hAnsi="Inter"/>
          <w:sz w:val="18"/>
        </w:rPr>
        <w:t>application services;</w:t>
      </w:r>
    </w:p>
    <w:p>
      <w:pPr>
        <w:pStyle w:val="ListBullet"/>
        <w:spacing w:after="20"/>
      </w:pPr>
      <w:r>
        <w:rPr>
          <w:rFonts w:ascii="Inter" w:hAnsi="Inter"/>
          <w:sz w:val="18"/>
        </w:rPr>
        <w:t>workflow functions;</w:t>
      </w:r>
    </w:p>
    <w:p>
      <w:pPr>
        <w:pStyle w:val="ListBullet"/>
        <w:spacing w:after="20"/>
      </w:pPr>
      <w:r>
        <w:rPr>
          <w:rFonts w:ascii="Inter" w:hAnsi="Inter"/>
          <w:sz w:val="18"/>
        </w:rPr>
        <w:t>schema/runtime validation;</w:t>
      </w:r>
    </w:p>
    <w:p>
      <w:pPr>
        <w:pStyle w:val="ListBullet"/>
        <w:spacing w:after="20"/>
      </w:pPr>
      <w:r>
        <w:rPr>
          <w:rFonts w:ascii="Inter" w:hAnsi="Inter"/>
          <w:sz w:val="18"/>
        </w:rPr>
        <w:t>Postgres access and migrations;</w:t>
      </w:r>
    </w:p>
    <w:p>
      <w:pPr>
        <w:pStyle w:val="ListBullet"/>
        <w:spacing w:after="20"/>
      </w:pPr>
      <w:r>
        <w:rPr>
          <w:rFonts w:ascii="Inter" w:hAnsi="Inter"/>
          <w:sz w:val="18"/>
        </w:rPr>
        <w:t>canonical serialization/hashing;</w:t>
      </w:r>
    </w:p>
    <w:p>
      <w:pPr>
        <w:pStyle w:val="ListBullet"/>
        <w:spacing w:after="20"/>
      </w:pPr>
      <w:r>
        <w:rPr>
          <w:rFonts w:ascii="Inter" w:hAnsi="Inter"/>
          <w:sz w:val="18"/>
        </w:rPr>
        <w:t>provider/model/TTS adapters;</w:t>
      </w:r>
    </w:p>
    <w:p>
      <w:pPr>
        <w:pStyle w:val="ListBullet"/>
        <w:spacing w:after="20"/>
      </w:pPr>
      <w:r>
        <w:rPr>
          <w:rFonts w:ascii="Inter" w:hAnsi="Inter"/>
          <w:sz w:val="18"/>
        </w:rPr>
        <w:t>artifact and gate contracts;</w:t>
      </w:r>
    </w:p>
    <w:p>
      <w:pPr>
        <w:pStyle w:val="ListBullet"/>
        <w:spacing w:after="20"/>
      </w:pPr>
      <w:r>
        <w:rPr>
          <w:rFonts w:ascii="Inter" w:hAnsi="Inter"/>
          <w:sz w:val="18"/>
        </w:rPr>
        <w:t>tests and CI-facing tooling;</w:t>
      </w:r>
    </w:p>
    <w:p>
      <w:pPr>
        <w:pStyle w:val="ListBullet"/>
        <w:spacing w:after="20"/>
      </w:pPr>
      <w:r>
        <w:rPr>
          <w:rFonts w:ascii="Inter" w:hAnsi="Inter"/>
          <w:sz w:val="18"/>
        </w:rPr>
        <w:t>a future lightweight operator/admin interface where appropriate.</w:t>
      </w:r>
    </w:p>
    <w:p>
      <w:pPr>
        <w:spacing w:after="20"/>
      </w:pPr>
    </w:p>
    <w:p>
      <w:pPr>
        <w:pStyle w:val="Heading1"/>
        <w:spacing w:before="200" w:after="80"/>
      </w:pPr>
      <w:r>
        <w:rPr>
          <w:rFonts w:ascii="Inter" w:hAnsi="Inter"/>
          <w:sz w:val="30"/>
        </w:rPr>
        <w:t>Why</w:t>
      </w:r>
    </w:p>
    <w:p>
      <w:pPr>
        <w:spacing w:after="20"/>
      </w:pPr>
    </w:p>
    <w:p>
      <w:pPr>
        <w:spacing w:after="80" w:line="259" w:lineRule="auto"/>
      </w:pPr>
      <w:r>
        <w:rPr>
          <w:rFonts w:ascii="Inter" w:hAnsi="Inter"/>
          <w:sz w:val="19"/>
        </w:rPr>
        <w:t>The core problem is not model training. It is safely moving strongly structured, versioned artifacts through a workflow without losing lineage or letting provider behavior leak into editorial contracts.</w:t>
      </w:r>
    </w:p>
    <w:p>
      <w:pPr>
        <w:spacing w:after="20"/>
      </w:pPr>
    </w:p>
    <w:p>
      <w:pPr>
        <w:spacing w:after="80" w:line="259" w:lineRule="auto"/>
      </w:pPr>
      <w:r>
        <w:rPr>
          <w:rFonts w:ascii="Inter" w:hAnsi="Inter"/>
          <w:sz w:val="19"/>
        </w:rPr>
        <w:t>TypeScript gives the implementation one strongly typed language across the backend and likely future operator UI while still requiring runtime validation at trust boundaries.</w:t>
      </w:r>
    </w:p>
    <w:p>
      <w:pPr>
        <w:spacing w:after="20"/>
      </w:pPr>
    </w:p>
    <w:p>
      <w:pPr>
        <w:spacing w:after="80" w:line="259" w:lineRule="auto"/>
      </w:pPr>
      <w:r>
        <w:rPr>
          <w:rFonts w:ascii="Inter" w:hAnsi="Inter"/>
          <w:sz w:val="19"/>
        </w:rPr>
        <w:t>This reduces the chance that a coding agent silently creates parallel contract shapes between:</w:t>
      </w:r>
    </w:p>
    <w:p>
      <w:pPr>
        <w:spacing w:after="20"/>
      </w:pPr>
    </w:p>
    <w:p>
      <w:pPr>
        <w:spacing w:before="60" w:after="100"/>
        <w:ind w:left="317" w:right="216"/>
        <w:shd w:fill="F5F5F5"/>
      </w:pPr>
      <w:r>
        <w:rPr>
          <w:rFonts w:ascii="Liberation Mono" w:hAnsi="Liberation Mono"/>
          <w:sz w:val="16"/>
        </w:rPr>
        <w:t>Evidence Package</w:t>
      </w:r>
      <w:r>
        <w:br/>
      </w:r>
      <w:r>
        <w:rPr>
          <w:rFonts w:ascii="Liberation Mono" w:hAnsi="Liberation Mono"/>
          <w:sz w:val="16"/>
        </w:rPr>
        <w:t>Showrunner Brief</w:t>
      </w:r>
      <w:r>
        <w:br/>
      </w:r>
      <w:r>
        <w:rPr>
          <w:rFonts w:ascii="Liberation Mono" w:hAnsi="Liberation Mono"/>
          <w:sz w:val="16"/>
        </w:rPr>
        <w:t>Script Version</w:t>
      </w:r>
      <w:r>
        <w:br/>
      </w:r>
      <w:r>
        <w:rPr>
          <w:rFonts w:ascii="Liberation Mono" w:hAnsi="Liberation Mono"/>
          <w:sz w:val="16"/>
        </w:rPr>
        <w:t>Performance Direction</w:t>
      </w:r>
      <w:r>
        <w:br/>
      </w:r>
      <w:r>
        <w:rPr>
          <w:rFonts w:ascii="Liberation Mono" w:hAnsi="Liberation Mono"/>
          <w:sz w:val="16"/>
        </w:rPr>
        <w:t>Gate Result</w:t>
      </w:r>
      <w:r>
        <w:br/>
      </w:r>
      <w:r>
        <w:rPr>
          <w:rFonts w:ascii="Liberation Mono" w:hAnsi="Liberation Mono"/>
          <w:sz w:val="16"/>
        </w:rPr>
        <w:t>Render Manifest</w:t>
      </w:r>
      <w:r>
        <w:br/>
      </w:r>
      <w:r>
        <w:rPr>
          <w:rFonts w:ascii="Liberation Mono" w:hAnsi="Liberation Mono"/>
          <w:sz w:val="16"/>
        </w:rPr>
        <w:t>Render Take</w:t>
      </w:r>
      <w:r>
        <w:br/>
      </w:r>
      <w:r>
        <w:rPr>
          <w:rFonts w:ascii="Liberation Mono" w:hAnsi="Liberation Mono"/>
          <w:sz w:val="16"/>
        </w:rPr>
        <w:t>Take Selection</w:t>
      </w:r>
      <w:r>
        <w:br/>
      </w:r>
      <w:r>
        <w:rPr>
          <w:rFonts w:ascii="Liberation Mono" w:hAnsi="Liberation Mono"/>
          <w:sz w:val="16"/>
        </w:rPr>
        <w:t>Assembly Map</w:t>
      </w:r>
    </w:p>
    <w:p>
      <w:pPr>
        <w:spacing w:after="20"/>
      </w:pPr>
    </w:p>
    <w:p>
      <w:pPr>
        <w:pStyle w:val="Heading1"/>
        <w:spacing w:before="200" w:after="80"/>
      </w:pPr>
      <w:r>
        <w:rPr>
          <w:rFonts w:ascii="Inter" w:hAnsi="Inter"/>
          <w:sz w:val="30"/>
        </w:rPr>
        <w:t>What this does not decide</w:t>
      </w:r>
    </w:p>
    <w:p>
      <w:pPr>
        <w:spacing w:after="20"/>
      </w:pPr>
    </w:p>
    <w:p>
      <w:pPr>
        <w:spacing w:after="80" w:line="259" w:lineRule="auto"/>
      </w:pPr>
      <w:r>
        <w:rPr>
          <w:rFonts w:ascii="Inter" w:hAnsi="Inter"/>
          <w:sz w:val="19"/>
        </w:rPr>
        <w:t xml:space="preserve">ADR-002 does </w:t>
      </w:r>
      <w:r>
        <w:rPr>
          <w:rFonts w:ascii="Inter" w:hAnsi="Inter"/>
          <w:b/>
          <w:sz w:val="19"/>
        </w:rPr>
        <w:t>not</w:t>
      </w:r>
      <w:r>
        <w:rPr>
          <w:rFonts w:ascii="Inter" w:hAnsi="Inter"/>
          <w:sz w:val="19"/>
        </w:rPr>
        <w:t xml:space="preserve"> choose:</w:t>
      </w:r>
    </w:p>
    <w:p>
      <w:pPr>
        <w:spacing w:after="20"/>
      </w:pPr>
    </w:p>
    <w:p>
      <w:pPr>
        <w:pStyle w:val="ListBullet"/>
        <w:spacing w:after="20"/>
      </w:pPr>
      <w:r>
        <w:rPr>
          <w:rFonts w:ascii="Inter" w:hAnsi="Inter"/>
          <w:sz w:val="18"/>
        </w:rPr>
        <w:t>web/admin framework;</w:t>
      </w:r>
    </w:p>
    <w:p>
      <w:pPr>
        <w:pStyle w:val="ListBullet"/>
        <w:spacing w:after="20"/>
      </w:pPr>
      <w:r>
        <w:rPr>
          <w:rFonts w:ascii="Inter" w:hAnsi="Inter"/>
          <w:sz w:val="18"/>
        </w:rPr>
        <w:t>ORM or query builder;</w:t>
      </w:r>
    </w:p>
    <w:p>
      <w:pPr>
        <w:pStyle w:val="ListBullet"/>
        <w:spacing w:after="20"/>
      </w:pPr>
      <w:r>
        <w:rPr>
          <w:rFonts w:ascii="Inter" w:hAnsi="Inter"/>
          <w:sz w:val="18"/>
        </w:rPr>
        <w:t>migration library;</w:t>
      </w:r>
    </w:p>
    <w:p>
      <w:pPr>
        <w:pStyle w:val="ListBullet"/>
        <w:spacing w:after="20"/>
      </w:pPr>
      <w:r>
        <w:rPr>
          <w:rFonts w:ascii="Inter" w:hAnsi="Inter"/>
          <w:sz w:val="18"/>
        </w:rPr>
        <w:t>workflow vendor;</w:t>
      </w:r>
    </w:p>
    <w:p>
      <w:pPr>
        <w:pStyle w:val="ListBullet"/>
        <w:spacing w:after="20"/>
      </w:pPr>
      <w:r>
        <w:rPr>
          <w:rFonts w:ascii="Inter" w:hAnsi="Inter"/>
          <w:sz w:val="18"/>
        </w:rPr>
        <w:t>hosting provider;</w:t>
      </w:r>
    </w:p>
    <w:p>
      <w:pPr>
        <w:pStyle w:val="ListBullet"/>
        <w:spacing w:after="20"/>
      </w:pPr>
      <w:r>
        <w:rPr>
          <w:rFonts w:ascii="Inter" w:hAnsi="Inter"/>
          <w:sz w:val="18"/>
        </w:rPr>
        <w:t>package manager;</w:t>
      </w:r>
    </w:p>
    <w:p>
      <w:pPr>
        <w:pStyle w:val="ListBullet"/>
        <w:spacing w:after="20"/>
      </w:pPr>
      <w:r>
        <w:rPr>
          <w:rFonts w:ascii="Inter" w:hAnsi="Inter"/>
          <w:sz w:val="18"/>
        </w:rPr>
        <w:t>test framework;</w:t>
      </w:r>
    </w:p>
    <w:p>
      <w:pPr>
        <w:pStyle w:val="ListBullet"/>
        <w:spacing w:after="20"/>
      </w:pPr>
      <w:r>
        <w:rPr>
          <w:rFonts w:ascii="Inter" w:hAnsi="Inter"/>
          <w:sz w:val="18"/>
        </w:rPr>
        <w:t>logging library;</w:t>
      </w:r>
    </w:p>
    <w:p>
      <w:pPr>
        <w:pStyle w:val="ListBullet"/>
        <w:spacing w:after="20"/>
      </w:pPr>
      <w:r>
        <w:rPr>
          <w:rFonts w:ascii="Inter" w:hAnsi="Inter"/>
          <w:sz w:val="18"/>
        </w:rPr>
        <w:t>schema-validation library.</w:t>
      </w:r>
    </w:p>
    <w:p>
      <w:pPr>
        <w:spacing w:after="20"/>
      </w:pPr>
    </w:p>
    <w:p>
      <w:pPr>
        <w:spacing w:after="80" w:line="259" w:lineRule="auto"/>
      </w:pPr>
      <w:r>
        <w:rPr>
          <w:rFonts w:ascii="Inter" w:hAnsi="Inter"/>
          <w:sz w:val="19"/>
        </w:rPr>
        <w:t>Those are implementation choices to be proposed during the coding-agent dry run and reviewed before code is committed when they materially affect structure.</w:t>
      </w:r>
    </w:p>
    <w:p>
      <w:pPr>
        <w:spacing w:after="20"/>
      </w:pPr>
    </w:p>
    <w:p>
      <w:pPr>
        <w:pStyle w:val="Heading1"/>
        <w:spacing w:before="200" w:after="80"/>
      </w:pPr>
      <w:r>
        <w:rPr>
          <w:rFonts w:ascii="Inter" w:hAnsi="Inter"/>
          <w:sz w:val="30"/>
        </w:rPr>
        <w:t>Python</w:t>
      </w:r>
    </w:p>
    <w:p>
      <w:pPr>
        <w:spacing w:after="20"/>
      </w:pPr>
    </w:p>
    <w:p>
      <w:pPr>
        <w:spacing w:after="80" w:line="259" w:lineRule="auto"/>
      </w:pPr>
      <w:r>
        <w:rPr>
          <w:rFonts w:ascii="Inter" w:hAnsi="Inter"/>
          <w:sz w:val="19"/>
        </w:rPr>
        <w:t>Python is not prohibited.</w:t>
      </w:r>
    </w:p>
    <w:p>
      <w:pPr>
        <w:spacing w:after="20"/>
      </w:pPr>
    </w:p>
    <w:p>
      <w:pPr>
        <w:spacing w:after="80" w:line="259" w:lineRule="auto"/>
      </w:pPr>
      <w:r>
        <w:rPr>
          <w:rFonts w:ascii="Inter" w:hAnsi="Inter"/>
          <w:sz w:val="19"/>
        </w:rPr>
        <w:t>A later bounded analytical/statistical task may use Python if the requirement is genuinely Python-shaped and the boundary is explicit. Python does not become a second application runtime merely because AI or statistics are involved.</w:t>
      </w:r>
    </w:p>
    <w:p>
      <w:pPr>
        <w:spacing w:after="20"/>
      </w:pPr>
    </w:p>
    <w:p>
      <w:pPr>
        <w:pStyle w:val="Heading1"/>
        <w:spacing w:before="200" w:after="80"/>
      </w:pPr>
      <w:r>
        <w:rPr>
          <w:rFonts w:ascii="Inter" w:hAnsi="Inter"/>
          <w:sz w:val="30"/>
        </w:rPr>
        <w:t>Consequences</w:t>
      </w:r>
    </w:p>
    <w:p>
      <w:pPr>
        <w:spacing w:after="20"/>
      </w:pPr>
    </w:p>
    <w:p>
      <w:pPr>
        <w:pStyle w:val="ListBullet"/>
        <w:spacing w:after="20"/>
      </w:pPr>
      <w:r>
        <w:rPr>
          <w:rFonts w:ascii="Inter" w:hAnsi="Inter"/>
          <w:sz w:val="18"/>
        </w:rPr>
        <w:t>Build 1 may now choose TypeScript/Node-specific tooling without inventing the runtime.</w:t>
      </w:r>
    </w:p>
    <w:p>
      <w:pPr>
        <w:pStyle w:val="ListBullet"/>
        <w:spacing w:after="20"/>
      </w:pPr>
      <w:r>
        <w:rPr>
          <w:rFonts w:ascii="Inter" w:hAnsi="Inter"/>
          <w:sz w:val="18"/>
        </w:rPr>
        <w:t>CI must run TypeScript type checking in strict mode.</w:t>
      </w:r>
    </w:p>
    <w:p>
      <w:pPr>
        <w:pStyle w:val="ListBullet"/>
        <w:spacing w:after="20"/>
      </w:pPr>
      <w:r>
        <w:rPr>
          <w:rFonts w:ascii="Inter" w:hAnsi="Inter"/>
          <w:sz w:val="18"/>
        </w:rPr>
        <w:t>Canonical hashing behavior must be implemented and tested independently of JavaScript's default object enumeration behavior.</w:t>
      </w:r>
    </w:p>
    <w:p>
      <w:pPr>
        <w:pStyle w:val="ListBullet"/>
        <w:spacing w:after="20"/>
      </w:pPr>
      <w:r>
        <w:rPr>
          <w:rFonts w:ascii="Inter" w:hAnsi="Inter"/>
          <w:sz w:val="18"/>
        </w:rPr>
        <w:t>External/process boundaries such as FFmpeg must have typed adapters and validated outputs.</w:t>
      </w:r>
    </w:p>
    <w:p>
      <w:pPr>
        <w:pStyle w:val="ListBullet"/>
        <w:spacing w:after="20"/>
      </w:pPr>
      <w:r>
        <w:rPr>
          <w:rFonts w:ascii="Inter" w:hAnsi="Inter"/>
          <w:sz w:val="18"/>
        </w:rPr>
        <w:t>A future runtime change would require a new ADR; it is not an incidental refactor.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777777"/>
        <w:sz w:val="15"/>
      </w:rPr>
      <w:t>The Desk | Sep 26,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Inter" w:hAnsi="Inter"/>
        <w:b/>
        <w:color w:val="666666"/>
        <w:sz w:val="15"/>
      </w:rPr>
      <w:t>ADR-002 — APPLICATION RUNTIME: TYPESCRIPT ON NODE.JS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