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63eff76a1bc6552723ac9fa4bb4868414ca7f7"/>
    <w:p>
      <w:pPr>
        <w:pStyle w:val="Heading1"/>
      </w:pPr>
      <w:r>
        <w:t xml:space="preserve">The Desk — Hashing, Fingerprints &amp; Text Spans v0.1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BUILD 1–2 IMPLEMENTATION CONTRACT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27, 2026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Technical Architecture v1.0 + active owning specs. This document makes already-required hashing/fingerprint mechanics executable; it does not create editorial policy.</w:t>
      </w:r>
    </w:p>
    <w:bookmarkStart w:id="20" w:name="canonical-serializer"/>
    <w:p>
      <w:pPr>
        <w:pStyle w:val="Heading2"/>
      </w:pPr>
      <w:r>
        <w:t xml:space="preserve">1. Canonical serializer</w:t>
      </w:r>
    </w:p>
    <w:p>
      <w:pPr>
        <w:pStyle w:val="FirstParagraph"/>
      </w:pPr>
      <w:r>
        <w:t xml:space="preserve">All hash-bearing semantic projections use one serializer:</w:t>
      </w:r>
    </w:p>
    <w:p>
      <w:pPr>
        <w:pStyle w:val="Compact"/>
        <w:numPr>
          <w:ilvl w:val="0"/>
          <w:numId w:val="1001"/>
        </w:numPr>
      </w:pPr>
      <w:r>
        <w:t xml:space="preserve">validate to JSON-compatible semantic values before hashing;</w:t>
      </w:r>
    </w:p>
    <w:p>
      <w:pPr>
        <w:pStyle w:val="Compact"/>
        <w:numPr>
          <w:ilvl w:val="0"/>
          <w:numId w:val="1001"/>
        </w:numPr>
      </w:pPr>
      <w:r>
        <w:t xml:space="preserve">strings and object keys normalized to Unicode NFC;</w:t>
      </w:r>
    </w:p>
    <w:p>
      <w:pPr>
        <w:pStyle w:val="Compact"/>
        <w:numPr>
          <w:ilvl w:val="0"/>
          <w:numId w:val="1001"/>
        </w:numPr>
      </w:pPr>
      <w:r>
        <w:t xml:space="preserve">reject duplicate keys created by normalization;</w:t>
      </w:r>
    </w:p>
    <w:p>
      <w:pPr>
        <w:pStyle w:val="Compact"/>
        <w:numPr>
          <w:ilvl w:val="0"/>
          <w:numId w:val="1001"/>
        </w:numPr>
      </w:pPr>
      <w:r>
        <w:t xml:space="preserve">object keys sorted by Unicode</w:t>
      </w:r>
      <w:r>
        <w:t xml:space="preserve"> </w:t>
      </w:r>
      <w:r>
        <w:rPr>
          <w:b/>
          <w:bCs/>
        </w:rPr>
        <w:t xml:space="preserve">code point</w:t>
      </w:r>
      <w:r>
        <w:t xml:space="preserve"> </w:t>
      </w:r>
      <w:r>
        <w:t xml:space="preserve">ascending, not locale and not JavaScript UTF-16 default sort;</w:t>
      </w:r>
    </w:p>
    <w:p>
      <w:pPr>
        <w:pStyle w:val="Compact"/>
        <w:numPr>
          <w:ilvl w:val="0"/>
          <w:numId w:val="1001"/>
        </w:numPr>
      </w:pPr>
      <w:r>
        <w:t xml:space="preserve">arrays preserve owning-spec semantic order; owning projections sort semantically unordered collections explicitly;</w:t>
      </w:r>
    </w:p>
    <w:p>
      <w:pPr>
        <w:pStyle w:val="Compact"/>
        <w:numPr>
          <w:ilvl w:val="0"/>
          <w:numId w:val="1001"/>
        </w:numPr>
      </w:pPr>
      <w:r>
        <w:t xml:space="preserve">compact UTF-8 JSON, literal non-ASCII (</w:t>
      </w:r>
      <w:r>
        <w:rPr>
          <w:rStyle w:val="VerbatimChar"/>
        </w:rPr>
        <w:t xml:space="preserve">ensure_ascii=false</w:t>
      </w:r>
      <w:r>
        <w:t xml:space="preserve"> </w:t>
      </w:r>
      <w:r>
        <w:t xml:space="preserve">semantics);</w:t>
      </w:r>
    </w:p>
    <w:p>
      <w:pPr>
        <w:pStyle w:val="Compact"/>
        <w:numPr>
          <w:ilvl w:val="0"/>
          <w:numId w:val="1001"/>
        </w:numPr>
      </w:pPr>
      <w:r>
        <w:t xml:space="preserve">reject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NaN, infinities, cyclic objects, unpaired surrogates, and unprojected class/object instances;</w:t>
      </w:r>
    </w:p>
    <w:p>
      <w:pPr>
        <w:pStyle w:val="Compact"/>
        <w:numPr>
          <w:ilvl w:val="0"/>
          <w:numId w:val="1001"/>
        </w:numPr>
      </w:pPr>
      <w:r>
        <w:t xml:space="preserve">binary floating-point values are forbidden in semantic projections; represent exact decimals as canonical strings or fixed integers under the owning contract;</w:t>
      </w:r>
    </w:p>
    <w:p>
      <w:pPr>
        <w:pStyle w:val="Compact"/>
        <w:numPr>
          <w:ilvl w:val="0"/>
          <w:numId w:val="1001"/>
        </w:numPr>
      </w:pPr>
      <w:r>
        <w:t xml:space="preserve">semantic timestamps included in a projection use RFC 3339 UTC</w:t>
      </w:r>
      <w:r>
        <w:t xml:space="preserve"> </w:t>
      </w:r>
      <w:r>
        <w:rPr>
          <w:rStyle w:val="VerbatimChar"/>
        </w:rPr>
        <w:t xml:space="preserve">Z</w:t>
      </w:r>
      <w:r>
        <w:t xml:space="preserve">; operational timestamps are excluded unless an owning contract explicitly makes them semantic.</w:t>
      </w:r>
    </w:p>
    <w:p>
      <w:pPr>
        <w:pStyle w:val="FirstParagraph"/>
      </w:pPr>
      <w:r>
        <w:t xml:space="preserve">Hash bytes are:</w:t>
      </w:r>
    </w:p>
    <w:p>
      <w:pPr>
        <w:pStyle w:val="SourceCode"/>
      </w:pPr>
      <w:r>
        <w:rPr>
          <w:rStyle w:val="VerbatimChar"/>
        </w:rPr>
        <w:t xml:space="preserve">sha256(domain_separator + "\n" + canonical_json(semantic_projection))</w:t>
      </w:r>
    </w:p>
    <w:p>
      <w:pPr>
        <w:pStyle w:val="FirstParagraph"/>
      </w:pPr>
      <w:r>
        <w:t xml:space="preserve">Hex output is lowercase. Never hash a persistence/database row merely because it is convenient.</w:t>
      </w:r>
    </w:p>
    <w:bookmarkEnd w:id="20"/>
    <w:bookmarkStart w:id="21" w:name="script-revision-parent-identity"/>
    <w:p>
      <w:pPr>
        <w:pStyle w:val="Heading2"/>
      </w:pPr>
      <w:r>
        <w:t xml:space="preserve">2. Script revision-parent identity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script-v2</w:t>
      </w:r>
      <w:r>
        <w:t xml:space="preserve"> </w:t>
      </w:r>
      <w:r>
        <w:t xml:space="preserve">projections:</w:t>
      </w:r>
    </w:p>
    <w:p>
      <w:pPr>
        <w:pStyle w:val="Compact"/>
        <w:numPr>
          <w:ilvl w:val="0"/>
          <w:numId w:val="1002"/>
        </w:numPr>
      </w:pPr>
      <w:r>
        <w:t xml:space="preserve">root script: omit</w:t>
      </w:r>
      <w:r>
        <w:t xml:space="preserve"> </w:t>
      </w:r>
      <w:r>
        <w:rPr>
          <w:rStyle w:val="VerbatimChar"/>
        </w:rPr>
        <w:t xml:space="preserve">revision_parent_content_identity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child script:</w:t>
      </w:r>
      <w:r>
        <w:t xml:space="preserve"> </w:t>
      </w:r>
      <w:r>
        <w:rPr>
          <w:rStyle w:val="VerbatimChar"/>
        </w:rPr>
        <w:t xml:space="preserve">revision_parent_content_identity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parent script content hash</w:t>
      </w:r>
      <w:r>
        <w:t xml:space="preserve">, not a database ID.</w:t>
      </w:r>
    </w:p>
    <w:p>
      <w:pPr>
        <w:pStyle w:val="FirstParagraph"/>
      </w:pPr>
      <w:r>
        <w:t xml:space="preserve">The parent hash participates in the child’s semantic identity.</w:t>
      </w:r>
    </w:p>
    <w:bookmarkEnd w:id="21"/>
    <w:bookmarkStart w:id="22" w:name="artifact-domains-used-by-build-12"/>
    <w:p>
      <w:pPr>
        <w:pStyle w:val="Heading2"/>
      </w:pPr>
      <w:r>
        <w:t xml:space="preserve">3. Artifact domains used by Build 1–2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Artifact /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separator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Package semantic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evidence-package-v2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Showrunner Brief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showrunner-brief-v1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Writer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writer-view-v1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Writer context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writer-context-manifest-v1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Craft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writing-craft-review-v1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performance-direction-v1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audit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render-manifest-v1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 recipe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assembly-recipe-v1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assembly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master-assembly-map-v1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config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show-config-v1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Claims/Writing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claims-writing-gate-input-v1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ready-candidate-v1</w:t>
            </w:r>
          </w:p>
        </w:tc>
      </w:tr>
    </w:tbl>
    <w:p>
      <w:pPr>
        <w:pStyle w:val="BodyText"/>
      </w:pPr>
      <w:r>
        <w:t xml:space="preserve">TTS base-request hashes retain the</w:t>
      </w:r>
      <w:r>
        <w:t xml:space="preserve"> </w:t>
      </w:r>
      <w:r>
        <w:rPr>
          <w:rStyle w:val="VerbatimChar"/>
        </w:rPr>
        <w:t xml:space="preserve">v1:sha256(...)</w:t>
      </w:r>
      <w:r>
        <w:t xml:space="preserve"> </w:t>
      </w:r>
      <w:r>
        <w:t xml:space="preserve">recipe owned by Performance &amp; Render v0.1.3 rather than the domain-separator table above.</w:t>
      </w:r>
    </w:p>
    <w:bookmarkEnd w:id="22"/>
    <w:bookmarkStart w:id="29" w:name="stage-specific-fingerprint-subjects"/>
    <w:p>
      <w:pPr>
        <w:pStyle w:val="Heading2"/>
      </w:pPr>
      <w:r>
        <w:t xml:space="preserve">4. Stage-specific fingerprint subjects</w:t>
      </w:r>
    </w:p>
    <w:p>
      <w:pPr>
        <w:pStyle w:val="FirstParagraph"/>
      </w:pPr>
      <w:r>
        <w:t xml:space="preserve">Gate fingerprints must depend only on artifacts that exist at the stage being judged. A later artifact may never be smuggled into an earlier gate fingerprint.</w:t>
      </w:r>
    </w:p>
    <w:bookmarkStart w:id="23" w:name="claimswriting-gate"/>
    <w:p>
      <w:pPr>
        <w:pStyle w:val="Heading3"/>
      </w:pPr>
      <w:r>
        <w:t xml:space="preserve">Claims/Writing gate</w:t>
      </w:r>
    </w:p>
    <w:p>
      <w:pPr>
        <w:pStyle w:val="FirstParagraph"/>
      </w:pPr>
      <w:r>
        <w:t xml:space="preserve">Projection contains exact content identities for:</w:t>
      </w:r>
    </w:p>
    <w:p>
      <w:pPr>
        <w:pStyle w:val="Compact"/>
        <w:numPr>
          <w:ilvl w:val="0"/>
          <w:numId w:val="1003"/>
        </w:numPr>
      </w:pPr>
      <w:r>
        <w:t xml:space="preserve">Evidence Package;</w:t>
      </w:r>
    </w:p>
    <w:p>
      <w:pPr>
        <w:pStyle w:val="Compact"/>
        <w:numPr>
          <w:ilvl w:val="0"/>
          <w:numId w:val="1003"/>
        </w:numPr>
      </w:pPr>
      <w:r>
        <w:t xml:space="preserve">Showrunner Brief;</w:t>
      </w:r>
    </w:p>
    <w:p>
      <w:pPr>
        <w:pStyle w:val="Compact"/>
        <w:numPr>
          <w:ilvl w:val="0"/>
          <w:numId w:val="1003"/>
        </w:numPr>
      </w:pPr>
      <w:r>
        <w:t xml:space="preserve">final script version under claims/writing judgment;</w:t>
      </w:r>
    </w:p>
    <w:p>
      <w:pPr>
        <w:pStyle w:val="Compact"/>
        <w:numPr>
          <w:ilvl w:val="0"/>
          <w:numId w:val="1003"/>
        </w:numPr>
      </w:pPr>
      <w:r>
        <w:t xml:space="preserve">Claims Policy version/content identity;</w:t>
      </w:r>
    </w:p>
    <w:p>
      <w:pPr>
        <w:pStyle w:val="Compact"/>
        <w:numPr>
          <w:ilvl w:val="0"/>
          <w:numId w:val="1003"/>
        </w:numPr>
      </w:pPr>
      <w:r>
        <w:t xml:space="preserve">Writing policy / relevant deterministic writing-rule version identities.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 Performance Direction.</w:t>
      </w:r>
    </w:p>
    <w:bookmarkEnd w:id="23"/>
    <w:bookmarkStart w:id="24" w:name="performance-gate"/>
    <w:p>
      <w:pPr>
        <w:pStyle w:val="Heading3"/>
      </w:pPr>
      <w:r>
        <w:t xml:space="preserve">Performance gate</w:t>
      </w:r>
    </w:p>
    <w:p>
      <w:pPr>
        <w:pStyle w:val="FirstParagraph"/>
      </w:pPr>
      <w:r>
        <w:t xml:space="preserve">Projection contains:</w:t>
      </w:r>
    </w:p>
    <w:p>
      <w:pPr>
        <w:pStyle w:val="Compact"/>
        <w:numPr>
          <w:ilvl w:val="0"/>
          <w:numId w:val="1004"/>
        </w:numPr>
      </w:pPr>
      <w:r>
        <w:t xml:space="preserve">exact final script content identity;</w:t>
      </w:r>
    </w:p>
    <w:p>
      <w:pPr>
        <w:pStyle w:val="Compact"/>
        <w:numPr>
          <w:ilvl w:val="0"/>
          <w:numId w:val="1004"/>
        </w:numPr>
      </w:pPr>
      <w:r>
        <w:t xml:space="preserve">exact Performance Direction content identity;</w:t>
      </w:r>
    </w:p>
    <w:p>
      <w:pPr>
        <w:pStyle w:val="Compact"/>
        <w:numPr>
          <w:ilvl w:val="0"/>
          <w:numId w:val="1004"/>
        </w:numPr>
      </w:pPr>
      <w:r>
        <w:t xml:space="preserve">applicable performance-policy/version identities.</w:t>
      </w:r>
    </w:p>
    <w:bookmarkEnd w:id="24"/>
    <w:bookmarkStart w:id="25" w:name="semantic-audit-input"/>
    <w:p>
      <w:pPr>
        <w:pStyle w:val="Heading3"/>
      </w:pPr>
      <w:r>
        <w:t xml:space="preserve">Semantic audit input</w:t>
      </w:r>
    </w:p>
    <w:p>
      <w:pPr>
        <w:pStyle w:val="FirstParagraph"/>
      </w:pPr>
      <w:r>
        <w:t xml:space="preserve">Projection contains exact:</w:t>
      </w:r>
    </w:p>
    <w:p>
      <w:pPr>
        <w:pStyle w:val="Compact"/>
        <w:numPr>
          <w:ilvl w:val="0"/>
          <w:numId w:val="1005"/>
        </w:numPr>
      </w:pPr>
      <w:r>
        <w:t xml:space="preserve">Evidence Package identity;</w:t>
      </w:r>
    </w:p>
    <w:p>
      <w:pPr>
        <w:pStyle w:val="Compact"/>
        <w:numPr>
          <w:ilvl w:val="0"/>
          <w:numId w:val="1005"/>
        </w:numPr>
      </w:pPr>
      <w:r>
        <w:t xml:space="preserve">Showrunner Brief identity;</w:t>
      </w:r>
    </w:p>
    <w:p>
      <w:pPr>
        <w:pStyle w:val="Compact"/>
        <w:numPr>
          <w:ilvl w:val="0"/>
          <w:numId w:val="1005"/>
        </w:numPr>
      </w:pPr>
      <w:r>
        <w:t xml:space="preserve">final script identity;</w:t>
      </w:r>
    </w:p>
    <w:p>
      <w:pPr>
        <w:pStyle w:val="Compact"/>
        <w:numPr>
          <w:ilvl w:val="0"/>
          <w:numId w:val="1005"/>
        </w:numPr>
      </w:pPr>
      <w:r>
        <w:t xml:space="preserve">Performance Direction identity;</w:t>
      </w:r>
    </w:p>
    <w:p>
      <w:pPr>
        <w:pStyle w:val="Compact"/>
        <w:numPr>
          <w:ilvl w:val="0"/>
          <w:numId w:val="1005"/>
        </w:numPr>
      </w:pPr>
      <w:r>
        <w:t xml:space="preserve">Claims Policy version/content identity;</w:t>
      </w:r>
    </w:p>
    <w:p>
      <w:pPr>
        <w:pStyle w:val="Compact"/>
        <w:numPr>
          <w:ilvl w:val="0"/>
          <w:numId w:val="1005"/>
        </w:numPr>
      </w:pPr>
      <w:r>
        <w:t xml:space="preserve">writing/performance policy identities required by the auditor contract;</w:t>
      </w:r>
    </w:p>
    <w:p>
      <w:pPr>
        <w:pStyle w:val="Compact"/>
        <w:numPr>
          <w:ilvl w:val="0"/>
          <w:numId w:val="1005"/>
        </w:numPr>
      </w:pPr>
      <w:r>
        <w:t xml:space="preserve">auditor contract version.</w:t>
      </w:r>
    </w:p>
    <w:bookmarkEnd w:id="25"/>
    <w:bookmarkStart w:id="26" w:name="render-gate"/>
    <w:p>
      <w:pPr>
        <w:pStyle w:val="Heading3"/>
      </w:pPr>
      <w:r>
        <w:t xml:space="preserve">Render gate</w:t>
      </w:r>
    </w:p>
    <w:p>
      <w:pPr>
        <w:pStyle w:val="FirstParagraph"/>
      </w:pPr>
      <w:r>
        <w:t xml:space="preserve">Projection contains the exact Render Manifest identity plus the exact upstream audit/pass identity and applicable render-policy/version identities required by the gate definition.</w:t>
      </w:r>
    </w:p>
    <w:bookmarkEnd w:id="26"/>
    <w:bookmarkStart w:id="27" w:name="assembly-gate"/>
    <w:p>
      <w:pPr>
        <w:pStyle w:val="Heading3"/>
      </w:pPr>
      <w:r>
        <w:t xml:space="preserve">Assembly gate</w:t>
      </w:r>
    </w:p>
    <w:p>
      <w:pPr>
        <w:pStyle w:val="FirstParagraph"/>
      </w:pPr>
      <w:r>
        <w:t xml:space="preserve">Projection contains exact selected audio artifact hashes/selection lineage, assembly recipe identity, master assembly map identity, and applicable assembly-validation policy version.</w:t>
      </w:r>
    </w:p>
    <w:bookmarkEnd w:id="27"/>
    <w:bookmarkStart w:id="28" w:name="ready-candidate"/>
    <w:p>
      <w:pPr>
        <w:pStyle w:val="Heading3"/>
      </w:pPr>
      <w:r>
        <w:t xml:space="preserve">READY candidate</w:t>
      </w:r>
    </w:p>
    <w:p>
      <w:pPr>
        <w:pStyle w:val="FirstParagraph"/>
      </w:pPr>
      <w:r>
        <w:t xml:space="preserve">Projection contains the exact validated master artifact identity, assembly-gate result identity/fingerprint, attempt/run binding, and exact show-config/review-policy identity required to determine READY eligibility. Operational wait timestamps are excluded.</w:t>
      </w:r>
    </w:p>
    <w:p>
      <w:pPr>
        <w:pStyle w:val="BodyTex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gate_result</w:t>
      </w:r>
      <w:r>
        <w:t xml:space="preserve"> </w:t>
      </w:r>
      <w:r>
        <w:t xml:space="preserve">stores the exact fingerprint it judged. Any dependent semantic change makes the old result non-transferable.</w:t>
      </w:r>
    </w:p>
    <w:bookmarkEnd w:id="28"/>
    <w:bookmarkEnd w:id="29"/>
    <w:bookmarkStart w:id="30" w:name="spoken-text-span-coordinates"/>
    <w:p>
      <w:pPr>
        <w:pStyle w:val="Heading2"/>
      </w:pPr>
      <w:r>
        <w:t xml:space="preserve">5. Spoken-text span coordinates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span_start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span_end</w:t>
      </w:r>
      <w:r>
        <w:t xml:space="preserve"> </w:t>
      </w:r>
      <w:r>
        <w:t xml:space="preserve">coordinates are:</w:t>
      </w:r>
    </w:p>
    <w:p>
      <w:pPr>
        <w:pStyle w:val="Compact"/>
        <w:numPr>
          <w:ilvl w:val="0"/>
          <w:numId w:val="1006"/>
        </w:numPr>
      </w:pPr>
      <w:r>
        <w:t xml:space="preserve">zero-based;</w:t>
      </w:r>
    </w:p>
    <w:p>
      <w:pPr>
        <w:pStyle w:val="Compact"/>
        <w:numPr>
          <w:ilvl w:val="0"/>
          <w:numId w:val="1006"/>
        </w:numPr>
      </w:pPr>
      <w:r>
        <w:t xml:space="preserve">half-open</w:t>
      </w:r>
      <w:r>
        <w:t xml:space="preserve"> </w:t>
      </w:r>
      <w:r>
        <w:rPr>
          <w:rStyle w:val="VerbatimChar"/>
        </w:rPr>
        <w:t xml:space="preserve">[start, end)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counted in Unicode</w:t>
      </w:r>
      <w:r>
        <w:t xml:space="preserve"> </w:t>
      </w:r>
      <w:r>
        <w:rPr>
          <w:b/>
          <w:bCs/>
        </w:rPr>
        <w:t xml:space="preserve">code points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over NFC-normalized canonical</w:t>
      </w:r>
      <w:r>
        <w:t xml:space="preserve"> </w:t>
      </w:r>
      <w:r>
        <w:rPr>
          <w:rStyle w:val="VerbatimChar"/>
        </w:rPr>
        <w:t xml:space="preserve">spoken_text</w:t>
      </w:r>
      <w:r>
        <w:t xml:space="preserve">.</w:t>
      </w:r>
    </w:p>
    <w:p>
      <w:pPr>
        <w:pStyle w:val="FirstParagraph"/>
      </w:pPr>
      <w:r>
        <w:t xml:space="preserve">They are not UTF-8 byte offsets and not JavaScript UTF-16 code-unit indices. Persistence/validation code must convert deliberately when using native JavaScript string indexes.</w:t>
      </w:r>
    </w:p>
    <w:p>
      <w:pPr>
        <w:pStyle w:val="BodyText"/>
      </w:pPr>
      <w:r>
        <w:t xml:space="preserve">Build-1 conformance includes a non-ASCII/astral-character span vector and a key-order vector that distinguishes Unicode code-point order from JavaScript default UTF-16 ordering.</w:t>
      </w:r>
    </w:p>
    <w:bookmarkEnd w:id="30"/>
    <w:bookmarkStart w:id="31" w:name="fixture-conformance"/>
    <w:p>
      <w:pPr>
        <w:pStyle w:val="Heading2"/>
      </w:pPr>
      <w:r>
        <w:t xml:space="preserve">6. Fixture conformance</w:t>
      </w:r>
    </w:p>
    <w:p>
      <w:pPr>
        <w:pStyle w:val="FirstParagraph"/>
      </w:pPr>
      <w:r>
        <w:t xml:space="preserve">Frozen Walking-Skeleton Fixture v0.4.1 is the executable vector set for these domains and fingerprints. If fixture values and this contract disagree, this contract and the higher-authority owning spec govern; rebuild the fixture rather than weakening validation.</w:t>
      </w:r>
    </w:p>
    <w:bookmarkEnd w:id="31"/>
    <w:bookmarkEnd w:id="32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2026-09-27T14:34:35Z</dcterms:created>
  <dcterms:modified xsi:type="dcterms:W3CDTF">2026-09-27T14:34:35Z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