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5e8a70b0298ab899c54512b14ee614978838b5a"/>
    <w:p>
      <w:pPr>
        <w:pStyle w:val="Heading1"/>
      </w:pPr>
      <w:r>
        <w:t xml:space="preserve">The Desk — Implementation Readiness Closure v1.2.1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 — READY FOR BUILD 1 IMPLEMENTATION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September 27, 2026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Builds 1–2 walking skeleton</w:t>
      </w:r>
    </w:p>
    <w:bookmarkStart w:id="20" w:name="closure-statement"/>
    <w:p>
      <w:pPr>
        <w:pStyle w:val="Heading2"/>
      </w:pPr>
      <w:r>
        <w:t xml:space="preserve">1. Closure statement</w:t>
      </w:r>
    </w:p>
    <w:p>
      <w:pPr>
        <w:pStyle w:val="FirstParagraph"/>
      </w:pPr>
      <w:r>
        <w:t xml:space="preserve">The independent Codex implementation dry run and Claude adversarial review identified four concrete blockers. The v1.2.1 corrective lock resolves them without reopening Technical Architecture v1.0.</w:t>
      </w:r>
    </w:p>
    <w:p>
      <w:pPr>
        <w:pStyle w:val="BodyText"/>
      </w:pPr>
      <w:r>
        <w:t xml:space="preserve">No general architecture review is required before Build 1. The coding agent should first run a bounded mechanical conformance check against the active corpus and Fixture v0.4.1; if that check reveals no new contradiction, implementation proceeds.</w:t>
      </w:r>
    </w:p>
    <w:bookmarkEnd w:id="20"/>
    <w:bookmarkStart w:id="25" w:name="closed-blockers"/>
    <w:p>
      <w:pPr>
        <w:pStyle w:val="Heading2"/>
      </w:pPr>
      <w:r>
        <w:t xml:space="preserve">2. Closed blockers</w:t>
      </w:r>
    </w:p>
    <w:bookmarkStart w:id="21" w:name="b1-evaluation-run-versus-ready"/>
    <w:p>
      <w:pPr>
        <w:pStyle w:val="Heading3"/>
      </w:pPr>
      <w:r>
        <w:t xml:space="preserve">B1 — Evaluation run versus READY</w:t>
      </w:r>
    </w:p>
    <w:p>
      <w:pPr>
        <w:pStyle w:val="FirstParagraph"/>
      </w:pPr>
      <w:r>
        <w:rPr>
          <w:b/>
          <w:bCs/>
        </w:rPr>
        <w:t xml:space="preserve">Closed by:</w:t>
      </w:r>
      <w:r>
        <w:t xml:space="preserve"> </w:t>
      </w:r>
      <w:r>
        <w:t xml:space="preserve">ADR-003A + Handoff v0.5 + Trace v0.5 + Fixture v0.4.1.</w:t>
      </w:r>
    </w:p>
    <w:p>
      <w:pPr>
        <w:pStyle w:val="BodyText"/>
      </w:pPr>
      <w:r>
        <w:t xml:space="preserve">Evaluation attempts remain barred from READY. The fixture now contains a separate</w:t>
      </w:r>
      <w:r>
        <w:t xml:space="preserve"> </w:t>
      </w:r>
      <w:r>
        <w:rPr>
          <w:rStyle w:val="VerbatimChar"/>
        </w:rPr>
        <w:t xml:space="preserve">purpose=production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publication_enabled=false</w:t>
      </w:r>
      <w:r>
        <w:t xml:space="preserve"> </w:t>
      </w:r>
      <w:r>
        <w:t xml:space="preserve">review path. Deterministic fixture TTS produces a real validated master; READY mints the internal fixture Episode/GUID; a fixture revalidation result proves the interface only, not the later live system.</w:t>
      </w:r>
    </w:p>
    <w:bookmarkEnd w:id="21"/>
    <w:bookmarkStart w:id="22" w:name="b2-ready-repair-attempt-semantics"/>
    <w:p>
      <w:pPr>
        <w:pStyle w:val="Heading3"/>
      </w:pPr>
      <w:r>
        <w:t xml:space="preserve">B2 — READY repair attempt semantics</w:t>
      </w:r>
    </w:p>
    <w:p>
      <w:pPr>
        <w:pStyle w:val="FirstParagraph"/>
      </w:pPr>
      <w:r>
        <w:rPr>
          <w:b/>
          <w:bCs/>
        </w:rPr>
        <w:t xml:space="preserve">Closed by:</w:t>
      </w:r>
      <w:r>
        <w:t xml:space="preserve"> </w:t>
      </w:r>
      <w:r>
        <w:t xml:space="preserve">ADR-003A + Operator Repair v0.1.1.</w:t>
      </w:r>
    </w:p>
    <w:p>
      <w:pPr>
        <w:pStyle w:val="BodyText"/>
      </w:pPr>
      <w:r>
        <w:t xml:space="preserve">A confirmed repair of a READY candidate creates a child attempt under the same run. The parent READY candidate remains immutable and never transitions backward. Exact valid upstream artifacts may be reused; every repaired READY candidate receives a new wait. Run-level cumulative ceilings prevent repair attempts from resetting safety budgets indefinitely.</w:t>
      </w:r>
    </w:p>
    <w:bookmarkEnd w:id="22"/>
    <w:bookmarkStart w:id="23" w:name="b3-fixture-conformance-failures"/>
    <w:p>
      <w:pPr>
        <w:pStyle w:val="Heading3"/>
      </w:pPr>
      <w:r>
        <w:t xml:space="preserve">B3 — Fixture conformance failures</w:t>
      </w:r>
    </w:p>
    <w:p>
      <w:pPr>
        <w:pStyle w:val="FirstParagraph"/>
      </w:pPr>
      <w:r>
        <w:rPr>
          <w:b/>
          <w:bCs/>
        </w:rPr>
        <w:t xml:space="preserve">Closed by:</w:t>
      </w:r>
      <w:r>
        <w:t xml:space="preserve"> </w:t>
      </w:r>
      <w:r>
        <w:t xml:space="preserve">Fixture v0.4.1 + Claims v0.1.1 + Evidence Package v0.2.1 + Performance &amp; Render v0.1.3 + Trace v0.5.</w:t>
      </w:r>
    </w:p>
    <w:p>
      <w:pPr>
        <w:pStyle w:val="BodyText"/>
      </w:pPr>
      <w:r>
        <w:t xml:space="preserve">The corrected fixture uses valid evidence axes, all nine required launch template slots, per-use required attribution, valid timestamps, complete immutable repair records, a named mechanical reroll, authoritative provider-call records, minimum actor/knowledge/model provenance, correct consumer exposure, and deterministic fixture audio/master materialization.</w:t>
      </w:r>
    </w:p>
    <w:bookmarkEnd w:id="23"/>
    <w:bookmarkStart w:id="24" w:name="Xe57a1140f74474d14f5714fab13962fbafdddee"/>
    <w:p>
      <w:pPr>
        <w:pStyle w:val="Heading3"/>
      </w:pPr>
      <w:r>
        <w:t xml:space="preserve">B4 — Underspecified hash/fingerprint/span contract</w:t>
      </w:r>
    </w:p>
    <w:p>
      <w:pPr>
        <w:pStyle w:val="FirstParagraph"/>
      </w:pPr>
      <w:r>
        <w:rPr>
          <w:b/>
          <w:bCs/>
        </w:rPr>
        <w:t xml:space="preserve">Closed by:</w:t>
      </w:r>
      <w:r>
        <w:t xml:space="preserve"> </w:t>
      </w:r>
      <w:r>
        <w:t xml:space="preserve">Hashing, Fingerprints &amp; Text Spans v0.1 + Fixture v0.4.1.</w:t>
      </w:r>
    </w:p>
    <w:p>
      <w:pPr>
        <w:pStyle w:val="BodyText"/>
      </w:pPr>
      <w:r>
        <w:t xml:space="preserve">The active contract now defines canonical serialization, domain separators, revision-parent content identity, stage-specific gate subjects, audit/render/assembly/READY fingerprints, and zero-based half-open Unicode code-point spans over NFC text. The fixture includes non-ASCII/astral conformance vectors.</w:t>
      </w:r>
    </w:p>
    <w:bookmarkEnd w:id="24"/>
    <w:bookmarkEnd w:id="25"/>
    <w:bookmarkStart w:id="26" w:name="important-amendments-incorporated"/>
    <w:p>
      <w:pPr>
        <w:pStyle w:val="Heading2"/>
      </w:pPr>
      <w:r>
        <w:t xml:space="preserve">3. Important amendments incorporated</w:t>
      </w:r>
    </w:p>
    <w:p>
      <w:pPr>
        <w:pStyle w:val="FirstParagraph"/>
      </w:pPr>
      <w:r>
        <w:t xml:space="preserve">The lock also incorporates the non-blocking findings from both dry runs:</w:t>
      </w:r>
    </w:p>
    <w:p>
      <w:pPr>
        <w:pStyle w:val="Compact"/>
        <w:numPr>
          <w:ilvl w:val="0"/>
          <w:numId w:val="1001"/>
        </w:numPr>
      </w:pPr>
      <w:r>
        <w:t xml:space="preserve">minimal relational claims/evidence/support/derivation spine for Build 2, without ingest;</w:t>
      </w:r>
    </w:p>
    <w:p>
      <w:pPr>
        <w:pStyle w:val="Compact"/>
        <w:numPr>
          <w:ilvl w:val="0"/>
          <w:numId w:val="1001"/>
        </w:numPr>
      </w:pPr>
      <w:r>
        <w:t xml:space="preserve">one authoritative provider-call/cost ledger;</w:t>
      </w:r>
    </w:p>
    <w:p>
      <w:pPr>
        <w:pStyle w:val="Compact"/>
        <w:numPr>
          <w:ilvl w:val="0"/>
          <w:numId w:val="1001"/>
        </w:numPr>
      </w:pPr>
      <w:r>
        <w:t xml:space="preserve">consumer exposure defaults for Craft Critic, Performance Director, Operator Editor, and unknown consumers;</w:t>
      </w:r>
    </w:p>
    <w:p>
      <w:pPr>
        <w:pStyle w:val="Compact"/>
        <w:numPr>
          <w:ilvl w:val="0"/>
          <w:numId w:val="1001"/>
        </w:numPr>
      </w:pPr>
      <w:r>
        <w:t xml:space="preserve">confirmation as a separate append-only repair decision;</w:t>
      </w:r>
    </w:p>
    <w:p>
      <w:pPr>
        <w:pStyle w:val="Compact"/>
        <w:numPr>
          <w:ilvl w:val="0"/>
          <w:numId w:val="1001"/>
        </w:numPr>
      </w:pPr>
      <w:r>
        <w:t xml:space="preserve">shared pronunciation correction routed through the append-only Corrections path;</w:t>
      </w:r>
    </w:p>
    <w:p>
      <w:pPr>
        <w:pStyle w:val="Compact"/>
        <w:numPr>
          <w:ilvl w:val="0"/>
          <w:numId w:val="1001"/>
        </w:numPr>
      </w:pPr>
      <w:r>
        <w:t xml:space="preserve">deterministic CI versus model-evaluation test classification;</w:t>
      </w:r>
    </w:p>
    <w:p>
      <w:pPr>
        <w:pStyle w:val="Compact"/>
        <w:numPr>
          <w:ilvl w:val="0"/>
          <w:numId w:val="1001"/>
        </w:numPr>
      </w:pPr>
      <w:r>
        <w:t xml:space="preserve">strict per-use attribution for required-attribution claims in Builds 1–2;</w:t>
      </w:r>
    </w:p>
    <w:p>
      <w:pPr>
        <w:pStyle w:val="Compact"/>
        <w:numPr>
          <w:ilvl w:val="0"/>
          <w:numId w:val="1001"/>
        </w:numPr>
      </w:pPr>
      <w:r>
        <w:t xml:space="preserve">staging deployment and hosted error-tracking correlation restored as Build-1 completion requirements.</w:t>
      </w:r>
    </w:p>
    <w:bookmarkEnd w:id="26"/>
    <w:bookmarkStart w:id="27" w:name="intentionally-deferred"/>
    <w:p>
      <w:pPr>
        <w:pStyle w:val="Heading2"/>
      </w:pPr>
      <w:r>
        <w:t xml:space="preserve">4. Intentionally deferred</w:t>
      </w:r>
    </w:p>
    <w:p>
      <w:pPr>
        <w:pStyle w:val="FirstParagraph"/>
      </w:pPr>
      <w:r>
        <w:t xml:space="preserve">Still deferred: ingest automation, Coverage Commissioning implementation, publication/RSS, full live revalidation, production hosting choice, production model/provider selection beyond the active skeleton TTS path, polished review UI/notifications, generalized knowledge infrastructure, forced alignment, alternate TTS failover, multilingual, dynamic ads, and production purge execution across provider/backups.</w:t>
      </w:r>
    </w:p>
    <w:bookmarkEnd w:id="27"/>
    <w:bookmarkStart w:id="28" w:name="build-1-gono-go"/>
    <w:p>
      <w:pPr>
        <w:pStyle w:val="Heading2"/>
      </w:pPr>
      <w:r>
        <w:t xml:space="preserve">5. Build 1 go/no-go</w:t>
      </w:r>
    </w:p>
    <w:p>
      <w:pPr>
        <w:pStyle w:val="FirstParagraph"/>
      </w:pPr>
      <w:r>
        <w:rPr>
          <w:b/>
          <w:bCs/>
        </w:rPr>
        <w:t xml:space="preserve">GO.</w:t>
      </w:r>
      <w:r>
        <w:t xml:space="preserve"> </w:t>
      </w:r>
      <w:r>
        <w:t xml:space="preserve">Start from</w:t>
      </w:r>
      <w:r>
        <w:t xml:space="preserve"> </w:t>
      </w:r>
      <w:r>
        <w:rPr>
          <w:rStyle w:val="VerbatimChar"/>
        </w:rPr>
        <w:t xml:space="preserve">ACTIVE_SPECS_LOCKED_v1.2.1.md</w:t>
      </w:r>
      <w:r>
        <w:t xml:space="preserve">, Handoff v0.5, Contract Trace v0.5, Hashing/Fingerprints/Text Spans v0.1, and Fixture v0.4.1.</w:t>
      </w:r>
    </w:p>
    <w:p>
      <w:pPr>
        <w:pStyle w:val="BodyText"/>
      </w:pPr>
      <w:r>
        <w:t xml:space="preserve">The first coding-agent action should be a short read-only mechanical verification that the active source hashes, fixture hashes/fingerprints, enums, and required file references resolve. It is not another design exercise.</w:t>
      </w:r>
    </w:p>
    <w:bookmarkEnd w:id="28"/>
    <w:bookmarkEnd w:id="29"/>
    <w:sectPr w:rsidR="00FC693F" w:rsidRPr="0006063C" w:rsidSect="00034616">
      <w:pgSz w:h="15840" w:w="12240"/>
      <w:pgMar w:bottom="1008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themeColor="text2" w:themeShade="BF" w:val="17365D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2026-09-27T14:34:37Z</dcterms:created>
  <dcterms:modified xsi:type="dcterms:W3CDTF">2026-09-27T14:34:37Z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