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9" w:name="X47e05e7642b4483bf3bcefed403894a4503ad5b"/>
    <w:p>
      <w:pPr>
        <w:pStyle w:val="Heading1"/>
      </w:pPr>
      <w:r>
        <w:t xml:space="preserve">The Desk — Implementation Readiness Closure v1.2.2</w:t>
      </w:r>
    </w:p>
    <w:p>
      <w:pPr>
        <w:pStyle w:val="FirstParagraph"/>
      </w:pPr>
      <w:r>
        <w:rPr>
          <w:b/>
          <w:bCs/>
        </w:rPr>
        <w:t xml:space="preserve">Status:</w:t>
      </w:r>
      <w:r>
        <w:t xml:space="preserve"> </w:t>
      </w:r>
      <w:r>
        <w:t xml:space="preserve">CLOSED — READY FOR BUILD 1 IMPLEMENTATION</w:t>
      </w:r>
      <w:r>
        <w:br/>
      </w:r>
      <w:r>
        <w:rPr>
          <w:b/>
          <w:bCs/>
        </w:rPr>
        <w:t xml:space="preserve">Date:</w:t>
      </w:r>
      <w:r>
        <w:t xml:space="preserve"> </w:t>
      </w:r>
      <w:r>
        <w:t xml:space="preserve">September 27, 2026</w:t>
      </w:r>
      <w:r>
        <w:br/>
      </w:r>
      <w:r>
        <w:rPr>
          <w:b/>
          <w:bCs/>
        </w:rPr>
        <w:t xml:space="preserve">Scope:</w:t>
      </w:r>
      <w:r>
        <w:t xml:space="preserve"> </w:t>
      </w:r>
      <w:r>
        <w:t xml:space="preserve">Builds 1–2 walking skeleton</w:t>
      </w:r>
    </w:p>
    <w:bookmarkStart w:id="20" w:name="closure-statement"/>
    <w:p>
      <w:pPr>
        <w:pStyle w:val="Heading2"/>
      </w:pPr>
      <w:r>
        <w:t xml:space="preserve">1. Closure statement</w:t>
      </w:r>
    </w:p>
    <w:p>
      <w:pPr>
        <w:pStyle w:val="FirstParagraph"/>
      </w:pPr>
      <w:r>
        <w:t xml:space="preserve">The v1.2.2 patch is a bounded mechanical closure over v1.2.1. It does not reopen Technical Architecture v1.0 or change the product architecture.</w:t>
      </w:r>
    </w:p>
    <w:p>
      <w:pPr>
        <w:pStyle w:val="BodyText"/>
      </w:pPr>
      <w:r>
        <w:t xml:space="preserve">The independent final verifier found that v1.2.1 had closed B1–B3 but still required reverse engineering for five stage fingerprints, had three implicit artifact-projection exclusions, had lost the original nine P&amp;R §24 base-request sensitivity vectors, misclassified NV03 implied access as deterministic CI, and represented two mutually exclusive repair examples as if they could coexist in one review history.</w:t>
      </w:r>
    </w:p>
    <w:p>
      <w:pPr>
        <w:pStyle w:val="BodyText"/>
      </w:pPr>
      <w:r>
        <w:t xml:space="preserve">Those defects are closed in v1.2.2.</w:t>
      </w:r>
    </w:p>
    <w:bookmarkEnd w:id="20"/>
    <w:bookmarkStart w:id="25" w:name="b1b4-status"/>
    <w:p>
      <w:pPr>
        <w:pStyle w:val="Heading2"/>
      </w:pPr>
      <w:r>
        <w:t xml:space="preserve">2. B1–B4 status</w:t>
      </w:r>
    </w:p>
    <w:bookmarkStart w:id="21" w:name="b1-evaluation-run-versus-ready-closed"/>
    <w:p>
      <w:pPr>
        <w:pStyle w:val="Heading3"/>
      </w:pPr>
      <w:r>
        <w:t xml:space="preserve">B1 — Evaluation run versus READY: CLOSED</w:t>
      </w:r>
    </w:p>
    <w:p>
      <w:pPr>
        <w:pStyle w:val="FirstParagraph"/>
      </w:pPr>
      <w:r>
        <w:t xml:space="preserve">Unchanged from v1.2.1. Evaluation remains barred from READY. The fixture has a separate production-purpose, publication-disabled READY path with deterministic fixture audio, validated master, internal fixture Episode/GUID, and fixture-only revalidation proof.</w:t>
      </w:r>
    </w:p>
    <w:bookmarkEnd w:id="21"/>
    <w:bookmarkStart w:id="22" w:name="b2-ready-repair-attempt-semantics-closed"/>
    <w:p>
      <w:pPr>
        <w:pStyle w:val="Heading3"/>
      </w:pPr>
      <w:r>
        <w:t xml:space="preserve">B2 — READY repair attempt semantics: CLOSED</w:t>
      </w:r>
    </w:p>
    <w:p>
      <w:pPr>
        <w:pStyle w:val="FirstParagraph"/>
      </w:pPr>
      <w:r>
        <w:t xml:space="preserve">Unchanged from v1.2.1. Confirmed READY repair creates a child attempt; the parent never moves backward; fresh review is required; run-level cumulative ceilings prevent safety-budget reset by repeated repair attempts.</w:t>
      </w:r>
    </w:p>
    <w:bookmarkEnd w:id="22"/>
    <w:bookmarkStart w:id="23" w:name="b3-fixture-conformance-closed"/>
    <w:p>
      <w:pPr>
        <w:pStyle w:val="Heading3"/>
      </w:pPr>
      <w:r>
        <w:t xml:space="preserve">B3 — Fixture conformance: CLOSED</w:t>
      </w:r>
    </w:p>
    <w:p>
      <w:pPr>
        <w:pStyle w:val="FirstParagraph"/>
      </w:pPr>
      <w:r>
        <w:t xml:space="preserve">Unchanged substantively from v1.2.1. Fixture v0.4.2 retains corrected enums, all nine required launch slots, strict per-use attribution, valid timestamps, complete repair-plan shape, named mechanical reroll, provider-call ledger, consumer exposure and materialized fixture master.</w:t>
      </w:r>
    </w:p>
    <w:bookmarkEnd w:id="23"/>
    <w:bookmarkStart w:id="24" w:name="b4-hashfingerprintspan-contract-closed"/>
    <w:p>
      <w:pPr>
        <w:pStyle w:val="Heading3"/>
      </w:pPr>
      <w:r>
        <w:t xml:space="preserve">B4 — Hash/fingerprint/span contract: CLOSED</w:t>
      </w:r>
    </w:p>
    <w:p>
      <w:pPr>
        <w:pStyle w:val="FirstParagraph"/>
      </w:pPr>
      <w:r>
        <w:t xml:space="preserve">Closed by Hashing/Fingerprints/Text Spans v0.1.1 + Fixture v0.4.2.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gate_fingerprint_inputs.json</w:t>
      </w:r>
      <w:r>
        <w:t xml:space="preserve"> </w:t>
      </w:r>
      <w:r>
        <w:t xml:space="preserve">ships exact projection objects for Claims/Writing, Performance, Semantic Audit, Render, Assembly and READY candidate fingerprints.</w:t>
      </w:r>
    </w:p>
    <w:p>
      <w:pPr>
        <w:pStyle w:val="Compact"/>
        <w:numPr>
          <w:ilvl w:val="0"/>
          <w:numId w:val="1001"/>
        </w:numPr>
      </w:pPr>
      <w:r>
        <w:t xml:space="preserve">The relevant gate/result records repeat the projection beside the fingerprint.</w:t>
      </w:r>
    </w:p>
    <w:p>
      <w:pPr>
        <w:pStyle w:val="Compact"/>
        <w:numPr>
          <w:ilvl w:val="0"/>
          <w:numId w:val="1001"/>
        </w:numPr>
      </w:pPr>
      <w:r>
        <w:t xml:space="preserve">The Script, Writing Craft review and Render Manifest projection exclusions that were previously implicit are now normative.</w:t>
      </w:r>
    </w:p>
    <w:p>
      <w:pPr>
        <w:pStyle w:val="Compact"/>
        <w:numPr>
          <w:ilvl w:val="0"/>
          <w:numId w:val="1001"/>
        </w:numPr>
      </w:pPr>
      <w:r>
        <w:t xml:space="preserve">The nine P&amp;R §24 base-request sensitivity vectors are restored with row-level input records; the nine actual render-block baselines remain separately available.</w:t>
      </w:r>
    </w:p>
    <w:p>
      <w:pPr>
        <w:pStyle w:val="Compact"/>
        <w:numPr>
          <w:ilvl w:val="0"/>
          <w:numId w:val="1001"/>
        </w:numPr>
      </w:pPr>
      <w:r>
        <w:t xml:space="preserve">Unicode span/key-order vectors remain active.</w:t>
      </w:r>
    </w:p>
    <w:bookmarkEnd w:id="24"/>
    <w:bookmarkEnd w:id="25"/>
    <w:bookmarkStart w:id="26" w:name="regression-closures"/>
    <w:p>
      <w:pPr>
        <w:pStyle w:val="Heading2"/>
      </w:pPr>
      <w:r>
        <w:t xml:space="preserve">3. Regression closures</w:t>
      </w:r>
    </w:p>
    <w:p>
      <w:pPr>
        <w:pStyle w:val="Compact"/>
        <w:numPr>
          <w:ilvl w:val="0"/>
          <w:numId w:val="1002"/>
        </w:numPr>
      </w:pPr>
      <w:r>
        <w:t xml:space="preserve">NV03</w:t>
      </w:r>
      <w:r>
        <w:t xml:space="preserve"> </w:t>
      </w:r>
      <w:r>
        <w:rPr>
          <w:rStyle w:val="VerbatimChar"/>
        </w:rPr>
        <w:t xml:space="preserve">implied_access</w:t>
      </w:r>
      <w:r>
        <w:t xml:space="preserve"> </w:t>
      </w:r>
      <w:r>
        <w:t xml:space="preserve">is</w:t>
      </w:r>
      <w:r>
        <w:t xml:space="preserve"> </w:t>
      </w:r>
      <w:r>
        <w:rPr>
          <w:rStyle w:val="VerbatimChar"/>
        </w:rPr>
        <w:t xml:space="preserve">recorded_model_eval</w:t>
      </w:r>
      <w:r>
        <w:t xml:space="preserve">; deterministic CI may not implement a keyword fake.</w:t>
      </w:r>
    </w:p>
    <w:p>
      <w:pPr>
        <w:pStyle w:val="Compact"/>
        <w:numPr>
          <w:ilvl w:val="0"/>
          <w:numId w:val="1002"/>
        </w:numPr>
      </w:pPr>
      <w:r>
        <w:t xml:space="preserve">Both Operator Repair examples have explicit confirmation before child-attempt execution.</w:t>
      </w:r>
    </w:p>
    <w:p>
      <w:pPr>
        <w:pStyle w:val="Compact"/>
        <w:numPr>
          <w:ilvl w:val="0"/>
          <w:numId w:val="1002"/>
        </w:numPr>
      </w:pPr>
      <w:r>
        <w:t xml:space="preserve">Performance and programming repair examples are labelled mutually exclusive fixture scenarios, each executed from a reset copy of the same READY seed, preserving first-terminal-decision-wins.</w:t>
      </w:r>
    </w:p>
    <w:bookmarkEnd w:id="26"/>
    <w:bookmarkStart w:id="27" w:name="current-executable-vectors"/>
    <w:p>
      <w:pPr>
        <w:pStyle w:val="Heading2"/>
      </w:pPr>
      <w:r>
        <w:t xml:space="preserve">4. Current executable vectors</w:t>
      </w:r>
    </w:p>
    <w:p>
      <w:pPr>
        <w:pStyle w:val="FirstParagraph"/>
      </w:pPr>
      <w:r>
        <w:t xml:space="preserve">Stage fingerprints in Fixture v0.4.2:</w:t>
      </w:r>
    </w:p>
    <w:p>
      <w:pPr>
        <w:pStyle w:val="Compact"/>
        <w:numPr>
          <w:ilvl w:val="0"/>
          <w:numId w:val="1003"/>
        </w:numPr>
      </w:pPr>
      <w:r>
        <w:t xml:space="preserve">Claims/Writing:</w:t>
      </w:r>
      <w:r>
        <w:t xml:space="preserve"> </w:t>
      </w:r>
      <w:r>
        <w:rPr>
          <w:rStyle w:val="VerbatimChar"/>
        </w:rPr>
        <w:t xml:space="preserve">a56625ab7885982feb59c2b9661f7048aac8882bee646c871d511e7ea5404821</w:t>
      </w:r>
    </w:p>
    <w:p>
      <w:pPr>
        <w:pStyle w:val="Compact"/>
        <w:numPr>
          <w:ilvl w:val="0"/>
          <w:numId w:val="1003"/>
        </w:numPr>
      </w:pPr>
      <w:r>
        <w:t xml:space="preserve">Performance:</w:t>
      </w:r>
      <w:r>
        <w:t xml:space="preserve"> </w:t>
      </w:r>
      <w:r>
        <w:rPr>
          <w:rStyle w:val="VerbatimChar"/>
        </w:rPr>
        <w:t xml:space="preserve">2b8d739aa58d4721daf75ef7e72594994c80ddeb9d00d677114ee7ced5b7c761</w:t>
      </w:r>
    </w:p>
    <w:p>
      <w:pPr>
        <w:pStyle w:val="Compact"/>
        <w:numPr>
          <w:ilvl w:val="0"/>
          <w:numId w:val="1003"/>
        </w:numPr>
      </w:pPr>
      <w:r>
        <w:t xml:space="preserve">Semantic audit:</w:t>
      </w:r>
      <w:r>
        <w:t xml:space="preserve"> </w:t>
      </w:r>
      <w:r>
        <w:rPr>
          <w:rStyle w:val="VerbatimChar"/>
        </w:rPr>
        <w:t xml:space="preserve">de4e027bd6d8599ecc047745023fe2545e0fcbdaace645528f7d99902f338657</w:t>
      </w:r>
    </w:p>
    <w:p>
      <w:pPr>
        <w:pStyle w:val="Compact"/>
        <w:numPr>
          <w:ilvl w:val="0"/>
          <w:numId w:val="1003"/>
        </w:numPr>
      </w:pPr>
      <w:r>
        <w:t xml:space="preserve">Render:</w:t>
      </w:r>
      <w:r>
        <w:t xml:space="preserve"> </w:t>
      </w:r>
      <w:r>
        <w:rPr>
          <w:rStyle w:val="VerbatimChar"/>
        </w:rPr>
        <w:t xml:space="preserve">d92d620c8e60098e750bea6c490a85f7ca71d27994e90cb9e247bc8072241b37</w:t>
      </w:r>
    </w:p>
    <w:p>
      <w:pPr>
        <w:pStyle w:val="Compact"/>
        <w:numPr>
          <w:ilvl w:val="0"/>
          <w:numId w:val="1003"/>
        </w:numPr>
      </w:pPr>
      <w:r>
        <w:t xml:space="preserve">Assembly:</w:t>
      </w:r>
      <w:r>
        <w:t xml:space="preserve"> </w:t>
      </w:r>
      <w:r>
        <w:rPr>
          <w:rStyle w:val="VerbatimChar"/>
        </w:rPr>
        <w:t xml:space="preserve">dd20eb19b78bea075369ebc04db438928ab272986bd3d062904604b069a84518</w:t>
      </w:r>
    </w:p>
    <w:p>
      <w:pPr>
        <w:pStyle w:val="Compact"/>
        <w:numPr>
          <w:ilvl w:val="0"/>
          <w:numId w:val="1003"/>
        </w:numPr>
      </w:pPr>
      <w:r>
        <w:t xml:space="preserve">READY candidate:</w:t>
      </w:r>
      <w:r>
        <w:t xml:space="preserve"> </w:t>
      </w:r>
      <w:r>
        <w:rPr>
          <w:rStyle w:val="VerbatimChar"/>
        </w:rPr>
        <w:t xml:space="preserve">c9ec6c12015993af3199054429b82cc37c0c692dd259df51319e5d41e34b41ce</w:t>
      </w:r>
    </w:p>
    <w:p>
      <w:pPr>
        <w:pStyle w:val="FirstParagraph"/>
      </w:pPr>
      <w:r>
        <w:t xml:space="preserve">These are fixture vectors, not product constants.</w:t>
      </w:r>
    </w:p>
    <w:bookmarkEnd w:id="27"/>
    <w:bookmarkStart w:id="28" w:name="build-1-gono-go"/>
    <w:p>
      <w:pPr>
        <w:pStyle w:val="Heading2"/>
      </w:pPr>
      <w:r>
        <w:t xml:space="preserve">5. Build 1 go/no-go</w:t>
      </w:r>
    </w:p>
    <w:p>
      <w:pPr>
        <w:pStyle w:val="FirstParagraph"/>
      </w:pPr>
      <w:r>
        <w:rPr>
          <w:b/>
          <w:bCs/>
        </w:rPr>
        <w:t xml:space="preserve">GO.</w:t>
      </w:r>
      <w:r>
        <w:t xml:space="preserve"> </w:t>
      </w:r>
      <w:r>
        <w:t xml:space="preserve">Start from</w:t>
      </w:r>
      <w:r>
        <w:t xml:space="preserve"> </w:t>
      </w:r>
      <w:r>
        <w:rPr>
          <w:rStyle w:val="VerbatimChar"/>
        </w:rPr>
        <w:t xml:space="preserve">ACTIVE_SPECS_LOCKED_v1.2.2.md</w:t>
      </w:r>
      <w:r>
        <w:t xml:space="preserve">, Handoff v0.5.1, Contract Trace v0.5.1, Hashing/Fingerprints/Text Spans v0.1.1 and Fixture v0.4.2.</w:t>
      </w:r>
    </w:p>
    <w:p>
      <w:pPr>
        <w:pStyle w:val="BodyText"/>
      </w:pPr>
      <w:r>
        <w:t xml:space="preserve">The next agent action is implementation, not another broad architecture review. A short machine check may verify pack/source hashes and the executable vectors, but it must not reopen decisions already locked.</w:t>
      </w:r>
    </w:p>
    <w:bookmarkEnd w:id="28"/>
    <w:bookmarkEnd w:id="29"/>
    <w:sectPr w:rsidR="00FC693F" w:rsidRPr="0006063C" w:rsidSect="00034616">
      <w:pgSz w:h="15840" w:w="12240"/>
      <w:pgMar w:bottom="1008" w:footer="720" w:gutter="0" w:header="720" w:left="1080" w:right="1080" w:top="1008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rPr>
      <w:rFonts w:ascii="Aptos" w:hAnsi="Aptos"/>
      <w:sz w:val="19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0" w:before="480"/>
      <w:outlineLvl w:val="0"/>
    </w:pPr>
    <w:rPr>
      <w:rFonts w:ascii="Aptos Display" w:asciiTheme="majorHAnsi" w:cstheme="majorBidi" w:eastAsiaTheme="majorEastAsia" w:hAnsi="Aptos Display" w:hAnsiTheme="majorHAnsi"/>
      <w:b/>
      <w:bCs/>
      <w:color w:themeColor="accent1" w:themeShade="BF" w:val="365F91"/>
      <w:sz w:val="32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0" w:before="200"/>
      <w:outlineLvl w:val="1"/>
    </w:pPr>
    <w:rPr>
      <w:rFonts w:ascii="Aptos Display" w:asciiTheme="majorHAnsi" w:cstheme="majorBidi" w:eastAsiaTheme="majorEastAsia" w:hAnsi="Aptos Display" w:hAnsiTheme="majorHAnsi"/>
      <w:b/>
      <w:bCs/>
      <w:color w:themeColor="accent1" w:val="4F81BD"/>
      <w:sz w:val="26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0" w:before="200"/>
      <w:outlineLvl w:val="2"/>
    </w:pPr>
    <w:rPr>
      <w:rFonts w:ascii="Aptos Display" w:asciiTheme="majorHAnsi" w:cstheme="majorBidi" w:eastAsiaTheme="majorEastAsia" w:hAnsi="Aptos Display" w:hAnsiTheme="majorHAnsi"/>
      <w:b/>
      <w:bCs/>
      <w:color w:themeColor="accent1" w:val="4F81BD"/>
      <w:sz w:val="22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</w:pPr>
    <w:rPr>
      <w:rFonts w:ascii="Aptos Display" w:asciiTheme="majorHAnsi" w:cstheme="majorBidi" w:eastAsiaTheme="majorEastAsia" w:hAnsi="Aptos Display" w:hAnsiTheme="majorHAnsi"/>
      <w:color w:themeColor="text2" w:themeShade="BF" w:val="17365D"/>
      <w:spacing w:val="5"/>
      <w:kern w:val="28"/>
      <w:sz w:val="40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customStyle="1" w:styleId="SourceCode" w:type="paragraph">
    <w:name w:val="Source Code"/>
    <w:basedOn w:val="Normal"/>
    <w:link w:val="VerbatimChar"/>
    <w:pPr>
      <w:wordWrap w:val="off"/>
    </w:pPr>
  </w:style>
  <w:style w:customStyle="1" w:styleId="KeywordTok" w:type="character">
    <w:name w:val="KeywordTok"/>
    <w:basedOn w:val="VerbatimChar"/>
    <w:rPr>
      <w:b/>
      <w:color w:val="007020"/>
    </w:rPr>
  </w:style>
  <w:style w:customStyle="1" w:styleId="DataTypeTok" w:type="character">
    <w:name w:val="DataTypeTok"/>
    <w:basedOn w:val="VerbatimChar"/>
    <w:rPr>
      <w:color w:val="902000"/>
    </w:rPr>
  </w:style>
  <w:style w:customStyle="1" w:styleId="DecValTok" w:type="character">
    <w:name w:val="DecValTok"/>
    <w:basedOn w:val="VerbatimChar"/>
    <w:rPr>
      <w:color w:val="40a070"/>
    </w:rPr>
  </w:style>
  <w:style w:customStyle="1" w:styleId="BaseNTok" w:type="character">
    <w:name w:val="BaseNTok"/>
    <w:basedOn w:val="VerbatimChar"/>
    <w:rPr>
      <w:color w:val="40a070"/>
    </w:rPr>
  </w:style>
  <w:style w:customStyle="1" w:styleId="FloatTok" w:type="character">
    <w:name w:val="FloatTok"/>
    <w:basedOn w:val="VerbatimChar"/>
    <w:rPr>
      <w:color w:val="40a070"/>
    </w:rPr>
  </w:style>
  <w:style w:customStyle="1" w:styleId="ConstantTok" w:type="character">
    <w:name w:val="ConstantTok"/>
    <w:basedOn w:val="VerbatimChar"/>
    <w:rPr>
      <w:color w:val="880000"/>
    </w:rPr>
  </w:style>
  <w:style w:customStyle="1" w:styleId="CharTok" w:type="character">
    <w:name w:val="CharTok"/>
    <w:basedOn w:val="VerbatimChar"/>
    <w:rPr>
      <w:color w:val="4070a0"/>
    </w:rPr>
  </w:style>
  <w:style w:customStyle="1" w:styleId="SpecialCharTok" w:type="character">
    <w:name w:val="SpecialCharTok"/>
    <w:basedOn w:val="VerbatimChar"/>
    <w:rPr>
      <w:color w:val="4070a0"/>
    </w:rPr>
  </w:style>
  <w:style w:customStyle="1" w:styleId="StringTok" w:type="character">
    <w:name w:val="StringTok"/>
    <w:basedOn w:val="VerbatimChar"/>
    <w:rPr>
      <w:color w:val="4070a0"/>
    </w:rPr>
  </w:style>
  <w:style w:customStyle="1" w:styleId="VerbatimStringTok" w:type="character">
    <w:name w:val="VerbatimStringTok"/>
    <w:basedOn w:val="VerbatimChar"/>
    <w:rPr>
      <w:color w:val="4070a0"/>
    </w:rPr>
  </w:style>
  <w:style w:customStyle="1" w:styleId="SpecialStringTok" w:type="character">
    <w:name w:val="SpecialStringTok"/>
    <w:basedOn w:val="VerbatimChar"/>
    <w:rPr>
      <w:color w:val="bb6688"/>
    </w:rPr>
  </w:style>
  <w:style w:customStyle="1" w:styleId="ImportTok" w:type="character">
    <w:name w:val="ImportTok"/>
    <w:basedOn w:val="VerbatimChar"/>
    <w:rPr>
      <w:b/>
      <w:color w:val="008000"/>
    </w:rPr>
  </w:style>
  <w:style w:customStyle="1" w:styleId="CommentTok" w:type="character">
    <w:name w:val="CommentTok"/>
    <w:basedOn w:val="VerbatimChar"/>
    <w:rPr>
      <w:i/>
      <w:color w:val="60a0b0"/>
    </w:rPr>
  </w:style>
  <w:style w:customStyle="1" w:styleId="DocumentationTok" w:type="character">
    <w:name w:val="DocumentationTok"/>
    <w:basedOn w:val="VerbatimChar"/>
    <w:rPr>
      <w:i/>
      <w:color w:val="ba2121"/>
    </w:rPr>
  </w:style>
  <w:style w:customStyle="1" w:styleId="AnnotationTok" w:type="character">
    <w:name w:val="AnnotationTok"/>
    <w:basedOn w:val="VerbatimChar"/>
    <w:rPr>
      <w:b/>
      <w:i/>
      <w:color w:val="60a0b0"/>
    </w:rPr>
  </w:style>
  <w:style w:customStyle="1" w:styleId="CommentVarTok" w:type="character">
    <w:name w:val="CommentVarTok"/>
    <w:basedOn w:val="VerbatimChar"/>
    <w:rPr>
      <w:b/>
      <w:i/>
      <w:color w:val="60a0b0"/>
    </w:rPr>
  </w:style>
  <w:style w:customStyle="1" w:styleId="OtherTok" w:type="character">
    <w:name w:val="OtherTok"/>
    <w:basedOn w:val="VerbatimChar"/>
    <w:rPr>
      <w:color w:val="007020"/>
    </w:rPr>
  </w:style>
  <w:style w:customStyle="1" w:styleId="FunctionTok" w:type="character">
    <w:name w:val="FunctionTok"/>
    <w:basedOn w:val="VerbatimChar"/>
    <w:rPr>
      <w:color w:val="06287e"/>
    </w:rPr>
  </w:style>
  <w:style w:customStyle="1" w:styleId="VariableTok" w:type="character">
    <w:name w:val="VariableTok"/>
    <w:basedOn w:val="VerbatimChar"/>
    <w:rPr>
      <w:color w:val="19177c"/>
    </w:rPr>
  </w:style>
  <w:style w:customStyle="1" w:styleId="ControlFlowTok" w:type="character">
    <w:name w:val="ControlFlowTok"/>
    <w:basedOn w:val="VerbatimChar"/>
    <w:rPr>
      <w:b/>
      <w:color w:val="007020"/>
    </w:rPr>
  </w:style>
  <w:style w:customStyle="1" w:styleId="OperatorTok" w:type="character">
    <w:name w:val="OperatorTok"/>
    <w:basedOn w:val="VerbatimChar"/>
    <w:rPr>
      <w:color w:val="666666"/>
    </w:rPr>
  </w:style>
  <w:style w:customStyle="1" w:styleId="BuiltInTok" w:type="character">
    <w:name w:val="BuiltInTok"/>
    <w:basedOn w:val="VerbatimChar"/>
    <w:rPr>
      <w:color w:val="008000"/>
    </w:rPr>
  </w:style>
  <w:style w:customStyle="1" w:styleId="ExtensionTok" w:type="character">
    <w:name w:val="ExtensionTok"/>
    <w:basedOn w:val="VerbatimChar"/>
    <w:rPr/>
  </w:style>
  <w:style w:customStyle="1" w:styleId="PreprocessorTok" w:type="character">
    <w:name w:val="PreprocessorTok"/>
    <w:basedOn w:val="VerbatimChar"/>
    <w:rPr>
      <w:color w:val="bc7a00"/>
    </w:rPr>
  </w:style>
  <w:style w:customStyle="1" w:styleId="AttributeTok" w:type="character">
    <w:name w:val="AttributeTok"/>
    <w:basedOn w:val="VerbatimChar"/>
    <w:rPr>
      <w:color w:val="7d9029"/>
    </w:rPr>
  </w:style>
  <w:style w:customStyle="1" w:styleId="RegionMarkerTok" w:type="character">
    <w:name w:val="RegionMarkerTok"/>
    <w:basedOn w:val="VerbatimChar"/>
    <w:rPr/>
  </w:style>
  <w:style w:customStyle="1" w:styleId="InformationTok" w:type="character">
    <w:name w:val="InformationTok"/>
    <w:basedOn w:val="VerbatimChar"/>
    <w:rPr>
      <w:b/>
      <w:i/>
      <w:color w:val="60a0b0"/>
    </w:rPr>
  </w:style>
  <w:style w:customStyle="1" w:styleId="WarningTok" w:type="character">
    <w:name w:val="WarningTok"/>
    <w:basedOn w:val="VerbatimChar"/>
    <w:rPr>
      <w:b/>
      <w:i/>
      <w:color w:val="60a0b0"/>
    </w:rPr>
  </w:style>
  <w:style w:customStyle="1" w:styleId="AlertTok" w:type="character">
    <w:name w:val="AlertTok"/>
    <w:basedOn w:val="VerbatimChar"/>
    <w:rPr>
      <w:b/>
      <w:color w:val="ff0000"/>
    </w:rPr>
  </w:style>
  <w:style w:customStyle="1" w:styleId="ErrorTok" w:type="character">
    <w:name w:val="ErrorTok"/>
    <w:basedOn w:val="VerbatimChar"/>
    <w:rPr>
      <w:b/>
      <w:color w:val="ff0000"/>
    </w:rPr>
  </w:style>
  <w:style w:customStyle="1" w:styleId="NormalTok" w:type="character">
    <w:name w:val="NormalTok"/>
    <w:basedOn w:val="VerbatimChar"/>
    <w:rPr/>
  </w:style>
  <w:style w:customStyle="1" w:styleId="KeywordTok" w:type="character">
    <w:name w:val="KeywordTok"/>
    <w:basedOn w:val="VerbatimChar"/>
    <w:rPr>
      <w:b/>
      <w:color w:val="007020"/>
    </w:rPr>
  </w:style>
  <w:style w:customStyle="1" w:styleId="DataTypeTok" w:type="character">
    <w:name w:val="DataTypeTok"/>
    <w:basedOn w:val="VerbatimChar"/>
    <w:rPr>
      <w:color w:val="902000"/>
    </w:rPr>
  </w:style>
  <w:style w:customStyle="1" w:styleId="DecValTok" w:type="character">
    <w:name w:val="DecValTok"/>
    <w:basedOn w:val="VerbatimChar"/>
    <w:rPr>
      <w:color w:val="40a070"/>
    </w:rPr>
  </w:style>
  <w:style w:customStyle="1" w:styleId="BaseNTok" w:type="character">
    <w:name w:val="BaseNTok"/>
    <w:basedOn w:val="VerbatimChar"/>
    <w:rPr>
      <w:color w:val="40a070"/>
    </w:rPr>
  </w:style>
  <w:style w:customStyle="1" w:styleId="FloatTok" w:type="character">
    <w:name w:val="FloatTok"/>
    <w:basedOn w:val="VerbatimChar"/>
    <w:rPr>
      <w:color w:val="40a070"/>
    </w:rPr>
  </w:style>
  <w:style w:customStyle="1" w:styleId="ConstantTok" w:type="character">
    <w:name w:val="ConstantTok"/>
    <w:basedOn w:val="VerbatimChar"/>
    <w:rPr>
      <w:color w:val="880000"/>
    </w:rPr>
  </w:style>
  <w:style w:customStyle="1" w:styleId="CharTok" w:type="character">
    <w:name w:val="CharTok"/>
    <w:basedOn w:val="VerbatimChar"/>
    <w:rPr>
      <w:color w:val="4070a0"/>
    </w:rPr>
  </w:style>
  <w:style w:customStyle="1" w:styleId="SpecialCharTok" w:type="character">
    <w:name w:val="SpecialCharTok"/>
    <w:basedOn w:val="VerbatimChar"/>
    <w:rPr>
      <w:color w:val="4070a0"/>
    </w:rPr>
  </w:style>
  <w:style w:customStyle="1" w:styleId="StringTok" w:type="character">
    <w:name w:val="StringTok"/>
    <w:basedOn w:val="VerbatimChar"/>
    <w:rPr>
      <w:color w:val="4070a0"/>
    </w:rPr>
  </w:style>
  <w:style w:customStyle="1" w:styleId="VerbatimStringTok" w:type="character">
    <w:name w:val="VerbatimStringTok"/>
    <w:basedOn w:val="VerbatimChar"/>
    <w:rPr>
      <w:color w:val="4070a0"/>
    </w:rPr>
  </w:style>
  <w:style w:customStyle="1" w:styleId="SpecialStringTok" w:type="character">
    <w:name w:val="SpecialStringTok"/>
    <w:basedOn w:val="VerbatimChar"/>
    <w:rPr>
      <w:color w:val="bb6688"/>
    </w:rPr>
  </w:style>
  <w:style w:customStyle="1" w:styleId="ImportTok" w:type="character">
    <w:name w:val="ImportTok"/>
    <w:basedOn w:val="VerbatimChar"/>
    <w:rPr>
      <w:b/>
      <w:color w:val="008000"/>
    </w:rPr>
  </w:style>
  <w:style w:customStyle="1" w:styleId="CommentTok" w:type="character">
    <w:name w:val="CommentTok"/>
    <w:basedOn w:val="VerbatimChar"/>
    <w:rPr>
      <w:i/>
      <w:color w:val="60a0b0"/>
    </w:rPr>
  </w:style>
  <w:style w:customStyle="1" w:styleId="DocumentationTok" w:type="character">
    <w:name w:val="DocumentationTok"/>
    <w:basedOn w:val="VerbatimChar"/>
    <w:rPr>
      <w:i/>
      <w:color w:val="ba2121"/>
    </w:rPr>
  </w:style>
  <w:style w:customStyle="1" w:styleId="AnnotationTok" w:type="character">
    <w:name w:val="AnnotationTok"/>
    <w:basedOn w:val="VerbatimChar"/>
    <w:rPr>
      <w:b/>
      <w:i/>
      <w:color w:val="60a0b0"/>
    </w:rPr>
  </w:style>
  <w:style w:customStyle="1" w:styleId="CommentVarTok" w:type="character">
    <w:name w:val="CommentVarTok"/>
    <w:basedOn w:val="VerbatimChar"/>
    <w:rPr>
      <w:b/>
      <w:i/>
      <w:color w:val="60a0b0"/>
    </w:rPr>
  </w:style>
  <w:style w:customStyle="1" w:styleId="OtherTok" w:type="character">
    <w:name w:val="OtherTok"/>
    <w:basedOn w:val="VerbatimChar"/>
    <w:rPr>
      <w:color w:val="007020"/>
    </w:rPr>
  </w:style>
  <w:style w:customStyle="1" w:styleId="FunctionTok" w:type="character">
    <w:name w:val="FunctionTok"/>
    <w:basedOn w:val="VerbatimChar"/>
    <w:rPr>
      <w:color w:val="06287e"/>
    </w:rPr>
  </w:style>
  <w:style w:customStyle="1" w:styleId="VariableTok" w:type="character">
    <w:name w:val="VariableTok"/>
    <w:basedOn w:val="VerbatimChar"/>
    <w:rPr>
      <w:color w:val="19177c"/>
    </w:rPr>
  </w:style>
  <w:style w:customStyle="1" w:styleId="ControlFlowTok" w:type="character">
    <w:name w:val="ControlFlowTok"/>
    <w:basedOn w:val="VerbatimChar"/>
    <w:rPr>
      <w:b/>
      <w:color w:val="007020"/>
    </w:rPr>
  </w:style>
  <w:style w:customStyle="1" w:styleId="OperatorTok" w:type="character">
    <w:name w:val="OperatorTok"/>
    <w:basedOn w:val="VerbatimChar"/>
    <w:rPr>
      <w:color w:val="666666"/>
    </w:rPr>
  </w:style>
  <w:style w:customStyle="1" w:styleId="BuiltInTok" w:type="character">
    <w:name w:val="BuiltInTok"/>
    <w:basedOn w:val="VerbatimChar"/>
    <w:rPr>
      <w:color w:val="008000"/>
    </w:rPr>
  </w:style>
  <w:style w:customStyle="1" w:styleId="ExtensionTok" w:type="character">
    <w:name w:val="ExtensionTok"/>
    <w:basedOn w:val="VerbatimChar"/>
    <w:rPr/>
  </w:style>
  <w:style w:customStyle="1" w:styleId="PreprocessorTok" w:type="character">
    <w:name w:val="PreprocessorTok"/>
    <w:basedOn w:val="VerbatimChar"/>
    <w:rPr>
      <w:color w:val="bc7a00"/>
    </w:rPr>
  </w:style>
  <w:style w:customStyle="1" w:styleId="AttributeTok" w:type="character">
    <w:name w:val="AttributeTok"/>
    <w:basedOn w:val="VerbatimChar"/>
    <w:rPr>
      <w:color w:val="7d9029"/>
    </w:rPr>
  </w:style>
  <w:style w:customStyle="1" w:styleId="RegionMarkerTok" w:type="character">
    <w:name w:val="RegionMarkerTok"/>
    <w:basedOn w:val="VerbatimChar"/>
    <w:rPr/>
  </w:style>
  <w:style w:customStyle="1" w:styleId="InformationTok" w:type="character">
    <w:name w:val="InformationTok"/>
    <w:basedOn w:val="VerbatimChar"/>
    <w:rPr>
      <w:b/>
      <w:i/>
      <w:color w:val="60a0b0"/>
    </w:rPr>
  </w:style>
  <w:style w:customStyle="1" w:styleId="WarningTok" w:type="character">
    <w:name w:val="WarningTok"/>
    <w:basedOn w:val="VerbatimChar"/>
    <w:rPr>
      <w:b/>
      <w:i/>
      <w:color w:val="60a0b0"/>
    </w:rPr>
  </w:style>
  <w:style w:customStyle="1" w:styleId="AlertTok" w:type="character">
    <w:name w:val="AlertTok"/>
    <w:basedOn w:val="VerbatimChar"/>
    <w:rPr>
      <w:b/>
      <w:color w:val="ff0000"/>
    </w:rPr>
  </w:style>
  <w:style w:customStyle="1" w:styleId="ErrorTok" w:type="character">
    <w:name w:val="ErrorTok"/>
    <w:basedOn w:val="VerbatimChar"/>
    <w:rPr>
      <w:b/>
      <w:color w:val="ff0000"/>
    </w:rPr>
  </w:style>
  <w:style w:customStyle="1" w:styleId="NormalTok" w:type="character">
    <w:name w:val="NormalTok"/>
    <w:basedOn w:val="VerbatimChar"/>
    <w:rPr/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2026-09-27T15:35:55Z</dcterms:created>
  <dcterms:modified xsi:type="dcterms:W3CDTF">2026-09-27T15:35:55Z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