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Desk - Walking-Skeleton Contract Trace v0.3</w:t>
      </w:r>
    </w:p>
    <w:p>
      <w:pPr>
        <w:spacing w:after="80"/>
      </w:pPr>
      <w:r>
        <w:rPr>
          <w:b/>
        </w:rPr>
        <w:t>Status:</w:t>
      </w:r>
      <w:r>
        <w:t xml:space="preserve"> LOCKED FOR BUILD 1-2  </w:t>
      </w:r>
    </w:p>
    <w:p>
      <w:pPr>
        <w:spacing w:after="80"/>
      </w:pPr>
      <w:r>
        <w:rPr>
          <w:b/>
        </w:rPr>
        <w:t>Date:</w:t>
      </w:r>
      <w:r>
        <w:t xml:space="preserve"> September 26, 2026  </w:t>
      </w:r>
    </w:p>
    <w:p>
      <w:pPr>
        <w:spacing w:after="80"/>
      </w:pPr>
      <w:r>
        <w:rPr>
          <w:b/>
        </w:rPr>
        <w:t>Purpose:</w:t>
      </w:r>
      <w:r>
        <w:t xml:space="preserve"> Prove that the active specs define one coherent artifact path from frozen evidence to validated clean master before automation broadens. Supersedes v0.1.</w:t>
      </w:r>
    </w:p>
    <w:p>
      <w:pPr>
        <w:pStyle w:val="Heading1"/>
      </w:pPr>
      <w:r>
        <w:t>1. Fixture scope</w:t>
      </w:r>
    </w:p>
    <w:p>
      <w:pPr>
        <w:spacing w:after="80"/>
      </w:pPr>
      <w:r>
        <w:t>Use one synthetic or rights-safe football post-match fixture. It should be deliberately small but include enough variation to exercise the contracts:</w:t>
      </w:r>
    </w:p>
    <w:p>
      <w:pPr>
        <w:pStyle w:val="ListBullet"/>
      </w:pPr>
      <w:r>
        <w:t>one verified result/stat fact;</w:t>
      </w:r>
    </w:p>
    <w:p>
      <w:pPr>
        <w:pStyle w:val="ListBullet"/>
      </w:pPr>
      <w:r>
        <w:t>one attributed reporting claim;</w:t>
      </w:r>
    </w:p>
    <w:p>
      <w:pPr>
        <w:pStyle w:val="ListBullet"/>
      </w:pPr>
      <w:r>
        <w:t>one `hedged_only` claim;</w:t>
      </w:r>
    </w:p>
    <w:p>
      <w:pPr>
        <w:pStyle w:val="ListBullet"/>
      </w:pPr>
      <w:r>
        <w:t>one supporter-mood claim with bounded observation set;</w:t>
      </w:r>
    </w:p>
    <w:p>
      <w:pPr>
        <w:pStyle w:val="ListBullet"/>
      </w:pPr>
      <w:r>
        <w:t>one lore/context claim;</w:t>
      </w:r>
    </w:p>
    <w:p>
      <w:pPr>
        <w:pStyle w:val="ListBullet"/>
      </w:pPr>
      <w:r>
        <w:t>one `desk_derived` claim with reconstructable derivation;</w:t>
      </w:r>
    </w:p>
    <w:p>
      <w:pPr>
        <w:pStyle w:val="ListBullet"/>
      </w:pPr>
      <w:r>
        <w:t>one silent market/calibration input that is structurally withheld from the writer;</w:t>
      </w:r>
    </w:p>
    <w:p>
      <w:pPr>
        <w:pStyle w:val="ListBullet"/>
      </w:pPr>
      <w:r>
        <w:t>one continuity item or eligible prior prediction;</w:t>
      </w:r>
    </w:p>
    <w:p>
      <w:pPr>
        <w:pStyle w:val="ListBullet"/>
      </w:pPr>
      <w:r>
        <w:t>one sensitivity constraint or explicit `none` state;</w:t>
      </w:r>
    </w:p>
    <w:p>
      <w:pPr>
        <w:pStyle w:val="ListBullet"/>
      </w:pPr>
      <w:r>
        <w:t>one canonical pronunciation plus one current provider/voice rendering and one stale rendering;</w:t>
      </w:r>
    </w:p>
    <w:p>
      <w:pPr>
        <w:pStyle w:val="ListBullet"/>
      </w:pPr>
      <w:r>
        <w:t>at least two **brief-owned** program blocks;</w:t>
      </w:r>
    </w:p>
    <w:p>
      <w:pPr>
        <w:pStyle w:val="ListBullet"/>
      </w:pPr>
      <w:r>
        <w:t>at least one two-speaker render block;</w:t>
      </w:r>
    </w:p>
    <w:p>
      <w:pPr>
        <w:pStyle w:val="ListBullet"/>
      </w:pPr>
      <w:r>
        <w:t>one intentional TTS reroll;</w:t>
      </w:r>
    </w:p>
    <w:p>
      <w:pPr>
        <w:pStyle w:val="ListBullet"/>
      </w:pPr>
      <w:r>
        <w:t>one external-content prompt-injection string stored as inert evidence data;</w:t>
      </w:r>
    </w:p>
    <w:p>
      <w:pPr>
        <w:pStyle w:val="ListBullet"/>
      </w:pPr>
      <w:r>
        <w:t>one adapter-level literal provider-syntax escaping vector.</w:t>
      </w:r>
    </w:p>
    <w:p>
      <w:pPr>
        <w:spacing w:after="80"/>
      </w:pPr>
      <w:r>
        <w:t>No live ingest, no live web search, and no publication are required in the walking skeleton.</w:t>
      </w:r>
    </w:p>
    <w:p>
      <w:pPr>
        <w:pStyle w:val="Heading2"/>
      </w:pPr>
      <w:r>
        <w:t>1.1 Fixture conformance gate</w:t>
      </w:r>
    </w:p>
    <w:p>
      <w:pPr>
        <w:spacing w:after="80"/>
      </w:pPr>
      <w:r>
        <w:t>Before any implementation hashes or persists the fixture, validate each artifact against the field ownership and closed enums in its active owning spec.</w:t>
      </w:r>
    </w:p>
    <w:p>
      <w:pPr>
        <w:spacing w:after="80"/>
      </w:pPr>
      <w:r>
        <w:t>The fixture must fail fast if:</w:t>
      </w:r>
    </w:p>
    <w:p>
      <w:pPr>
        <w:pStyle w:val="ListBullet"/>
      </w:pPr>
      <w:r>
        <w:t>an enum value is outside the owning registry;</w:t>
      </w:r>
    </w:p>
    <w:p>
      <w:pPr>
        <w:pStyle w:val="ListBullet"/>
      </w:pPr>
      <w:r>
        <w:t>a required field is missing;</w:t>
      </w:r>
    </w:p>
    <w:p>
      <w:pPr>
        <w:pStyle w:val="ListBullet"/>
      </w:pPr>
      <w:r>
        <w:t>a lower-layer artifact duplicates a higher-layer source of truth;</w:t>
      </w:r>
    </w:p>
    <w:p>
      <w:pPr>
        <w:pStyle w:val="ListBullet"/>
      </w:pPr>
      <w:r>
        <w:t>an artifact carries a field whose shape conflicts with the active spec;</w:t>
      </w:r>
    </w:p>
    <w:p>
      <w:pPr>
        <w:pStyle w:val="ListBullet"/>
      </w:pPr>
      <w:r>
        <w:t>a fixture mutation cannot fail for the named reason.</w:t>
      </w:r>
    </w:p>
    <w:p>
      <w:pPr>
        <w:spacing w:after="80"/>
      </w:pPr>
      <w:r>
        <w:t>The fixture is an executable contract, not a convenient example. If fixture bytes and an active spec disagree, the active spec wins and the fixture must be rebuilt.</w:t>
      </w:r>
    </w:p>
    <w:p>
      <w:pPr>
        <w:pStyle w:val="Heading1"/>
      </w:pPr>
      <w:r>
        <w:t>2. Artifact chain</w:t>
      </w:r>
    </w:p>
    <w:p>
      <w:pPr>
        <w:pStyle w:val="Heading2"/>
      </w:pPr>
      <w:r>
        <w:t>A. Hand-seeded Evidence Package v0.2</w:t>
      </w:r>
    </w:p>
    <w:p>
      <w:pPr>
        <w:spacing w:after="80"/>
      </w:pPr>
      <w:r>
        <w:rPr>
          <w:b/>
        </w:rPr>
        <w:t>Must contain</w:t>
      </w:r>
    </w:p>
    <w:p>
      <w:pPr>
        <w:pStyle w:val="ListBullet"/>
      </w:pPr>
      <w:r>
        <w:t>package/schema/version IDs and canonical hash;</w:t>
      </w:r>
    </w:p>
    <w:p>
      <w:pPr>
        <w:pStyle w:val="ListBullet"/>
      </w:pPr>
      <w:r>
        <w:t>`scope`/entity/event refs;</w:t>
      </w:r>
    </w:p>
    <w:p>
      <w:pPr>
        <w:pStyle w:val="ListBullet"/>
      </w:pPr>
      <w:r>
        <w:t>explicit `availability` states;</w:t>
      </w:r>
    </w:p>
    <w:p>
      <w:pPr>
        <w:pStyle w:val="ListBullet"/>
      </w:pPr>
      <w:r>
        <w:t>claims with canonical claim content hashes and frozen state-as-of;</w:t>
      </w:r>
    </w:p>
    <w:p>
      <w:pPr>
        <w:pStyle w:val="ListBullet"/>
      </w:pPr>
      <w:r>
        <w:t>structured `value`/`value_type` where a precise value is gated;</w:t>
      </w:r>
    </w:p>
    <w:p>
      <w:pPr>
        <w:pStyle w:val="ListBullet"/>
      </w:pPr>
      <w:r>
        <w:t>effective usage class;</w:t>
      </w:r>
    </w:p>
    <w:p>
      <w:pPr>
        <w:pStyle w:val="ListBullet"/>
      </w:pPr>
      <w:r>
        <w:t>support refs and support hashes;</w:t>
      </w:r>
    </w:p>
    <w:p>
      <w:pPr>
        <w:pStyle w:val="ListBullet"/>
      </w:pPr>
      <w:r>
        <w:t>rights/exposure rules using the package's consumer exposure enum;</w:t>
      </w:r>
    </w:p>
    <w:p>
      <w:pPr>
        <w:pStyle w:val="ListBullet"/>
      </w:pPr>
      <w:r>
        <w:t>bounded evidence representations;</w:t>
      </w:r>
    </w:p>
    <w:p>
      <w:pPr>
        <w:pStyle w:val="ListBullet"/>
      </w:pPr>
      <w:r>
        <w:t>descriptive `beats` and `signals`;</w:t>
      </w:r>
    </w:p>
    <w:p>
      <w:pPr>
        <w:pStyle w:val="ListBullet"/>
      </w:pPr>
      <w:r>
        <w:t>context candidates;</w:t>
      </w:r>
    </w:p>
    <w:p>
      <w:pPr>
        <w:pStyle w:val="ListBullet"/>
      </w:pPr>
      <w:r>
        <w:t>continuity;</w:t>
      </w:r>
    </w:p>
    <w:p>
      <w:pPr>
        <w:pStyle w:val="ListBullet"/>
      </w:pPr>
      <w:r>
        <w:t>silent inputs with allowed consumers;</w:t>
      </w:r>
    </w:p>
    <w:p>
      <w:pPr>
        <w:pStyle w:val="ListBullet"/>
      </w:pPr>
      <w:r>
        <w:t>sensitivities;</w:t>
      </w:r>
    </w:p>
    <w:p>
      <w:pPr>
        <w:pStyle w:val="ListBullet"/>
      </w:pPr>
      <w:r>
        <w:t>typed coverage conditions;</w:t>
      </w:r>
    </w:p>
    <w:p>
      <w:pPr>
        <w:pStyle w:val="ListBullet"/>
      </w:pPr>
      <w:r>
        <w:t>source attribution metadata;</w:t>
      </w:r>
    </w:p>
    <w:p>
      <w:pPr>
        <w:pStyle w:val="ListBullet"/>
      </w:pPr>
      <w:r>
        <w:t>selection provenance;</w:t>
      </w:r>
    </w:p>
    <w:p>
      <w:pPr>
        <w:pStyle w:val="ListBullet"/>
      </w:pPr>
      <w:r>
        <w:t>version refs;</w:t>
      </w:r>
    </w:p>
    <w:p>
      <w:pPr>
        <w:pStyle w:val="ListBullet"/>
      </w:pPr>
      <w:r>
        <w:t>explicit absences.</w:t>
      </w:r>
    </w:p>
    <w:p>
      <w:pPr>
        <w:spacing w:after="80"/>
      </w:pPr>
      <w:r>
        <w:rPr>
          <w:b/>
        </w:rPr>
        <w:t>Must not contain</w:t>
      </w:r>
    </w:p>
    <w:p>
      <w:pPr>
        <w:pStyle w:val="ListBullet"/>
      </w:pPr>
      <w:r>
        <w:t>unbounded source bodies;</w:t>
      </w:r>
    </w:p>
    <w:p>
      <w:pPr>
        <w:pStyle w:val="ListBullet"/>
      </w:pPr>
      <w:r>
        <w:t>live pointers as provenance truth;</w:t>
      </w:r>
    </w:p>
    <w:p>
      <w:pPr>
        <w:pStyle w:val="ListBullet"/>
      </w:pPr>
      <w:r>
        <w:t>editorial beat selection;</w:t>
      </w:r>
    </w:p>
    <w:p>
      <w:pPr>
        <w:pStyle w:val="ListBullet"/>
      </w:pPr>
      <w:r>
        <w:t>provider instructions.</w:t>
      </w:r>
    </w:p>
    <w:p>
      <w:pPr>
        <w:spacing w:after="80"/>
      </w:pPr>
      <w:r>
        <w:rPr>
          <w:b/>
        </w:rPr>
        <w:t>Hash invariant:</w:t>
      </w:r>
      <w:r>
        <w:t xml:space="preserve"> use Evidence Package v0.2 §23 exactly:</w:t>
      </w:r>
    </w:p>
    <w:p>
      <w:pPr>
        <w:pStyle w:val="NoSpacing"/>
      </w:pPr>
      <w:r>
        <w:rPr>
          <w:rFonts w:ascii="Consolas" w:hAnsi="Consolas"/>
          <w:sz w:val="16"/>
        </w:rPr>
        <w:t>sha256("evidence-package-v2\n" + canonical_json(semantic_manifest))</w:t>
      </w:r>
    </w:p>
    <w:p>
      <w:pPr>
        <w:spacing w:after="80"/>
      </w:pPr>
      <w:r>
        <w:t xml:space="preserve">Operational fields such as </w:t>
      </w:r>
      <w:r>
        <w:rPr>
          <w:rFonts w:ascii="Consolas" w:hAnsi="Consolas"/>
          <w:sz w:val="17"/>
        </w:rPr>
        <w:t>created_at</w:t>
      </w:r>
      <w:r>
        <w:t>/</w:t>
      </w:r>
      <w:r>
        <w:rPr>
          <w:rFonts w:ascii="Consolas" w:hAnsi="Consolas"/>
          <w:sz w:val="17"/>
        </w:rPr>
        <w:t>frozen_at</w:t>
      </w:r>
      <w:r>
        <w:t>, worker IDs, and request trace IDs do not alter semantic identity.</w:t>
      </w:r>
    </w:p>
    <w:p>
      <w:pPr>
        <w:spacing w:after="80"/>
      </w:pPr>
      <w:r>
        <w:rPr>
          <w:b/>
        </w:rPr>
        <w:t>Invariant test:</w:t>
      </w:r>
      <w:r>
        <w:t xml:space="preserve"> rebuilding the same semantic fixture at a different execution timestamp yields the same package hash.</w:t>
      </w:r>
    </w:p>
    <w:p>
      <w:pPr>
        <w:pStyle w:val="Heading2"/>
      </w:pPr>
      <w:r>
        <w:t>B. Showrunner Brief v0.1.1</w:t>
      </w:r>
    </w:p>
    <w:p>
      <w:pPr>
        <w:spacing w:after="80"/>
      </w:pPr>
      <w:r>
        <w:rPr>
          <w:b/>
        </w:rPr>
        <w:t>Consumes:</w:t>
      </w:r>
      <w:r>
        <w:t xml:space="preserve"> planner view of the frozen package only.</w:t>
      </w:r>
    </w:p>
    <w:p>
      <w:pPr>
        <w:spacing w:after="80"/>
      </w:pPr>
      <w:r>
        <w:rPr>
          <w:b/>
        </w:rPr>
        <w:t>Creates</w:t>
      </w:r>
    </w:p>
    <w:p>
      <w:pPr>
        <w:pStyle w:val="ListBullet"/>
      </w:pPr>
      <w:r>
        <w:t>selected episode mode/template;</w:t>
      </w:r>
    </w:p>
    <w:p>
      <w:pPr>
        <w:pStyle w:val="ListBullet"/>
      </w:pPr>
      <w:r>
        <w:t>central question/editorial spine;</w:t>
      </w:r>
    </w:p>
    <w:p>
      <w:pPr>
        <w:pStyle w:val="ListBullet"/>
      </w:pPr>
      <w:r>
        <w:t>selected/omitted beats;</w:t>
      </w:r>
    </w:p>
    <w:p>
      <w:pPr>
        <w:pStyle w:val="ListBullet"/>
      </w:pPr>
      <w:r>
        <w:t>context selections with functions such as `supports`, `challenges`, `complicates`, `rhymes`, `continuity`, `meaning`;</w:t>
      </w:r>
    </w:p>
    <w:p>
      <w:pPr>
        <w:pStyle w:val="ListBullet"/>
      </w:pPr>
      <w:r>
        <w:t>participant leads/evidence assignments;</w:t>
      </w:r>
    </w:p>
    <w:p>
      <w:pPr>
        <w:pStyle w:val="ListBullet"/>
      </w:pPr>
      <w:r>
        <w:t>ordered **program block definitions**;</w:t>
      </w:r>
    </w:p>
    <w:p>
      <w:pPr>
        <w:pStyle w:val="ListBullet"/>
      </w:pPr>
      <w:r>
        <w:t>runtime budgets;</w:t>
      </w:r>
    </w:p>
    <w:p>
      <w:pPr>
        <w:pStyle w:val="ListBullet"/>
      </w:pPr>
      <w:r>
        <w:t>feature/Receipts decision;</w:t>
      </w:r>
    </w:p>
    <w:p>
      <w:pPr>
        <w:pStyle w:val="ListBullet"/>
      </w:pPr>
      <w:r>
        <w:t>prediction tasks if configured;</w:t>
      </w:r>
    </w:p>
    <w:p>
      <w:pPr>
        <w:pStyle w:val="ListBullet"/>
      </w:pPr>
      <w:r>
        <w:t>sensitivity constraints;</w:t>
      </w:r>
    </w:p>
    <w:p>
      <w:pPr>
        <w:pStyle w:val="ListBullet"/>
      </w:pPr>
      <w:r>
        <w:t>structured planning exclusions.</w:t>
      </w:r>
    </w:p>
    <w:p>
      <w:pPr>
        <w:spacing w:after="80"/>
      </w:pPr>
      <w:r>
        <w:t>Program blocks are owned here. A script may reference them but may not redefine them.</w:t>
      </w:r>
    </w:p>
    <w:p>
      <w:pPr>
        <w:spacing w:after="80"/>
      </w:pPr>
      <w:r>
        <w:rPr>
          <w:rFonts w:ascii="Consolas" w:hAnsi="Consolas"/>
          <w:sz w:val="17"/>
        </w:rPr>
        <w:t>planning_exclusions</w:t>
      </w:r>
      <w:r>
        <w:t xml:space="preserve"> carries structured refs. A </w:t>
      </w:r>
      <w:r>
        <w:rPr>
          <w:rFonts w:ascii="Consolas" w:hAnsi="Consolas"/>
          <w:sz w:val="17"/>
        </w:rPr>
        <w:t>forbidden_to_writer</w:t>
      </w:r>
      <w:r>
        <w:t xml:space="preserve"> restriction inherited from Claims Policy/package policy is enforced by writer-view construction, not by a sentence inside a prompt.</w:t>
      </w:r>
    </w:p>
    <w:p>
      <w:pPr>
        <w:spacing w:after="80"/>
      </w:pPr>
      <w:r>
        <w:rPr>
          <w:b/>
        </w:rPr>
        <w:t>Cannot create:</w:t>
      </w:r>
      <w:r>
        <w:t xml:space="preserve"> new facts, new evidence, stronger usage permissions, spoken wording, performance direction.</w:t>
      </w:r>
    </w:p>
    <w:p>
      <w:pPr>
        <w:spacing w:after="80"/>
      </w:pPr>
      <w:r>
        <w:rPr>
          <w:b/>
        </w:rPr>
        <w:t>Invariant test:</w:t>
      </w:r>
      <w:r>
        <w:t xml:space="preserve"> every factual premise ref in the brief resolves into the same frozen package.</w:t>
      </w:r>
    </w:p>
    <w:p>
      <w:pPr>
        <w:pStyle w:val="Heading2"/>
      </w:pPr>
      <w:r>
        <w:t>C. Script Version v0.2.1 - Pass 1</w:t>
      </w:r>
    </w:p>
    <w:p>
      <w:pPr>
        <w:spacing w:after="80"/>
      </w:pPr>
      <w:r>
        <w:rPr>
          <w:b/>
        </w:rPr>
        <w:t>Consumes:</w:t>
      </w:r>
      <w:r>
        <w:t xml:space="preserve"> deterministic bounded writer view from the same package + brief.</w:t>
      </w:r>
    </w:p>
    <w:p>
      <w:pPr>
        <w:spacing w:after="80"/>
      </w:pPr>
      <w:r>
        <w:t xml:space="preserve">The writer view omits any </w:t>
      </w:r>
      <w:r>
        <w:rPr>
          <w:rFonts w:ascii="Consolas" w:hAnsi="Consolas"/>
          <w:sz w:val="17"/>
        </w:rPr>
        <w:t>forbidden_to_writer</w:t>
      </w:r>
      <w:r>
        <w:t xml:space="preserve"> claim/evidence ref and records a context-completeness manifest.</w:t>
      </w:r>
    </w:p>
    <w:p>
      <w:pPr>
        <w:spacing w:after="80"/>
      </w:pPr>
      <w:r>
        <w:rPr>
          <w:b/>
        </w:rPr>
        <w:t>Creates</w:t>
      </w:r>
    </w:p>
    <w:p>
      <w:pPr>
        <w:pStyle w:val="ListBullet"/>
      </w:pPr>
      <w:r>
        <w:t>ordered references to brief-owned program blocks;</w:t>
      </w:r>
    </w:p>
    <w:p>
      <w:pPr>
        <w:pStyle w:val="ListBullet"/>
      </w:pPr>
      <w:r>
        <w:t>program-block-contained turns;</w:t>
      </w:r>
    </w:p>
    <w:p>
      <w:pPr>
        <w:pStyle w:val="ListBullet"/>
      </w:pPr>
      <w:r>
        <w:t>literal spoken text;</w:t>
      </w:r>
    </w:p>
    <w:p>
      <w:pPr>
        <w:pStyle w:val="ListBullet"/>
      </w:pPr>
      <w:r>
        <w:t>participant IDs;</w:t>
      </w:r>
    </w:p>
    <w:p>
      <w:pPr>
        <w:pStyle w:val="ListBullet"/>
      </w:pPr>
      <w:r>
        <w:t>span-linked `turn_claim_uses`;</w:t>
      </w:r>
    </w:p>
    <w:p>
      <w:pPr>
        <w:pStyle w:val="ListBullet"/>
      </w:pPr>
      <w:r>
        <w:t>span-linked `turn_evidence_uses` where needed;</w:t>
      </w:r>
    </w:p>
    <w:p>
      <w:pPr>
        <w:pStyle w:val="ListBullet"/>
      </w:pPr>
      <w:r>
        <w:t>prediction candidates where requested.</w:t>
      </w:r>
    </w:p>
    <w:p>
      <w:pPr>
        <w:spacing w:after="80"/>
      </w:pPr>
      <w:r>
        <w:rPr>
          <w:b/>
        </w:rPr>
        <w:t>Cannot create:</w:t>
      </w:r>
      <w:r>
        <w:t xml:space="preserve"> live-search facts, new beats, new program-block definitions, provider tags, voice IDs, render grouping.</w:t>
      </w:r>
    </w:p>
    <w:p>
      <w:pPr>
        <w:spacing w:after="80"/>
      </w:pPr>
      <w:r>
        <w:rPr>
          <w:b/>
        </w:rPr>
        <w:t>Invariant test:</w:t>
      </w:r>
      <w:r>
        <w:t xml:space="preserve"> every factual spoken span has a permitted claim-use path, and precise numeric spans compare against structured claim values rather than assertion prose.</w:t>
      </w:r>
    </w:p>
    <w:p>
      <w:pPr>
        <w:pStyle w:val="Heading2"/>
      </w:pPr>
      <w:r>
        <w:t>D. Script Version v0.2.1 - Speech-texture Pass 2</w:t>
      </w:r>
    </w:p>
    <w:p>
      <w:pPr>
        <w:spacing w:after="80"/>
      </w:pPr>
      <w:r>
        <w:rPr>
          <w:b/>
        </w:rPr>
        <w:t>May change:</w:t>
      </w:r>
      <w:r>
        <w:t xml:space="preserve"> literal verbal texture only where meaning is preserved.</w:t>
      </w:r>
    </w:p>
    <w:p>
      <w:pPr>
        <w:spacing w:after="80"/>
      </w:pPr>
      <w:r>
        <w:rPr>
          <w:b/>
        </w:rPr>
        <w:t>Must preserve</w:t>
      </w:r>
    </w:p>
    <w:p>
      <w:pPr>
        <w:pStyle w:val="ListBullet"/>
      </w:pPr>
      <w:r>
        <w:t>turn IDs/order;</w:t>
      </w:r>
    </w:p>
    <w:p>
      <w:pPr>
        <w:pStyle w:val="ListBullet"/>
      </w:pPr>
      <w:r>
        <w:t>speakers;</w:t>
      </w:r>
    </w:p>
    <w:p>
      <w:pPr>
        <w:pStyle w:val="ListBullet"/>
      </w:pPr>
      <w:r>
        <w:t>program-block membership;</w:t>
      </w:r>
    </w:p>
    <w:p>
      <w:pPr>
        <w:pStyle w:val="ListBullet"/>
      </w:pPr>
      <w:r>
        <w:t>claim IDs and use modes;</w:t>
      </w:r>
    </w:p>
    <w:p>
      <w:pPr>
        <w:pStyle w:val="ListBullet"/>
      </w:pPr>
      <w:r>
        <w:t>numbers;</w:t>
      </w:r>
    </w:p>
    <w:p>
      <w:pPr>
        <w:pStyle w:val="ListBullet"/>
      </w:pPr>
      <w:r>
        <w:t>quote wording where exactness is required;</w:t>
      </w:r>
    </w:p>
    <w:p>
      <w:pPr>
        <w:pStyle w:val="ListBullet"/>
      </w:pPr>
      <w:r>
        <w:t>prediction meaning;</w:t>
      </w:r>
    </w:p>
    <w:p>
      <w:pPr>
        <w:pStyle w:val="ListBullet"/>
      </w:pPr>
      <w:r>
        <w:t>sensitivity constraints.</w:t>
      </w:r>
    </w:p>
    <w:p>
      <w:pPr>
        <w:spacing w:after="80"/>
      </w:pPr>
      <w:r>
        <w:t xml:space="preserve">Pass 2 is a child immutable </w:t>
      </w:r>
      <w:r>
        <w:rPr>
          <w:rFonts w:ascii="Consolas" w:hAnsi="Consolas"/>
          <w:sz w:val="17"/>
        </w:rPr>
        <w:t>script_version</w:t>
      </w:r>
      <w:r>
        <w:t xml:space="preserve"> with </w:t>
      </w:r>
      <w:r>
        <w:rPr>
          <w:rFonts w:ascii="Consolas" w:hAnsi="Consolas"/>
          <w:sz w:val="17"/>
        </w:rPr>
        <w:t>revision_parent_id</w:t>
      </w:r>
      <w:r>
        <w:t>. It never edits Pass 1 in place.</w:t>
      </w:r>
    </w:p>
    <w:p>
      <w:pPr>
        <w:spacing w:after="80"/>
      </w:pPr>
      <w:r>
        <w:rPr>
          <w:b/>
        </w:rPr>
        <w:t>Invariant test:</w:t>
      </w:r>
      <w:r>
        <w:t xml:space="preserve"> diff lock rejects a changed score/number/claim/use mode and deterministically re-anchors spans when approved text texture changes.</w:t>
      </w:r>
    </w:p>
    <w:p>
      <w:pPr>
        <w:pStyle w:val="Heading2"/>
      </w:pPr>
      <w:r>
        <w:t>E. Performance Direction v0.1.1</w:t>
      </w:r>
    </w:p>
    <w:p>
      <w:pPr>
        <w:spacing w:after="80"/>
      </w:pPr>
      <w:r>
        <w:rPr>
          <w:b/>
        </w:rPr>
        <w:t>Bound to:</w:t>
      </w:r>
      <w:r>
        <w:t xml:space="preserve"> exact final script version hash.</w:t>
      </w:r>
    </w:p>
    <w:p>
      <w:pPr>
        <w:spacing w:after="80"/>
      </w:pPr>
      <w:r>
        <w:rPr>
          <w:b/>
        </w:rPr>
        <w:t>Creates sparse provider-neutral intent</w:t>
      </w:r>
    </w:p>
    <w:p>
      <w:pPr>
        <w:pStyle w:val="ListBullet"/>
      </w:pPr>
      <w:r>
        <w:t>affect;</w:t>
      </w:r>
    </w:p>
    <w:p>
      <w:pPr>
        <w:pStyle w:val="ListBullet"/>
      </w:pPr>
      <w:r>
        <w:t>pace;</w:t>
      </w:r>
    </w:p>
    <w:p>
      <w:pPr>
        <w:pStyle w:val="ListBullet"/>
      </w:pPr>
      <w:r>
        <w:t>intensity;</w:t>
      </w:r>
    </w:p>
    <w:p>
      <w:pPr>
        <w:pStyle w:val="ListBullet"/>
      </w:pPr>
      <w:r>
        <w:t>pause intent;</w:t>
      </w:r>
    </w:p>
    <w:p>
      <w:pPr>
        <w:pStyle w:val="ListBullet"/>
      </w:pPr>
      <w:r>
        <w:t>non-verbal event;</w:t>
      </w:r>
    </w:p>
    <w:p>
      <w:pPr>
        <w:pStyle w:val="ListBullet"/>
      </w:pPr>
      <w:r>
        <w:t>emphasis;</w:t>
      </w:r>
    </w:p>
    <w:p>
      <w:pPr>
        <w:pStyle w:val="ListBullet"/>
      </w:pPr>
      <w:r>
        <w:t>overlap.</w:t>
      </w:r>
    </w:p>
    <w:p>
      <w:pPr>
        <w:spacing w:after="80"/>
      </w:pPr>
      <w:r>
        <w:t>All values must use the closed v0.1.1 vocabulary and intent-row shape.</w:t>
      </w:r>
    </w:p>
    <w:p>
      <w:pPr>
        <w:spacing w:after="80"/>
      </w:pPr>
      <w:r>
        <w:rPr>
          <w:b/>
        </w:rPr>
        <w:t>Cannot change:</w:t>
      </w:r>
      <w:r>
        <w:t xml:space="preserve"> spoken text, factual meaning, attribution, sensitivity handling.</w:t>
      </w:r>
    </w:p>
    <w:p>
      <w:pPr>
        <w:spacing w:after="80"/>
      </w:pPr>
      <w:r>
        <w:rPr>
          <w:b/>
        </w:rPr>
        <w:t>Invariant test:</w:t>
      </w:r>
      <w:r>
        <w:t xml:space="preserve"> an unknown enum value is rejected; direction that materially changes meaning is rejected before render planning.</w:t>
      </w:r>
    </w:p>
    <w:p>
      <w:pPr>
        <w:pStyle w:val="Heading2"/>
      </w:pPr>
      <w:r>
        <w:t>F. Deterministic Gates + Semantic Audit</w:t>
      </w:r>
    </w:p>
    <w:p>
      <w:pPr>
        <w:spacing w:after="80"/>
      </w:pPr>
      <w:r>
        <w:t xml:space="preserve">Deterministic gates remain typed </w:t>
      </w:r>
      <w:r>
        <w:rPr>
          <w:rFonts w:ascii="Consolas" w:hAnsi="Consolas"/>
          <w:sz w:val="17"/>
        </w:rPr>
        <w:t>gate_results</w:t>
      </w:r>
      <w:r>
        <w:t>, not an ad-hoc boolean map. Each result records:</w:t>
      </w:r>
    </w:p>
    <w:p>
      <w:pPr>
        <w:pStyle w:val="NoSpacing"/>
      </w:pPr>
      <w:r>
        <w:rPr>
          <w:rFonts w:ascii="Consolas" w:hAnsi="Consolas"/>
          <w:sz w:val="16"/>
        </w:rPr>
        <w:t>gate_key</w:t>
      </w:r>
    </w:p>
    <w:p>
      <w:pPr>
        <w:pStyle w:val="NoSpacing"/>
      </w:pPr>
      <w:r>
        <w:rPr>
          <w:rFonts w:ascii="Consolas" w:hAnsi="Consolas"/>
          <w:sz w:val="16"/>
        </w:rPr>
        <w:t>gate_class</w:t>
      </w:r>
    </w:p>
    <w:p>
      <w:pPr>
        <w:pStyle w:val="NoSpacing"/>
      </w:pPr>
      <w:r>
        <w:rPr>
          <w:rFonts w:ascii="Consolas" w:hAnsi="Consolas"/>
          <w:sz w:val="16"/>
        </w:rPr>
        <w:t>gate_version</w:t>
      </w:r>
    </w:p>
    <w:p>
      <w:pPr>
        <w:pStyle w:val="NoSpacing"/>
      </w:pPr>
      <w:r>
        <w:rPr>
          <w:rFonts w:ascii="Consolas" w:hAnsi="Consolas"/>
          <w:sz w:val="16"/>
        </w:rPr>
        <w:t>input_fingerprint</w:t>
      </w:r>
    </w:p>
    <w:p>
      <w:pPr>
        <w:pStyle w:val="NoSpacing"/>
      </w:pPr>
      <w:r>
        <w:rPr>
          <w:rFonts w:ascii="Consolas" w:hAnsi="Consolas"/>
          <w:sz w:val="16"/>
        </w:rPr>
        <w:t>status</w:t>
      </w:r>
    </w:p>
    <w:p>
      <w:pPr>
        <w:pStyle w:val="NoSpacing"/>
      </w:pPr>
      <w:r>
        <w:rPr>
          <w:rFonts w:ascii="Consolas" w:hAnsi="Consolas"/>
          <w:sz w:val="16"/>
        </w:rPr>
        <w:t>subject refs/hashes</w:t>
      </w:r>
    </w:p>
    <w:p>
      <w:pPr>
        <w:pStyle w:val="NoSpacing"/>
      </w:pPr>
      <w:r>
        <w:rPr>
          <w:rFonts w:ascii="Consolas" w:hAnsi="Consolas"/>
          <w:sz w:val="16"/>
        </w:rPr>
        <w:t>actor/model/adjudication where applicable</w:t>
      </w:r>
    </w:p>
    <w:p>
      <w:pPr>
        <w:spacing w:after="80"/>
      </w:pPr>
      <w:r>
        <w:t>The semantic audit consumes the exact package + brief + final script + Performance Direction + Claims Policy version.</w:t>
      </w:r>
    </w:p>
    <w:p>
      <w:pPr>
        <w:spacing w:after="80"/>
      </w:pPr>
      <w:r>
        <w:t>Audit provenance records whether the Build-2 semantic interface used a fixture stub or a real auditor model.</w:t>
      </w:r>
    </w:p>
    <w:p>
      <w:pPr>
        <w:spacing w:after="80"/>
      </w:pPr>
      <w:r>
        <w:rPr>
          <w:b/>
        </w:rPr>
        <w:t>Checks at minimum</w:t>
      </w:r>
    </w:p>
    <w:p>
      <w:pPr>
        <w:pStyle w:val="ListBullet"/>
      </w:pPr>
      <w:r>
        <w:t>claims-policy deterministic gates;</w:t>
      </w:r>
    </w:p>
    <w:p>
      <w:pPr>
        <w:pStyle w:val="ListBullet"/>
      </w:pPr>
      <w:r>
        <w:t>writing/diff-lock gates;</w:t>
      </w:r>
    </w:p>
    <w:p>
      <w:pPr>
        <w:pStyle w:val="ListBullet"/>
      </w:pPr>
      <w:r>
        <w:t>performance-direction deterministic gates;</w:t>
      </w:r>
    </w:p>
    <w:p>
      <w:pPr>
        <w:pStyle w:val="ListBullet"/>
      </w:pPr>
      <w:r>
        <w:t>support/attribution;</w:t>
      </w:r>
    </w:p>
    <w:p>
      <w:pPr>
        <w:pStyle w:val="ListBullet"/>
      </w:pPr>
      <w:r>
        <w:t>quote/paraphrase rights;</w:t>
      </w:r>
    </w:p>
    <w:p>
      <w:pPr>
        <w:pStyle w:val="ListBullet"/>
      </w:pPr>
      <w:r>
        <w:t>implied access;</w:t>
      </w:r>
    </w:p>
    <w:p>
      <w:pPr>
        <w:pStyle w:val="ListBullet"/>
      </w:pPr>
      <w:r>
        <w:t>real-person risk;</w:t>
      </w:r>
    </w:p>
    <w:p>
      <w:pPr>
        <w:pStyle w:val="ListBullet"/>
      </w:pPr>
      <w:r>
        <w:t>character/product boundary;</w:t>
      </w:r>
    </w:p>
    <w:p>
      <w:pPr>
        <w:pStyle w:val="ListBullet"/>
      </w:pPr>
      <w:r>
        <w:t>performance-tone risk;</w:t>
      </w:r>
    </w:p>
    <w:p>
      <w:pPr>
        <w:pStyle w:val="ListBullet"/>
      </w:pPr>
      <w:r>
        <w:t>unresolved deterministic failures.</w:t>
      </w:r>
    </w:p>
    <w:p>
      <w:pPr>
        <w:spacing w:after="80"/>
      </w:pPr>
      <w:r>
        <w:rPr>
          <w:b/>
        </w:rPr>
        <w:t>Result:</w:t>
      </w:r>
      <w:r>
        <w:t xml:space="preserve"> audit is bound to the exact input fingerprint including Claims Policy version. A later artifact or policy revision invalidates that approval.</w:t>
      </w:r>
    </w:p>
    <w:p>
      <w:pPr>
        <w:pStyle w:val="Heading2"/>
      </w:pPr>
      <w:r>
        <w:t>G. Render Manifest v0.1.1</w:t>
      </w:r>
    </w:p>
    <w:p>
      <w:pPr>
        <w:spacing w:after="80"/>
      </w:pPr>
      <w:r>
        <w:t>Created only after the audited chain passes.</w:t>
      </w:r>
    </w:p>
    <w:p>
      <w:pPr>
        <w:spacing w:after="80"/>
      </w:pPr>
      <w:r>
        <w:rPr>
          <w:b/>
        </w:rPr>
        <w:t>Creates</w:t>
      </w:r>
    </w:p>
    <w:p>
      <w:pPr>
        <w:pStyle w:val="ListBullet"/>
      </w:pPr>
      <w:r>
        <w:t>render blocks nested wholly inside program blocks;</w:t>
      </w:r>
    </w:p>
    <w:p>
      <w:pPr>
        <w:pStyle w:val="ListBullet"/>
      </w:pPr>
      <w:r>
        <w:t>ordered `speaker_map` snapshots binding each turn/participant to an immutable voice-profile version;</w:t>
      </w:r>
    </w:p>
    <w:p>
      <w:pPr>
        <w:pStyle w:val="ListBullet"/>
      </w:pPr>
      <w:r>
        <w:t>current pronunciation renderings;</w:t>
      </w:r>
    </w:p>
    <w:p>
      <w:pPr>
        <w:pStyle w:val="ListBullet"/>
      </w:pPr>
      <w:r>
        <w:t>concrete provider/model/settings;</w:t>
      </w:r>
    </w:p>
    <w:p>
      <w:pPr>
        <w:pStyle w:val="ListBullet"/>
      </w:pPr>
      <w:r>
        <w:t>bounded text-context recipe and exact resolved context;</w:t>
      </w:r>
    </w:p>
    <w:p>
      <w:pPr>
        <w:pStyle w:val="ListBullet"/>
      </w:pPr>
      <w:r>
        <w:t>applied audited performance-intent IDs;</w:t>
      </w:r>
    </w:p>
    <w:p>
      <w:pPr>
        <w:pStyle w:val="ListBullet"/>
      </w:pPr>
      <w:r>
        <w:t>named adapter/text-transform versions;</w:t>
      </w:r>
    </w:p>
    <w:p>
      <w:pPr>
        <w:pStyle w:val="ListBullet"/>
      </w:pPr>
      <w:r>
        <w:t>base render request projection/hash.</w:t>
      </w:r>
    </w:p>
    <w:p>
      <w:pPr>
        <w:spacing w:after="80"/>
      </w:pPr>
      <w:r>
        <w:rPr>
          <w:b/>
        </w:rPr>
        <w:t>Cannot create:</w:t>
      </w:r>
      <w:r>
        <w:t xml:space="preserve"> new tone, new spoken words, new editorial structure.</w:t>
      </w:r>
    </w:p>
    <w:p>
      <w:pPr>
        <w:spacing w:after="80"/>
      </w:pPr>
      <w:r>
        <w:t xml:space="preserve">Read-only bounded context may use P&amp;R recipe </w:t>
      </w:r>
      <w:r>
        <w:rPr>
          <w:rFonts w:ascii="Consolas" w:hAnsi="Consolas"/>
          <w:sz w:val="17"/>
        </w:rPr>
        <w:t>C2</w:t>
      </w:r>
      <w:r>
        <w:t xml:space="preserve"> and cross from the immediately preceding program block. Generated </w:t>
      </w:r>
      <w:r>
        <w:rPr>
          <w:rFonts w:ascii="Consolas" w:hAnsi="Consolas"/>
          <w:sz w:val="17"/>
        </w:rPr>
        <w:t>ordered_turn_ids[]</w:t>
      </w:r>
      <w:r>
        <w:t xml:space="preserve"> may never cross a program-block boundary.</w:t>
      </w:r>
    </w:p>
    <w:p>
      <w:pPr>
        <w:spacing w:after="80"/>
      </w:pPr>
      <w:r>
        <w:rPr>
          <w:b/>
        </w:rPr>
        <w:t>Base-hash invariant:</w:t>
      </w:r>
      <w:r>
        <w:t xml:space="preserve"> implement Performance &amp; Render §23 exactly. The base hash must change when spoken text, voice profile, approved intent, bounded context, applied pronunciation, model/settings, or adapter transform changes, and must remain stable for non-render admin metadata and </w:t>
      </w:r>
      <w:r>
        <w:rPr>
          <w:rFonts w:ascii="Consolas" w:hAnsi="Consolas"/>
          <w:sz w:val="17"/>
        </w:rPr>
        <w:t>take_index</w:t>
      </w:r>
      <w:r>
        <w:t>.</w:t>
      </w:r>
    </w:p>
    <w:p>
      <w:pPr>
        <w:pStyle w:val="Heading2"/>
      </w:pPr>
      <w:r>
        <w:t>H. TTS Takes</w:t>
      </w:r>
    </w:p>
    <w:p>
      <w:pPr>
        <w:spacing w:after="80"/>
      </w:pPr>
      <w:r>
        <w:t>For each render block:</w:t>
      </w:r>
    </w:p>
    <w:p>
      <w:pPr>
        <w:pStyle w:val="NoSpacing"/>
      </w:pPr>
      <w:r>
        <w:rPr>
          <w:rFonts w:ascii="Consolas" w:hAnsi="Consolas"/>
          <w:sz w:val="16"/>
        </w:rPr>
        <w:t>base_request_hash</w:t>
      </w:r>
    </w:p>
    <w:p>
      <w:pPr>
        <w:pStyle w:val="NoSpacing"/>
      </w:pPr>
      <w:r>
        <w:rPr>
          <w:rFonts w:ascii="Consolas" w:hAnsi="Consolas"/>
          <w:sz w:val="16"/>
        </w:rPr>
        <w:t xml:space="preserve">  + take_index / take identity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-&gt; immutable audio artifact</w:t>
      </w:r>
    </w:p>
    <w:p>
      <w:pPr>
        <w:spacing w:after="80"/>
      </w:pPr>
      <w:r>
        <w:rPr>
          <w:b/>
        </w:rPr>
        <w:t>Retry test:</w:t>
      </w:r>
      <w:r>
        <w:t xml:space="preserve"> transient provider failure repeats the same logical request without creating an intentional new take.</w:t>
      </w:r>
    </w:p>
    <w:p>
      <w:pPr>
        <w:spacing w:after="80"/>
      </w:pPr>
      <w:r>
        <w:rPr>
          <w:b/>
        </w:rPr>
        <w:t>Reroll test:</w:t>
      </w:r>
      <w:r>
        <w:t xml:space="preserve"> an intentional second take is stored separately; take 0 remains immutable.</w:t>
      </w:r>
    </w:p>
    <w:p>
      <w:pPr>
        <w:spacing w:after="80"/>
      </w:pPr>
      <w:r>
        <w:rPr>
          <w:b/>
        </w:rPr>
        <w:t>Concurrency test:</w:t>
      </w:r>
      <w:r>
        <w:t xml:space="preserve"> duplicate workers cannot bill/generate the same missing logical take concurrently.</w:t>
      </w:r>
    </w:p>
    <w:p>
      <w:pPr>
        <w:pStyle w:val="Heading2"/>
      </w:pPr>
      <w:r>
        <w:t>I. Take Selection</w:t>
      </w:r>
    </w:p>
    <w:p>
      <w:pPr>
        <w:spacing w:after="80"/>
      </w:pPr>
      <w:r>
        <w:t>Create append-only selection records referencing approved/rejected takes.</w:t>
      </w:r>
    </w:p>
    <w:p>
      <w:pPr>
        <w:spacing w:after="80"/>
      </w:pPr>
      <w:r>
        <w:rPr>
          <w:b/>
        </w:rPr>
        <w:t>Invariant test:</w:t>
      </w:r>
      <w:r>
        <w:t xml:space="preserve"> rerendering/reassembling honors the current approved selection and does not silently revert to take 0. Selection history retains the prior decision.</w:t>
      </w:r>
    </w:p>
    <w:p>
      <w:pPr>
        <w:pStyle w:val="Heading2"/>
      </w:pPr>
      <w:r>
        <w:t>J. Clean Master + Assembly Map</w:t>
      </w:r>
    </w:p>
    <w:p>
      <w:pPr>
        <w:spacing w:after="80"/>
      </w:pPr>
      <w:r>
        <w:t>Assembly uses:</w:t>
      </w:r>
    </w:p>
    <w:p>
      <w:pPr>
        <w:pStyle w:val="ListBullet"/>
      </w:pPr>
      <w:r>
        <w:t>exact selected audio hashes;</w:t>
      </w:r>
    </w:p>
    <w:p>
      <w:pPr>
        <w:pStyle w:val="ListBullet"/>
      </w:pPr>
      <w:r>
        <w:t>versioned assembly recipe;</w:t>
      </w:r>
    </w:p>
    <w:p>
      <w:pPr>
        <w:pStyle w:val="ListBullet"/>
      </w:pPr>
      <w:r>
        <w:t>static editorial assets where configured;</w:t>
      </w:r>
    </w:p>
    <w:p>
      <w:pPr>
        <w:pStyle w:val="ListBullet"/>
      </w:pPr>
      <w:r>
        <w:t>deterministic program ordering.</w:t>
      </w:r>
    </w:p>
    <w:p>
      <w:pPr>
        <w:spacing w:after="80"/>
      </w:pPr>
      <w:r>
        <w:t>Store at least program-block offsets plus timing method/confidence.</w:t>
      </w:r>
    </w:p>
    <w:p>
      <w:pPr>
        <w:spacing w:after="80"/>
      </w:pPr>
      <w:r>
        <w:t>The provider-free fixture may ship placeholder audio-artifact metadata rather than real audio bytes, but it must include the schema for takes, selections, assembly recipe/map, and final master artifact state.</w:t>
      </w:r>
    </w:p>
    <w:p>
      <w:pPr>
        <w:spacing w:after="80"/>
      </w:pPr>
      <w:r>
        <w:rPr>
          <w:b/>
        </w:rPr>
        <w:t>Invariant test:</w:t>
      </w:r>
      <w:r>
        <w:t xml:space="preserve"> the master can be explained from exact selected audio artifacts without consulting mutable current state.</w:t>
      </w:r>
    </w:p>
    <w:p>
      <w:pPr>
        <w:pStyle w:val="Heading1"/>
      </w:pPr>
      <w:r>
        <w:t>3. Required failure drills</w:t>
      </w:r>
    </w:p>
    <w:p>
      <w:pPr>
        <w:pStyle w:val="ListNumber"/>
      </w:pPr>
      <w:r>
        <w:t>Run package construction twice with different execution timestamps: same semantic package hash, no duplicate logical package.</w:t>
      </w:r>
    </w:p>
    <w:p>
      <w:pPr>
        <w:pStyle w:val="ListNumber"/>
      </w:pPr>
      <w:r>
        <w:t>Stop after script Pass 1: resume without regenerating a different package/brief.</w:t>
      </w:r>
    </w:p>
    <w:p>
      <w:pPr>
        <w:pStyle w:val="ListNumber"/>
      </w:pPr>
      <w:r>
        <w:t>Change a claim number during Pass 2: diff lock/value gate fails.</w:t>
      </w:r>
    </w:p>
    <w:p>
      <w:pPr>
        <w:pStyle w:val="ListNumber"/>
      </w:pPr>
      <w:r>
        <w:t>Feed a literal provider-looking string such as `&lt;laugh&gt;` / `|don't|` into the adapter test: it is escaped/encoded as spoken content, never interpreted as control.</w:t>
      </w:r>
    </w:p>
    <w:p>
      <w:pPr>
        <w:pStyle w:val="ListNumber"/>
      </w:pPr>
      <w:r>
        <w:t>Resolve an external evidence excerpt containing prompt-injection text: it remains delimited untrusted data and never changes system/operator instructions.</w:t>
      </w:r>
    </w:p>
    <w:p>
      <w:pPr>
        <w:pStyle w:val="ListNumber"/>
      </w:pPr>
      <w:r>
        <w:t>Apply a stale pronunciation rendering: render planning blocks.</w:t>
      </w:r>
    </w:p>
    <w:p>
      <w:pPr>
        <w:pStyle w:val="ListNumber"/>
      </w:pPr>
      <w:r>
        <w:t>Kill a TTS worker after provider success but before local acknowledgement: retry reconciles or avoids duplicate billing as far as provider capability allows.</w:t>
      </w:r>
    </w:p>
    <w:p>
      <w:pPr>
        <w:pStyle w:val="ListNumber"/>
      </w:pPr>
      <w:r>
        <w:t>Reroll one block: unaffected blocks remain reusable.</w:t>
      </w:r>
    </w:p>
    <w:p>
      <w:pPr>
        <w:pStyle w:val="ListNumber"/>
      </w:pPr>
      <w:r>
        <w:t>Select take 1 after rejecting take 0, rebuild/reassemble: selection remains take 1.</w:t>
      </w:r>
    </w:p>
    <w:p>
      <w:pPr>
        <w:pStyle w:val="ListNumber"/>
      </w:pPr>
      <w:r>
        <w:t>Change only a non-render metadata field: base request hash remains stable.</w:t>
      </w:r>
    </w:p>
    <w:p>
      <w:pPr>
        <w:pStyle w:val="ListNumber"/>
      </w:pPr>
      <w:r>
        <w:t>Change one spoken word: affected base request hash changes.</w:t>
      </w:r>
    </w:p>
    <w:p>
      <w:pPr>
        <w:pStyle w:val="ListNumber"/>
      </w:pPr>
      <w:r>
        <w:t>Change voice-profile version: only affected blocks invalidate.</w:t>
      </w:r>
    </w:p>
    <w:p>
      <w:pPr>
        <w:pStyle w:val="ListNumber"/>
      </w:pPr>
      <w:r>
        <w:t>Change one approved performance intent: affected base request hash changes.</w:t>
      </w:r>
    </w:p>
    <w:p>
      <w:pPr>
        <w:pStyle w:val="ListNumber"/>
      </w:pPr>
      <w:r>
        <w:t>Change bounded context: only dependent requests invalidate.</w:t>
      </w:r>
    </w:p>
    <w:p>
      <w:pPr>
        <w:pStyle w:val="ListNumber"/>
      </w:pPr>
      <w:r>
        <w:t>Correct an applied pronunciation rendering: affected base request hash changes.</w:t>
      </w:r>
    </w:p>
    <w:p>
      <w:pPr>
        <w:pStyle w:val="ListNumber"/>
      </w:pPr>
      <w:r>
        <w:t>Change adapter transform version: affected base request hash changes.</w:t>
      </w:r>
    </w:p>
    <w:p>
      <w:pPr>
        <w:pStyle w:val="ListNumber"/>
      </w:pPr>
      <w:r>
        <w:t>Change only `take_index`: base request hash remains stable.</w:t>
      </w:r>
    </w:p>
    <w:p>
      <w:pPr>
        <w:pStyle w:val="ListNumber"/>
      </w:pPr>
      <w:r>
        <w:t>Attempt one render block containing turns from two program blocks: render planning blocks.</w:t>
      </w:r>
    </w:p>
    <w:p>
      <w:pPr>
        <w:pStyle w:val="ListNumber"/>
      </w:pPr>
      <w:r>
        <w:t>Run two workers for the same `(base_request_hash, take_index)`: one acquires the paid-call lease/unique guard; the other reuses/waits and does not make a second paid call.</w:t>
      </w:r>
    </w:p>
    <w:p>
      <w:pPr>
        <w:pStyle w:val="ListNumber"/>
      </w:pPr>
      <w:r>
        <w:t>Purge one rights-bearing evidence unit after package freeze: provenance resolves to tombstone; production replay does not substitute a newer source.</w:t>
      </w:r>
    </w:p>
    <w:p>
      <w:pPr>
        <w:pStyle w:val="ListNumber"/>
      </w:pPr>
      <w:r>
        <w:t>Introduce a confirmed sombre incident before publication: current attempt cannot silently continue as a normal show; rebuild/revalidation path is required.</w:t>
      </w:r>
    </w:p>
    <w:p>
      <w:pPr>
        <w:pStyle w:val="Heading1"/>
      </w:pPr>
      <w:r>
        <w:t>4. Measurements to capture during the skeleton</w:t>
      </w:r>
    </w:p>
    <w:p>
      <w:pPr>
        <w:spacing w:after="80"/>
      </w:pPr>
      <w:r>
        <w:t>Do not treat these as fixed architecture values:</w:t>
      </w:r>
    </w:p>
    <w:p>
      <w:pPr>
        <w:pStyle w:val="ListBullet"/>
      </w:pPr>
      <w:r>
        <w:t>actual speaking rate by voice and block type;</w:t>
      </w:r>
    </w:p>
    <w:p>
      <w:pPr>
        <w:pStyle w:val="ListBullet"/>
      </w:pPr>
      <w:r>
        <w:t>three-speaker provider capability;</w:t>
      </w:r>
    </w:p>
    <w:p>
      <w:pPr>
        <w:pStyle w:val="ListBullet"/>
      </w:pPr>
      <w:r>
        <w:t>automatic filler/disfluency quality;</w:t>
      </w:r>
    </w:p>
    <w:p>
      <w:pPr>
        <w:pStyle w:val="ListBullet"/>
      </w:pPr>
      <w:r>
        <w:t>long-block voice/accent drift;</w:t>
      </w:r>
    </w:p>
    <w:p>
      <w:pPr>
        <w:pStyle w:val="ListBullet"/>
      </w:pPr>
      <w:r>
        <w:t>bounded-context quality versus cache reuse;</w:t>
      </w:r>
    </w:p>
    <w:p>
      <w:pPr>
        <w:pStyle w:val="ListBullet"/>
      </w:pPr>
      <w:r>
        <w:t>overlap behavior/regression;</w:t>
      </w:r>
    </w:p>
    <w:p>
      <w:pPr>
        <w:pStyle w:val="ListBullet"/>
      </w:pPr>
      <w:r>
        <w:t>TTS latency and cost per unique request;</w:t>
      </w:r>
    </w:p>
    <w:p>
      <w:pPr>
        <w:pStyle w:val="ListBullet"/>
      </w:pPr>
      <w:r>
        <w:t>reroll frequency;</w:t>
      </w:r>
    </w:p>
    <w:p>
      <w:pPr>
        <w:pStyle w:val="ListBullet"/>
      </w:pPr>
      <w:r>
        <w:t>word-count estimate error versus final duration;</w:t>
      </w:r>
    </w:p>
    <w:p>
      <w:pPr>
        <w:pStyle w:val="ListBullet"/>
      </w:pPr>
      <w:r>
        <w:t>human-rated naturalness and character distinction.</w:t>
      </w:r>
    </w:p>
    <w:p>
      <w:pPr>
        <w:pStyle w:val="Heading1"/>
      </w:pPr>
      <w:r>
        <w:t>5. Deliberately out of scope</w:t>
      </w:r>
    </w:p>
    <w:p>
      <w:pPr>
        <w:pStyle w:val="ListBullet"/>
      </w:pPr>
      <w:r>
        <w:t>live ingest/search;</w:t>
      </w:r>
    </w:p>
    <w:p>
      <w:pPr>
        <w:pStyle w:val="ListBullet"/>
      </w:pPr>
      <w:r>
        <w:t>automated Coverage Commissioning;</w:t>
      </w:r>
    </w:p>
    <w:p>
      <w:pPr>
        <w:pStyle w:val="ListBullet"/>
      </w:pPr>
      <w:r>
        <w:t>production RSS/publication;</w:t>
      </w:r>
    </w:p>
    <w:p>
      <w:pPr>
        <w:pStyle w:val="ListBullet"/>
      </w:pPr>
      <w:r>
        <w:t>dynamic ads;</w:t>
      </w:r>
    </w:p>
    <w:p>
      <w:pPr>
        <w:pStyle w:val="ListBullet"/>
      </w:pPr>
      <w:r>
        <w:t>forced alignment;</w:t>
      </w:r>
    </w:p>
    <w:p>
      <w:pPr>
        <w:pStyle w:val="ListBullet"/>
      </w:pPr>
      <w:r>
        <w:t>alternate TTS-provider failover;</w:t>
      </w:r>
    </w:p>
    <w:p>
      <w:pPr>
        <w:pStyle w:val="ListBullet"/>
      </w:pPr>
      <w:r>
        <w:t>full Editorial Review;</w:t>
      </w:r>
    </w:p>
    <w:p>
      <w:pPr>
        <w:pStyle w:val="ListBullet"/>
      </w:pPr>
      <w:r>
        <w:t>multilingual output;</w:t>
      </w:r>
    </w:p>
    <w:p>
      <w:pPr>
        <w:pStyle w:val="ListBullet"/>
      </w:pPr>
      <w:r>
        <w:t>betting/pre-event product;</w:t>
      </w:r>
    </w:p>
    <w:p>
      <w:pPr>
        <w:pStyle w:val="ListBullet"/>
      </w:pPr>
      <w:r>
        <w:t>generalized graph/vector infrastructure.</w:t>
      </w:r>
    </w:p>
    <w:p>
      <w:pPr>
        <w:pStyle w:val="Heading1"/>
      </w:pPr>
      <w:r>
        <w:t>6. Skeleton exit criteria</w:t>
      </w:r>
    </w:p>
    <w:p>
      <w:pPr>
        <w:spacing w:after="80"/>
      </w:pPr>
      <w:r>
        <w:t>The walking skeleton is complete only when:</w:t>
      </w:r>
    </w:p>
    <w:p>
      <w:pPr>
        <w:pStyle w:val="ListBullet"/>
      </w:pPr>
      <w:r>
        <w:t>every fixture artifact validates against its owning active spec;</w:t>
      </w:r>
    </w:p>
    <w:p>
      <w:pPr>
        <w:pStyle w:val="ListBullet"/>
      </w:pPr>
      <w:r>
        <w:t>every expected hash/fingerprint reproduces from the shared canonical serializer;</w:t>
      </w:r>
    </w:p>
    <w:p>
      <w:pPr>
        <w:pStyle w:val="ListBullet"/>
      </w:pPr>
      <w:r>
        <w:t>all required failure drills fail/pass for the named reason;</w:t>
      </w:r>
    </w:p>
    <w:p>
      <w:pPr>
        <w:pStyle w:val="ListBullet"/>
      </w:pPr>
      <w:r>
        <w:t>the artifact chain is inspectable from package to master;</w:t>
      </w:r>
    </w:p>
    <w:p>
      <w:pPr>
        <w:pStyle w:val="ListBullet"/>
      </w:pPr>
      <w:r>
        <w:t>immutable histories survive retries/rerolls/revisions;</w:t>
      </w:r>
    </w:p>
    <w:p>
      <w:pPr>
        <w:pStyle w:val="ListBullet"/>
      </w:pPr>
      <w:r>
        <w:t>paid-call concurrency protection is proven;</w:t>
      </w:r>
    </w:p>
    <w:p>
      <w:pPr>
        <w:pStyle w:val="ListBullet"/>
      </w:pPr>
      <w:r>
        <w:t>the measured Render Test Kit questions have recorded results;</w:t>
      </w:r>
    </w:p>
    <w:p>
      <w:pPr>
        <w:pStyle w:val="ListBullet"/>
      </w:pPr>
      <w:r>
        <w:t>no live web search occurs in normal Build-2 execution.</w:t>
      </w:r>
    </w:p>
    <w:p>
      <w:pPr>
        <w:pStyle w:val="Heading1"/>
      </w:pPr>
      <w:r>
        <w:t>Supplement S1 + ADR-003 closure requirements</w:t>
      </w:r>
    </w:p>
    <w:p>
      <w:pPr>
        <w:spacing w:after="80"/>
      </w:pPr>
      <w:r>
        <w:t>Fixture v0.3 additionally contains:</w:t>
      </w:r>
    </w:p>
    <w:p>
      <w:pPr>
        <w:pStyle w:val="ListBullet"/>
      </w:pPr>
      <w:r>
        <w:t>one versioned show configuration;</w:t>
      </w:r>
    </w:p>
    <w:p>
      <w:pPr>
        <w:pStyle w:val="ListBullet"/>
      </w:pPr>
      <w:r>
        <w:t>canonical episode-mode and block-type registries;</w:t>
      </w:r>
    </w:p>
    <w:p>
      <w:pPr>
        <w:pStyle w:val="ListBullet"/>
      </w:pPr>
      <w:r>
        <w:t>one configured `normal_post_event` rundown template;</w:t>
      </w:r>
    </w:p>
    <w:p>
      <w:pPr>
        <w:pStyle w:val="ListBullet"/>
      </w:pPr>
      <w:r>
        <w:t>three participant-profile versions and voice-profile versions;</w:t>
      </w:r>
    </w:p>
    <w:p>
      <w:pPr>
        <w:pStyle w:val="ListBullet"/>
      </w:pPr>
      <w:r>
        <w:t>default automatic take-selection policy;</w:t>
      </w:r>
    </w:p>
    <w:p>
      <w:pPr>
        <w:pStyle w:val="ListBullet"/>
      </w:pPr>
      <w:r>
        <w:t>one pre-publish review gate definition;</w:t>
      </w:r>
    </w:p>
    <w:p>
      <w:pPr>
        <w:pStyle w:val="ListBullet"/>
      </w:pPr>
      <w:r>
        <w:t>one durable READY wait/resume fixture;</w:t>
      </w:r>
    </w:p>
    <w:p>
      <w:pPr>
        <w:pStyle w:val="ListBullet"/>
      </w:pPr>
      <w:r>
        <w:t>review decisions `approve | request_repair | halt`;</w:t>
      </w:r>
    </w:p>
    <w:p>
      <w:pPr>
        <w:pStyle w:val="ListBullet"/>
      </w:pPr>
      <w:r>
        <w:t>Operator Repair request/plan examples for a localized performance repair and a programming repair.</w:t>
      </w:r>
    </w:p>
    <w:p>
      <w:pPr>
        <w:spacing w:after="80"/>
      </w:pPr>
      <w:r>
        <w:t>Additional failure drills:</w:t>
      </w:r>
    </w:p>
    <w:p>
      <w:pPr>
        <w:pStyle w:val="ListNumber"/>
      </w:pPr>
      <w:r>
        <w:t>a normal render block must never enter a per-block human approval wait;</w:t>
      </w:r>
    </w:p>
    <w:p>
      <w:pPr>
        <w:pStyle w:val="ListNumber"/>
      </w:pPr>
      <w:r>
        <w:t>subjective acoustic dissatisfaction must not trigger an automatic reroll;</w:t>
      </w:r>
    </w:p>
    <w:p>
      <w:pPr>
        <w:pStyle w:val="ListNumber"/>
      </w:pPr>
      <w:r>
        <w:t>a required READY review cannot be bypassed into REVALIDATED without an external approval/repair resolution;</w:t>
      </w:r>
    </w:p>
    <w:p>
      <w:pPr>
        <w:pStyle w:val="ListNumber"/>
      </w:pPr>
      <w:r>
        <w:t>review timeout halts rather than publishes;</w:t>
      </w:r>
    </w:p>
    <w:p>
      <w:pPr>
        <w:pStyle w:val="ListNumber"/>
      </w:pPr>
      <w:r>
        <w:t>performance-only repair must preserve the exact script content identity and invalidate direction/audit/render downstream;</w:t>
      </w:r>
    </w:p>
    <w:p>
      <w:pPr>
        <w:pStyle w:val="ListNumber"/>
      </w:pPr>
      <w:r>
        <w:t>programming repair must invalidate Brief and all downstream artifacts;</w:t>
      </w:r>
    </w:p>
    <w:p>
      <w:pPr>
        <w:pStyle w:val="ListNumber"/>
      </w:pPr>
      <w:r>
        <w:t>factual-correction feedback must route to evidence/claims rather than directly editing spoken text;</w:t>
      </w:r>
    </w:p>
    <w:p>
      <w:pPr>
        <w:pStyle w:val="ListNumber"/>
      </w:pPr>
      <w:r>
        <w:t>repair cannot override silent/rights/sombre/implied-access gates;</w:t>
      </w:r>
    </w:p>
    <w:p>
      <w:pPr>
        <w:pStyle w:val="ListNumber"/>
      </w:pPr>
      <w:r>
        <w:t>repair leaves the original READY candidate and superseded artifacts immutable and inspectable.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Desk Walking Skeleton Contract Trace v0.3</dc:title>
  <dc:subject/>
  <dc:creator>The Desk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