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X975b7e015568156cec419b019761c3218e43c15"/>
    <w:p>
      <w:pPr>
        <w:pStyle w:val="Heading1"/>
      </w:pPr>
      <w:r>
        <w:t xml:space="preserve">The Desk - Coverage Commissioning &amp; Knowledge Readiness v0.1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Skeleton-grade implementation spec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 26, 2026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Technical Architecture v1.0 + ADR-001, Claims Policy v0.1, Ingest &amp; Evidence v0.2, Lore Pipeline revision</w:t>
      </w:r>
      <w:r>
        <w:br/>
      </w:r>
      <w:r>
        <w:rPr>
          <w:b/>
          <w:bCs/>
        </w:rPr>
        <w:t xml:space="preserve">Primary implementation stage:</w:t>
      </w:r>
      <w:r>
        <w:t xml:space="preserve"> </w:t>
      </w:r>
      <w:r>
        <w:t xml:space="preserve">Build 3 - One entity Coverage Commissioning</w:t>
      </w:r>
    </w:p>
    <w:bookmarkStart w:id="20" w:name="authority-and-precedence"/>
    <w:p>
      <w:pPr>
        <w:pStyle w:val="Heading2"/>
      </w:pPr>
      <w:r>
        <w:t xml:space="preserve">Authority and precedence</w:t>
      </w:r>
    </w:p>
    <w:p>
      <w:pPr>
        <w:pStyle w:val="FirstParagraph"/>
      </w:pPr>
      <w:r>
        <w:t xml:space="preserve">This spec implements the commissioning decision in ADR-001 without reopening the accepted six-layer architecture.</w:t>
      </w:r>
    </w:p>
    <w:p>
      <w:pPr>
        <w:pStyle w:val="BodyText"/>
      </w:pPr>
      <w:r>
        <w:t xml:space="preserve">Where this spec conflicts with older Lore Pipeline v0.1 or Ingest &amp; Digest v0.1 behavior, Technical Architecture v1.0 and ADR-001 govern. In particular:</w:t>
      </w:r>
    </w:p>
    <w:p>
      <w:pPr>
        <w:pStyle w:val="Compact"/>
        <w:numPr>
          <w:ilvl w:val="0"/>
          <w:numId w:val="1001"/>
        </w:numPr>
      </w:pPr>
      <w:r>
        <w:t xml:space="preserve">fixed press/fan source counts are no longer universal launch rules;</w:t>
      </w:r>
    </w:p>
    <w:p>
      <w:pPr>
        <w:pStyle w:val="Compact"/>
        <w:numPr>
          <w:ilvl w:val="0"/>
          <w:numId w:val="1001"/>
        </w:numPr>
      </w:pPr>
      <w:r>
        <w:t xml:space="preserve">source priority is not the same as factual authority;</w:t>
      </w:r>
    </w:p>
    <w:p>
      <w:pPr>
        <w:pStyle w:val="Compact"/>
        <w:numPr>
          <w:ilvl w:val="0"/>
          <w:numId w:val="1001"/>
        </w:numPr>
      </w:pPr>
      <w:r>
        <w:t xml:space="preserve">latent model knowledge is not canonical evidence;</w:t>
      </w:r>
    </w:p>
    <w:p>
      <w:pPr>
        <w:pStyle w:val="Compact"/>
        <w:numPr>
          <w:ilvl w:val="0"/>
          <w:numId w:val="1001"/>
        </w:numPr>
      </w:pPr>
      <w:r>
        <w:t xml:space="preserve">routine ingest may nominate durable enrichment but may not silently promote it;</w:t>
      </w:r>
    </w:p>
    <w:p>
      <w:pPr>
        <w:pStyle w:val="Compact"/>
        <w:numPr>
          <w:ilvl w:val="0"/>
          <w:numId w:val="1001"/>
        </w:numPr>
      </w:pPr>
      <w:r>
        <w:t xml:space="preserve">human-readable dossiers are derived views rather than systems of record;</w:t>
      </w:r>
    </w:p>
    <w:p>
      <w:pPr>
        <w:pStyle w:val="Compact"/>
        <w:numPr>
          <w:ilvl w:val="0"/>
          <w:numId w:val="1001"/>
        </w:numPr>
      </w:pPr>
      <w:r>
        <w:t xml:space="preserve">the writing model does not live-search for missing background.</w: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Coverage Commissioning turns a new requested sport, competition, or entity from an empty product shell into a scope The Desk can cover responsibly.</w:t>
      </w:r>
    </w:p>
    <w:p>
      <w:pPr>
        <w:pStyle w:val="BodyText"/>
      </w:pPr>
      <w:r>
        <w:t xml:space="preserve">The launch implementation focuses on football clubs. The interfaces are generic enough that later sport/competition commissioning can be added without pretending every sports object is a club.</w:t>
      </w:r>
    </w:p>
    <w:p>
      <w:pPr>
        <w:pStyle w:val="BodyText"/>
      </w:pPr>
      <w:r>
        <w:t xml:space="preserve">The target outcome is not encyclopedic completeness. It is</w:t>
      </w:r>
      <w:r>
        <w:t xml:space="preserve"> </w:t>
      </w:r>
      <w:r>
        <w:rPr>
          <w:b/>
          <w:bCs/>
        </w:rPr>
        <w:t xml:space="preserve">coverage readiness</w:t>
      </w:r>
      <w:r>
        <w:t xml:space="preserve">: enough verified sports knowledge, current context, media access, cultural competence, rights information, and retrievable depth that The Desk can plan and write from controlled internal knowledge plus fresh event evidence.</w:t>
      </w:r>
    </w:p>
    <w:p>
      <w:pPr>
        <w:pStyle w:val="BodyText"/>
      </w:pPr>
      <w:r>
        <w:t xml:space="preserve">A club should not launch merely because a research call returned a long report.</w:t>
      </w:r>
    </w:p>
    <w:bookmarkEnd w:id="21"/>
    <w:bookmarkStart w:id="28" w:name="governing-principles"/>
    <w:p>
      <w:pPr>
        <w:pStyle w:val="Heading2"/>
      </w:pPr>
      <w:r>
        <w:t xml:space="preserve">Governing principles</w:t>
      </w:r>
    </w:p>
    <w:bookmarkStart w:id="22" w:name="X6f83688cf92d7a124950617dbc843ec078c797d"/>
    <w:p>
      <w:pPr>
        <w:pStyle w:val="Heading3"/>
      </w:pPr>
      <w:r>
        <w:t xml:space="preserve">Product-authorized knowledge starts at zero</w:t>
      </w:r>
    </w:p>
    <w:p>
      <w:pPr>
        <w:pStyle w:val="FirstParagraph"/>
      </w:pPr>
      <w:r>
        <w:t xml:space="preserve">For product purposes, Tully, Gaz, Simon, the planner, and the writer begin with no authorized knowledge of a newly requested entity.</w:t>
      </w:r>
    </w:p>
    <w:p>
      <w:pPr>
        <w:pStyle w:val="BodyText"/>
      </w:pPr>
      <w:r>
        <w:t xml:space="preserve">The underlying models’ pretrained memory may help formulate searches and hypotheses. It is never sufficient support for an on-air factual or culturally consequential assertion.</w:t>
      </w:r>
    </w:p>
    <w:bookmarkEnd w:id="22"/>
    <w:bookmarkStart w:id="23" w:name="X3e8b39dc1202fb08d6a2ff20daeb10fc2d63fd2"/>
    <w:p>
      <w:pPr>
        <w:pStyle w:val="Heading3"/>
      </w:pPr>
      <w:r>
        <w:t xml:space="preserve">Research is allowed to be expensive relative to routine generation</w:t>
      </w:r>
    </w:p>
    <w:p>
      <w:pPr>
        <w:pStyle w:val="FirstParagraph"/>
      </w:pPr>
      <w:r>
        <w:t xml:space="preserve">Commissioning is one of the places where spending additional tokens, calls, and a few dollars is justified. The work is amortized across future episodes.</w:t>
      </w:r>
    </w:p>
    <w:p>
      <w:pPr>
        <w:pStyle w:val="BodyText"/>
      </w:pPr>
      <w:r>
        <w:t xml:space="preserve">The additional budget must be spent on breadth, depth, local-language work, retrieval, verification, adversarial challenge, source mapping, and gap finding rather than a single oversized generation call.</w:t>
      </w:r>
    </w:p>
    <w:bookmarkEnd w:id="23"/>
    <w:bookmarkStart w:id="24" w:name="rigorous-does-not-mean-complete"/>
    <w:p>
      <w:pPr>
        <w:pStyle w:val="Heading3"/>
      </w:pPr>
      <w:r>
        <w:t xml:space="preserve">Rigorous does not mean complete</w:t>
      </w:r>
    </w:p>
    <w:p>
      <w:pPr>
        <w:pStyle w:val="FirstParagraph"/>
      </w:pPr>
      <w:r>
        <w:t xml:space="preserve">Some omissions are structurally expensive: missing source coverage, rights metadata, provenance, pronunciation structure, competition semantics, sensitivity research, and durable entity identity.</w:t>
      </w:r>
    </w:p>
    <w:p>
      <w:pPr>
        <w:pStyle w:val="BodyText"/>
      </w:pPr>
      <w:r>
        <w:t xml:space="preserve">Other omissions are ordinary knowledge gaps and can be enriched later. The system should prefer an explicit unknown to a weakly supported field filled for cosmetic completeness.</w:t>
      </w:r>
    </w:p>
    <w:bookmarkEnd w:id="24"/>
    <w:bookmarkStart w:id="25" w:name="search-upstream-not-in-writing"/>
    <w:p>
      <w:pPr>
        <w:pStyle w:val="Heading3"/>
      </w:pPr>
      <w:r>
        <w:t xml:space="preserve">Search upstream, not in writing</w:t>
      </w:r>
    </w:p>
    <w:p>
      <w:pPr>
        <w:pStyle w:val="FirstParagraph"/>
      </w:pPr>
      <w:r>
        <w:t xml:space="preserve">Commissioning and ingest may search/retrieve external material under policy. Program planning and writing use Desk-controlled knowledge and frozen package evidence.</w:t>
      </w:r>
    </w:p>
    <w:bookmarkEnd w:id="25"/>
    <w:bookmarkStart w:id="26" w:name="canonical-records-first-dossier-second"/>
    <w:p>
      <w:pPr>
        <w:pStyle w:val="Heading3"/>
      </w:pPr>
      <w:r>
        <w:t xml:space="preserve">Canonical records first, dossier second</w:t>
      </w:r>
    </w:p>
    <w:p>
      <w:pPr>
        <w:pStyle w:val="FirstParagraph"/>
      </w:pPr>
      <w:r>
        <w:t xml:space="preserve">A Coverage Dossier is useful for Mike and operators, but it is generated from canonical records. Editing the dossier does not mutate canonical knowledge unless an explicit correction/research workflow does so.</w:t>
      </w:r>
    </w:p>
    <w:bookmarkEnd w:id="26"/>
    <w:bookmarkStart w:id="27" w:name="X4c791b57d271cae2d989e3d001d708c8635f5be"/>
    <w:p>
      <w:pPr>
        <w:pStyle w:val="Heading3"/>
      </w:pPr>
      <w:r>
        <w:t xml:space="preserve">Ingest learns, but does not self-authorize permanent truth</w:t>
      </w:r>
    </w:p>
    <w:p>
      <w:pPr>
        <w:pStyle w:val="FirstParagraph"/>
      </w:pPr>
      <w:r>
        <w:t xml:space="preserve">Routine ingest can notice gaps and nominate enrichment. Durable promotion requires an explicit research/verification step.</w:t>
      </w:r>
    </w:p>
    <w:bookmarkEnd w:id="27"/>
    <w:bookmarkEnd w:id="28"/>
    <w:bookmarkStart w:id="32" w:name="commissioning-scopes"/>
    <w:p>
      <w:pPr>
        <w:pStyle w:val="Heading2"/>
      </w:pPr>
      <w:r>
        <w:t xml:space="preserve">Commissioning scopes</w:t>
      </w:r>
    </w:p>
    <w:p>
      <w:pPr>
        <w:pStyle w:val="FirstParagraph"/>
      </w:pPr>
      <w:r>
        <w:t xml:space="preserve">The same commissioning contract supports three scopes.</w:t>
      </w:r>
    </w:p>
    <w:bookmarkStart w:id="29" w:name="sport-scope"/>
    <w:p>
      <w:pPr>
        <w:pStyle w:val="Heading3"/>
      </w:pPr>
      <w:r>
        <w:t xml:space="preserve">Sport scope</w:t>
      </w:r>
    </w:p>
    <w:p>
      <w:pPr>
        <w:pStyle w:val="FirstParagraph"/>
      </w:pPr>
      <w:r>
        <w:t xml:space="preserve">Eventually holds shared semantics that should not be rediscovered for every competition: rules, event phases, participant/result shapes, common terminology, meaningful statistics, authoritative governing bodies, and sport-specific verification quirks.</w:t>
      </w:r>
    </w:p>
    <w:p>
      <w:pPr>
        <w:pStyle w:val="BodyText"/>
      </w:pPr>
      <w:r>
        <w:t xml:space="preserve">Football v1 may hand-seed much of this. Do not build a generalized sport ontology before needed.</w:t>
      </w:r>
    </w:p>
    <w:bookmarkEnd w:id="29"/>
    <w:bookmarkStart w:id="30" w:name="competition-scope"/>
    <w:p>
      <w:pPr>
        <w:pStyle w:val="Heading3"/>
      </w:pPr>
      <w:r>
        <w:t xml:space="preserve">Competition scope</w:t>
      </w:r>
    </w:p>
    <w:p>
      <w:pPr>
        <w:pStyle w:val="FirstParagraph"/>
      </w:pPr>
      <w:r>
        <w:t xml:space="preserve">Eventually holds competition structure, schedule/rules, standings semantics, promotion/relegation or tournament logic, relevant official sources, competition-level baselines, and competition-specific data/media providers.</w:t>
      </w:r>
    </w:p>
    <w:bookmarkEnd w:id="30"/>
    <w:bookmarkStart w:id="31" w:name="entity-scope"/>
    <w:p>
      <w:pPr>
        <w:pStyle w:val="Heading3"/>
      </w:pPr>
      <w:r>
        <w:t xml:space="preserve">Entity scope</w:t>
      </w:r>
    </w:p>
    <w:p>
      <w:pPr>
        <w:pStyle w:val="FirstParagraph"/>
      </w:pPr>
      <w:r>
        <w:t xml:space="preserve">For football v1 this is the main commissioning target: club identity, relationships, history, culture, media ecosystem, supporter context, pronunciation, sensitivities, baselines, current state, and explicit gaps.</w:t>
      </w:r>
    </w:p>
    <w:bookmarkEnd w:id="31"/>
    <w:bookmarkEnd w:id="32"/>
    <w:bookmarkStart w:id="33" w:name="commissioning-lifecycle"/>
    <w:p>
      <w:pPr>
        <w:pStyle w:val="Heading2"/>
      </w:pPr>
      <w:r>
        <w:t xml:space="preserve">Commissioning lifecycle</w:t>
      </w:r>
    </w:p>
    <w:p>
      <w:pPr>
        <w:pStyle w:val="FirstParagraph"/>
      </w:pPr>
      <w:r>
        <w:t xml:space="preserve">A commissioning request moves through explicit states rather than one opaque research call.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DISCOVERY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EVIDENCE_DEEPENING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MEDIA_MAPPED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KNOWLEDGE_STRUCTURED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ADVERSARIAL_REVIEW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READINESS_EVALUATED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READY | DEGRADED | NOT_READY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commissioning_run</w:t>
      </w:r>
      <w:r>
        <w:t xml:space="preserve"> </w:t>
      </w:r>
      <w:r>
        <w:t xml:space="preserve">records the scope, configuration/spec versions, research/model calls, cost, artifacts, reviewer/adjudication, and terminal state.</w:t>
      </w:r>
    </w:p>
    <w:p>
      <w:pPr>
        <w:pStyle w:val="BodyText"/>
      </w:pPr>
      <w:r>
        <w:t xml:space="preserve">A failed or partial run may be resumed with a new attempt rather than overwriting history.</w:t>
      </w:r>
    </w:p>
    <w:bookmarkEnd w:id="33"/>
    <w:bookmarkStart w:id="35" w:name="phase-1---discovery"/>
    <w:p>
      <w:pPr>
        <w:pStyle w:val="Heading2"/>
      </w:pPr>
      <w:r>
        <w:t xml:space="preserve">Phase 1 - Discovery</w:t>
      </w:r>
    </w:p>
    <w:p>
      <w:pPr>
        <w:pStyle w:val="FirstParagraph"/>
      </w:pPr>
      <w:r>
        <w:t xml:space="preserve">The discovery pass is recall-heavy. Its job is to map what needs deeper investigation rather than decide final truth.</w:t>
      </w:r>
    </w:p>
    <w:p>
      <w:pPr>
        <w:pStyle w:val="BodyText"/>
      </w:pPr>
      <w:r>
        <w:t xml:space="preserve">For a football club, discovery should look for at least:</w:t>
      </w:r>
    </w:p>
    <w:p>
      <w:pPr>
        <w:pStyle w:val="Compact"/>
        <w:numPr>
          <w:ilvl w:val="0"/>
          <w:numId w:val="1002"/>
        </w:numPr>
      </w:pPr>
      <w:r>
        <w:t xml:space="preserve">canonical entity identity and aliases;</w:t>
      </w:r>
    </w:p>
    <w:p>
      <w:pPr>
        <w:pStyle w:val="Compact"/>
        <w:numPr>
          <w:ilvl w:val="0"/>
          <w:numId w:val="1002"/>
        </w:numPr>
      </w:pPr>
      <w:r>
        <w:t xml:space="preserve">parent competition(s) and major relationships;</w:t>
      </w:r>
    </w:p>
    <w:p>
      <w:pPr>
        <w:pStyle w:val="Compact"/>
        <w:numPr>
          <w:ilvl w:val="0"/>
          <w:numId w:val="1002"/>
        </w:numPr>
      </w:pPr>
      <w:r>
        <w:t xml:space="preserve">official club/league/governing sources;</w:t>
      </w:r>
    </w:p>
    <w:p>
      <w:pPr>
        <w:pStyle w:val="Compact"/>
        <w:numPr>
          <w:ilvl w:val="0"/>
          <w:numId w:val="1002"/>
        </w:numPr>
      </w:pPr>
      <w:r>
        <w:t xml:space="preserve">structured data providers available for the competition;</w:t>
      </w:r>
    </w:p>
    <w:p>
      <w:pPr>
        <w:pStyle w:val="Compact"/>
        <w:numPr>
          <w:ilvl w:val="0"/>
          <w:numId w:val="1002"/>
        </w:numPr>
      </w:pPr>
      <w:r>
        <w:t xml:space="preserve">local and regional reporting;</w:t>
      </w:r>
    </w:p>
    <w:p>
      <w:pPr>
        <w:pStyle w:val="Compact"/>
        <w:numPr>
          <w:ilvl w:val="0"/>
          <w:numId w:val="1002"/>
        </w:numPr>
      </w:pPr>
      <w:r>
        <w:t xml:space="preserve">national/specialist reporting with regular entity relevance;</w:t>
      </w:r>
    </w:p>
    <w:p>
      <w:pPr>
        <w:pStyle w:val="Compact"/>
        <w:numPr>
          <w:ilvl w:val="0"/>
          <w:numId w:val="1002"/>
        </w:numPr>
      </w:pPr>
      <w:r>
        <w:t xml:space="preserve">tactical/statistical specialists;</w:t>
      </w:r>
    </w:p>
    <w:p>
      <w:pPr>
        <w:pStyle w:val="Compact"/>
        <w:numPr>
          <w:ilvl w:val="0"/>
          <w:numId w:val="1002"/>
        </w:numPr>
      </w:pPr>
      <w:r>
        <w:t xml:space="preserve">supporter publications, forums/communities, podcasts/radio, trusts or supporter groups where relevant;</w:t>
      </w:r>
    </w:p>
    <w:p>
      <w:pPr>
        <w:pStyle w:val="Compact"/>
        <w:numPr>
          <w:ilvl w:val="0"/>
          <w:numId w:val="1002"/>
        </w:numPr>
      </w:pPr>
      <w:r>
        <w:t xml:space="preserve">historical/reference sources;</w:t>
      </w:r>
    </w:p>
    <w:p>
      <w:pPr>
        <w:pStyle w:val="Compact"/>
        <w:numPr>
          <w:ilvl w:val="0"/>
          <w:numId w:val="1002"/>
        </w:numPr>
      </w:pPr>
      <w:r>
        <w:t xml:space="preserve">local-language search terms and naming variants;</w:t>
      </w:r>
    </w:p>
    <w:p>
      <w:pPr>
        <w:pStyle w:val="Compact"/>
        <w:numPr>
          <w:ilvl w:val="0"/>
          <w:numId w:val="1002"/>
        </w:numPr>
      </w:pPr>
      <w:r>
        <w:t xml:space="preserve">obvious rivalries and historical/cultural claims to investigate;</w:t>
      </w:r>
    </w:p>
    <w:p>
      <w:pPr>
        <w:pStyle w:val="Compact"/>
        <w:numPr>
          <w:ilvl w:val="0"/>
          <w:numId w:val="1002"/>
        </w:numPr>
      </w:pPr>
      <w:r>
        <w:t xml:space="preserve">current squad/manager/stadium/current-season context;</w:t>
      </w:r>
    </w:p>
    <w:p>
      <w:pPr>
        <w:pStyle w:val="Compact"/>
        <w:numPr>
          <w:ilvl w:val="0"/>
          <w:numId w:val="1002"/>
        </w:numPr>
      </w:pPr>
      <w:r>
        <w:t xml:space="preserve">pronunciation targets;</w:t>
      </w:r>
    </w:p>
    <w:p>
      <w:pPr>
        <w:pStyle w:val="Compact"/>
        <w:numPr>
          <w:ilvl w:val="0"/>
          <w:numId w:val="1002"/>
        </w:numPr>
      </w:pPr>
      <w:r>
        <w:t xml:space="preserve">sensitivity topics and anniversary candidates;</w:t>
      </w:r>
    </w:p>
    <w:p>
      <w:pPr>
        <w:pStyle w:val="Compact"/>
        <w:numPr>
          <w:ilvl w:val="0"/>
          <w:numId w:val="1002"/>
        </w:numPr>
      </w:pPr>
      <w:r>
        <w:t xml:space="preserve">likely knowledge gaps.</w:t>
      </w:r>
    </w:p>
    <w:p>
      <w:pPr>
        <w:pStyle w:val="FirstParagraph"/>
      </w:pPr>
      <w:r>
        <w:t xml:space="preserve">Discovery results are candidates, not canonical facts.</w:t>
      </w:r>
    </w:p>
    <w:bookmarkStart w:id="34" w:name="local-language-requirement"/>
    <w:p>
      <w:pPr>
        <w:pStyle w:val="Heading3"/>
      </w:pPr>
      <w:r>
        <w:t xml:space="preserve">Local-language requirement</w:t>
      </w:r>
    </w:p>
    <w:p>
      <w:pPr>
        <w:pStyle w:val="FirstParagraph"/>
      </w:pPr>
      <w:r>
        <w:t xml:space="preserve">Where meaningful local discourse is not predominantly in the listener’s language, commissioning must search in the club/community language as well as the product language.</w:t>
      </w:r>
    </w:p>
    <w:p>
      <w:pPr>
        <w:pStyle w:val="BodyText"/>
      </w:pPr>
      <w:r>
        <w:t xml:space="preserve">Translation must preserve the source-language locator so later audits can return to the actual evidence.</w:t>
      </w:r>
    </w:p>
    <w:bookmarkEnd w:id="34"/>
    <w:bookmarkEnd w:id="35"/>
    <w:bookmarkStart w:id="36" w:name="Xd6f0ca423e18a07fd60a1b39bb4cb0b1100be33"/>
    <w:p>
      <w:pPr>
        <w:pStyle w:val="Heading2"/>
      </w:pPr>
      <w:r>
        <w:t xml:space="preserve">Phase 2 - Deep evidence and structured knowledge</w:t>
      </w:r>
    </w:p>
    <w:p>
      <w:pPr>
        <w:pStyle w:val="FirstParagraph"/>
      </w:pPr>
      <w:r>
        <w:t xml:space="preserve">Important discovery candidates are investigated through actual evidence rather than model recall.</w:t>
      </w:r>
    </w:p>
    <w:p>
      <w:pPr>
        <w:pStyle w:val="BodyText"/>
      </w:pPr>
      <w:r>
        <w:t xml:space="preserve">Commissioning should prefer atomic, provenance-bearing knowledge over prose summaries.</w:t>
      </w:r>
    </w:p>
    <w:p>
      <w:pPr>
        <w:pStyle w:val="BodyText"/>
      </w:pPr>
      <w:r>
        <w:t xml:space="preserve">Examples of durable or slow-changing knowledge include:</w:t>
      </w:r>
    </w:p>
    <w:p>
      <w:pPr>
        <w:pStyle w:val="Compact"/>
        <w:numPr>
          <w:ilvl w:val="0"/>
          <w:numId w:val="1003"/>
        </w:numPr>
      </w:pPr>
      <w:r>
        <w:t xml:space="preserve">founding/identity;</w:t>
      </w:r>
    </w:p>
    <w:p>
      <w:pPr>
        <w:pStyle w:val="Compact"/>
        <w:numPr>
          <w:ilvl w:val="0"/>
          <w:numId w:val="1003"/>
        </w:numPr>
      </w:pPr>
      <w:r>
        <w:t xml:space="preserve">stadium and major moves;</w:t>
      </w:r>
    </w:p>
    <w:p>
      <w:pPr>
        <w:pStyle w:val="Compact"/>
        <w:numPr>
          <w:ilvl w:val="0"/>
          <w:numId w:val="1003"/>
        </w:numPr>
      </w:pPr>
      <w:r>
        <w:t xml:space="preserve">honours and defining eras;</w:t>
      </w:r>
    </w:p>
    <w:p>
      <w:pPr>
        <w:pStyle w:val="Compact"/>
        <w:numPr>
          <w:ilvl w:val="0"/>
          <w:numId w:val="1003"/>
        </w:numPr>
      </w:pPr>
      <w:r>
        <w:t xml:space="preserve">meaningful rivalries and their relative cultural weight;</w:t>
      </w:r>
    </w:p>
    <w:p>
      <w:pPr>
        <w:pStyle w:val="Compact"/>
        <w:numPr>
          <w:ilvl w:val="0"/>
          <w:numId w:val="1003"/>
        </w:numPr>
      </w:pPr>
      <w:r>
        <w:t xml:space="preserve">recurring cultural references and verified vernacular;</w:t>
      </w:r>
    </w:p>
    <w:p>
      <w:pPr>
        <w:pStyle w:val="Compact"/>
        <w:numPr>
          <w:ilvl w:val="0"/>
          <w:numId w:val="1003"/>
        </w:numPr>
      </w:pPr>
      <w:r>
        <w:t xml:space="preserve">historically important people/events;</w:t>
      </w:r>
    </w:p>
    <w:p>
      <w:pPr>
        <w:pStyle w:val="Compact"/>
        <w:numPr>
          <w:ilvl w:val="0"/>
          <w:numId w:val="1003"/>
        </w:numPr>
      </w:pPr>
      <w:r>
        <w:t xml:space="preserve">competition/entity relationships;</w:t>
      </w:r>
    </w:p>
    <w:p>
      <w:pPr>
        <w:pStyle w:val="Compact"/>
        <w:numPr>
          <w:ilvl w:val="0"/>
          <w:numId w:val="1003"/>
        </w:numPr>
      </w:pPr>
      <w:r>
        <w:t xml:space="preserve">sensitivity entries;</w:t>
      </w:r>
    </w:p>
    <w:p>
      <w:pPr>
        <w:pStyle w:val="Compact"/>
        <w:numPr>
          <w:ilvl w:val="0"/>
          <w:numId w:val="1003"/>
        </w:numPr>
      </w:pPr>
      <w:r>
        <w:t xml:space="preserve">pronunciation records;</w:t>
      </w:r>
    </w:p>
    <w:p>
      <w:pPr>
        <w:pStyle w:val="Compact"/>
        <w:numPr>
          <w:ilvl w:val="0"/>
          <w:numId w:val="1003"/>
        </w:numPr>
      </w:pPr>
      <w:r>
        <w:t xml:space="preserve">source/entity coverage profiles.</w:t>
      </w:r>
    </w:p>
    <w:p>
      <w:pPr>
        <w:pStyle w:val="FirstParagraph"/>
      </w:pPr>
      <w:r>
        <w:t xml:space="preserve">All speakable factual knowledge must ultimately resolve through the common claims/support model defined by Technical Architecture v1.0 and Claims Policy.</w:t>
      </w:r>
    </w:p>
    <w:bookmarkEnd w:id="36"/>
    <w:bookmarkStart w:id="42" w:name="phase-3---media-ecosystem-mapping"/>
    <w:p>
      <w:pPr>
        <w:pStyle w:val="Heading2"/>
      </w:pPr>
      <w:r>
        <w:t xml:space="preserve">Phase 3 - Media ecosystem mapping</w:t>
      </w:r>
    </w:p>
    <w:p>
      <w:pPr>
        <w:pStyle w:val="FirstParagraph"/>
      </w:pPr>
      <w:r>
        <w:t xml:space="preserve">The Desk should learn</w:t>
      </w:r>
      <w:r>
        <w:t xml:space="preserve"> </w:t>
      </w:r>
      <w:r>
        <w:rPr>
          <w:b/>
          <w:bCs/>
        </w:rPr>
        <w:t xml:space="preserve">how to cover the entity</w:t>
      </w:r>
      <w:r>
        <w:t xml:space="preserve">, not merely what happened in its past.</w:t>
      </w:r>
    </w:p>
    <w:bookmarkStart w:id="37" w:name="source-discovery"/>
    <w:p>
      <w:pPr>
        <w:pStyle w:val="Heading3"/>
      </w:pPr>
      <w:r>
        <w:t xml:space="preserve">Source discovery</w:t>
      </w:r>
    </w:p>
    <w:p>
      <w:pPr>
        <w:pStyle w:val="FirstParagraph"/>
      </w:pPr>
      <w:r>
        <w:t xml:space="preserve">Candidate acquisition sources may include:</w:t>
      </w:r>
    </w:p>
    <w:p>
      <w:pPr>
        <w:pStyle w:val="Compact"/>
        <w:numPr>
          <w:ilvl w:val="0"/>
          <w:numId w:val="1004"/>
        </w:numPr>
      </w:pPr>
      <w:r>
        <w:t xml:space="preserve">official club/league/governing communications;</w:t>
      </w:r>
    </w:p>
    <w:p>
      <w:pPr>
        <w:pStyle w:val="Compact"/>
        <w:numPr>
          <w:ilvl w:val="0"/>
          <w:numId w:val="1004"/>
        </w:numPr>
      </w:pPr>
      <w:r>
        <w:t xml:space="preserve">local beat/regional reporting;</w:t>
      </w:r>
    </w:p>
    <w:p>
      <w:pPr>
        <w:pStyle w:val="Compact"/>
        <w:numPr>
          <w:ilvl w:val="0"/>
          <w:numId w:val="1004"/>
        </w:numPr>
      </w:pPr>
      <w:r>
        <w:t xml:space="preserve">national/specialist reporting;</w:t>
      </w:r>
    </w:p>
    <w:p>
      <w:pPr>
        <w:pStyle w:val="Compact"/>
        <w:numPr>
          <w:ilvl w:val="0"/>
          <w:numId w:val="1004"/>
        </w:numPr>
      </w:pPr>
      <w:r>
        <w:t xml:space="preserve">statistical/tactical analysis;</w:t>
      </w:r>
    </w:p>
    <w:p>
      <w:pPr>
        <w:pStyle w:val="Compact"/>
        <w:numPr>
          <w:ilvl w:val="0"/>
          <w:numId w:val="1004"/>
        </w:numPr>
      </w:pPr>
      <w:r>
        <w:t xml:space="preserve">structured data providers;</w:t>
      </w:r>
    </w:p>
    <w:p>
      <w:pPr>
        <w:pStyle w:val="Compact"/>
        <w:numPr>
          <w:ilvl w:val="0"/>
          <w:numId w:val="1004"/>
        </w:numPr>
      </w:pPr>
      <w:r>
        <w:t xml:space="preserve">press conferences/interview feeds;</w:t>
      </w:r>
    </w:p>
    <w:p>
      <w:pPr>
        <w:pStyle w:val="Compact"/>
        <w:numPr>
          <w:ilvl w:val="0"/>
          <w:numId w:val="1004"/>
        </w:numPr>
      </w:pPr>
      <w:r>
        <w:t xml:space="preserve">broadcast/replay analysis where rights/access allow;</w:t>
      </w:r>
    </w:p>
    <w:p>
      <w:pPr>
        <w:pStyle w:val="Compact"/>
        <w:numPr>
          <w:ilvl w:val="0"/>
          <w:numId w:val="1004"/>
        </w:numPr>
      </w:pPr>
      <w:r>
        <w:t xml:space="preserve">podcasts/radio;</w:t>
      </w:r>
    </w:p>
    <w:p>
      <w:pPr>
        <w:pStyle w:val="Compact"/>
        <w:numPr>
          <w:ilvl w:val="0"/>
          <w:numId w:val="1004"/>
        </w:numPr>
      </w:pPr>
      <w:r>
        <w:t xml:space="preserve">supporter publications;</w:t>
      </w:r>
    </w:p>
    <w:p>
      <w:pPr>
        <w:pStyle w:val="Compact"/>
        <w:numPr>
          <w:ilvl w:val="0"/>
          <w:numId w:val="1004"/>
        </w:numPr>
      </w:pPr>
      <w:r>
        <w:t xml:space="preserve">supporter forums/communities/social channels;</w:t>
      </w:r>
    </w:p>
    <w:p>
      <w:pPr>
        <w:pStyle w:val="Compact"/>
        <w:numPr>
          <w:ilvl w:val="0"/>
          <w:numId w:val="1004"/>
        </w:numPr>
      </w:pPr>
      <w:r>
        <w:t xml:space="preserve">historical/reference sources;</w:t>
      </w:r>
    </w:p>
    <w:p>
      <w:pPr>
        <w:pStyle w:val="Compact"/>
        <w:numPr>
          <w:ilvl w:val="0"/>
          <w:numId w:val="1004"/>
        </w:numPr>
      </w:pPr>
      <w:r>
        <w:t xml:space="preserve">business/off-field reporting.</w:t>
      </w:r>
    </w:p>
    <w:bookmarkEnd w:id="37"/>
    <w:bookmarkStart w:id="38" w:name="sourceentity-coverage-profile"/>
    <w:p>
      <w:pPr>
        <w:pStyle w:val="Heading3"/>
      </w:pPr>
      <w:r>
        <w:t xml:space="preserve">Source/entity coverage profile</w:t>
      </w:r>
    </w:p>
    <w:p>
      <w:pPr>
        <w:pStyle w:val="FirstParagraph"/>
      </w:pPr>
      <w:r>
        <w:t xml:space="preserve">A source is evaluated relative to the scope it covers. The same publisher may have different utility for different clubs or competitions.</w:t>
      </w:r>
    </w:p>
    <w:p>
      <w:pPr>
        <w:pStyle w:val="BodyText"/>
      </w:pPr>
      <w:r>
        <w:t xml:space="preserve">The logical coverage profile should be able to represent:</w:t>
      </w:r>
    </w:p>
    <w:p>
      <w:pPr>
        <w:pStyle w:val="SourceCode"/>
      </w:pP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scope/entity_id</w:t>
      </w:r>
      <w:r>
        <w:br/>
      </w:r>
      <w:r>
        <w:rPr>
          <w:rStyle w:val="VerbatimChar"/>
        </w:rPr>
        <w:t xml:space="preserve">languages</w:t>
      </w:r>
      <w:r>
        <w:br/>
      </w:r>
      <w:r>
        <w:rPr>
          <w:rStyle w:val="VerbatimChar"/>
        </w:rPr>
        <w:t xml:space="preserve">acquisition_priority</w:t>
      </w:r>
      <w:r>
        <w:br/>
      </w:r>
      <w:r>
        <w:rPr>
          <w:rStyle w:val="VerbatimChar"/>
        </w:rPr>
        <w:t xml:space="preserve">coverage_domains</w:t>
      </w:r>
      <w:r>
        <w:br/>
      </w:r>
      <w:r>
        <w:rPr>
          <w:rStyle w:val="VerbatimChar"/>
        </w:rPr>
        <w:t xml:space="preserve">source_roles</w:t>
      </w:r>
      <w:r>
        <w:br/>
      </w:r>
      <w:r>
        <w:rPr>
          <w:rStyle w:val="VerbatimChar"/>
        </w:rPr>
        <w:t xml:space="preserve">reliability_or_authority_by_domain</w:t>
      </w:r>
      <w:r>
        <w:br/>
      </w:r>
      <w:r>
        <w:rPr>
          <w:rStyle w:val="VerbatimChar"/>
        </w:rPr>
        <w:t xml:space="preserve">independence_group / duplication risk</w:t>
      </w:r>
      <w:r>
        <w:br/>
      </w:r>
      <w:r>
        <w:rPr>
          <w:rStyle w:val="VerbatimChar"/>
        </w:rPr>
        <w:t xml:space="preserve">publishing_frequency</w:t>
      </w:r>
      <w:r>
        <w:br/>
      </w:r>
      <w:r>
        <w:rPr>
          <w:rStyle w:val="VerbatimChar"/>
        </w:rPr>
        <w:t xml:space="preserve">publishing_lag</w:t>
      </w:r>
      <w:r>
        <w:br/>
      </w:r>
      <w:r>
        <w:rPr>
          <w:rStyle w:val="VerbatimChar"/>
        </w:rPr>
        <w:t xml:space="preserve">acquisition_method</w:t>
      </w:r>
      <w:r>
        <w:br/>
      </w:r>
      <w:r>
        <w:rPr>
          <w:rStyle w:val="VerbatimChar"/>
        </w:rPr>
        <w:t xml:space="preserve">rights_version</w:t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vetting_state</w:t>
      </w:r>
      <w:r>
        <w:br/>
      </w:r>
      <w:r>
        <w:rPr>
          <w:rStyle w:val="VerbatimChar"/>
        </w:rPr>
        <w:t xml:space="preserve">last_reviewed_at</w:t>
      </w:r>
      <w:r>
        <w:br/>
      </w:r>
      <w:r>
        <w:rPr>
          <w:rStyle w:val="VerbatimChar"/>
        </w:rPr>
        <w:t xml:space="preserve">notes / known limitations</w:t>
      </w:r>
    </w:p>
    <w:p>
      <w:pPr>
        <w:pStyle w:val="FirstParagraph"/>
      </w:pPr>
      <w:r>
        <w:t xml:space="preserve">The first database implementation may use typed columns plus a constrained JSON field for low-volume domain ratings rather than prematurely normalizing every rating dimension.</w:t>
      </w:r>
    </w:p>
    <w:bookmarkEnd w:id="38"/>
    <w:bookmarkStart w:id="39" w:name="priority-is-not-authority"/>
    <w:p>
      <w:pPr>
        <w:pStyle w:val="Heading3"/>
      </w:pPr>
      <w:r>
        <w:t xml:space="preserve">Priority is not authority</w:t>
      </w:r>
    </w:p>
    <w:p>
      <w:pPr>
        <w:pStyle w:val="FirstParagraph"/>
      </w:pPr>
      <w:r>
        <w:t xml:space="preserve">Never use a single scalar to mean both</w:t>
      </w:r>
      <w:r>
        <w:t xml:space="preserve"> </w:t>
      </w:r>
      <w:r>
        <w:t xml:space="preserve">“</w:t>
      </w:r>
      <w:r>
        <w:t xml:space="preserve">we should routinely ingest this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we should believe everything it says.</w:t>
      </w:r>
      <w:r>
        <w:t xml:space="preserve">”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Supporter podcast</w:t>
      </w:r>
      <w:r>
        <w:br/>
      </w:r>
      <w:r>
        <w:rPr>
          <w:rStyle w:val="VerbatimChar"/>
        </w:rPr>
        <w:t xml:space="preserve">  acquisition_priority: high</w:t>
      </w:r>
      <w:r>
        <w:br/>
      </w:r>
      <w:r>
        <w:rPr>
          <w:rStyle w:val="VerbatimChar"/>
        </w:rPr>
        <w:t xml:space="preserve">  supporter texture/culture: high value</w:t>
      </w:r>
      <w:r>
        <w:br/>
      </w:r>
      <w:r>
        <w:rPr>
          <w:rStyle w:val="VerbatimChar"/>
        </w:rPr>
        <w:t xml:space="preserve">  injury status: low authority</w:t>
      </w:r>
      <w:r>
        <w:br/>
      </w:r>
      <w:r>
        <w:rPr>
          <w:rStyle w:val="VerbatimChar"/>
        </w:rPr>
        <w:t xml:space="preserve">  transfer rumor: low authority / attribution required</w:t>
      </w:r>
      <w:r>
        <w:br/>
      </w:r>
      <w:r>
        <w:br/>
      </w:r>
      <w:r>
        <w:rPr>
          <w:rStyle w:val="VerbatimChar"/>
        </w:rPr>
        <w:t xml:space="preserve">Club official site</w:t>
      </w:r>
      <w:r>
        <w:br/>
      </w:r>
      <w:r>
        <w:rPr>
          <w:rStyle w:val="VerbatimChar"/>
        </w:rPr>
        <w:t xml:space="preserve">  acquisition_priority: high</w:t>
      </w:r>
      <w:r>
        <w:br/>
      </w:r>
      <w:r>
        <w:rPr>
          <w:rStyle w:val="VerbatimChar"/>
        </w:rPr>
        <w:t xml:space="preserve">  official status/lineup/transaction: high authority</w:t>
      </w:r>
      <w:r>
        <w:br/>
      </w:r>
      <w:r>
        <w:rPr>
          <w:rStyle w:val="VerbatimChar"/>
        </w:rPr>
        <w:t xml:space="preserve">  independent analysis: low value</w:t>
      </w:r>
      <w:r>
        <w:br/>
      </w:r>
      <w:r>
        <w:rPr>
          <w:rStyle w:val="VerbatimChar"/>
        </w:rPr>
        <w:t xml:space="preserve">  supporter sentiment: not representative</w:t>
      </w:r>
    </w:p>
    <w:bookmarkEnd w:id="39"/>
    <w:bookmarkStart w:id="40" w:name="portfolio-construction"/>
    <w:p>
      <w:pPr>
        <w:pStyle w:val="Heading3"/>
      </w:pPr>
      <w:r>
        <w:t xml:space="preserve">Portfolio construction</w:t>
      </w:r>
    </w:p>
    <w:p>
      <w:pPr>
        <w:pStyle w:val="FirstParagraph"/>
      </w:pPr>
      <w:r>
        <w:t xml:space="preserve">Commissioning produces a working acquisition portfolio, not a permanent closed list.</w:t>
      </w:r>
    </w:p>
    <w:p>
      <w:pPr>
        <w:pStyle w:val="BodyText"/>
      </w:pPr>
      <w:r>
        <w:t xml:space="preserve">Selection should optimize for coverage capability, independence, freshness, rights/access, and useful modality/role diversity. Fixed counts such as</w:t>
      </w:r>
      <w:r>
        <w:t xml:space="preserve"> </w:t>
      </w:r>
      <w:r>
        <w:t xml:space="preserve">“</w:t>
      </w:r>
      <w:r>
        <w:t xml:space="preserve">4-6 press + 5-8 fan</w:t>
      </w:r>
      <w:r>
        <w:t xml:space="preserve">”</w:t>
      </w:r>
      <w:r>
        <w:t xml:space="preserve"> </w:t>
      </w:r>
      <w:r>
        <w:t xml:space="preserve">may be used as initial football heuristics but are not product invariants.</w:t>
      </w:r>
    </w:p>
    <w:p>
      <w:pPr>
        <w:pStyle w:val="BodyText"/>
      </w:pPr>
      <w:r>
        <w:t xml:space="preserve">The portfolio should answer:</w:t>
      </w:r>
    </w:p>
    <w:p>
      <w:pPr>
        <w:pStyle w:val="Compact"/>
        <w:numPr>
          <w:ilvl w:val="0"/>
          <w:numId w:val="1005"/>
        </w:numPr>
      </w:pPr>
      <w:r>
        <w:t xml:space="preserve">Can we verify basic event/status facts?</w:t>
      </w:r>
    </w:p>
    <w:p>
      <w:pPr>
        <w:pStyle w:val="Compact"/>
        <w:numPr>
          <w:ilvl w:val="0"/>
          <w:numId w:val="1005"/>
        </w:numPr>
      </w:pPr>
      <w:r>
        <w:t xml:space="preserve">Do we have meaningful independent reporting/analysis?</w:t>
      </w:r>
    </w:p>
    <w:p>
      <w:pPr>
        <w:pStyle w:val="Compact"/>
        <w:numPr>
          <w:ilvl w:val="0"/>
          <w:numId w:val="1005"/>
        </w:numPr>
      </w:pPr>
      <w:r>
        <w:t xml:space="preserve">Do we have enough supporter-native material to understand sentiment and cultural meaning?</w:t>
      </w:r>
    </w:p>
    <w:p>
      <w:pPr>
        <w:pStyle w:val="Compact"/>
        <w:numPr>
          <w:ilvl w:val="0"/>
          <w:numId w:val="1005"/>
        </w:numPr>
      </w:pPr>
      <w:r>
        <w:t xml:space="preserve">Are we over-dependent on one publisher or syndicated story?</w:t>
      </w:r>
    </w:p>
    <w:p>
      <w:pPr>
        <w:pStyle w:val="Compact"/>
        <w:numPr>
          <w:ilvl w:val="0"/>
          <w:numId w:val="1005"/>
        </w:numPr>
      </w:pPr>
      <w:r>
        <w:t xml:space="preserve">Are there important domains for which we have no legitimate ingest path?</w:t>
      </w:r>
    </w:p>
    <w:p>
      <w:pPr>
        <w:pStyle w:val="Compact"/>
        <w:numPr>
          <w:ilvl w:val="0"/>
          <w:numId w:val="1005"/>
        </w:numPr>
      </w:pPr>
      <w:r>
        <w:t xml:space="preserve">Can the sources actually be acquired within the intended post-event production window?</w:t>
      </w:r>
    </w:p>
    <w:bookmarkEnd w:id="40"/>
    <w:bookmarkStart w:id="41" w:name="rights-and-access"/>
    <w:p>
      <w:pPr>
        <w:pStyle w:val="Heading3"/>
      </w:pPr>
      <w:r>
        <w:t xml:space="preserve">Rights and access</w:t>
      </w:r>
    </w:p>
    <w:p>
      <w:pPr>
        <w:pStyle w:val="FirstParagraph"/>
      </w:pPr>
      <w:r>
        <w:t xml:space="preserve">Every routine acquisition source must have an applicable rights/access version before it is considered production-ready.</w:t>
      </w:r>
    </w:p>
    <w:p>
      <w:pPr>
        <w:pStyle w:val="BodyText"/>
      </w:pPr>
      <w:r>
        <w:t xml:space="preserve">Commissioning records what the product is allowed to retrieve, retain, quote, paraphrase, expose to models, and use commercially. A source can be editorially valuable but operationally unavailable.</w:t>
      </w:r>
    </w:p>
    <w:bookmarkEnd w:id="41"/>
    <w:bookmarkEnd w:id="42"/>
    <w:bookmarkStart w:id="45" w:name="X22ec131395db5e34b61e6096a3b20d322b51d16"/>
    <w:p>
      <w:pPr>
        <w:pStyle w:val="Heading2"/>
      </w:pPr>
      <w:r>
        <w:t xml:space="preserve">Phase 4 - Baselines and current-state bootstrap</w:t>
      </w:r>
    </w:p>
    <w:p>
      <w:pPr>
        <w:pStyle w:val="FirstParagraph"/>
      </w:pPr>
      <w:r>
        <w:t xml:space="preserve">A new club should not begin its first episode as if the season started that morning.</w:t>
      </w:r>
    </w:p>
    <w:bookmarkStart w:id="43" w:name="seeded-baselines"/>
    <w:p>
      <w:pPr>
        <w:pStyle w:val="Heading3"/>
      </w:pPr>
      <w:r>
        <w:t xml:space="preserve">Seeded baselines</w:t>
      </w:r>
    </w:p>
    <w:p>
      <w:pPr>
        <w:pStyle w:val="FirstParagraph"/>
      </w:pPr>
      <w:r>
        <w:t xml:space="preserve">Where feasible, commission recent historical output sufficient to seed baseline expectations for:</w:t>
      </w:r>
    </w:p>
    <w:p>
      <w:pPr>
        <w:pStyle w:val="Compact"/>
        <w:numPr>
          <w:ilvl w:val="0"/>
          <w:numId w:val="1006"/>
        </w:numPr>
      </w:pPr>
      <w:r>
        <w:t xml:space="preserve">publishing rate and lag;</w:t>
      </w:r>
    </w:p>
    <w:p>
      <w:pPr>
        <w:pStyle w:val="Compact"/>
        <w:numPr>
          <w:ilvl w:val="0"/>
          <w:numId w:val="1006"/>
        </w:numPr>
      </w:pPr>
      <w:r>
        <w:t xml:space="preserve">coverage volume;</w:t>
      </w:r>
    </w:p>
    <w:p>
      <w:pPr>
        <w:pStyle w:val="Compact"/>
        <w:numPr>
          <w:ilvl w:val="0"/>
          <w:numId w:val="1006"/>
        </w:numPr>
      </w:pPr>
      <w:r>
        <w:t xml:space="preserve">beat/topic mix;</w:t>
      </w:r>
    </w:p>
    <w:p>
      <w:pPr>
        <w:pStyle w:val="Compact"/>
        <w:numPr>
          <w:ilvl w:val="0"/>
          <w:numId w:val="1006"/>
        </w:numPr>
      </w:pPr>
      <w:r>
        <w:t xml:space="preserve">supporter tenor range;</w:t>
      </w:r>
    </w:p>
    <w:p>
      <w:pPr>
        <w:pStyle w:val="Compact"/>
        <w:numPr>
          <w:ilvl w:val="0"/>
          <w:numId w:val="1006"/>
        </w:numPr>
      </w:pPr>
      <w:r>
        <w:t xml:space="preserve">source health/frequency;</w:t>
      </w:r>
    </w:p>
    <w:p>
      <w:pPr>
        <w:pStyle w:val="Compact"/>
        <w:numPr>
          <w:ilvl w:val="0"/>
          <w:numId w:val="1006"/>
        </w:numPr>
      </w:pPr>
      <w:r>
        <w:t xml:space="preserve">other source/lens norms used by ingest.</w:t>
      </w:r>
    </w:p>
    <w:p>
      <w:pPr>
        <w:pStyle w:val="FirstParagraph"/>
      </w:pPr>
      <w:r>
        <w:t xml:space="preserve">Recent periods matter more than old archives for publishing behavior because media habits change.</w:t>
      </w:r>
    </w:p>
    <w:bookmarkEnd w:id="43"/>
    <w:bookmarkStart w:id="44" w:name="current-state-bootstrap"/>
    <w:p>
      <w:pPr>
        <w:pStyle w:val="Heading3"/>
      </w:pPr>
      <w:r>
        <w:t xml:space="preserve">Current-state bootstrap</w:t>
      </w:r>
    </w:p>
    <w:p>
      <w:pPr>
        <w:pStyle w:val="FirstParagraph"/>
      </w:pPr>
      <w:r>
        <w:t xml:space="preserve">Commissioning should establish the current context needed for the first production run, such as:</w:t>
      </w:r>
    </w:p>
    <w:p>
      <w:pPr>
        <w:pStyle w:val="Compact"/>
        <w:numPr>
          <w:ilvl w:val="0"/>
          <w:numId w:val="1007"/>
        </w:numPr>
      </w:pPr>
      <w:r>
        <w:t xml:space="preserve">current competition/season;</w:t>
      </w:r>
    </w:p>
    <w:p>
      <w:pPr>
        <w:pStyle w:val="Compact"/>
        <w:numPr>
          <w:ilvl w:val="0"/>
          <w:numId w:val="1007"/>
        </w:numPr>
      </w:pPr>
      <w:r>
        <w:t xml:space="preserve">manager/coaching leadership;</w:t>
      </w:r>
    </w:p>
    <w:p>
      <w:pPr>
        <w:pStyle w:val="Compact"/>
        <w:numPr>
          <w:ilvl w:val="0"/>
          <w:numId w:val="1007"/>
        </w:numPr>
      </w:pPr>
      <w:r>
        <w:t xml:space="preserve">current squad/roster and major status changes;</w:t>
      </w:r>
    </w:p>
    <w:p>
      <w:pPr>
        <w:pStyle w:val="Compact"/>
        <w:numPr>
          <w:ilvl w:val="0"/>
          <w:numId w:val="1007"/>
        </w:numPr>
      </w:pPr>
      <w:r>
        <w:t xml:space="preserve">recent results/form context where relevant;</w:t>
      </w:r>
    </w:p>
    <w:p>
      <w:pPr>
        <w:pStyle w:val="Compact"/>
        <w:numPr>
          <w:ilvl w:val="0"/>
          <w:numId w:val="1007"/>
        </w:numPr>
      </w:pPr>
      <w:r>
        <w:t xml:space="preserve">table/standing state;</w:t>
      </w:r>
    </w:p>
    <w:p>
      <w:pPr>
        <w:pStyle w:val="Compact"/>
        <w:numPr>
          <w:ilvl w:val="0"/>
          <w:numId w:val="1007"/>
        </w:numPr>
      </w:pPr>
      <w:r>
        <w:t xml:space="preserve">current major topic threads that are well-supported;</w:t>
      </w:r>
    </w:p>
    <w:p>
      <w:pPr>
        <w:pStyle w:val="Compact"/>
        <w:numPr>
          <w:ilvl w:val="0"/>
          <w:numId w:val="1007"/>
        </w:numPr>
      </w:pPr>
      <w:r>
        <w:t xml:space="preserve">recent durable club changes such as stadium/ownership/leadership changes.</w:t>
      </w:r>
    </w:p>
    <w:p>
      <w:pPr>
        <w:pStyle w:val="FirstParagraph"/>
      </w:pPr>
      <w:r>
        <w:t xml:space="preserve">Fast-changing information remains current-state knowledge and must not be mistaken for permanent lore.</w:t>
      </w:r>
    </w:p>
    <w:bookmarkEnd w:id="44"/>
    <w:bookmarkEnd w:id="45"/>
    <w:bookmarkStart w:id="49" w:name="X5585641b55145821cbfce0ac8ba24b2ddffc31d"/>
    <w:p>
      <w:pPr>
        <w:pStyle w:val="Heading2"/>
      </w:pPr>
      <w:r>
        <w:t xml:space="preserve">Phase 5 - Lore, culture, pronunciation, and sensitivity</w:t>
      </w:r>
    </w:p>
    <w:p>
      <w:pPr>
        <w:pStyle w:val="FirstParagraph"/>
      </w:pPr>
      <w:r>
        <w:t xml:space="preserve">The existing Lore Pipeline methods remain useful but become a subsystem of Coverage Commissioning rather than the owner of all spin-up.</w:t>
      </w:r>
    </w:p>
    <w:bookmarkStart w:id="46" w:name="lorecultural-method"/>
    <w:p>
      <w:pPr>
        <w:pStyle w:val="Heading3"/>
      </w:pPr>
      <w:r>
        <w:t xml:space="preserve">Lore/cultural method</w:t>
      </w:r>
    </w:p>
    <w:p>
      <w:pPr>
        <w:pStyle w:val="FirstParagraph"/>
      </w:pPr>
      <w:r>
        <w:t xml:space="preserve">Preserve the principle that different source classes are good for different kinds of claims. Historical/reference and official sources can establish many facts; supporter-native sources are often necessary to establish cultural weight, vernacular, grievance, or emotional importance.</w:t>
      </w:r>
    </w:p>
    <w:p>
      <w:pPr>
        <w:pStyle w:val="BodyText"/>
      </w:pPr>
      <w:r>
        <w:t xml:space="preserve">Culture is sourced or absent.</w:t>
      </w:r>
    </w:p>
    <w:bookmarkEnd w:id="46"/>
    <w:bookmarkStart w:id="47" w:name="pronunciation"/>
    <w:p>
      <w:pPr>
        <w:pStyle w:val="Heading3"/>
      </w:pPr>
      <w:r>
        <w:t xml:space="preserve">Pronunciation</w:t>
      </w:r>
    </w:p>
    <w:p>
      <w:pPr>
        <w:pStyle w:val="FirstParagraph"/>
      </w:pPr>
      <w:r>
        <w:t xml:space="preserve">Commission the canonical pronunciation set required for current coverage: club, stadium, manager/staff names likely to be spoken, current squad/roster, and recurring competition/place names where needed.</w:t>
      </w:r>
    </w:p>
    <w:p>
      <w:pPr>
        <w:pStyle w:val="BodyText"/>
      </w:pPr>
      <w:r>
        <w:t xml:space="preserve">Provider/voice-specific renderings remain downstream derivatives of canonical pronunciation versions.</w:t>
      </w:r>
    </w:p>
    <w:bookmarkEnd w:id="47"/>
    <w:bookmarkStart w:id="48" w:name="sensitivity"/>
    <w:p>
      <w:pPr>
        <w:pStyle w:val="Heading3"/>
      </w:pPr>
      <w:r>
        <w:t xml:space="preserve">Sensitivity</w:t>
      </w:r>
    </w:p>
    <w:p>
      <w:pPr>
        <w:pStyle w:val="FirstParagraph"/>
      </w:pPr>
      <w:r>
        <w:t xml:space="preserve">Run explicit recall-first searches for material where omission creates disproportionate risk: tragedies, deaths, discriminatory abuse, politically/ownership-sensitive topics, abusive nicknames/chants, and important anniversaries.</w:t>
      </w:r>
    </w:p>
    <w:p>
      <w:pPr>
        <w:pStyle w:val="BodyText"/>
      </w:pPr>
      <w:r>
        <w:t xml:space="preserve">An empty sensitivity list means</w:t>
      </w:r>
      <w:r>
        <w:t xml:space="preserve"> </w:t>
      </w:r>
      <w:r>
        <w:t xml:space="preserve">“</w:t>
      </w:r>
      <w:r>
        <w:t xml:space="preserve">checked and none found,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not researched.</w:t>
      </w:r>
      <w:r>
        <w:t xml:space="preserve">”</w:t>
      </w:r>
    </w:p>
    <w:bookmarkEnd w:id="48"/>
    <w:bookmarkEnd w:id="49"/>
    <w:bookmarkStart w:id="54" w:name="phase-6---adversarial-and-gap-review"/>
    <w:p>
      <w:pPr>
        <w:pStyle w:val="Heading2"/>
      </w:pPr>
      <w:r>
        <w:t xml:space="preserve">Phase 6 - Adversarial and gap review</w:t>
      </w:r>
    </w:p>
    <w:p>
      <w:pPr>
        <w:pStyle w:val="FirstParagraph"/>
      </w:pPr>
      <w:r>
        <w:t xml:space="preserve">The primary research process must not be the sole judge of its own completeness.</w:t>
      </w:r>
    </w:p>
    <w:p>
      <w:pPr>
        <w:pStyle w:val="BodyText"/>
      </w:pPr>
      <w:r>
        <w:t xml:space="preserve">Commissioning performs at least these independent challenge modes:</w:t>
      </w:r>
    </w:p>
    <w:bookmarkStart w:id="50" w:name="evidence-retrieval-challenge"/>
    <w:p>
      <w:pPr>
        <w:pStyle w:val="Heading3"/>
      </w:pPr>
      <w:r>
        <w:t xml:space="preserve">Evidence retrieval challenge</w:t>
      </w:r>
    </w:p>
    <w:p>
      <w:pPr>
        <w:pStyle w:val="FirstParagraph"/>
      </w:pPr>
      <w:r>
        <w:t xml:space="preserve">For important claims, return the supporting source/evidence locator. Unsupported items are demoted, contested, or removed according to Claims Policy.</w:t>
      </w:r>
    </w:p>
    <w:bookmarkEnd w:id="50"/>
    <w:bookmarkStart w:id="51" w:name="adversarial-factual-challenge"/>
    <w:p>
      <w:pPr>
        <w:pStyle w:val="Heading3"/>
      </w:pPr>
      <w:r>
        <w:t xml:space="preserve">Adversarial factual challenge</w:t>
      </w:r>
    </w:p>
    <w:p>
      <w:pPr>
        <w:pStyle w:val="FirstParagraph"/>
      </w:pPr>
      <w:r>
        <w:t xml:space="preserve">A distinct model/provider where practical identifies the highest-risk claims, unsupported leaps, source monocultures, and contradictions.</w:t>
      </w:r>
    </w:p>
    <w:p>
      <w:pPr>
        <w:pStyle w:val="BodyText"/>
      </w:pPr>
      <w:r>
        <w:t xml:space="preserve">Do not use an artificial requirement to find errors where none exist as the final decision rule. The purpose is pressure testing, not manufacturing findings.</w:t>
      </w:r>
    </w:p>
    <w:bookmarkEnd w:id="51"/>
    <w:bookmarkStart w:id="52" w:name="outsiderwince-challenge"/>
    <w:p>
      <w:pPr>
        <w:pStyle w:val="Heading3"/>
      </w:pPr>
      <w:r>
        <w:t xml:space="preserve">Outsider/wince challenge</w:t>
      </w:r>
    </w:p>
    <w:p>
      <w:pPr>
        <w:pStyle w:val="FirstParagraph"/>
      </w:pPr>
      <w:r>
        <w:t xml:space="preserve">Ask whether the result contains culturally plausible but locally wrong framing: nominal rivalries treated as emotionally central, opposition nicknames presented as self-identification, stale tropes, or outsider assumptions.</w:t>
      </w:r>
    </w:p>
    <w:bookmarkEnd w:id="52"/>
    <w:bookmarkStart w:id="53" w:name="missing-domain-challenge"/>
    <w:p>
      <w:pPr>
        <w:pStyle w:val="Heading3"/>
      </w:pPr>
      <w:r>
        <w:t xml:space="preserve">Missing-domain challenge</w:t>
      </w:r>
    </w:p>
    <w:p>
      <w:pPr>
        <w:pStyle w:val="FirstParagraph"/>
      </w:pPr>
      <w:r>
        <w:t xml:space="preserve">Explicitly ask what a knowledgeable producer would expect to know that the commissioning output does not yet cover.</w:t>
      </w:r>
    </w:p>
    <w:p>
      <w:pPr>
        <w:pStyle w:val="BodyText"/>
      </w:pPr>
      <w:r>
        <w:t xml:space="preserve">Missing knowledge may remain a gap if it is nonessential. The important thing is that the gap becomes visible rather than silently hallucinated away.</w:t>
      </w:r>
    </w:p>
    <w:bookmarkEnd w:id="53"/>
    <w:bookmarkEnd w:id="54"/>
    <w:bookmarkStart w:id="58" w:name="phase-7---coverage-readiness-evaluation"/>
    <w:p>
      <w:pPr>
        <w:pStyle w:val="Heading2"/>
      </w:pPr>
      <w:r>
        <w:t xml:space="preserve">Phase 7 - Coverage readiness evaluation</w:t>
      </w:r>
    </w:p>
    <w:p>
      <w:pPr>
        <w:pStyle w:val="FirstParagraph"/>
      </w:pPr>
      <w:r>
        <w:t xml:space="preserve">Coverage readiness is an evidence-backed assessment, not a boolean set by the drafting model.</w:t>
      </w:r>
    </w:p>
    <w:p>
      <w:pPr>
        <w:pStyle w:val="BodyText"/>
      </w:pPr>
      <w:r>
        <w:t xml:space="preserve">Possible terminal states: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READY</w:t>
      </w:r>
      <w:r>
        <w:t xml:space="preserve">: sufficient capability for the intended show;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DEGRADED</w:t>
      </w:r>
      <w:r>
        <w:t xml:space="preserve">: launch may be possible with explicit known limitations and programming constraints;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NOT_READY</w:t>
      </w:r>
      <w:r>
        <w:t xml:space="preserve">: the Desk cannot yet make the intended show responsibly.</w:t>
      </w:r>
    </w:p>
    <w:bookmarkStart w:id="55" w:name="readiness-dimensions"/>
    <w:p>
      <w:pPr>
        <w:pStyle w:val="Heading3"/>
      </w:pPr>
      <w:r>
        <w:t xml:space="preserve">Readiness dimensions</w:t>
      </w:r>
    </w:p>
    <w:p>
      <w:pPr>
        <w:pStyle w:val="FirstParagraph"/>
      </w:pPr>
      <w:r>
        <w:t xml:space="preserve">The assessment should cover at minimum: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Entity identity:</w:t>
      </w:r>
      <w:r>
        <w:t xml:space="preserve"> </w:t>
      </w:r>
      <w:r>
        <w:t xml:space="preserve">Do we know who/what this scope is and its key relationships?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Event/status facts:</w:t>
      </w:r>
      <w:r>
        <w:t xml:space="preserve"> </w:t>
      </w:r>
      <w:r>
        <w:t xml:space="preserve">Can we reliably obtain authoritative current facts?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Independent analysis/reporting:</w:t>
      </w:r>
      <w:r>
        <w:t xml:space="preserve"> </w:t>
      </w:r>
      <w:r>
        <w:t xml:space="preserve">Do we have legitimate external perspective beyond official statements?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Supporter/cultural evidence:</w:t>
      </w:r>
      <w:r>
        <w:t xml:space="preserve"> </w:t>
      </w:r>
      <w:r>
        <w:t xml:space="preserve">Can we understand how supporters talk/feel without inventing it?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coverage:</w:t>
      </w:r>
      <w:r>
        <w:t xml:space="preserve"> </w:t>
      </w:r>
      <w:r>
        <w:t xml:space="preserve">Are the structured statistics needed by Gaz/the format actually available?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Rights/access:</w:t>
      </w:r>
      <w:r>
        <w:t xml:space="preserve"> </w:t>
      </w:r>
      <w:r>
        <w:t xml:space="preserve">Can production legally/operationally acquire and use the selected sources?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Pronunciation:</w:t>
      </w:r>
      <w:r>
        <w:t xml:space="preserve"> </w:t>
      </w:r>
      <w:r>
        <w:t xml:space="preserve">Are recurring names covered or visibly queued?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Sensitivity:</w:t>
      </w:r>
      <w:r>
        <w:t xml:space="preserve"> </w:t>
      </w:r>
      <w:r>
        <w:t xml:space="preserve">Has the recall-first sensitivity pass been completed?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Baselines:</w:t>
      </w:r>
      <w:r>
        <w:t xml:space="preserve"> </w:t>
      </w:r>
      <w:r>
        <w:t xml:space="preserve">Is there enough recent history to interpret unusual volume/tenor where the format depends on it?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Current-state bootstrap:</w:t>
      </w:r>
      <w:r>
        <w:t xml:space="preserve"> </w:t>
      </w:r>
      <w:r>
        <w:t xml:space="preserve">Can the first episode sound season-aware rather than born this morning?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Retrieval:</w:t>
      </w:r>
      <w:r>
        <w:t xml:space="preserve"> </w:t>
      </w:r>
      <w:r>
        <w:t xml:space="preserve">Can relevant stored knowledge actually be found later?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Known gaps:</w:t>
      </w:r>
      <w:r>
        <w:t xml:space="preserve"> </w:t>
      </w:r>
      <w:r>
        <w:t xml:space="preserve">Are material gaps explicitly represented?</w:t>
      </w:r>
    </w:p>
    <w:bookmarkEnd w:id="55"/>
    <w:bookmarkStart w:id="56" w:name="Xa9bd0f7a15cb3746cb6edefd03e52ebe1c32af9"/>
    <w:p>
      <w:pPr>
        <w:pStyle w:val="Heading3"/>
      </w:pPr>
      <w:r>
        <w:t xml:space="preserve">Coverage capability beats raw source count</w:t>
      </w:r>
    </w:p>
    <w:p>
      <w:pPr>
        <w:pStyle w:val="FirstParagraph"/>
      </w:pPr>
      <w:r>
        <w:t xml:space="preserve">A portfolio with many websites can still be weak if they all syndicate the same story or omit supporter-native/contextual material. A smaller but complementary portfolio can be stronger.</w:t>
      </w:r>
    </w:p>
    <w:p>
      <w:pPr>
        <w:pStyle w:val="BodyText"/>
      </w:pPr>
      <w:r>
        <w:t xml:space="preserve">The readiness assessment should therefore use capability checks rather than a universal numeric source threshold. Show-specific coverage floors may still require particular lenses at package time.</w:t>
      </w:r>
    </w:p>
    <w:bookmarkEnd w:id="56"/>
    <w:bookmarkStart w:id="57" w:name="independent-readiness-judgment"/>
    <w:p>
      <w:pPr>
        <w:pStyle w:val="Heading3"/>
      </w:pPr>
      <w:r>
        <w:t xml:space="preserve">Independent readiness judgment</w:t>
      </w:r>
    </w:p>
    <w:p>
      <w:pPr>
        <w:pStyle w:val="FirstParagraph"/>
      </w:pPr>
      <w:r>
        <w:t xml:space="preserve">The same model run that assembled the commissioning output may not be the sole authority setting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BodyText"/>
      </w:pPr>
      <w:r>
        <w:t xml:space="preserve">A separate evaluation pass or named human adjudication confirms the result. The implementation can be lightweight for one operator, but the provenance must exist.</w:t>
      </w:r>
    </w:p>
    <w:bookmarkEnd w:id="57"/>
    <w:bookmarkEnd w:id="58"/>
    <w:bookmarkStart w:id="59" w:name="the-coverage-dossier"/>
    <w:p>
      <w:pPr>
        <w:pStyle w:val="Heading2"/>
      </w:pPr>
      <w:r>
        <w:t xml:space="preserve">The Coverage Dossier</w:t>
      </w:r>
    </w:p>
    <w:p>
      <w:pPr>
        <w:pStyle w:val="FirstParagraph"/>
      </w:pPr>
      <w:r>
        <w:t xml:space="preserve">The operator needs an easy way to understand the commissioned scope without querying tables manually.</w:t>
      </w:r>
    </w:p>
    <w:p>
      <w:pPr>
        <w:pStyle w:val="BodyText"/>
      </w:pPr>
      <w:r>
        <w:t xml:space="preserve">The system therefore generates a derived Coverage Dossier containing, as appropriate:</w:t>
      </w:r>
    </w:p>
    <w:p>
      <w:pPr>
        <w:pStyle w:val="Compact"/>
        <w:numPr>
          <w:ilvl w:val="0"/>
          <w:numId w:val="1010"/>
        </w:numPr>
      </w:pPr>
      <w:r>
        <w:t xml:space="preserve">scope identity and relationships;</w:t>
      </w:r>
    </w:p>
    <w:p>
      <w:pPr>
        <w:pStyle w:val="Compact"/>
        <w:numPr>
          <w:ilvl w:val="0"/>
          <w:numId w:val="1010"/>
        </w:numPr>
      </w:pPr>
      <w:r>
        <w:t xml:space="preserve">readiness state and last evaluation date;</w:t>
      </w:r>
    </w:p>
    <w:p>
      <w:pPr>
        <w:pStyle w:val="Compact"/>
        <w:numPr>
          <w:ilvl w:val="0"/>
          <w:numId w:val="1010"/>
        </w:numPr>
      </w:pPr>
      <w:r>
        <w:t xml:space="preserve">concise identity/history/culture summary;</w:t>
      </w:r>
    </w:p>
    <w:p>
      <w:pPr>
        <w:pStyle w:val="Compact"/>
        <w:numPr>
          <w:ilvl w:val="0"/>
          <w:numId w:val="1010"/>
        </w:numPr>
      </w:pPr>
      <w:r>
        <w:t xml:space="preserve">current competition/season state;</w:t>
      </w:r>
    </w:p>
    <w:p>
      <w:pPr>
        <w:pStyle w:val="Compact"/>
        <w:numPr>
          <w:ilvl w:val="0"/>
          <w:numId w:val="1010"/>
        </w:numPr>
      </w:pPr>
      <w:r>
        <w:t xml:space="preserve">source/media ecosystem and acquisition priorities;</w:t>
      </w:r>
    </w:p>
    <w:p>
      <w:pPr>
        <w:pStyle w:val="Compact"/>
        <w:numPr>
          <w:ilvl w:val="0"/>
          <w:numId w:val="1010"/>
        </w:numPr>
      </w:pPr>
      <w:r>
        <w:t xml:space="preserve">what each important source is trusted/useful for;</w:t>
      </w:r>
    </w:p>
    <w:p>
      <w:pPr>
        <w:pStyle w:val="Compact"/>
        <w:numPr>
          <w:ilvl w:val="0"/>
          <w:numId w:val="1010"/>
        </w:numPr>
      </w:pPr>
      <w:r>
        <w:t xml:space="preserve">rights/access limitations;</w:t>
      </w:r>
    </w:p>
    <w:p>
      <w:pPr>
        <w:pStyle w:val="Compact"/>
        <w:numPr>
          <w:ilvl w:val="0"/>
          <w:numId w:val="1010"/>
        </w:numPr>
      </w:pPr>
      <w:r>
        <w:t xml:space="preserve">pronunciation coverage;</w:t>
      </w:r>
    </w:p>
    <w:p>
      <w:pPr>
        <w:pStyle w:val="Compact"/>
        <w:numPr>
          <w:ilvl w:val="0"/>
          <w:numId w:val="1010"/>
        </w:numPr>
      </w:pPr>
      <w:r>
        <w:t xml:space="preserve">sensitivities;</w:t>
      </w:r>
    </w:p>
    <w:p>
      <w:pPr>
        <w:pStyle w:val="Compact"/>
        <w:numPr>
          <w:ilvl w:val="0"/>
          <w:numId w:val="1010"/>
        </w:numPr>
      </w:pPr>
      <w:r>
        <w:t xml:space="preserve">baseline state;</w:t>
      </w:r>
    </w:p>
    <w:p>
      <w:pPr>
        <w:pStyle w:val="Compact"/>
        <w:numPr>
          <w:ilvl w:val="0"/>
          <w:numId w:val="1010"/>
        </w:numPr>
      </w:pPr>
      <w:r>
        <w:t xml:space="preserve">known gaps and degraded areas;</w:t>
      </w:r>
    </w:p>
    <w:p>
      <w:pPr>
        <w:pStyle w:val="Compact"/>
        <w:numPr>
          <w:ilvl w:val="0"/>
          <w:numId w:val="1010"/>
        </w:numPr>
      </w:pPr>
      <w:r>
        <w:t xml:space="preserve">recent enrichment/correction activity;</w:t>
      </w:r>
    </w:p>
    <w:p>
      <w:pPr>
        <w:pStyle w:val="Compact"/>
        <w:numPr>
          <w:ilvl w:val="0"/>
          <w:numId w:val="1010"/>
        </w:numPr>
      </w:pPr>
      <w:r>
        <w:t xml:space="preserve">next review dates.</w:t>
      </w:r>
    </w:p>
    <w:p>
      <w:pPr>
        <w:pStyle w:val="FirstParagraph"/>
      </w:pPr>
      <w:r>
        <w:t xml:space="preserve">The dossier is regenerated from canonical records. It is not cited as factual support by the episode pipeline.</w:t>
      </w:r>
    </w:p>
    <w:bookmarkEnd w:id="59"/>
    <w:bookmarkStart w:id="60" w:name="knowledge-volatility-and-maintenance"/>
    <w:p>
      <w:pPr>
        <w:pStyle w:val="Heading2"/>
      </w:pPr>
      <w:r>
        <w:t xml:space="preserve">Knowledge volatility and maintenance</w:t>
      </w:r>
    </w:p>
    <w:p>
      <w:pPr>
        <w:pStyle w:val="FirstParagraph"/>
      </w:pPr>
      <w:r>
        <w:t xml:space="preserve">Commissioning records or derives an expected volatility/review class. Initial classes may be simple:</w:t>
      </w:r>
    </w:p>
    <w:p>
      <w:pPr>
        <w:pStyle w:val="SourceCode"/>
      </w:pPr>
      <w:r>
        <w:rPr>
          <w:rStyle w:val="VerbatimChar"/>
        </w:rPr>
        <w:t xml:space="preserve">very_stable</w:t>
      </w:r>
      <w:r>
        <w:br/>
      </w:r>
      <w:r>
        <w:rPr>
          <w:rStyle w:val="VerbatimChar"/>
        </w:rPr>
        <w:t xml:space="preserve">slow</w:t>
      </w:r>
      <w:r>
        <w:br/>
      </w:r>
      <w:r>
        <w:rPr>
          <w:rStyle w:val="VerbatimChar"/>
        </w:rPr>
        <w:t xml:space="preserve">seasonal</w:t>
      </w:r>
      <w:r>
        <w:br/>
      </w:r>
      <w:r>
        <w:rPr>
          <w:rStyle w:val="VerbatimChar"/>
        </w:rPr>
        <w:t xml:space="preserve">fast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founding year:</w:t>
      </w:r>
      <w:r>
        <w:t xml:space="preserve"> </w:t>
      </w:r>
      <w:r>
        <w:rPr>
          <w:rStyle w:val="VerbatimChar"/>
        </w:rPr>
        <w:t xml:space="preserve">very_stable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rivalry/cultural weight:</w:t>
      </w:r>
      <w:r>
        <w:t xml:space="preserve"> </w:t>
      </w:r>
      <w:r>
        <w:rPr>
          <w:rStyle w:val="VerbatimChar"/>
        </w:rPr>
        <w:t xml:space="preserve">slow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source portfolio/baselines:</w:t>
      </w:r>
      <w:r>
        <w:t xml:space="preserve"> </w:t>
      </w:r>
      <w:r>
        <w:rPr>
          <w:rStyle w:val="VerbatimChar"/>
        </w:rPr>
        <w:t xml:space="preserve">seasonal</w:t>
      </w:r>
      <w:r>
        <w:t xml:space="preserve"> </w:t>
      </w:r>
      <w:r>
        <w:t xml:space="preserve">or event-driven;</w:t>
      </w:r>
    </w:p>
    <w:p>
      <w:pPr>
        <w:pStyle w:val="Compact"/>
        <w:numPr>
          <w:ilvl w:val="0"/>
          <w:numId w:val="1011"/>
        </w:numPr>
      </w:pPr>
      <w:r>
        <w:t xml:space="preserve">manager/squad/current threads:</w:t>
      </w:r>
      <w:r>
        <w:t xml:space="preserve"> </w:t>
      </w:r>
      <w:r>
        <w:rPr>
          <w:rStyle w:val="VerbatimChar"/>
        </w:rPr>
        <w:t xml:space="preserve">fast</w:t>
      </w:r>
      <w:r>
        <w:t xml:space="preserve">.</w:t>
      </w:r>
    </w:p>
    <w:p>
      <w:pPr>
        <w:pStyle w:val="FirstParagraph"/>
      </w:pPr>
      <w:r>
        <w:t xml:space="preserve">Review cadence should follow volatility rather than rerunning the entire commissioning job on one schedule.</w:t>
      </w:r>
    </w:p>
    <w:p>
      <w:pPr>
        <w:pStyle w:val="BodyText"/>
      </w:pPr>
      <w:r>
        <w:t xml:space="preserve">Maintenance triggers may include:</w:t>
      </w:r>
    </w:p>
    <w:p>
      <w:pPr>
        <w:pStyle w:val="Compact"/>
        <w:numPr>
          <w:ilvl w:val="0"/>
          <w:numId w:val="1012"/>
        </w:numPr>
      </w:pPr>
      <w:r>
        <w:t xml:space="preserve">source health degradation;</w:t>
      </w:r>
    </w:p>
    <w:p>
      <w:pPr>
        <w:pStyle w:val="Compact"/>
        <w:numPr>
          <w:ilvl w:val="0"/>
          <w:numId w:val="1012"/>
        </w:numPr>
      </w:pPr>
      <w:r>
        <w:t xml:space="preserve">source rights/access change;</w:t>
      </w:r>
    </w:p>
    <w:p>
      <w:pPr>
        <w:pStyle w:val="Compact"/>
        <w:numPr>
          <w:ilvl w:val="0"/>
          <w:numId w:val="1012"/>
        </w:numPr>
      </w:pPr>
      <w:r>
        <w:t xml:space="preserve">reporter/outlet move;</w:t>
      </w:r>
    </w:p>
    <w:p>
      <w:pPr>
        <w:pStyle w:val="Compact"/>
        <w:numPr>
          <w:ilvl w:val="0"/>
          <w:numId w:val="1012"/>
        </w:numPr>
      </w:pPr>
      <w:r>
        <w:t xml:space="preserve">newly discovered influential source;</w:t>
      </w:r>
    </w:p>
    <w:p>
      <w:pPr>
        <w:pStyle w:val="Compact"/>
        <w:numPr>
          <w:ilvl w:val="0"/>
          <w:numId w:val="1012"/>
        </w:numPr>
      </w:pPr>
      <w:r>
        <w:t xml:space="preserve">promotion/relegation or competition change;</w:t>
      </w:r>
    </w:p>
    <w:p>
      <w:pPr>
        <w:pStyle w:val="Compact"/>
        <w:numPr>
          <w:ilvl w:val="0"/>
          <w:numId w:val="1012"/>
        </w:numPr>
      </w:pPr>
      <w:r>
        <w:t xml:space="preserve">manager/squad turnover;</w:t>
      </w:r>
    </w:p>
    <w:p>
      <w:pPr>
        <w:pStyle w:val="Compact"/>
        <w:numPr>
          <w:ilvl w:val="0"/>
          <w:numId w:val="1012"/>
        </w:numPr>
      </w:pPr>
      <w:r>
        <w:t xml:space="preserve">venue/ownership/leadership change;</w:t>
      </w:r>
    </w:p>
    <w:p>
      <w:pPr>
        <w:pStyle w:val="Compact"/>
        <w:numPr>
          <w:ilvl w:val="0"/>
          <w:numId w:val="1012"/>
        </w:numPr>
      </w:pPr>
      <w:r>
        <w:t xml:space="preserve">repeated new terminology/cultural references;</w:t>
      </w:r>
    </w:p>
    <w:p>
      <w:pPr>
        <w:pStyle w:val="Compact"/>
        <w:numPr>
          <w:ilvl w:val="0"/>
          <w:numId w:val="1012"/>
        </w:numPr>
      </w:pPr>
      <w:r>
        <w:t xml:space="preserve">correction submission;</w:t>
      </w:r>
    </w:p>
    <w:p>
      <w:pPr>
        <w:pStyle w:val="Compact"/>
        <w:numPr>
          <w:ilvl w:val="0"/>
          <w:numId w:val="1012"/>
        </w:numPr>
      </w:pPr>
      <w:r>
        <w:t xml:space="preserve">enrichment candidates from ingest;</w:t>
      </w:r>
    </w:p>
    <w:p>
      <w:pPr>
        <w:pStyle w:val="Compact"/>
        <w:numPr>
          <w:ilvl w:val="0"/>
          <w:numId w:val="1012"/>
        </w:numPr>
      </w:pPr>
      <w:r>
        <w:t xml:space="preserve">scheduled slow/annual re-audit.</w:t>
      </w:r>
    </w:p>
    <w:bookmarkEnd w:id="60"/>
    <w:bookmarkStart w:id="65" w:name="durable-enrichment-from-ongoing-ingest"/>
    <w:p>
      <w:pPr>
        <w:pStyle w:val="Heading2"/>
      </w:pPr>
      <w:r>
        <w:t xml:space="preserve">Durable enrichment from ongoing ingest</w:t>
      </w:r>
    </w:p>
    <w:p>
      <w:pPr>
        <w:pStyle w:val="FirstParagraph"/>
      </w:pPr>
      <w:r>
        <w:t xml:space="preserve">The initial run will miss things. This is expected.</w:t>
      </w:r>
    </w:p>
    <w:bookmarkStart w:id="61" w:name="knowledge-gap-candidate"/>
    <w:p>
      <w:pPr>
        <w:pStyle w:val="Heading3"/>
      </w:pPr>
      <w:r>
        <w:t xml:space="preserve">Knowledge-gap candidate</w:t>
      </w:r>
    </w:p>
    <w:p>
      <w:pPr>
        <w:pStyle w:val="FirstParagraph"/>
      </w:pPr>
      <w:r>
        <w:t xml:space="preserve">When ingest sees evidence suggesting durable knowledge absent from the canonical layer, it may create a candidate such as:</w:t>
      </w:r>
    </w:p>
    <w:p>
      <w:pPr>
        <w:pStyle w:val="SourceCode"/>
      </w:pPr>
      <w:r>
        <w:rPr>
          <w:rStyle w:val="VerbatimChar"/>
        </w:rPr>
        <w:t xml:space="preserve">candidate_id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candidate_kind</w:t>
      </w:r>
      <w:r>
        <w:br/>
      </w:r>
      <w:r>
        <w:rPr>
          <w:rStyle w:val="VerbatimChar"/>
        </w:rPr>
        <w:t xml:space="preserve">trigger_evidence_refs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suggested_subject/predicate or research question</w:t>
      </w:r>
      <w:r>
        <w:br/>
      </w:r>
      <w:r>
        <w:rPr>
          <w:rStyle w:val="VerbatimChar"/>
        </w:rPr>
        <w:t xml:space="preserve">first_seen_at</w:t>
      </w:r>
      <w:r>
        <w:br/>
      </w:r>
      <w:r>
        <w:rPr>
          <w:rStyle w:val="VerbatimChar"/>
        </w:rPr>
        <w:t xml:space="preserve">recurrence_count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research_run_id</w:t>
      </w:r>
      <w:r>
        <w:br/>
      </w:r>
      <w:r>
        <w:rPr>
          <w:rStyle w:val="VerbatimChar"/>
        </w:rPr>
        <w:t xml:space="preserve">resolution</w:t>
      </w:r>
    </w:p>
    <w:p>
      <w:pPr>
        <w:pStyle w:val="FirstParagraph"/>
      </w:pPr>
      <w:r>
        <w:t xml:space="preserve">Candidate kinds may include lore/history, relationship, pronunciation, sensitivity, source discovery, source-role change, rivalry/cultural weight, durable tactic/identity context, or other explicitly enumerated categories.</w:t>
      </w:r>
    </w:p>
    <w:bookmarkEnd w:id="61"/>
    <w:bookmarkStart w:id="62" w:name="nomination-rules"/>
    <w:p>
      <w:pPr>
        <w:pStyle w:val="Heading3"/>
      </w:pPr>
      <w:r>
        <w:t xml:space="preserve">Nomination rules</w:t>
      </w:r>
    </w:p>
    <w:p>
      <w:pPr>
        <w:pStyle w:val="FirstParagraph"/>
      </w:pPr>
      <w:r>
        <w:t xml:space="preserve">Nomination should be cheap and recall-oriented. Promotion should be stricter.</w:t>
      </w:r>
    </w:p>
    <w:p>
      <w:pPr>
        <w:pStyle w:val="BodyText"/>
      </w:pPr>
      <w:r>
        <w:t xml:space="preserve">A candidate may gain priority when:</w:t>
      </w:r>
    </w:p>
    <w:p>
      <w:pPr>
        <w:pStyle w:val="Compact"/>
        <w:numPr>
          <w:ilvl w:val="0"/>
          <w:numId w:val="1013"/>
        </w:numPr>
      </w:pPr>
      <w:r>
        <w:t xml:space="preserve">multiple independent ingest windows surface it;</w:t>
      </w:r>
    </w:p>
    <w:p>
      <w:pPr>
        <w:pStyle w:val="Compact"/>
        <w:numPr>
          <w:ilvl w:val="0"/>
          <w:numId w:val="1013"/>
        </w:numPr>
      </w:pPr>
      <w:r>
        <w:t xml:space="preserve">it is repeatedly needed by planning;</w:t>
      </w:r>
    </w:p>
    <w:p>
      <w:pPr>
        <w:pStyle w:val="Compact"/>
        <w:numPr>
          <w:ilvl w:val="0"/>
          <w:numId w:val="1013"/>
        </w:numPr>
      </w:pPr>
      <w:r>
        <w:t xml:space="preserve">it affects accuracy/safety;</w:t>
      </w:r>
    </w:p>
    <w:p>
      <w:pPr>
        <w:pStyle w:val="Compact"/>
        <w:numPr>
          <w:ilvl w:val="0"/>
          <w:numId w:val="1013"/>
        </w:numPr>
      </w:pPr>
      <w:r>
        <w:t xml:space="preserve">it indicates a missing routine source;</w:t>
      </w:r>
    </w:p>
    <w:p>
      <w:pPr>
        <w:pStyle w:val="Compact"/>
        <w:numPr>
          <w:ilvl w:val="0"/>
          <w:numId w:val="1013"/>
        </w:numPr>
      </w:pPr>
      <w:r>
        <w:t xml:space="preserve">it repeatedly causes retrieval failure or manual intervention.</w:t>
      </w:r>
    </w:p>
    <w:bookmarkEnd w:id="62"/>
    <w:bookmarkStart w:id="63" w:name="resolution"/>
    <w:p>
      <w:pPr>
        <w:pStyle w:val="Heading3"/>
      </w:pPr>
      <w:r>
        <w:t xml:space="preserve">Resolution</w:t>
      </w:r>
    </w:p>
    <w:p>
      <w:pPr>
        <w:pStyle w:val="FirstParagraph"/>
      </w:pPr>
      <w:r>
        <w:t xml:space="preserve">A scoped research job resolves the candidate into one of:</w:t>
      </w:r>
    </w:p>
    <w:p>
      <w:pPr>
        <w:pStyle w:val="Compact"/>
        <w:numPr>
          <w:ilvl w:val="0"/>
          <w:numId w:val="1014"/>
        </w:numPr>
      </w:pPr>
      <w:r>
        <w:t xml:space="preserve">accepted/promoted;</w:t>
      </w:r>
    </w:p>
    <w:p>
      <w:pPr>
        <w:pStyle w:val="Compact"/>
        <w:numPr>
          <w:ilvl w:val="0"/>
          <w:numId w:val="1014"/>
        </w:numPr>
      </w:pPr>
      <w:r>
        <w:t xml:space="preserve">rejected;</w:t>
      </w:r>
    </w:p>
    <w:p>
      <w:pPr>
        <w:pStyle w:val="Compact"/>
        <w:numPr>
          <w:ilvl w:val="0"/>
          <w:numId w:val="1014"/>
        </w:numPr>
      </w:pPr>
      <w:r>
        <w:t xml:space="preserve">contested;</w:t>
      </w:r>
    </w:p>
    <w:p>
      <w:pPr>
        <w:pStyle w:val="Compact"/>
        <w:numPr>
          <w:ilvl w:val="0"/>
          <w:numId w:val="1014"/>
        </w:numPr>
      </w:pPr>
      <w:r>
        <w:t xml:space="preserve">current-only/not durable;</w:t>
      </w:r>
    </w:p>
    <w:p>
      <w:pPr>
        <w:pStyle w:val="Compact"/>
        <w:numPr>
          <w:ilvl w:val="0"/>
          <w:numId w:val="1014"/>
        </w:numPr>
      </w:pPr>
      <w:r>
        <w:t xml:space="preserve">duplicate/already known;</w:t>
      </w:r>
    </w:p>
    <w:p>
      <w:pPr>
        <w:pStyle w:val="Compact"/>
        <w:numPr>
          <w:ilvl w:val="0"/>
          <w:numId w:val="1014"/>
        </w:numPr>
      </w:pPr>
      <w:r>
        <w:t xml:space="preserve">deferred.</w:t>
      </w:r>
    </w:p>
    <w:p>
      <w:pPr>
        <w:pStyle w:val="FirstParagraph"/>
      </w:pPr>
      <w:r>
        <w:t xml:space="preserve">All resolutions preserve provenance and reason.</w:t>
      </w:r>
    </w:p>
    <w:bookmarkEnd w:id="63"/>
    <w:bookmarkStart w:id="64" w:name="no-silent-promotion"/>
    <w:p>
      <w:pPr>
        <w:pStyle w:val="Heading3"/>
      </w:pPr>
      <w:r>
        <w:t xml:space="preserve">No silent promotion</w:t>
      </w:r>
    </w:p>
    <w:p>
      <w:pPr>
        <w:pStyle w:val="FirstParagraph"/>
      </w:pPr>
      <w:r>
        <w:t xml:space="preserve">An ingestion model may not directly edit canonical lore or durable source authority because a new article, podcast, or post claims something.</w:t>
      </w:r>
    </w:p>
    <w:bookmarkEnd w:id="64"/>
    <w:bookmarkEnd w:id="65"/>
    <w:bookmarkStart w:id="71" w:name="X9e66c53cbaefe15fcc1f35eacf67bd4ede6e472"/>
    <w:p>
      <w:pPr>
        <w:pStyle w:val="Heading2"/>
      </w:pPr>
      <w:r>
        <w:t xml:space="preserve">Internal context retrieval for programming</w:t>
      </w:r>
    </w:p>
    <w:p>
      <w:pPr>
        <w:pStyle w:val="FirstParagraph"/>
      </w:pPr>
      <w:r>
        <w:t xml:space="preserve">Coverage Commissioning only pays off if programming can retrieve the right knowledge later.</w:t>
      </w:r>
    </w:p>
    <w:p>
      <w:pPr>
        <w:pStyle w:val="BodyText"/>
      </w:pPr>
      <w:r>
        <w:t xml:space="preserve">Internal context retrieval is therefore a first-class package-construction step.</w:t>
      </w:r>
    </w:p>
    <w:bookmarkStart w:id="66" w:name="inputs"/>
    <w:p>
      <w:pPr>
        <w:pStyle w:val="Heading3"/>
      </w:pPr>
      <w:r>
        <w:t xml:space="preserve">Inputs</w:t>
      </w:r>
    </w:p>
    <w:p>
      <w:pPr>
        <w:pStyle w:val="FirstParagraph"/>
      </w:pPr>
      <w:r>
        <w:t xml:space="preserve">For a program attempt, retrieval may use:</w:t>
      </w:r>
    </w:p>
    <w:p>
      <w:pPr>
        <w:pStyle w:val="Compact"/>
        <w:numPr>
          <w:ilvl w:val="0"/>
          <w:numId w:val="1015"/>
        </w:numPr>
      </w:pPr>
      <w:r>
        <w:t xml:space="preserve">candidate beats from current/shared evidence;</w:t>
      </w:r>
    </w:p>
    <w:p>
      <w:pPr>
        <w:pStyle w:val="Compact"/>
        <w:numPr>
          <w:ilvl w:val="0"/>
          <w:numId w:val="1015"/>
        </w:numPr>
      </w:pPr>
      <w:r>
        <w:t xml:space="preserve">event/entity/competition/sport scope;</w:t>
      </w:r>
    </w:p>
    <w:p>
      <w:pPr>
        <w:pStyle w:val="Compact"/>
        <w:numPr>
          <w:ilvl w:val="0"/>
          <w:numId w:val="1015"/>
        </w:numPr>
      </w:pPr>
      <w:r>
        <w:t xml:space="preserve">participant identities;</w:t>
      </w:r>
    </w:p>
    <w:p>
      <w:pPr>
        <w:pStyle w:val="Compact"/>
        <w:numPr>
          <w:ilvl w:val="0"/>
          <w:numId w:val="1015"/>
        </w:numPr>
      </w:pPr>
      <w:r>
        <w:t xml:space="preserve">current topic-thread mappings where known;</w:t>
      </w:r>
    </w:p>
    <w:p>
      <w:pPr>
        <w:pStyle w:val="Compact"/>
        <w:numPr>
          <w:ilvl w:val="0"/>
          <w:numId w:val="1015"/>
        </w:numPr>
      </w:pPr>
      <w:r>
        <w:t xml:space="preserve">show format and allowed context classes;</w:t>
      </w:r>
    </w:p>
    <w:p>
      <w:pPr>
        <w:pStyle w:val="Compact"/>
        <w:numPr>
          <w:ilvl w:val="0"/>
          <w:numId w:val="1015"/>
        </w:numPr>
      </w:pPr>
      <w:r>
        <w:t xml:space="preserve">recency/validity requirements;</w:t>
      </w:r>
    </w:p>
    <w:p>
      <w:pPr>
        <w:pStyle w:val="Compact"/>
        <w:numPr>
          <w:ilvl w:val="0"/>
          <w:numId w:val="1015"/>
        </w:numPr>
      </w:pPr>
      <w:r>
        <w:t xml:space="preserve">context budget.</w:t>
      </w:r>
    </w:p>
    <w:bookmarkEnd w:id="66"/>
    <w:bookmarkStart w:id="67" w:name="search-universe"/>
    <w:p>
      <w:pPr>
        <w:pStyle w:val="Heading3"/>
      </w:pPr>
      <w:r>
        <w:t xml:space="preserve">Search universe</w:t>
      </w:r>
    </w:p>
    <w:p>
      <w:pPr>
        <w:pStyle w:val="FirstParagraph"/>
      </w:pPr>
      <w:r>
        <w:t xml:space="preserve">Retrieval may search Desk-controlled knowledge only:</w:t>
      </w:r>
    </w:p>
    <w:p>
      <w:pPr>
        <w:pStyle w:val="Compact"/>
        <w:numPr>
          <w:ilvl w:val="0"/>
          <w:numId w:val="1016"/>
        </w:numPr>
      </w:pPr>
      <w:r>
        <w:t xml:space="preserve">approved claims and supports;</w:t>
      </w:r>
    </w:p>
    <w:p>
      <w:pPr>
        <w:pStyle w:val="Compact"/>
        <w:numPr>
          <w:ilvl w:val="0"/>
          <w:numId w:val="1016"/>
        </w:numPr>
      </w:pPr>
      <w:r>
        <w:t xml:space="preserve">lore/history/culture;</w:t>
      </w:r>
    </w:p>
    <w:p>
      <w:pPr>
        <w:pStyle w:val="Compact"/>
        <w:numPr>
          <w:ilvl w:val="0"/>
          <w:numId w:val="1016"/>
        </w:numPr>
      </w:pPr>
      <w:r>
        <w:t xml:space="preserve">structured stats and desk derivations;</w:t>
      </w:r>
    </w:p>
    <w:p>
      <w:pPr>
        <w:pStyle w:val="Compact"/>
        <w:numPr>
          <w:ilvl w:val="0"/>
          <w:numId w:val="1016"/>
        </w:numPr>
      </w:pPr>
      <w:r>
        <w:t xml:space="preserve">prior-event/reference records;</w:t>
      </w:r>
    </w:p>
    <w:p>
      <w:pPr>
        <w:pStyle w:val="Compact"/>
        <w:numPr>
          <w:ilvl w:val="0"/>
          <w:numId w:val="1016"/>
        </w:numPr>
      </w:pPr>
      <w:r>
        <w:t xml:space="preserve">editorial continuity/topic threads;</w:t>
      </w:r>
    </w:p>
    <w:p>
      <w:pPr>
        <w:pStyle w:val="Compact"/>
        <w:numPr>
          <w:ilvl w:val="0"/>
          <w:numId w:val="1016"/>
        </w:numPr>
      </w:pPr>
      <w:r>
        <w:t xml:space="preserve">prior published predictions/positions;</w:t>
      </w:r>
    </w:p>
    <w:p>
      <w:pPr>
        <w:pStyle w:val="Compact"/>
        <w:numPr>
          <w:ilvl w:val="0"/>
          <w:numId w:val="1016"/>
        </w:numPr>
      </w:pPr>
      <w:r>
        <w:t xml:space="preserve">current-state projections where their underlying evidence can be frozen;</w:t>
      </w:r>
    </w:p>
    <w:p>
      <w:pPr>
        <w:pStyle w:val="Compact"/>
        <w:numPr>
          <w:ilvl w:val="0"/>
          <w:numId w:val="1016"/>
        </w:numPr>
      </w:pPr>
      <w:r>
        <w:t xml:space="preserve">season/competition context.</w:t>
      </w:r>
    </w:p>
    <w:p>
      <w:pPr>
        <w:pStyle w:val="FirstParagraph"/>
      </w:pPr>
      <w:r>
        <w:t xml:space="preserve">It does not browse the live web.</w:t>
      </w:r>
    </w:p>
    <w:bookmarkEnd w:id="67"/>
    <w:bookmarkStart w:id="68" w:name="output-context-candidates"/>
    <w:p>
      <w:pPr>
        <w:pStyle w:val="Heading3"/>
      </w:pPr>
      <w:r>
        <w:t xml:space="preserve">Output: context candidates</w:t>
      </w:r>
    </w:p>
    <w:p>
      <w:pPr>
        <w:pStyle w:val="FirstParagraph"/>
      </w:pPr>
      <w:r>
        <w:t xml:space="preserve">The retrieval result is a bounded candidate set. Each item should include:</w:t>
      </w:r>
    </w:p>
    <w:p>
      <w:pPr>
        <w:pStyle w:val="SourceCode"/>
      </w:pPr>
      <w:r>
        <w:rPr>
          <w:rStyle w:val="VerbatimChar"/>
        </w:rPr>
        <w:t xml:space="preserve">claim/context reference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confidence/current state</w:t>
      </w:r>
      <w:r>
        <w:br/>
      </w:r>
      <w:r>
        <w:rPr>
          <w:rStyle w:val="VerbatimChar"/>
        </w:rPr>
        <w:t xml:space="preserve">support/provenance references</w:t>
      </w:r>
      <w:r>
        <w:br/>
      </w:r>
      <w:r>
        <w:rPr>
          <w:rStyle w:val="VerbatimChar"/>
        </w:rPr>
        <w:t xml:space="preserve">validity/freshness</w:t>
      </w:r>
      <w:r>
        <w:br/>
      </w:r>
      <w:r>
        <w:rPr>
          <w:rStyle w:val="VerbatimChar"/>
        </w:rPr>
        <w:t xml:space="preserve">retrieval reason</w:t>
      </w:r>
      <w:r>
        <w:br/>
      </w:r>
      <w:r>
        <w:rPr>
          <w:rStyle w:val="VerbatimChar"/>
        </w:rPr>
        <w:t xml:space="preserve">candidate beat(s)</w:t>
      </w:r>
      <w:r>
        <w:br/>
      </w:r>
      <w:r>
        <w:rPr>
          <w:rStyle w:val="VerbatimChar"/>
        </w:rPr>
        <w:t xml:space="preserve">relevance score or rank</w:t>
      </w:r>
      <w:r>
        <w:br/>
      </w:r>
      <w:r>
        <w:rPr>
          <w:rStyle w:val="VerbatimChar"/>
        </w:rPr>
        <w:t xml:space="preserve">retrieval method/model/rule version</w:t>
      </w:r>
    </w:p>
    <w:p>
      <w:pPr>
        <w:pStyle w:val="FirstParagraph"/>
      </w:pPr>
      <w:r>
        <w:t xml:space="preserve">The retrieval reason is explanatory, not an editorial command.</w:t>
      </w:r>
    </w:p>
    <w:bookmarkEnd w:id="68"/>
    <w:bookmarkStart w:id="69" w:name="retrieval-is-not-programming"/>
    <w:p>
      <w:pPr>
        <w:pStyle w:val="Heading3"/>
      </w:pPr>
      <w:r>
        <w:t xml:space="preserve">Retrieval is not programming</w:t>
      </w:r>
    </w:p>
    <w:p>
      <w:pPr>
        <w:pStyle w:val="FirstParagraph"/>
      </w:pPr>
      <w:r>
        <w:t xml:space="preserve">A context candidate’s relevance score does not force inclusion.</w:t>
      </w:r>
    </w:p>
    <w:p>
      <w:pPr>
        <w:pStyle w:val="BodyText"/>
      </w:pPr>
      <w:r>
        <w:t xml:space="preserve">The package builder freezes enough plausible context for the Showrunner to make a real choice without dumping the whole knowledge store into the planner prompt.</w:t>
      </w:r>
    </w:p>
    <w:bookmarkEnd w:id="69"/>
    <w:bookmarkStart w:id="70" w:name="package-boundary"/>
    <w:p>
      <w:pPr>
        <w:pStyle w:val="Heading3"/>
      </w:pPr>
      <w:r>
        <w:t xml:space="preserve">Package boundary</w:t>
      </w:r>
    </w:p>
    <w:p>
      <w:pPr>
        <w:pStyle w:val="FirstParagraph"/>
      </w:pPr>
      <w:r>
        <w:t xml:space="preserve">Context retrieval must finish before Evidence Package freeze.</w:t>
      </w:r>
    </w:p>
    <w:p>
      <w:pPr>
        <w:pStyle w:val="BodyText"/>
      </w:pPr>
      <w:r>
        <w:t xml:space="preserve">The frozen package records the selected candidate claims/items, their state-as-of-freeze, provenance, and retrieval-run version. If the Showrunner later wants a fact that is not in the package, normal production does not live-search around the boundary; the attempt must be repackaged/replanned.</w:t>
      </w:r>
    </w:p>
    <w:bookmarkEnd w:id="70"/>
    <w:bookmarkEnd w:id="71"/>
    <w:bookmarkStart w:id="75" w:name="showrunner-context-selections"/>
    <w:p>
      <w:pPr>
        <w:pStyle w:val="Heading2"/>
      </w:pPr>
      <w:r>
        <w:t xml:space="preserve">Showrunner Context Selections</w:t>
      </w:r>
    </w:p>
    <w:p>
      <w:pPr>
        <w:pStyle w:val="FirstParagraph"/>
      </w:pPr>
      <w:r>
        <w:t xml:space="preserve">The Showrunner selects a short list of packaged context that actually helps the episode.</w:t>
      </w:r>
    </w:p>
    <w:p>
      <w:pPr>
        <w:pStyle w:val="BodyText"/>
      </w:pPr>
      <w:r>
        <w:t xml:space="preserve">Each selection belongs to a beat/block plan and records an editorial function. Initial functions to test:</w:t>
      </w:r>
    </w:p>
    <w:p>
      <w:pPr>
        <w:pStyle w:val="SourceCode"/>
      </w:pPr>
      <w:r>
        <w:rPr>
          <w:rStyle w:val="VerbatimChar"/>
        </w:rPr>
        <w:t xml:space="preserve">supports</w:t>
      </w:r>
      <w:r>
        <w:br/>
      </w:r>
      <w:r>
        <w:rPr>
          <w:rStyle w:val="VerbatimChar"/>
        </w:rPr>
        <w:t xml:space="preserve">challenges</w:t>
      </w:r>
      <w:r>
        <w:br/>
      </w:r>
      <w:r>
        <w:rPr>
          <w:rStyle w:val="VerbatimChar"/>
        </w:rPr>
        <w:t xml:space="preserve">complicates</w:t>
      </w:r>
      <w:r>
        <w:br/>
      </w:r>
      <w:r>
        <w:rPr>
          <w:rStyle w:val="VerbatimChar"/>
        </w:rPr>
        <w:t xml:space="preserve">rhymes</w:t>
      </w:r>
      <w:r>
        <w:br/>
      </w:r>
      <w:r>
        <w:rPr>
          <w:rStyle w:val="VerbatimChar"/>
        </w:rPr>
        <w:t xml:space="preserve">continuity</w:t>
      </w:r>
      <w:r>
        <w:br/>
      </w:r>
      <w:r>
        <w:rPr>
          <w:rStyle w:val="VerbatimChar"/>
        </w:rPr>
        <w:t xml:space="preserve">meaning</w:t>
      </w:r>
    </w:p>
    <w:p>
      <w:pPr>
        <w:pStyle w:val="FirstParagraph"/>
      </w:pPr>
      <w:r>
        <w:t xml:space="preserve">The planning spec may refine names or permit a constrained free-form explanation. These functions are editorial metadata, not claim/evidence taxonomy.</w:t>
      </w:r>
    </w:p>
    <w:bookmarkStart w:id="72" w:name="selection-questions"/>
    <w:p>
      <w:pPr>
        <w:pStyle w:val="Heading3"/>
      </w:pPr>
      <w:r>
        <w:t xml:space="preserve">Selection questions</w:t>
      </w:r>
    </w:p>
    <w:p>
      <w:pPr>
        <w:pStyle w:val="FirstParagraph"/>
      </w:pPr>
      <w:r>
        <w:t xml:space="preserve">For each candidate beat the Showrunner may ask:</w:t>
      </w:r>
    </w:p>
    <w:p>
      <w:pPr>
        <w:pStyle w:val="Compact"/>
        <w:numPr>
          <w:ilvl w:val="0"/>
          <w:numId w:val="1017"/>
        </w:numPr>
      </w:pPr>
      <w:r>
        <w:t xml:space="preserve">Is there a recent pattern that supports the apparent story?</w:t>
      </w:r>
    </w:p>
    <w:p>
      <w:pPr>
        <w:pStyle w:val="Compact"/>
        <w:numPr>
          <w:ilvl w:val="0"/>
          <w:numId w:val="1017"/>
        </w:numPr>
      </w:pPr>
      <w:r>
        <w:t xml:space="preserve">Is there a larger sample that undermines an easy narrative?</w:t>
      </w:r>
    </w:p>
    <w:p>
      <w:pPr>
        <w:pStyle w:val="Compact"/>
        <w:numPr>
          <w:ilvl w:val="0"/>
          <w:numId w:val="1017"/>
        </w:numPr>
      </w:pPr>
      <w:r>
        <w:t xml:space="preserve">Has this happened before in a genuinely useful way?</w:t>
      </w:r>
    </w:p>
    <w:p>
      <w:pPr>
        <w:pStyle w:val="Compact"/>
        <w:numPr>
          <w:ilvl w:val="0"/>
          <w:numId w:val="1017"/>
        </w:numPr>
      </w:pPr>
      <w:r>
        <w:t xml:space="preserve">Does current supporter feeling connect to an evidenced cultural/historical context?</w:t>
      </w:r>
    </w:p>
    <w:p>
      <w:pPr>
        <w:pStyle w:val="Compact"/>
        <w:numPr>
          <w:ilvl w:val="0"/>
          <w:numId w:val="1017"/>
        </w:numPr>
      </w:pPr>
      <w:r>
        <w:t xml:space="preserve">Does this continue or reverse a topic thread the show has already established?</w:t>
      </w:r>
    </w:p>
    <w:p>
      <w:pPr>
        <w:pStyle w:val="Compact"/>
        <w:numPr>
          <w:ilvl w:val="0"/>
          <w:numId w:val="1017"/>
        </w:numPr>
      </w:pPr>
      <w:r>
        <w:t xml:space="preserve">Is there a prior statement/prediction that creates useful tension?</w:t>
      </w:r>
    </w:p>
    <w:p>
      <w:pPr>
        <w:pStyle w:val="Compact"/>
        <w:numPr>
          <w:ilvl w:val="0"/>
          <w:numId w:val="1017"/>
        </w:numPr>
      </w:pPr>
      <w:r>
        <w:t xml:space="preserve">Is a historical analogy illuminating, or merely decorative trivia?</w:t>
      </w:r>
    </w:p>
    <w:bookmarkEnd w:id="72"/>
    <w:bookmarkStart w:id="73" w:name="context-budget"/>
    <w:p>
      <w:pPr>
        <w:pStyle w:val="Heading3"/>
      </w:pPr>
      <w:r>
        <w:t xml:space="preserve">Context budget</w:t>
      </w:r>
    </w:p>
    <w:p>
      <w:pPr>
        <w:pStyle w:val="FirstParagraph"/>
      </w:pPr>
      <w:r>
        <w:t xml:space="preserve">The brief should normally select only a few contextual items per substantive beat. More available knowledge does not justify stuffing the script with trivia.</w:t>
      </w:r>
    </w:p>
    <w:p>
      <w:pPr>
        <w:pStyle w:val="BodyText"/>
      </w:pPr>
      <w:r>
        <w:t xml:space="preserve">The Showrunner should prefer context that changes understanding, sharpens disagreement, or gives emotional meaning.</w:t>
      </w:r>
    </w:p>
    <w:bookmarkEnd w:id="73"/>
    <w:bookmarkStart w:id="74" w:name="character-lenses"/>
    <w:p>
      <w:pPr>
        <w:pStyle w:val="Heading3"/>
      </w:pPr>
      <w:r>
        <w:t xml:space="preserve">Character lenses</w:t>
      </w:r>
    </w:p>
    <w:p>
      <w:pPr>
        <w:pStyle w:val="FirstParagraph"/>
      </w:pPr>
      <w:r>
        <w:t xml:space="preserve">Evidence affinity can influence which context each participant naturally notices, but context is not exclusively assigned by character.</w:t>
      </w:r>
    </w:p>
    <w:p>
      <w:pPr>
        <w:pStyle w:val="BodyText"/>
      </w:pPr>
      <w:r>
        <w:t xml:space="preserve">Gaz may naturally lead on statistical/tactical/historical-pattern context. Simon may naturally lead on supporter/cultural meaning. Tully may naturally lead on contradictions, prior statements, factual clarification, and synthesis.</w:t>
      </w:r>
    </w:p>
    <w:p>
      <w:pPr>
        <w:pStyle w:val="BodyText"/>
      </w:pPr>
      <w:r>
        <w:t xml:space="preserve">The Showrunner may deliberately cross those defaults when the editorial logic is stronger.</w:t>
      </w:r>
    </w:p>
    <w:bookmarkEnd w:id="74"/>
    <w:bookmarkEnd w:id="75"/>
    <w:bookmarkStart w:id="81" w:name="datainterface-concepts"/>
    <w:p>
      <w:pPr>
        <w:pStyle w:val="Heading2"/>
      </w:pPr>
      <w:r>
        <w:t xml:space="preserve">Data/interface concepts</w:t>
      </w:r>
    </w:p>
    <w:p>
      <w:pPr>
        <w:pStyle w:val="FirstParagraph"/>
      </w:pPr>
      <w:r>
        <w:t xml:space="preserve">Exact table design belongs to implementation, but the following logical contracts should exist.</w:t>
      </w:r>
    </w:p>
    <w:bookmarkStart w:id="76" w:name="commissioning_runs"/>
    <w:p>
      <w:pPr>
        <w:pStyle w:val="Heading3"/>
      </w:pPr>
      <w:r>
        <w:rPr>
          <w:rStyle w:val="VerbatimChar"/>
        </w:rPr>
        <w:t xml:space="preserve">commissioning_runs</w:t>
      </w:r>
    </w:p>
    <w:p>
      <w:pPr>
        <w:pStyle w:val="FirstParagraph"/>
      </w:pPr>
      <w:r>
        <w:t xml:space="preserve">Minimum logical 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scope_type / scope_id</w:t>
      </w:r>
      <w:r>
        <w:br/>
      </w:r>
      <w:r>
        <w:rPr>
          <w:rStyle w:val="VerbatimChar"/>
        </w:rPr>
        <w:t xml:space="preserve">purpose</w:t>
      </w:r>
      <w:r>
        <w:br/>
      </w:r>
      <w:r>
        <w:rPr>
          <w:rStyle w:val="VerbatimChar"/>
        </w:rPr>
        <w:t xml:space="preserve">spec_version</w:t>
      </w:r>
      <w:r>
        <w:br/>
      </w:r>
      <w:r>
        <w:rPr>
          <w:rStyle w:val="VerbatimChar"/>
        </w:rPr>
        <w:t xml:space="preserve">config_hash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attempt</w:t>
      </w:r>
      <w:r>
        <w:br/>
      </w:r>
      <w:r>
        <w:rPr>
          <w:rStyle w:val="VerbatimChar"/>
        </w:rPr>
        <w:t xml:space="preserve">started_at / completed_at</w:t>
      </w:r>
      <w:r>
        <w:br/>
      </w:r>
      <w:r>
        <w:rPr>
          <w:rStyle w:val="VerbatimChar"/>
        </w:rPr>
        <w:t xml:space="preserve">model/provider run refs</w:t>
      </w:r>
      <w:r>
        <w:br/>
      </w:r>
      <w:r>
        <w:rPr>
          <w:rStyle w:val="VerbatimChar"/>
        </w:rPr>
        <w:t xml:space="preserve">artifact refs</w:t>
      </w:r>
      <w:r>
        <w:br/>
      </w:r>
      <w:r>
        <w:rPr>
          <w:rStyle w:val="VerbatimChar"/>
        </w:rPr>
        <w:t xml:space="preserve">cost totals</w:t>
      </w:r>
      <w:r>
        <w:br/>
      </w:r>
      <w:r>
        <w:rPr>
          <w:rStyle w:val="VerbatimChar"/>
        </w:rPr>
        <w:t xml:space="preserve">reviewer/adjudication</w:t>
      </w:r>
      <w:r>
        <w:br/>
      </w:r>
      <w:r>
        <w:rPr>
          <w:rStyle w:val="VerbatimChar"/>
        </w:rPr>
        <w:t xml:space="preserve">failure/resume info</w:t>
      </w:r>
    </w:p>
    <w:bookmarkEnd w:id="76"/>
    <w:bookmarkStart w:id="77" w:name="coverage_readiness_assessments"/>
    <w:p>
      <w:pPr>
        <w:pStyle w:val="Heading3"/>
      </w:pPr>
      <w:r>
        <w:rPr>
          <w:rStyle w:val="VerbatimChar"/>
        </w:rPr>
        <w:t xml:space="preserve">coverage_readiness_assessments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scope_type / scope_id</w:t>
      </w:r>
      <w:r>
        <w:br/>
      </w:r>
      <w:r>
        <w:rPr>
          <w:rStyle w:val="VerbatimChar"/>
        </w:rPr>
        <w:t xml:space="preserve">commissioning_run_id</w:t>
      </w:r>
      <w:r>
        <w:br/>
      </w:r>
      <w:r>
        <w:rPr>
          <w:rStyle w:val="VerbatimChar"/>
        </w:rPr>
        <w:t xml:space="preserve">evaluated_at</w:t>
      </w:r>
      <w:r>
        <w:br/>
      </w:r>
      <w:r>
        <w:rPr>
          <w:rStyle w:val="VerbatimChar"/>
        </w:rPr>
        <w:t xml:space="preserve">state: READY | DEGRADED | NOT_READY</w:t>
      </w:r>
      <w:r>
        <w:br/>
      </w:r>
      <w:r>
        <w:rPr>
          <w:rStyle w:val="VerbatimChar"/>
        </w:rPr>
        <w:t xml:space="preserve">dimension_results</w:t>
      </w:r>
      <w:r>
        <w:br/>
      </w:r>
      <w:r>
        <w:rPr>
          <w:rStyle w:val="VerbatimChar"/>
        </w:rPr>
        <w:t xml:space="preserve">known_gap_refs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reviewer / model_run</w:t>
      </w:r>
      <w:r>
        <w:br/>
      </w:r>
      <w:r>
        <w:rPr>
          <w:rStyle w:val="VerbatimChar"/>
        </w:rPr>
        <w:t xml:space="preserve">next_review_at</w:t>
      </w:r>
      <w:r>
        <w:br/>
      </w:r>
      <w:r>
        <w:rPr>
          <w:rStyle w:val="VerbatimChar"/>
        </w:rPr>
        <w:t xml:space="preserve">supersedes_assessment_id</w:t>
      </w:r>
    </w:p>
    <w:bookmarkEnd w:id="77"/>
    <w:bookmarkStart w:id="78" w:name="knowledge_gap_candidates"/>
    <w:p>
      <w:pPr>
        <w:pStyle w:val="Heading3"/>
      </w:pPr>
      <w:r>
        <w:rPr>
          <w:rStyle w:val="VerbatimChar"/>
        </w:rPr>
        <w:t xml:space="preserve">knowledge_gap_candidates</w:t>
      </w:r>
    </w:p>
    <w:p>
      <w:pPr>
        <w:pStyle w:val="FirstParagraph"/>
      </w:pPr>
      <w:r>
        <w:t xml:space="preserve">Use the lifecycle described above. Candidate records are append/history-friendly; resolution does not delete the trigger evidence.</w:t>
      </w:r>
    </w:p>
    <w:bookmarkEnd w:id="78"/>
    <w:bookmarkStart w:id="79" w:name="context_retrieval_runs"/>
    <w:p>
      <w:pPr>
        <w:pStyle w:val="Heading3"/>
      </w:pPr>
      <w:r>
        <w:rPr>
          <w:rStyle w:val="VerbatimChar"/>
        </w:rPr>
        <w:t xml:space="preserve">context_retrieval_runs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program_attempt_id</w:t>
      </w:r>
      <w:r>
        <w:br/>
      </w:r>
      <w:r>
        <w:rPr>
          <w:rStyle w:val="VerbatimChar"/>
        </w:rPr>
        <w:t xml:space="preserve">input beat refs</w:t>
      </w:r>
      <w:r>
        <w:br/>
      </w:r>
      <w:r>
        <w:rPr>
          <w:rStyle w:val="VerbatimChar"/>
        </w:rPr>
        <w:t xml:space="preserve">scope refs</w:t>
      </w:r>
      <w:r>
        <w:br/>
      </w:r>
      <w:r>
        <w:rPr>
          <w:rStyle w:val="VerbatimChar"/>
        </w:rPr>
        <w:t xml:space="preserve">retrieval spec/version</w:t>
      </w:r>
      <w:r>
        <w:br/>
      </w:r>
      <w:r>
        <w:rPr>
          <w:rStyle w:val="VerbatimChar"/>
        </w:rPr>
        <w:t xml:space="preserve">query/rule/model manifest</w:t>
      </w:r>
      <w:r>
        <w:br/>
      </w:r>
      <w:r>
        <w:rPr>
          <w:rStyle w:val="VerbatimChar"/>
        </w:rPr>
        <w:t xml:space="preserve">candidate count</w:t>
      </w:r>
      <w:r>
        <w:br/>
      </w:r>
      <w:r>
        <w:rPr>
          <w:rStyle w:val="VerbatimChar"/>
        </w:rPr>
        <w:t xml:space="preserve">selected-for-package count</w:t>
      </w:r>
      <w:r>
        <w:br/>
      </w:r>
      <w:r>
        <w:rPr>
          <w:rStyle w:val="VerbatimChar"/>
        </w:rPr>
        <w:t xml:space="preserve">cost/latency</w:t>
      </w:r>
      <w:r>
        <w:br/>
      </w:r>
      <w:r>
        <w:rPr>
          <w:rStyle w:val="VerbatimChar"/>
        </w:rPr>
        <w:t xml:space="preserve">created_at</w:t>
      </w:r>
    </w:p>
    <w:bookmarkEnd w:id="79"/>
    <w:bookmarkStart w:id="80" w:name="context_candidates"/>
    <w:p>
      <w:pPr>
        <w:pStyle w:val="Heading3"/>
      </w:pPr>
      <w:r>
        <w:rPr>
          <w:rStyle w:val="VerbatimChar"/>
        </w:rPr>
        <w:t xml:space="preserve">context_candidates</w:t>
      </w:r>
    </w:p>
    <w:p>
      <w:pPr>
        <w:pStyle w:val="FirstParagraph"/>
      </w:pPr>
      <w:r>
        <w:t xml:space="preserve">May be rows or an immutable artifact owned by the retrieval run. They reference existing claims/knowledge objects rather than copying source text.</w:t>
      </w:r>
    </w:p>
    <w:bookmarkEnd w:id="80"/>
    <w:bookmarkEnd w:id="81"/>
    <w:bookmarkStart w:id="82" w:name="provenance-and-explainability"/>
    <w:p>
      <w:pPr>
        <w:pStyle w:val="Heading2"/>
      </w:pPr>
      <w:r>
        <w:t xml:space="preserve">Provenance and explainability</w:t>
      </w:r>
    </w:p>
    <w:p>
      <w:pPr>
        <w:pStyle w:val="FirstParagraph"/>
      </w:pPr>
      <w:r>
        <w:t xml:space="preserve">Six months later an operator should be able to answer:</w:t>
      </w:r>
    </w:p>
    <w:p>
      <w:pPr>
        <w:pStyle w:val="Compact"/>
        <w:numPr>
          <w:ilvl w:val="0"/>
          <w:numId w:val="1018"/>
        </w:numPr>
      </w:pPr>
      <w:r>
        <w:t xml:space="preserve">Why did we decide this club was coverage-ready?</w:t>
      </w:r>
    </w:p>
    <w:p>
      <w:pPr>
        <w:pStyle w:val="Compact"/>
        <w:numPr>
          <w:ilvl w:val="0"/>
          <w:numId w:val="1018"/>
        </w:numPr>
      </w:pPr>
      <w:r>
        <w:t xml:space="preserve">Which sources were considered important at launch and why?</w:t>
      </w:r>
    </w:p>
    <w:p>
      <w:pPr>
        <w:pStyle w:val="Compact"/>
        <w:numPr>
          <w:ilvl w:val="0"/>
          <w:numId w:val="1018"/>
        </w:numPr>
      </w:pPr>
      <w:r>
        <w:t xml:space="preserve">What did a source’s rights/access policy allow at that time?</w:t>
      </w:r>
    </w:p>
    <w:p>
      <w:pPr>
        <w:pStyle w:val="Compact"/>
        <w:numPr>
          <w:ilvl w:val="0"/>
          <w:numId w:val="1018"/>
        </w:numPr>
      </w:pPr>
      <w:r>
        <w:t xml:space="preserve">Which commissioning evidence supported a lore/cultural claim?</w:t>
      </w:r>
    </w:p>
    <w:p>
      <w:pPr>
        <w:pStyle w:val="Compact"/>
        <w:numPr>
          <w:ilvl w:val="0"/>
          <w:numId w:val="1018"/>
        </w:numPr>
      </w:pPr>
      <w:r>
        <w:t xml:space="preserve">Was a knowledge item present at launch or added later?</w:t>
      </w:r>
    </w:p>
    <w:p>
      <w:pPr>
        <w:pStyle w:val="Compact"/>
        <w:numPr>
          <w:ilvl w:val="0"/>
          <w:numId w:val="1018"/>
        </w:numPr>
      </w:pPr>
      <w:r>
        <w:t xml:space="preserve">What ingest item triggered an enrichment candidate?</w:t>
      </w:r>
    </w:p>
    <w:p>
      <w:pPr>
        <w:pStyle w:val="Compact"/>
        <w:numPr>
          <w:ilvl w:val="0"/>
          <w:numId w:val="1018"/>
        </w:numPr>
      </w:pPr>
      <w:r>
        <w:t xml:space="preserve">Which research run promoted or rejected it?</w:t>
      </w:r>
    </w:p>
    <w:p>
      <w:pPr>
        <w:pStyle w:val="Compact"/>
        <w:numPr>
          <w:ilvl w:val="0"/>
          <w:numId w:val="1018"/>
        </w:numPr>
      </w:pPr>
      <w:r>
        <w:t xml:space="preserve">Why did the package retrieve this historical/context item for this beat?</w:t>
      </w:r>
    </w:p>
    <w:p>
      <w:pPr>
        <w:pStyle w:val="Compact"/>
        <w:numPr>
          <w:ilvl w:val="0"/>
          <w:numId w:val="1018"/>
        </w:numPr>
      </w:pPr>
      <w:r>
        <w:t xml:space="preserve">Why did the Showrunner select or omit it?</w:t>
      </w:r>
    </w:p>
    <w:p>
      <w:pPr>
        <w:pStyle w:val="FirstParagraph"/>
      </w:pPr>
      <w:r>
        <w:t xml:space="preserve">This is lineage, not a requirement to retain purged rights-bearing text forever. Hashes/tombstones follow the architecture’s retention rules.</w:t>
      </w:r>
    </w:p>
    <w:bookmarkEnd w:id="82"/>
    <w:bookmarkStart w:id="83" w:name="prompt-injection-and-source-safety"/>
    <w:p>
      <w:pPr>
        <w:pStyle w:val="Heading2"/>
      </w:pPr>
      <w:r>
        <w:t xml:space="preserve">Prompt-injection and source safety</w:t>
      </w:r>
    </w:p>
    <w:p>
      <w:pPr>
        <w:pStyle w:val="FirstParagraph"/>
      </w:pPr>
      <w:r>
        <w:t xml:space="preserve">Commissioning has broad web/search exposure and must assume source material is malicious or instruction-bearing.</w:t>
      </w:r>
    </w:p>
    <w:p>
      <w:pPr>
        <w:pStyle w:val="BodyText"/>
      </w:pPr>
      <w:r>
        <w:t xml:space="preserve">Retrieved text is data, never instruction. Research agents may extract claims, links, quotes, and metadata from it, but source text cannot modify system/product/operator instructions, tool permissions, rights rules, or readiness criteria.</w:t>
      </w:r>
    </w:p>
    <w:p>
      <w:pPr>
        <w:pStyle w:val="BodyText"/>
      </w:pPr>
      <w:r>
        <w:t xml:space="preserve">The Engineering Standards &amp; Security spec owns implementation details such as sandboxing, tool permissions, logging/redaction, provider data retention, secret handling, and allow/deny policies.</w:t>
      </w:r>
    </w:p>
    <w:bookmarkEnd w:id="83"/>
    <w:bookmarkStart w:id="84" w:name="cost-quotas-and-failure-control"/>
    <w:p>
      <w:pPr>
        <w:pStyle w:val="Heading2"/>
      </w:pPr>
      <w:r>
        <w:t xml:space="preserve">Cost, quotas, and failure control</w:t>
      </w:r>
    </w:p>
    <w:p>
      <w:pPr>
        <w:pStyle w:val="FirstParagraph"/>
      </w:pPr>
      <w:r>
        <w:t xml:space="preserve">Commissioning may have a deliberately larger budget than routine production but still needs:</w:t>
      </w:r>
    </w:p>
    <w:p>
      <w:pPr>
        <w:pStyle w:val="Compact"/>
        <w:numPr>
          <w:ilvl w:val="0"/>
          <w:numId w:val="1019"/>
        </w:numPr>
      </w:pPr>
      <w:r>
        <w:t xml:space="preserve">per-run spend visibility;</w:t>
      </w:r>
    </w:p>
    <w:p>
      <w:pPr>
        <w:pStyle w:val="Compact"/>
        <w:numPr>
          <w:ilvl w:val="0"/>
          <w:numId w:val="1019"/>
        </w:numPr>
      </w:pPr>
      <w:r>
        <w:t xml:space="preserve">bounded retry/research loops;</w:t>
      </w:r>
    </w:p>
    <w:p>
      <w:pPr>
        <w:pStyle w:val="Compact"/>
        <w:numPr>
          <w:ilvl w:val="0"/>
          <w:numId w:val="1019"/>
        </w:numPr>
      </w:pPr>
      <w:r>
        <w:t xml:space="preserve">provider quota awareness;</w:t>
      </w:r>
    </w:p>
    <w:p>
      <w:pPr>
        <w:pStyle w:val="Compact"/>
        <w:numPr>
          <w:ilvl w:val="0"/>
          <w:numId w:val="1019"/>
        </w:numPr>
      </w:pPr>
      <w:r>
        <w:t xml:space="preserve">cancellation/kill controls;</w:t>
      </w:r>
    </w:p>
    <w:p>
      <w:pPr>
        <w:pStyle w:val="Compact"/>
        <w:numPr>
          <w:ilvl w:val="0"/>
          <w:numId w:val="1019"/>
        </w:numPr>
      </w:pPr>
      <w:r>
        <w:t xml:space="preserve">checkpoint/resume rather than restart-all behavior;</w:t>
      </w:r>
    </w:p>
    <w:p>
      <w:pPr>
        <w:pStyle w:val="Compact"/>
        <w:numPr>
          <w:ilvl w:val="0"/>
          <w:numId w:val="1019"/>
        </w:numPr>
      </w:pPr>
      <w:r>
        <w:t xml:space="preserve">cost attribution by discovery, deep research, verification, and adversarial review.</w:t>
      </w:r>
    </w:p>
    <w:p>
      <w:pPr>
        <w:pStyle w:val="FirstParagraph"/>
      </w:pPr>
      <w:r>
        <w:t xml:space="preserve">A cost ceiling should fail to a resumable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/incomplete run rather than silently skipping verification to hit budget.</w:t>
      </w:r>
    </w:p>
    <w:bookmarkEnd w:id="84"/>
    <w:bookmarkStart w:id="91" w:name="evaluation-suite"/>
    <w:p>
      <w:pPr>
        <w:pStyle w:val="Heading2"/>
      </w:pPr>
      <w:r>
        <w:t xml:space="preserve">Evaluation suite</w:t>
      </w:r>
    </w:p>
    <w:p>
      <w:pPr>
        <w:pStyle w:val="FirstParagraph"/>
      </w:pPr>
      <w:r>
        <w:t xml:space="preserve">Before the first real club is marked READY, create a small commissioning evaluation set.</w:t>
      </w:r>
    </w:p>
    <w:bookmarkStart w:id="85" w:name="stored-knowledge-retrieval-test"/>
    <w:p>
      <w:pPr>
        <w:pStyle w:val="Heading3"/>
      </w:pPr>
      <w:r>
        <w:t xml:space="preserve">Stored-knowledge retrieval test</w:t>
      </w:r>
    </w:p>
    <w:p>
      <w:pPr>
        <w:pStyle w:val="FirstParagraph"/>
      </w:pPr>
      <w:r>
        <w:t xml:space="preserve">Ask difficult but fair questions about the commissioned club with live browsing disabled. The system must return answers from stored claims/evidence or explicitly say the knowledge is absent.</w:t>
      </w:r>
    </w:p>
    <w:p>
      <w:pPr>
        <w:pStyle w:val="BodyText"/>
      </w:pPr>
      <w:r>
        <w:t xml:space="preserve">The test should include easy facts, culturally sensitive questions, relationship/rivalry questions, source-ecosystem questions, and current-state questions.</w:t>
      </w:r>
    </w:p>
    <w:bookmarkEnd w:id="85"/>
    <w:bookmarkStart w:id="86" w:name="provenance-test"/>
    <w:p>
      <w:pPr>
        <w:pStyle w:val="Heading3"/>
      </w:pPr>
      <w:r>
        <w:t xml:space="preserve">Provenance test</w:t>
      </w:r>
    </w:p>
    <w:p>
      <w:pPr>
        <w:pStyle w:val="FirstParagraph"/>
      </w:pPr>
      <w:r>
        <w:t xml:space="preserve">Randomly sample important answers and trace them back to actual evidence/support and rights metadata.</w:t>
      </w:r>
    </w:p>
    <w:bookmarkEnd w:id="86"/>
    <w:bookmarkStart w:id="87" w:name="source-portfolio-test"/>
    <w:p>
      <w:pPr>
        <w:pStyle w:val="Heading3"/>
      </w:pPr>
      <w:r>
        <w:t xml:space="preserve">Source-portfolio test</w:t>
      </w:r>
    </w:p>
    <w:p>
      <w:pPr>
        <w:pStyle w:val="FirstParagraph"/>
      </w:pPr>
      <w:r>
        <w:t xml:space="preserve">Simulate the loss of one or more priority sources. Determine whether coverage remains viable, degraded, or below floor. This exposes hidden single-source dependency.</w:t>
      </w:r>
    </w:p>
    <w:bookmarkEnd w:id="87"/>
    <w:bookmarkStart w:id="88" w:name="culturalwince-test"/>
    <w:p>
      <w:pPr>
        <w:pStyle w:val="Heading3"/>
      </w:pPr>
      <w:r>
        <w:t xml:space="preserve">Cultural/wince test</w:t>
      </w:r>
    </w:p>
    <w:p>
      <w:pPr>
        <w:pStyle w:val="FirstParagraph"/>
      </w:pPr>
      <w:r>
        <w:t xml:space="preserve">Challenge the stored lore/terminology with a supporter-perspective review. Findings become research tasks, not automatic truth.</w:t>
      </w:r>
    </w:p>
    <w:bookmarkEnd w:id="88"/>
    <w:bookmarkStart w:id="89" w:name="gap-honesty-test"/>
    <w:p>
      <w:pPr>
        <w:pStyle w:val="Heading3"/>
      </w:pPr>
      <w:r>
        <w:t xml:space="preserve">Gap-honesty test</w:t>
      </w:r>
    </w:p>
    <w:p>
      <w:pPr>
        <w:pStyle w:val="FirstParagraph"/>
      </w:pPr>
      <w:r>
        <w:t xml:space="preserve">Include questions the commissioning pass intentionally does not know. The correct behavior is to surface the gap, not improvise from latent model memory.</w:t>
      </w:r>
    </w:p>
    <w:bookmarkEnd w:id="89"/>
    <w:bookmarkStart w:id="90" w:name="context-retrieval-test"/>
    <w:p>
      <w:pPr>
        <w:pStyle w:val="Heading3"/>
      </w:pPr>
      <w:r>
        <w:t xml:space="preserve">Context-retrieval test</w:t>
      </w:r>
    </w:p>
    <w:p>
      <w:pPr>
        <w:pStyle w:val="FirstParagraph"/>
      </w:pPr>
      <w:r>
        <w:t xml:space="preserve">Given a frozen historical/current beat, verify that relevant internal context can be retrieved with useful provenance and irrelevant trivia is not overwhelmingly ranked above it.</w:t>
      </w:r>
    </w:p>
    <w:bookmarkEnd w:id="90"/>
    <w:bookmarkEnd w:id="91"/>
    <w:bookmarkStart w:id="92" w:name="operator-experience"/>
    <w:p>
      <w:pPr>
        <w:pStyle w:val="Heading2"/>
      </w:pPr>
      <w:r>
        <w:t xml:space="preserve">Operator experience</w:t>
      </w:r>
    </w:p>
    <w:p>
      <w:pPr>
        <w:pStyle w:val="FirstParagraph"/>
      </w:pPr>
      <w:r>
        <w:t xml:space="preserve">The operator should be able to inspect:</w:t>
      </w:r>
    </w:p>
    <w:p>
      <w:pPr>
        <w:pStyle w:val="Compact"/>
        <w:numPr>
          <w:ilvl w:val="0"/>
          <w:numId w:val="1020"/>
        </w:numPr>
      </w:pPr>
      <w:r>
        <w:t xml:space="preserve">commissioning status and cost;</w:t>
      </w:r>
    </w:p>
    <w:p>
      <w:pPr>
        <w:pStyle w:val="Compact"/>
        <w:numPr>
          <w:ilvl w:val="0"/>
          <w:numId w:val="1020"/>
        </w:numPr>
      </w:pPr>
      <w:r>
        <w:t xml:space="preserve">readiness dimensions;</w:t>
      </w:r>
    </w:p>
    <w:p>
      <w:pPr>
        <w:pStyle w:val="Compact"/>
        <w:numPr>
          <w:ilvl w:val="0"/>
          <w:numId w:val="1020"/>
        </w:numPr>
      </w:pPr>
      <w:r>
        <w:t xml:space="preserve">source portfolio and health;</w:t>
      </w:r>
    </w:p>
    <w:p>
      <w:pPr>
        <w:pStyle w:val="Compact"/>
        <w:numPr>
          <w:ilvl w:val="0"/>
          <w:numId w:val="1020"/>
        </w:numPr>
      </w:pPr>
      <w:r>
        <w:t xml:space="preserve">rights-review warnings;</w:t>
      </w:r>
    </w:p>
    <w:p>
      <w:pPr>
        <w:pStyle w:val="Compact"/>
        <w:numPr>
          <w:ilvl w:val="0"/>
          <w:numId w:val="1020"/>
        </w:numPr>
      </w:pPr>
      <w:r>
        <w:t xml:space="preserve">unresolved knowledge gaps;</w:t>
      </w:r>
    </w:p>
    <w:p>
      <w:pPr>
        <w:pStyle w:val="Compact"/>
        <w:numPr>
          <w:ilvl w:val="0"/>
          <w:numId w:val="1020"/>
        </w:numPr>
      </w:pPr>
      <w:r>
        <w:t xml:space="preserve">recent enrichment candidates;</w:t>
      </w:r>
    </w:p>
    <w:p>
      <w:pPr>
        <w:pStyle w:val="Compact"/>
        <w:numPr>
          <w:ilvl w:val="0"/>
          <w:numId w:val="1020"/>
        </w:numPr>
      </w:pPr>
      <w:r>
        <w:t xml:space="preserve">due maintenance tasks;</w:t>
      </w:r>
    </w:p>
    <w:p>
      <w:pPr>
        <w:pStyle w:val="Compact"/>
        <w:numPr>
          <w:ilvl w:val="0"/>
          <w:numId w:val="1020"/>
        </w:numPr>
      </w:pPr>
      <w:r>
        <w:t xml:space="preserve">Coverage Dossier;</w:t>
      </w:r>
    </w:p>
    <w:p>
      <w:pPr>
        <w:pStyle w:val="Compact"/>
        <w:numPr>
          <w:ilvl w:val="0"/>
          <w:numId w:val="1020"/>
        </w:numPr>
      </w:pPr>
      <w:r>
        <w:t xml:space="preserve">context-retrieval traces during program inspection.</w:t>
      </w:r>
    </w:p>
    <w:p>
      <w:pPr>
        <w:pStyle w:val="FirstParagraph"/>
      </w:pPr>
      <w:r>
        <w:t xml:space="preserve">For the first implementation, this can be a simple admin view. Do not build a separate knowledge-management product.</w:t>
      </w:r>
    </w:p>
    <w:bookmarkEnd w:id="92"/>
    <w:bookmarkStart w:id="93" w:name="build-3-done-when"/>
    <w:p>
      <w:pPr>
        <w:pStyle w:val="Heading2"/>
      </w:pPr>
      <w:r>
        <w:t xml:space="preserve">Build 3 done-when</w:t>
      </w:r>
    </w:p>
    <w:p>
      <w:pPr>
        <w:pStyle w:val="FirstParagraph"/>
      </w:pPr>
      <w:r>
        <w:t xml:space="preserve">Build 3 is complete for the first football club when:</w:t>
      </w:r>
    </w:p>
    <w:p>
      <w:pPr>
        <w:pStyle w:val="Compact"/>
        <w:numPr>
          <w:ilvl w:val="0"/>
          <w:numId w:val="1021"/>
        </w:numPr>
      </w:pPr>
      <w:r>
        <w:t xml:space="preserve">A durable commissioning run exists with inspectable provenance/cost.</w:t>
      </w:r>
    </w:p>
    <w:p>
      <w:pPr>
        <w:pStyle w:val="Compact"/>
        <w:numPr>
          <w:ilvl w:val="0"/>
          <w:numId w:val="1021"/>
        </w:numPr>
      </w:pPr>
      <w:r>
        <w:t xml:space="preserve">Canonical entity/relationship/current-state basics are present.</w:t>
      </w:r>
    </w:p>
    <w:p>
      <w:pPr>
        <w:pStyle w:val="Compact"/>
        <w:numPr>
          <w:ilvl w:val="0"/>
          <w:numId w:val="1021"/>
        </w:numPr>
      </w:pPr>
      <w:r>
        <w:t xml:space="preserve">Lore/cultural claims have the required supports and review history.</w:t>
      </w:r>
    </w:p>
    <w:p>
      <w:pPr>
        <w:pStyle w:val="Compact"/>
        <w:numPr>
          <w:ilvl w:val="0"/>
          <w:numId w:val="1021"/>
        </w:numPr>
      </w:pPr>
      <w:r>
        <w:t xml:space="preserve">The routine media/source portfolio is mapped with rights/access and entity-relative utility.</w:t>
      </w:r>
    </w:p>
    <w:p>
      <w:pPr>
        <w:pStyle w:val="Compact"/>
        <w:numPr>
          <w:ilvl w:val="0"/>
          <w:numId w:val="1021"/>
        </w:numPr>
      </w:pPr>
      <w:r>
        <w:t xml:space="preserve">Seeded baselines exist where the launch format depends on them.</w:t>
      </w:r>
    </w:p>
    <w:p>
      <w:pPr>
        <w:pStyle w:val="Compact"/>
        <w:numPr>
          <w:ilvl w:val="0"/>
          <w:numId w:val="1021"/>
        </w:numPr>
      </w:pPr>
      <w:r>
        <w:t xml:space="preserve">Pronunciation and sensitivity requirements meet launch minimums.</w:t>
      </w:r>
    </w:p>
    <w:p>
      <w:pPr>
        <w:pStyle w:val="Compact"/>
        <w:numPr>
          <w:ilvl w:val="0"/>
          <w:numId w:val="1021"/>
        </w:numPr>
      </w:pPr>
      <w:r>
        <w:t xml:space="preserve">Material gaps are explicitly represented.</w:t>
      </w:r>
    </w:p>
    <w:p>
      <w:pPr>
        <w:pStyle w:val="Compact"/>
        <w:numPr>
          <w:ilvl w:val="0"/>
          <w:numId w:val="1021"/>
        </w:numPr>
      </w:pPr>
      <w:r>
        <w:t xml:space="preserve">An independent readiness evaluation returns READY or an intentionally adjudicated DEGRADED state.</w:t>
      </w:r>
    </w:p>
    <w:p>
      <w:pPr>
        <w:pStyle w:val="Compact"/>
        <w:numPr>
          <w:ilvl w:val="0"/>
          <w:numId w:val="1021"/>
        </w:numPr>
      </w:pPr>
      <w:r>
        <w:t xml:space="preserve">A derived Coverage Dossier can be regenerated from canonical records.</w:t>
      </w:r>
    </w:p>
    <w:p>
      <w:pPr>
        <w:pStyle w:val="Compact"/>
        <w:numPr>
          <w:ilvl w:val="0"/>
          <w:numId w:val="1021"/>
        </w:numPr>
      </w:pPr>
      <w:r>
        <w:t xml:space="preserve">The stored-knowledge retrieval test works with live search disabled.</w:t>
      </w:r>
    </w:p>
    <w:p>
      <w:pPr>
        <w:pStyle w:val="Compact"/>
        <w:numPr>
          <w:ilvl w:val="0"/>
          <w:numId w:val="1021"/>
        </w:numPr>
      </w:pPr>
      <w:r>
        <w:t xml:space="preserve">Re-running/resuming commissioning does not duplicate canonical records or overwrite accepted history silently.</w:t>
      </w:r>
    </w:p>
    <w:bookmarkEnd w:id="93"/>
    <w:bookmarkStart w:id="94" w:name="build-4-handoff"/>
    <w:p>
      <w:pPr>
        <w:pStyle w:val="Heading2"/>
      </w:pPr>
      <w:r>
        <w:t xml:space="preserve">Build 4 handoff</w:t>
      </w:r>
    </w:p>
    <w:p>
      <w:pPr>
        <w:pStyle w:val="FirstParagraph"/>
      </w:pPr>
      <w:r>
        <w:t xml:space="preserve">Ingest &amp; Evidence v0.2 must consume the commissioned source portfolio and rights policies, update source health/baselines, and emit knowledge/source candidates when it encounters plausible durable gaps.</w:t>
      </w:r>
    </w:p>
    <w:p>
      <w:pPr>
        <w:pStyle w:val="BodyText"/>
      </w:pPr>
      <w:r>
        <w:t xml:space="preserve">It may not silently promote those candidates.</w:t>
      </w:r>
    </w:p>
    <w:bookmarkEnd w:id="94"/>
    <w:bookmarkStart w:id="95" w:name="build-5-handoff"/>
    <w:p>
      <w:pPr>
        <w:pStyle w:val="Heading2"/>
      </w:pPr>
      <w:r>
        <w:t xml:space="preserve">Build 5 handoff</w:t>
      </w:r>
    </w:p>
    <w:p>
      <w:pPr>
        <w:pStyle w:val="FirstParagraph"/>
      </w:pPr>
      <w:r>
        <w:t xml:space="preserve">Evidence Package/Showrunner Planning must implement internal context retrieval before package freeze, then record a small set of Showrunner</w:t>
      </w:r>
      <w:r>
        <w:t xml:space="preserve"> </w:t>
      </w:r>
      <w:r>
        <w:rPr>
          <w:rStyle w:val="VerbatimChar"/>
        </w:rPr>
        <w:t xml:space="preserve">context_selections</w:t>
      </w:r>
      <w:r>
        <w:t xml:space="preserve"> </w:t>
      </w:r>
      <w:r>
        <w:t xml:space="preserve">per beat where useful.</w:t>
      </w:r>
    </w:p>
    <w:p>
      <w:pPr>
        <w:pStyle w:val="BodyText"/>
      </w:pPr>
      <w:r>
        <w:t xml:space="preserve">The writer still sees no live web.</w:t>
      </w:r>
    </w:p>
    <w:bookmarkEnd w:id="95"/>
    <w:bookmarkStart w:id="96" w:name="Xa30f976c38137d0dc4adac3ff6cfc7591b33378"/>
    <w:p>
      <w:pPr>
        <w:pStyle w:val="Heading2"/>
      </w:pPr>
      <w:r>
        <w:t xml:space="preserve">Open questions for implementation, not architecture</w:t>
      </w:r>
    </w:p>
    <w:p>
      <w:pPr>
        <w:pStyle w:val="Compact"/>
        <w:numPr>
          <w:ilvl w:val="0"/>
          <w:numId w:val="1022"/>
        </w:numPr>
      </w:pPr>
      <w:r>
        <w:t xml:space="preserve">Exact readiness dimension scoring format: pass/warn/fail vs richer typed results.</w:t>
      </w:r>
    </w:p>
    <w:p>
      <w:pPr>
        <w:pStyle w:val="Compact"/>
        <w:numPr>
          <w:ilvl w:val="0"/>
          <w:numId w:val="1022"/>
        </w:numPr>
      </w:pPr>
      <w:r>
        <w:t xml:space="preserve">Initial football heuristic for portfolio breadth after moving away from universal source counts.</w:t>
      </w:r>
    </w:p>
    <w:p>
      <w:pPr>
        <w:pStyle w:val="Compact"/>
        <w:numPr>
          <w:ilvl w:val="0"/>
          <w:numId w:val="1022"/>
        </w:numPr>
      </w:pPr>
      <w:r>
        <w:t xml:space="preserve">Whether context retrieval v1 is deterministic/keyword + SQL first, embeddings first, or a hybrid. Choose the simplest method that passes the retrieval evaluation.</w:t>
      </w:r>
    </w:p>
    <w:p>
      <w:pPr>
        <w:pStyle w:val="Compact"/>
        <w:numPr>
          <w:ilvl w:val="0"/>
          <w:numId w:val="1022"/>
        </w:numPr>
      </w:pPr>
      <w:r>
        <w:t xml:space="preserve">Whether enrichment candidates are individual rows or a generic review-queue abstraction shared with corrections. Prefer extending an existing coherent abstraction if it fits.</w:t>
      </w:r>
    </w:p>
    <w:p>
      <w:pPr>
        <w:pStyle w:val="Compact"/>
        <w:numPr>
          <w:ilvl w:val="0"/>
          <w:numId w:val="1022"/>
        </w:numPr>
      </w:pPr>
      <w:r>
        <w:t xml:space="preserve">Whether sport/competition commissioning v1 is hand-seeded configuration or uses the same research runner. Do not automate before another sport/competition requires it.</w:t>
      </w:r>
    </w:p>
    <w:bookmarkEnd w:id="96"/>
    <w:bookmarkStart w:id="97" w:name="X9ac1892e0caa063c92393a0d88be8eb6fe3316d"/>
    <w:p>
      <w:pPr>
        <w:pStyle w:val="Heading2"/>
      </w:pPr>
      <w:r>
        <w:t xml:space="preserve">What we are intentionally not implementing yet</w:t>
      </w:r>
    </w:p>
    <w:p>
      <w:pPr>
        <w:pStyle w:val="Compact"/>
        <w:numPr>
          <w:ilvl w:val="0"/>
          <w:numId w:val="1023"/>
        </w:numPr>
      </w:pPr>
      <w:r>
        <w:t xml:space="preserve">generalized automated commissioning for every sport;</w:t>
      </w:r>
    </w:p>
    <w:p>
      <w:pPr>
        <w:pStyle w:val="Compact"/>
        <w:numPr>
          <w:ilvl w:val="0"/>
          <w:numId w:val="1023"/>
        </w:numPr>
      </w:pPr>
      <w:r>
        <w:t xml:space="preserve">audio/video consumption solely to make commissioning richer;</w:t>
      </w:r>
    </w:p>
    <w:p>
      <w:pPr>
        <w:pStyle w:val="Compact"/>
        <w:numPr>
          <w:ilvl w:val="0"/>
          <w:numId w:val="1023"/>
        </w:numPr>
      </w:pPr>
      <w:r>
        <w:t xml:space="preserve">autonomous promotion of knowledge candidates;</w:t>
      </w:r>
    </w:p>
    <w:p>
      <w:pPr>
        <w:pStyle w:val="Compact"/>
        <w:numPr>
          <w:ilvl w:val="0"/>
          <w:numId w:val="1023"/>
        </w:numPr>
      </w:pPr>
      <w:r>
        <w:t xml:space="preserve">a vector database solely because context retrieval exists;</w:t>
      </w:r>
    </w:p>
    <w:p>
      <w:pPr>
        <w:pStyle w:val="Compact"/>
        <w:numPr>
          <w:ilvl w:val="0"/>
          <w:numId w:val="1023"/>
        </w:numPr>
      </w:pPr>
      <w:r>
        <w:t xml:space="preserve">a graph database solely because entities have relationships;</w:t>
      </w:r>
    </w:p>
    <w:p>
      <w:pPr>
        <w:pStyle w:val="Compact"/>
        <w:numPr>
          <w:ilvl w:val="0"/>
          <w:numId w:val="1023"/>
        </w:numPr>
      </w:pPr>
      <w:r>
        <w:t xml:space="preserve">a standalone knowledge-management service;</w:t>
      </w:r>
    </w:p>
    <w:p>
      <w:pPr>
        <w:pStyle w:val="Compact"/>
        <w:numPr>
          <w:ilvl w:val="0"/>
          <w:numId w:val="1023"/>
        </w:numPr>
      </w:pPr>
      <w:r>
        <w:t xml:space="preserve">human-original reporting or source outreach;</w:t>
      </w:r>
    </w:p>
    <w:p>
      <w:pPr>
        <w:pStyle w:val="Compact"/>
        <w:numPr>
          <w:ilvl w:val="0"/>
          <w:numId w:val="1023"/>
        </w:numPr>
      </w:pPr>
      <w:r>
        <w:t xml:space="preserve">writer browsing/search;</w:t>
      </w:r>
    </w:p>
    <w:p>
      <w:pPr>
        <w:pStyle w:val="Compact"/>
        <w:numPr>
          <w:ilvl w:val="0"/>
          <w:numId w:val="1023"/>
        </w:numPr>
      </w:pPr>
      <w:r>
        <w:t xml:space="preserve">encyclopedic completion targets.</w:t>
      </w:r>
    </w:p>
    <w:bookmarkEnd w:id="97"/>
    <w:bookmarkStart w:id="98" w:name="summary-contract"/>
    <w:p>
      <w:pPr>
        <w:pStyle w:val="Heading2"/>
      </w:pPr>
      <w:r>
        <w:t xml:space="preserve">Summary contract</w:t>
      </w:r>
    </w:p>
    <w:p>
      <w:pPr>
        <w:pStyle w:val="FirstParagraph"/>
      </w:pPr>
      <w:r>
        <w:t xml:space="preserve">Coverage Commissioning establishes enough evidence-backed institutional knowledge that The Desk can cover a new scope from Antarctica without pretending the synthetic talent already knew it.</w:t>
      </w:r>
    </w:p>
    <w:p>
      <w:pPr>
        <w:pStyle w:val="BodyText"/>
      </w:pPr>
      <w:r>
        <w:t xml:space="preserve">Ongoing ingest keeps that institutional knowledge alive by surfacing gaps and changes, but durable promotion remains controlled and auditable.</w:t>
      </w:r>
    </w:p>
    <w:p>
      <w:pPr>
        <w:pStyle w:val="BodyText"/>
      </w:pPr>
      <w:r>
        <w:t xml:space="preserve">Programming later retrieves a bounded set of relevant internal context, freezes it into the Evidence Package, and lets the Showrunner decide which history, data, continuity, or cultural material actually helps today’s story.</w:t>
      </w:r>
    </w:p>
    <w:p>
      <w:pPr>
        <w:pStyle w:val="BodyText"/>
      </w:pPr>
      <w:r>
        <w:rPr>
          <w:b/>
          <w:bCs/>
        </w:rPr>
        <w:t xml:space="preserve">Research discovers. Knowledge preserves. Retrieval proposes. Programming decides. Writing expresses.</w:t>
      </w:r>
    </w:p>
    <w:bookmarkEnd w:id="98"/>
    <w:bookmarkEnd w:id="99"/>
    <w:sectPr w:rsidR="00FC693F" w:rsidRPr="0006063C" w:rsidSect="00034616">
      <w:headerReference r:id="rId9" w:type="default"/>
      <w:footerReference r:id="rId10" w:type="default"/>
      <w:pgSz w:h="15840" w:w="12240"/>
      <w:pgMar w:bottom="893" w:footer="720" w:gutter="0" w:header="720" w:left="1037" w:right="1037" w:top="893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8088"/>
        <w:sz w:val="15"/>
      </w:rPr>
      <w:t xml:space="preserve">Skeleton-grade spec | Sep 26, 2026 | Page </w:t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88088"/>
        <w:sz w:val="15"/>
      </w:rPr>
      <w:t>THE DESK  |  COVERAGE COMMISSIONING v0.1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4" w:line="252" w:lineRule="auto"/>
    </w:pPr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92A3E"/>
      <w:sz w:val="33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B3E52"/>
      <w:sz w:val="27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40"/>
      <w:outlineLvl w:val="2"/>
    </w:pPr>
    <w:rPr>
      <w:rFonts w:ascii="Aptos" w:asciiTheme="majorHAnsi" w:cstheme="majorBidi" w:eastAsiaTheme="majorEastAsia" w:hAnsi="Aptos" w:hAnsiTheme="majorHAnsi"/>
      <w:b/>
      <w:bCs/>
      <w:color w:val="405263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00"/>
      <w:outlineLvl w:val="3"/>
    </w:pPr>
    <w:rPr>
      <w:rFonts w:ascii="Aptos" w:asciiTheme="majorHAnsi" w:cstheme="majorBidi" w:eastAsiaTheme="majorEastAsia" w:hAnsi="Aptos" w:hAnsiTheme="majorHAnsi"/>
      <w:b/>
      <w:bCs/>
      <w:i/>
      <w:iCs/>
      <w:color w:val="465666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92A3E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Block" w:type="paragraph">
    <w:name w:val="Code Block"/>
    <w:pPr>
      <w:spacing w:after="100" w:before="60" w:line="240" w:lineRule="auto"/>
      <w:ind w:left="230" w:right="144"/>
    </w:pPr>
    <w:rPr>
      <w:rFonts w:ascii="Courier New" w:hAnsi="Courier New"/>
      <w:sz w:val="16"/>
    </w:rPr>
  </w:style>
  <w:style w:customStyle="1" w:styleId="Meta" w:type="paragraph">
    <w:name w:val="Meta"/>
    <w:pPr>
      <w:spacing w:after="20"/>
    </w:pPr>
    <w:rPr>
      <w:rFonts w:ascii="Aptos" w:hAnsi="Aptos"/>
      <w:color w:val="5B656F"/>
      <w:sz w:val="17"/>
    </w:rPr>
  </w:style>
  <w:style w:customStyle="1" w:styleId="SmallNote" w:type="paragraph">
    <w:name w:val="Small Note"/>
    <w:pPr>
      <w:spacing w:after="60"/>
    </w:pPr>
    <w:rPr>
      <w:rFonts w:ascii="Aptos" w:hAnsi="Aptos"/>
      <w:color w:val="555C64"/>
      <w:sz w:val="1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2026-09-26T12:02:36Z</dcterms:created>
  <dcterms:modified xsi:type="dcterms:W3CDTF">2026-09-26T12:02:36Z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