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7d1ba28de15ff71cd3062e7e1993a78017ea9b"/>
    <w:p>
      <w:pPr>
        <w:pStyle w:val="Heading1"/>
      </w:pPr>
      <w:r>
        <w:t xml:space="preserve">The Desk - Implementation-Readiness Closure v1.2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- READY FOR CODING-AGENT DRY RUN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26,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Build 1 + Build 2 + launch-operation and launch-writing-craft sockets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v1.1</w:t>
      </w:r>
    </w:p>
    <w:bookmarkStart w:id="20" w:name="final-disposition"/>
    <w:p>
      <w:pPr>
        <w:pStyle w:val="Heading2"/>
      </w:pPr>
      <w:r>
        <w:t xml:space="preserve">Final disposition</w:t>
      </w:r>
    </w:p>
    <w:p>
      <w:pPr>
        <w:pStyle w:val="FirstParagraph"/>
      </w:pPr>
      <w:r>
        <w:t xml:space="preserve">The implementation-facing corpus remains ready for the coding-agent dry run after incorporating the accepted launch writing-craft and ensemble changes.</w:t>
      </w:r>
    </w:p>
    <w:p>
      <w:pPr>
        <w:pStyle w:val="BodyText"/>
      </w:pPr>
      <w:r>
        <w:t xml:space="preserve">Technical Architecture v1.0 remains frozen. ADR-001 through ADR-003 remain governing. The new work is a</w:t>
      </w:r>
      <w:r>
        <w:t xml:space="preserve"> </w:t>
      </w:r>
      <w:r>
        <w:rPr>
          <w:b/>
          <w:bCs/>
        </w:rPr>
        <w:t xml:space="preserve">downstream product/editorial refinement</w:t>
      </w:r>
      <w:r>
        <w:t xml:space="preserve">, not an architecture reopen.</w:t>
      </w:r>
    </w:p>
    <w:p>
      <w:pPr>
        <w:pStyle w:val="BodyText"/>
      </w:pPr>
      <w:r>
        <w:t xml:space="preserve">The active successors are now:</w:t>
      </w:r>
    </w:p>
    <w:p>
      <w:pPr>
        <w:pStyle w:val="Compact"/>
        <w:numPr>
          <w:ilvl w:val="0"/>
          <w:numId w:val="1001"/>
        </w:numPr>
      </w:pPr>
      <w:r>
        <w:t xml:space="preserve">Showrunner Planning v0.1.3;</w:t>
      </w:r>
    </w:p>
    <w:p>
      <w:pPr>
        <w:pStyle w:val="Compact"/>
        <w:numPr>
          <w:ilvl w:val="0"/>
          <w:numId w:val="1001"/>
        </w:numPr>
      </w:pPr>
      <w:r>
        <w:t xml:space="preserve">Writing Craft and Invisible Comprehension v0.1;</w:t>
      </w:r>
    </w:p>
    <w:p>
      <w:pPr>
        <w:pStyle w:val="Compact"/>
        <w:numPr>
          <w:ilvl w:val="0"/>
          <w:numId w:val="1001"/>
        </w:numPr>
      </w:pPr>
      <w:r>
        <w:t xml:space="preserve">Writing Spec v0.2.2;</w:t>
      </w:r>
    </w:p>
    <w:p>
      <w:pPr>
        <w:pStyle w:val="Compact"/>
        <w:numPr>
          <w:ilvl w:val="0"/>
          <w:numId w:val="1001"/>
        </w:numPr>
      </w:pPr>
      <w:r>
        <w:t xml:space="preserve">Character Bible v0.1.4;</w:t>
      </w:r>
    </w:p>
    <w:p>
      <w:pPr>
        <w:pStyle w:val="Compact"/>
        <w:numPr>
          <w:ilvl w:val="0"/>
          <w:numId w:val="1001"/>
        </w:numPr>
      </w:pPr>
      <w:r>
        <w:t xml:space="preserve">Walking-Skeleton Contract Trace v0.4;</w:t>
      </w:r>
    </w:p>
    <w:p>
      <w:pPr>
        <w:pStyle w:val="Compact"/>
        <w:numPr>
          <w:ilvl w:val="0"/>
          <w:numId w:val="1001"/>
        </w:numPr>
      </w:pPr>
      <w:r>
        <w:t xml:space="preserve">Frozen Walking-Skeleton Fixture v0.4;</w:t>
      </w:r>
    </w:p>
    <w:p>
      <w:pPr>
        <w:pStyle w:val="Compact"/>
        <w:numPr>
          <w:ilvl w:val="0"/>
          <w:numId w:val="1001"/>
        </w:numPr>
      </w:pPr>
      <w:r>
        <w:t xml:space="preserve">Coding Handoff v0.4.</w:t>
      </w:r>
    </w:p>
    <w:bookmarkEnd w:id="20"/>
    <w:bookmarkStart w:id="24" w:name="what-changed-after-v1.1"/>
    <w:p>
      <w:pPr>
        <w:pStyle w:val="Heading2"/>
      </w:pPr>
      <w:r>
        <w:t xml:space="preserve">What changed after v1.1</w:t>
      </w:r>
    </w:p>
    <w:p>
      <w:pPr>
        <w:pStyle w:val="FirstParagraph"/>
      </w:pPr>
      <w:r>
        <w:t xml:space="preserve">The accepted launch product now has an explicit writing-quality mechanism rather than relying on a generic</w:t>
      </w:r>
      <w:r>
        <w:t xml:space="preserve"> </w:t>
      </w:r>
      <w:r>
        <w:t xml:space="preserve">“</w:t>
      </w:r>
      <w:r>
        <w:t xml:space="preserve">write well</w:t>
      </w:r>
      <w:r>
        <w:t xml:space="preserve">”</w:t>
      </w:r>
      <w:r>
        <w:t xml:space="preserve"> </w:t>
      </w:r>
      <w:r>
        <w:t xml:space="preserve">prompt or a large golden-example corpus.</w:t>
      </w:r>
    </w:p>
    <w:bookmarkStart w:id="21" w:name="writing-craft"/>
    <w:p>
      <w:pPr>
        <w:pStyle w:val="Heading3"/>
      </w:pPr>
      <w:r>
        <w:t xml:space="preserve">Writing craft</w:t>
      </w:r>
    </w:p>
    <w:p>
      <w:pPr>
        <w:pStyle w:val="Compact"/>
        <w:numPr>
          <w:ilvl w:val="0"/>
          <w:numId w:val="1002"/>
        </w:numPr>
      </w:pPr>
      <w:r>
        <w:t xml:space="preserve">Positive examples teach abstract craft principles rather than surface templates.</w:t>
      </w:r>
    </w:p>
    <w:p>
      <w:pPr>
        <w:pStyle w:val="Compact"/>
        <w:numPr>
          <w:ilvl w:val="0"/>
          <w:numId w:val="1002"/>
        </w:numPr>
      </w:pPr>
      <w:r>
        <w:t xml:space="preserve">Contrastive examples and anti-patterns are preferred to imitation-heavy few-shot prompting.</w:t>
      </w:r>
    </w:p>
    <w:p>
      <w:pPr>
        <w:pStyle w:val="Compact"/>
        <w:numPr>
          <w:ilvl w:val="0"/>
          <w:numId w:val="1002"/>
        </w:numPr>
      </w:pPr>
      <w:r>
        <w:t xml:space="preserve">The production Writer receives a compact standard rather than the whole Craft Library.</w:t>
      </w:r>
    </w:p>
    <w:p>
      <w:pPr>
        <w:pStyle w:val="Compact"/>
        <w:numPr>
          <w:ilvl w:val="0"/>
          <w:numId w:val="1002"/>
        </w:numPr>
      </w:pPr>
      <w:r>
        <w:t xml:space="preserve">An independent Craft Critic diagnoses writing quality but cannot rewrite or add sports facts.</w:t>
      </w:r>
    </w:p>
    <w:p>
      <w:pPr>
        <w:pStyle w:val="Compact"/>
        <w:numPr>
          <w:ilvl w:val="0"/>
          <w:numId w:val="1002"/>
        </w:numPr>
      </w:pPr>
      <w:r>
        <w:t xml:space="preserve">Build 2 allows zero or one substantive craft revision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, followed by the existing speech-texture pass.</w:t>
      </w:r>
    </w:p>
    <w:p>
      <w:pPr>
        <w:pStyle w:val="Compact"/>
        <w:numPr>
          <w:ilvl w:val="0"/>
          <w:numId w:val="1002"/>
        </w:numPr>
      </w:pPr>
      <w:r>
        <w:t xml:space="preserve">The semantic/factual auditor remains separate and retains its existing authority.</w:t>
      </w:r>
    </w:p>
    <w:bookmarkEnd w:id="21"/>
    <w:bookmarkStart w:id="22" w:name="invisible-comprehension-design"/>
    <w:p>
      <w:pPr>
        <w:pStyle w:val="Heading3"/>
      </w:pPr>
      <w:r>
        <w:t xml:space="preserve">Invisible Comprehension Design</w:t>
      </w:r>
    </w:p>
    <w:p>
      <w:pPr>
        <w:pStyle w:val="FirstParagraph"/>
      </w:pPr>
      <w:r>
        <w:t xml:space="preserve">For the launch post-event format only:</w:t>
      </w:r>
    </w:p>
    <w:p>
      <w:pPr>
        <w:pStyle w:val="Compact"/>
        <w:numPr>
          <w:ilvl w:val="0"/>
          <w:numId w:val="1003"/>
        </w:numPr>
      </w:pPr>
      <w:r>
        <w:t xml:space="preserve">valuable supportable insight and implication are prioritized over box-score recitation;</w:t>
      </w:r>
    </w:p>
    <w:p>
      <w:pPr>
        <w:pStyle w:val="Compact"/>
        <w:numPr>
          <w:ilvl w:val="0"/>
          <w:numId w:val="1003"/>
        </w:numPr>
      </w:pPr>
      <w:r>
        <w:t xml:space="preserve">important ideas may be semantically reinforced through different conversational jobs rather than repeated literally;</w:t>
      </w:r>
    </w:p>
    <w:p>
      <w:pPr>
        <w:pStyle w:val="Compact"/>
        <w:numPr>
          <w:ilvl w:val="0"/>
          <w:numId w:val="1003"/>
        </w:numPr>
      </w:pPr>
      <w:r>
        <w:t xml:space="preserve">comprehension mechanics must remain invisible to the listener;</w:t>
      </w:r>
    </w:p>
    <w:p>
      <w:pPr>
        <w:pStyle w:val="Compact"/>
        <w:numPr>
          <w:ilvl w:val="0"/>
          <w:numId w:val="1003"/>
        </w:numPr>
      </w:pPr>
      <w:r>
        <w:t xml:space="preserve">no numeric repetition target or information-density metric is introduced;</w:t>
      </w:r>
    </w:p>
    <w:p>
      <w:pPr>
        <w:pStyle w:val="Compact"/>
        <w:numPr>
          <w:ilvl w:val="0"/>
          <w:numId w:val="1003"/>
        </w:numPr>
      </w:pPr>
      <w:r>
        <w:t xml:space="preserve">the Showrunner may mark a small number of claim-backed comprehension targets but may not manufacture their conclusions;</w:t>
      </w:r>
    </w:p>
    <w:p>
      <w:pPr>
        <w:pStyle w:val="Compact"/>
        <w:numPr>
          <w:ilvl w:val="0"/>
          <w:numId w:val="1003"/>
        </w:numPr>
      </w:pPr>
      <w:r>
        <w:t xml:space="preserve">forward implication is part of the editorial lens, while all factual/analytical assertions remain claim-bound.</w:t>
      </w:r>
    </w:p>
    <w:p>
      <w:pPr>
        <w:pStyle w:val="FirstParagraph"/>
      </w:pPr>
      <w:r>
        <w:t xml:space="preserve">This is not a permanent doctrine for every future Desk format.</w:t>
      </w:r>
    </w:p>
    <w:bookmarkEnd w:id="22"/>
    <w:bookmarkStart w:id="23" w:name="ensemble-tuning"/>
    <w:p>
      <w:pPr>
        <w:pStyle w:val="Heading3"/>
      </w:pPr>
      <w:r>
        <w:t xml:space="preserve">Ensemble tuning</w:t>
      </w:r>
    </w:p>
    <w:p>
      <w:pPr>
        <w:pStyle w:val="Compact"/>
        <w:numPr>
          <w:ilvl w:val="0"/>
          <w:numId w:val="1004"/>
        </w:numPr>
      </w:pPr>
      <w:r>
        <w:t xml:space="preserve">The covered club is the shared object of concern that unites the desk and listener without synthetic claims of supporter membership or biography.</w:t>
      </w:r>
    </w:p>
    <w:p>
      <w:pPr>
        <w:pStyle w:val="Compact"/>
        <w:numPr>
          <w:ilvl w:val="0"/>
          <w:numId w:val="1004"/>
        </w:numPr>
      </w:pPr>
      <w:r>
        <w:t xml:space="preserve">Simon is an emotionally expressive supporter avatar and personality. He argues the supporter case directly when warranted, but he is not argumentative by nature.</w:t>
      </w:r>
    </w:p>
    <w:p>
      <w:pPr>
        <w:pStyle w:val="Compact"/>
        <w:numPr>
          <w:ilvl w:val="0"/>
          <w:numId w:val="1004"/>
        </w:numPr>
      </w:pPr>
      <w:r>
        <w:t xml:space="preserve">Gaz and Simon are warm complementary mates. Their friction is earned, not scheduled.</w:t>
      </w:r>
    </w:p>
    <w:p>
      <w:pPr>
        <w:pStyle w:val="Compact"/>
        <w:numPr>
          <w:ilvl w:val="0"/>
          <w:numId w:val="1004"/>
        </w:numPr>
      </w:pPr>
      <w:r>
        <w:t xml:space="preserve">Gaz is a thinker/listener/solver with dry, flat intellectual humor; his role is not serial stat delivery.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Gaz begins with IQ; Simon begins with EQ</w:t>
      </w:r>
      <w:r>
        <w:t xml:space="preserve">”</w:t>
      </w:r>
      <w:r>
        <w:t xml:space="preserve"> </w:t>
      </w:r>
      <w:r>
        <w:t xml:space="preserve">is a design shorthand, not an intelligence hierarchy.</w:t>
      </w:r>
    </w:p>
    <w:p>
      <w:pPr>
        <w:pStyle w:val="Compact"/>
        <w:numPr>
          <w:ilvl w:val="0"/>
          <w:numId w:val="1004"/>
        </w:numPr>
      </w:pPr>
      <w:r>
        <w:t xml:space="preserve">Tully owns a real</w:t>
      </w:r>
      <w:r>
        <w:t xml:space="preserve"> </w:t>
      </w:r>
      <w:r>
        <w:rPr>
          <w:b/>
          <w:bCs/>
        </w:rPr>
        <w:t xml:space="preserve">closing synthesis</w:t>
      </w:r>
      <w:r>
        <w:t xml:space="preserve"> </w:t>
      </w:r>
      <w:r>
        <w:t xml:space="preserve">that decides what deserves to linger and points the listener toward what matters next. It has no fixed point count or surface template.</w:t>
      </w:r>
    </w:p>
    <w:p>
      <w:pPr>
        <w:pStyle w:val="FirstParagraph"/>
      </w:pPr>
      <w:r>
        <w:t xml:space="preserve">The Character Bible also explicitly removes fabricated life-history interpretation from Gaz’s</w:t>
      </w:r>
      <w:r>
        <w:t xml:space="preserve"> </w:t>
      </w:r>
      <w:r>
        <w:t xml:space="preserve">“</w:t>
      </w:r>
      <w:r>
        <w:t xml:space="preserve">maths teacher</w:t>
      </w:r>
      <w:r>
        <w:t xml:space="preserve">”</w:t>
      </w:r>
      <w:r>
        <w:t xml:space="preserve"> </w:t>
      </w:r>
      <w:r>
        <w:t xml:space="preserve">lens. That is behavioral energy only, not biography.</w:t>
      </w:r>
    </w:p>
    <w:bookmarkEnd w:id="23"/>
    <w:bookmarkEnd w:id="24"/>
    <w:bookmarkStart w:id="25" w:name="build-1-consequences"/>
    <w:p>
      <w:pPr>
        <w:pStyle w:val="Heading2"/>
      </w:pPr>
      <w:r>
        <w:t xml:space="preserve">Build-1 consequences</w:t>
      </w:r>
    </w:p>
    <w:p>
      <w:pPr>
        <w:pStyle w:val="FirstParagraph"/>
      </w:pPr>
      <w:r>
        <w:t xml:space="preserve">No new service, queue, canonical lifecycle state, or mandatory dedicated table is required.</w:t>
      </w:r>
    </w:p>
    <w:p>
      <w:pPr>
        <w:pStyle w:val="BodyText"/>
      </w:pPr>
      <w:r>
        <w:t xml:space="preserve">The coding-agent dry run must show how the existing immutable artifact/model-run mechanism and</w:t>
      </w:r>
      <w:r>
        <w:t xml:space="preserve"> </w:t>
      </w:r>
      <w:r>
        <w:rPr>
          <w:rStyle w:val="VerbatimChar"/>
        </w:rPr>
        <w:t xml:space="preserve">script_version</w:t>
      </w:r>
      <w:r>
        <w:t xml:space="preserve"> </w:t>
      </w:r>
      <w:r>
        <w:t xml:space="preserve">lineage can represent:</w:t>
      </w:r>
    </w:p>
    <w:p>
      <w:pPr>
        <w:pStyle w:val="Compact"/>
        <w:numPr>
          <w:ilvl w:val="0"/>
          <w:numId w:val="1005"/>
        </w:numPr>
      </w:pPr>
      <w:r>
        <w:t xml:space="preserve">Craft Critic provenance/results;</w:t>
      </w:r>
    </w:p>
    <w:p>
      <w:pPr>
        <w:pStyle w:val="Compact"/>
        <w:numPr>
          <w:ilvl w:val="0"/>
          <w:numId w:val="1005"/>
        </w:numPr>
      </w:pPr>
      <w:r>
        <w:t xml:space="preserve">zero/one bounded substantive craft revision;</w:t>
      </w:r>
    </w:p>
    <w:p>
      <w:pPr>
        <w:pStyle w:val="Compact"/>
        <w:numPr>
          <w:ilvl w:val="0"/>
          <w:numId w:val="1005"/>
        </w:numPr>
      </w:pPr>
      <w:r>
        <w:t xml:space="preserve">relevant policy/version refs;</w:t>
      </w:r>
    </w:p>
    <w:p>
      <w:pPr>
        <w:pStyle w:val="Compact"/>
        <w:numPr>
          <w:ilvl w:val="0"/>
          <w:numId w:val="1005"/>
        </w:numPr>
      </w:pPr>
      <w:r>
        <w:t xml:space="preserve">retry/idempotency behavior for the new model call;</w:t>
      </w:r>
    </w:p>
    <w:p>
      <w:pPr>
        <w:pStyle w:val="Compact"/>
        <w:numPr>
          <w:ilvl w:val="0"/>
          <w:numId w:val="1005"/>
        </w:numPr>
      </w:pPr>
      <w:r>
        <w:t xml:space="preserve">cost accounting through existing provider/model provenance mechanisms.</w:t>
      </w:r>
    </w:p>
    <w:p>
      <w:pPr>
        <w:pStyle w:val="FirstParagraph"/>
      </w:pPr>
      <w:r>
        <w:t xml:space="preserve">A new storage abstraction is permitted only if the agent demonstrates why the existing mechanism cannot preserve the required lineage safely and simply.</w:t>
      </w:r>
    </w:p>
    <w:bookmarkEnd w:id="25"/>
    <w:bookmarkStart w:id="26" w:name="build-2-consequences"/>
    <w:p>
      <w:pPr>
        <w:pStyle w:val="Heading2"/>
      </w:pPr>
      <w:r>
        <w:t xml:space="preserve">Build-2 consequences</w:t>
      </w:r>
    </w:p>
    <w:p>
      <w:pPr>
        <w:pStyle w:val="FirstParagraph"/>
      </w:pPr>
      <w:r>
        <w:t xml:space="preserve">The walking skeleton must prove this path:</w:t>
      </w:r>
    </w:p>
    <w:p>
      <w:pPr>
        <w:pStyle w:val="SourceCode"/>
      </w:pPr>
      <w:r>
        <w:rPr>
          <w:rStyle w:val="VerbatimChar"/>
        </w:rPr>
        <w:t xml:space="preserve">Evidence Package</w:t>
      </w:r>
      <w:r>
        <w:br/>
      </w:r>
      <w:r>
        <w:rPr>
          <w:rStyle w:val="VerbatimChar"/>
        </w:rPr>
        <w:t xml:space="preserve">  -&gt; Showrunner Brief</w:t>
      </w:r>
      <w:r>
        <w:br/>
      </w:r>
      <w:r>
        <w:rPr>
          <w:rStyle w:val="VerbatimChar"/>
        </w:rPr>
        <w:t xml:space="preserve">  -&gt; Script Pass 1</w:t>
      </w:r>
      <w:r>
        <w:br/>
      </w:r>
      <w:r>
        <w:rPr>
          <w:rStyle w:val="VerbatimChar"/>
        </w:rPr>
        <w:t xml:space="preserve">  -&gt; independent Craft Critic</w:t>
      </w:r>
      <w:r>
        <w:br/>
      </w:r>
      <w:r>
        <w:rPr>
          <w:rStyle w:val="VerbatimChar"/>
        </w:rPr>
        <w:t xml:space="preserve">  -&gt; zero/one craft revision</w:t>
      </w:r>
      <w:r>
        <w:br/>
      </w:r>
      <w:r>
        <w:rPr>
          <w:rStyle w:val="VerbatimChar"/>
        </w:rPr>
        <w:t xml:space="preserve">  -&gt; speech-texture Pass 2</w:t>
      </w:r>
      <w:r>
        <w:br/>
      </w:r>
      <w:r>
        <w:rPr>
          <w:rStyle w:val="VerbatimChar"/>
        </w:rPr>
        <w:t xml:space="preserve">  -&gt; Performance Direction</w:t>
      </w:r>
      <w:r>
        <w:br/>
      </w:r>
      <w:r>
        <w:rPr>
          <w:rStyle w:val="VerbatimChar"/>
        </w:rPr>
        <w:t xml:space="preserve">  -&gt; deterministic/semantic audit</w:t>
      </w:r>
      <w:r>
        <w:br/>
      </w:r>
      <w:r>
        <w:rPr>
          <w:rStyle w:val="VerbatimChar"/>
        </w:rPr>
        <w:t xml:space="preserve">  -&gt; Render Manifest</w:t>
      </w:r>
      <w:r>
        <w:br/>
      </w:r>
      <w:r>
        <w:rPr>
          <w:rStyle w:val="VerbatimChar"/>
        </w:rPr>
        <w:t xml:space="preserve">  -&gt; TTS takes/selections</w:t>
      </w:r>
      <w:r>
        <w:br/>
      </w:r>
      <w:r>
        <w:rPr>
          <w:rStyle w:val="VerbatimChar"/>
        </w:rPr>
        <w:t xml:space="preserve">  -&gt; clean master</w:t>
      </w:r>
      <w:r>
        <w:br/>
      </w:r>
      <w:r>
        <w:rPr>
          <w:rStyle w:val="VerbatimChar"/>
        </w:rPr>
        <w:t xml:space="preserve">  -&gt; validation</w:t>
      </w:r>
    </w:p>
    <w:p>
      <w:pPr>
        <w:pStyle w:val="FirstParagraph"/>
      </w:pPr>
      <w:r>
        <w:t xml:space="preserve">The craft loop stays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. It cannot waive claims, rights, silent-input rules, provenance, implied-access controls, incident/sombre policy, or the no-counterfeit-membership boundary.</w:t>
      </w:r>
    </w:p>
    <w:p>
      <w:pPr>
        <w:pStyle w:val="BodyText"/>
      </w:pPr>
      <w:r>
        <w:t xml:space="preserve">Fixture v0.4 adds negative vectors for critic fact invention, Good Thing x50, visible educational signposting, detached Simon, repetition-count controls, stat-vending Gaz, and flat/formulaic closing synthesis.</w:t>
      </w:r>
    </w:p>
    <w:bookmarkEnd w:id="26"/>
    <w:bookmarkStart w:id="27" w:name="existing-v1.1-closure-remains-in-force"/>
    <w:p>
      <w:pPr>
        <w:pStyle w:val="Heading2"/>
      </w:pPr>
      <w:r>
        <w:t xml:space="preserve">Existing v1.1 closure remains in force</w:t>
      </w:r>
    </w:p>
    <w:p>
      <w:pPr>
        <w:pStyle w:val="FirstParagraph"/>
      </w:pPr>
      <w:r>
        <w:t xml:space="preserve">The prior implementation-readiness and S1/ADR-003 closures remain unchanged, including:</w:t>
      </w:r>
    </w:p>
    <w:p>
      <w:pPr>
        <w:pStyle w:val="Compact"/>
        <w:numPr>
          <w:ilvl w:val="0"/>
          <w:numId w:val="1006"/>
        </w:numPr>
      </w:pPr>
      <w:r>
        <w:t xml:space="preserve">TypeScript on maintained Node.js LTS;</w:t>
      </w:r>
    </w:p>
    <w:p>
      <w:pPr>
        <w:pStyle w:val="Compact"/>
        <w:numPr>
          <w:ilvl w:val="0"/>
          <w:numId w:val="1006"/>
        </w:numPr>
      </w:pPr>
      <w:r>
        <w:t xml:space="preserve">automatic take-0 approval after technical validation;</w:t>
      </w:r>
    </w:p>
    <w:p>
      <w:pPr>
        <w:pStyle w:val="Compact"/>
        <w:numPr>
          <w:ilvl w:val="0"/>
          <w:numId w:val="1006"/>
        </w:numPr>
      </w:pPr>
      <w:r>
        <w:t xml:space="preserve">no per-render-block human approval queue;</w:t>
      </w:r>
    </w:p>
    <w:p>
      <w:pPr>
        <w:pStyle w:val="Compact"/>
        <w:numPr>
          <w:ilvl w:val="0"/>
          <w:numId w:val="1006"/>
        </w:numPr>
      </w:pPr>
      <w:r>
        <w:t xml:space="preserve">subjective acoustic dissatisfaction routed through Operator Repair;</w:t>
      </w:r>
    </w:p>
    <w:p>
      <w:pPr>
        <w:pStyle w:val="Compact"/>
        <w:numPr>
          <w:ilvl w:val="0"/>
          <w:numId w:val="1006"/>
        </w:numPr>
      </w:pPr>
      <w:r>
        <w:t xml:space="preserve">bannered legacy hazards;</w:t>
      </w:r>
    </w:p>
    <w:p>
      <w:pPr>
        <w:pStyle w:val="Compact"/>
        <w:numPr>
          <w:ilvl w:val="0"/>
          <w:numId w:val="1006"/>
        </w:numPr>
      </w:pPr>
      <w:r>
        <w:t xml:space="preserve">canonical episode-mode registry;</w:t>
      </w:r>
    </w:p>
    <w:p>
      <w:pPr>
        <w:pStyle w:val="Compact"/>
        <w:numPr>
          <w:ilvl w:val="0"/>
          <w:numId w:val="1006"/>
        </w:numPr>
      </w:pPr>
      <w:r>
        <w:t xml:space="preserve">durable READY pre-publish review wait/resume with timeout-to-halt;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approve | request_repair | halt</w:t>
      </w:r>
      <w:r>
        <w:t xml:space="preserve"> </w:t>
      </w:r>
      <w:r>
        <w:t xml:space="preserve">launch review outcomes;</w:t>
      </w:r>
    </w:p>
    <w:p>
      <w:pPr>
        <w:pStyle w:val="Compact"/>
        <w:numPr>
          <w:ilvl w:val="0"/>
          <w:numId w:val="1006"/>
        </w:numPr>
      </w:pPr>
      <w:r>
        <w:t xml:space="preserve">earliest-layer Operator Repair with one confirmation and immutable history.</w:t>
      </w:r>
    </w:p>
    <w:bookmarkEnd w:id="27"/>
    <w:bookmarkStart w:id="28" w:name="final-sequence"/>
    <w:p>
      <w:pPr>
        <w:pStyle w:val="Heading2"/>
      </w:pPr>
      <w:r>
        <w:t xml:space="preserve">Final sequence</w:t>
      </w:r>
    </w:p>
    <w:p>
      <w:pPr>
        <w:pStyle w:val="SourceCode"/>
      </w:pPr>
      <w:r>
        <w:rPr>
          <w:rStyle w:val="VerbatimChar"/>
        </w:rPr>
        <w:t xml:space="preserve">locked corpus v1.2</w:t>
      </w:r>
      <w:r>
        <w:br/>
      </w:r>
      <w:r>
        <w:rPr>
          <w:rStyle w:val="VerbatimChar"/>
        </w:rPr>
        <w:t xml:space="preserve">-&gt; coding-agent dry run (no code)</w:t>
      </w:r>
      <w:r>
        <w:br/>
      </w:r>
      <w:r>
        <w:rPr>
          <w:rStyle w:val="VerbatimChar"/>
        </w:rPr>
        <w:t xml:space="preserve">-&gt; human adjudication of implementation choices</w:t>
      </w:r>
      <w:r>
        <w:br/>
      </w:r>
      <w:r>
        <w:rPr>
          <w:rStyle w:val="VerbatimChar"/>
        </w:rPr>
        <w:t xml:space="preserve">-&gt; Build 1</w:t>
      </w:r>
      <w:r>
        <w:br/>
      </w:r>
      <w:r>
        <w:rPr>
          <w:rStyle w:val="VerbatimChar"/>
        </w:rPr>
        <w:t xml:space="preserve">-&gt; Build 1 review</w:t>
      </w:r>
      <w:r>
        <w:br/>
      </w:r>
      <w:r>
        <w:rPr>
          <w:rStyle w:val="VerbatimChar"/>
        </w:rPr>
        <w:t xml:space="preserve">-&gt; Build 2 walking skeleton</w:t>
      </w:r>
      <w:r>
        <w:br/>
      </w:r>
      <w:r>
        <w:rPr>
          <w:rStyle w:val="VerbatimChar"/>
        </w:rPr>
        <w:t xml:space="preserve">-&gt; measure</w:t>
      </w:r>
      <w:r>
        <w:br/>
      </w:r>
      <w:r>
        <w:rPr>
          <w:rStyle w:val="VerbatimChar"/>
        </w:rPr>
        <w:t xml:space="preserve">-&gt; revise</w:t>
      </w:r>
    </w:p>
    <w:p>
      <w:pPr>
        <w:pStyle w:val="FirstParagraph"/>
      </w:pPr>
      <w:r>
        <w:t xml:space="preserve">Do not run another general architecture red team before coding. The next meaningful step is executable conformance plus the coding-agent dry run.</w:t>
      </w:r>
    </w:p>
    <w:bookmarkEnd w:id="28"/>
    <w:bookmarkEnd w:id="2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2026-09-27T03:07:19Z</dcterms:created>
  <dcterms:modified xsi:type="dcterms:W3CDTF">2026-09-27T03:07:19Z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