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47C56" w14:textId="77777777" w:rsidR="00250EB9" w:rsidRPr="00250EB9" w:rsidRDefault="00250EB9" w:rsidP="00250EB9">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250EB9">
        <w:rPr>
          <w:rFonts w:ascii="Segoe UI" w:eastAsia="Times New Roman" w:hAnsi="Segoe UI" w:cs="Segoe UI"/>
          <w:b/>
          <w:bCs/>
          <w:color w:val="161616"/>
          <w:kern w:val="36"/>
          <w:sz w:val="48"/>
          <w:szCs w:val="48"/>
        </w:rPr>
        <w:t>Describe data warehousing architecture</w:t>
      </w:r>
    </w:p>
    <w:p w14:paraId="2672DB11" w14:textId="77777777" w:rsidR="00250EB9" w:rsidRPr="00250EB9" w:rsidRDefault="00250EB9" w:rsidP="00250EB9">
      <w:pPr>
        <w:shd w:val="clear" w:color="auto" w:fill="FFFFFF"/>
        <w:spacing w:after="0" w:line="240" w:lineRule="auto"/>
        <w:jc w:val="left"/>
        <w:rPr>
          <w:rFonts w:ascii="Segoe UI" w:eastAsia="Times New Roman" w:hAnsi="Segoe UI" w:cs="Segoe UI"/>
          <w:color w:val="161616"/>
          <w:sz w:val="24"/>
          <w:szCs w:val="24"/>
        </w:rPr>
      </w:pPr>
      <w:r w:rsidRPr="00250EB9">
        <w:rPr>
          <w:rFonts w:ascii="docons" w:eastAsia="Times New Roman" w:hAnsi="docons" w:cs="Segoe UI"/>
          <w:color w:val="161616"/>
          <w:sz w:val="14"/>
          <w:szCs w:val="14"/>
          <w:bdr w:val="none" w:sz="0" w:space="0" w:color="auto" w:frame="1"/>
        </w:rPr>
        <w:t>Completed</w:t>
      </w:r>
      <w:r w:rsidRPr="00250EB9">
        <w:rPr>
          <w:rFonts w:ascii="Segoe UI" w:eastAsia="Times New Roman" w:hAnsi="Segoe UI" w:cs="Segoe UI"/>
          <w:color w:val="161616"/>
          <w:sz w:val="18"/>
          <w:szCs w:val="18"/>
        </w:rPr>
        <w:t>100 XP</w:t>
      </w:r>
    </w:p>
    <w:p w14:paraId="1F4ADD44" w14:textId="77777777" w:rsidR="00250EB9" w:rsidRPr="00250EB9" w:rsidRDefault="00250EB9" w:rsidP="00250EB9">
      <w:pPr>
        <w:numPr>
          <w:ilvl w:val="0"/>
          <w:numId w:val="2"/>
        </w:numPr>
        <w:shd w:val="clear" w:color="auto" w:fill="FFFFFF"/>
        <w:spacing w:after="0" w:line="240" w:lineRule="auto"/>
        <w:jc w:val="left"/>
        <w:rPr>
          <w:rFonts w:ascii="Segoe UI" w:eastAsia="Times New Roman" w:hAnsi="Segoe UI" w:cs="Segoe UI"/>
          <w:sz w:val="24"/>
          <w:szCs w:val="24"/>
        </w:rPr>
      </w:pPr>
      <w:r w:rsidRPr="00250EB9">
        <w:rPr>
          <w:rFonts w:ascii="Segoe UI" w:eastAsia="Times New Roman" w:hAnsi="Segoe UI" w:cs="Segoe UI"/>
          <w:sz w:val="24"/>
          <w:szCs w:val="24"/>
        </w:rPr>
        <w:t>3 minutes</w:t>
      </w:r>
    </w:p>
    <w:p w14:paraId="16173520" w14:textId="77777777" w:rsidR="00250EB9" w:rsidRPr="00250EB9" w:rsidRDefault="00250EB9" w:rsidP="00250EB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250EB9">
        <w:rPr>
          <w:rFonts w:ascii="Segoe UI" w:eastAsia="Times New Roman" w:hAnsi="Segoe UI" w:cs="Segoe UI"/>
          <w:color w:val="161616"/>
          <w:sz w:val="24"/>
          <w:szCs w:val="24"/>
        </w:rPr>
        <w:t>Large-scale data analytics architecture can vary, as can the specific technologies used to implement it; but in general, the following elements are included:</w:t>
      </w:r>
    </w:p>
    <w:p w14:paraId="135DC1AD" w14:textId="5C9A575A" w:rsidR="00250EB9" w:rsidRPr="00250EB9" w:rsidRDefault="00250EB9" w:rsidP="00250EB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250EB9">
        <w:rPr>
          <w:rFonts w:ascii="Segoe UI" w:eastAsia="Times New Roman" w:hAnsi="Segoe UI" w:cs="Segoe UI"/>
          <w:noProof/>
          <w:color w:val="161616"/>
          <w:sz w:val="24"/>
          <w:szCs w:val="24"/>
        </w:rPr>
        <w:drawing>
          <wp:inline distT="0" distB="0" distL="0" distR="0" wp14:anchorId="23E29C57" wp14:editId="24BF5E88">
            <wp:extent cx="5760720" cy="1692275"/>
            <wp:effectExtent l="0" t="0" r="0" b="3175"/>
            <wp:docPr id="1" name="Picture 1" descr="Diagram showing data ingestion and processing, an analytical data store, an analytical data model, and data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data ingestion and processing, an analytical data store, an analytical data model, and data visualiz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692275"/>
                    </a:xfrm>
                    <a:prstGeom prst="rect">
                      <a:avLst/>
                    </a:prstGeom>
                    <a:noFill/>
                    <a:ln>
                      <a:noFill/>
                    </a:ln>
                  </pic:spPr>
                </pic:pic>
              </a:graphicData>
            </a:graphic>
          </wp:inline>
        </w:drawing>
      </w:r>
    </w:p>
    <w:p w14:paraId="0EDBD468" w14:textId="77777777" w:rsidR="00250EB9" w:rsidRPr="00250EB9" w:rsidRDefault="00250EB9" w:rsidP="00250EB9">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250EB9">
        <w:rPr>
          <w:rFonts w:ascii="Segoe UI" w:eastAsia="Times New Roman" w:hAnsi="Segoe UI" w:cs="Segoe UI"/>
          <w:b/>
          <w:bCs/>
          <w:color w:val="161616"/>
          <w:sz w:val="24"/>
          <w:szCs w:val="24"/>
        </w:rPr>
        <w:t>Data ingestion and processing</w:t>
      </w:r>
      <w:r w:rsidRPr="00250EB9">
        <w:rPr>
          <w:rFonts w:ascii="Segoe UI" w:eastAsia="Times New Roman" w:hAnsi="Segoe UI" w:cs="Segoe UI"/>
          <w:color w:val="161616"/>
          <w:sz w:val="24"/>
          <w:szCs w:val="24"/>
        </w:rPr>
        <w:t> – data from one or more transactional data stores, files, real-time streams, or other sources is loaded into a data lake or a relational data warehouse. The load operation usually involves an </w:t>
      </w:r>
      <w:r w:rsidRPr="00250EB9">
        <w:rPr>
          <w:rFonts w:ascii="Segoe UI" w:eastAsia="Times New Roman" w:hAnsi="Segoe UI" w:cs="Segoe UI"/>
          <w:i/>
          <w:iCs/>
          <w:color w:val="161616"/>
          <w:sz w:val="24"/>
          <w:szCs w:val="24"/>
        </w:rPr>
        <w:t>extract, transform, and load</w:t>
      </w:r>
      <w:r w:rsidRPr="00250EB9">
        <w:rPr>
          <w:rFonts w:ascii="Segoe UI" w:eastAsia="Times New Roman" w:hAnsi="Segoe UI" w:cs="Segoe UI"/>
          <w:color w:val="161616"/>
          <w:sz w:val="24"/>
          <w:szCs w:val="24"/>
        </w:rPr>
        <w:t> (ETL) or </w:t>
      </w:r>
      <w:r w:rsidRPr="00250EB9">
        <w:rPr>
          <w:rFonts w:ascii="Segoe UI" w:eastAsia="Times New Roman" w:hAnsi="Segoe UI" w:cs="Segoe UI"/>
          <w:i/>
          <w:iCs/>
          <w:color w:val="161616"/>
          <w:sz w:val="24"/>
          <w:szCs w:val="24"/>
        </w:rPr>
        <w:t>extract, load, and transform</w:t>
      </w:r>
      <w:r w:rsidRPr="00250EB9">
        <w:rPr>
          <w:rFonts w:ascii="Segoe UI" w:eastAsia="Times New Roman" w:hAnsi="Segoe UI" w:cs="Segoe UI"/>
          <w:color w:val="161616"/>
          <w:sz w:val="24"/>
          <w:szCs w:val="24"/>
        </w:rPr>
        <w:t> (ELT) process in which the data is cleaned, filtered, and restructured for analysis. In ETL processes, the data is transformed before being loaded into an analytical store, while in an ELT process the data is copied to the store and then transformed. Either way, the resulting data structure is optimized for analytical queries. The data processing is often performed by distributed systems that can process high volumes of data in parallel using multi-node clusters. Data ingestion includes both batch processing of static data and real-time processing of streaming data.</w:t>
      </w:r>
    </w:p>
    <w:p w14:paraId="227042FE" w14:textId="77777777" w:rsidR="00250EB9" w:rsidRPr="00250EB9" w:rsidRDefault="00250EB9" w:rsidP="00250EB9">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250EB9">
        <w:rPr>
          <w:rFonts w:ascii="Segoe UI" w:eastAsia="Times New Roman" w:hAnsi="Segoe UI" w:cs="Segoe UI"/>
          <w:b/>
          <w:bCs/>
          <w:color w:val="161616"/>
          <w:sz w:val="24"/>
          <w:szCs w:val="24"/>
        </w:rPr>
        <w:t>Analytical data store</w:t>
      </w:r>
      <w:r w:rsidRPr="00250EB9">
        <w:rPr>
          <w:rFonts w:ascii="Segoe UI" w:eastAsia="Times New Roman" w:hAnsi="Segoe UI" w:cs="Segoe UI"/>
          <w:color w:val="161616"/>
          <w:sz w:val="24"/>
          <w:szCs w:val="24"/>
        </w:rPr>
        <w:t> – data stores for large scale analytics include relational </w:t>
      </w:r>
      <w:r w:rsidRPr="00250EB9">
        <w:rPr>
          <w:rFonts w:ascii="Segoe UI" w:eastAsia="Times New Roman" w:hAnsi="Segoe UI" w:cs="Segoe UI"/>
          <w:i/>
          <w:iCs/>
          <w:color w:val="161616"/>
          <w:sz w:val="24"/>
          <w:szCs w:val="24"/>
        </w:rPr>
        <w:t>data warehouses</w:t>
      </w:r>
      <w:r w:rsidRPr="00250EB9">
        <w:rPr>
          <w:rFonts w:ascii="Segoe UI" w:eastAsia="Times New Roman" w:hAnsi="Segoe UI" w:cs="Segoe UI"/>
          <w:color w:val="161616"/>
          <w:sz w:val="24"/>
          <w:szCs w:val="24"/>
        </w:rPr>
        <w:t>, file-system based </w:t>
      </w:r>
      <w:r w:rsidRPr="00250EB9">
        <w:rPr>
          <w:rFonts w:ascii="Segoe UI" w:eastAsia="Times New Roman" w:hAnsi="Segoe UI" w:cs="Segoe UI"/>
          <w:i/>
          <w:iCs/>
          <w:color w:val="161616"/>
          <w:sz w:val="24"/>
          <w:szCs w:val="24"/>
        </w:rPr>
        <w:t>data lakes</w:t>
      </w:r>
      <w:r w:rsidRPr="00250EB9">
        <w:rPr>
          <w:rFonts w:ascii="Segoe UI" w:eastAsia="Times New Roman" w:hAnsi="Segoe UI" w:cs="Segoe UI"/>
          <w:color w:val="161616"/>
          <w:sz w:val="24"/>
          <w:szCs w:val="24"/>
        </w:rPr>
        <w:t>, and hybrid architectures that combine features of data warehouses and data lakes (sometimes called </w:t>
      </w:r>
      <w:r w:rsidRPr="00250EB9">
        <w:rPr>
          <w:rFonts w:ascii="Segoe UI" w:eastAsia="Times New Roman" w:hAnsi="Segoe UI" w:cs="Segoe UI"/>
          <w:i/>
          <w:iCs/>
          <w:color w:val="161616"/>
          <w:sz w:val="24"/>
          <w:szCs w:val="24"/>
        </w:rPr>
        <w:t>data lakehouses</w:t>
      </w:r>
      <w:r w:rsidRPr="00250EB9">
        <w:rPr>
          <w:rFonts w:ascii="Segoe UI" w:eastAsia="Times New Roman" w:hAnsi="Segoe UI" w:cs="Segoe UI"/>
          <w:color w:val="161616"/>
          <w:sz w:val="24"/>
          <w:szCs w:val="24"/>
        </w:rPr>
        <w:t> or </w:t>
      </w:r>
      <w:r w:rsidRPr="00250EB9">
        <w:rPr>
          <w:rFonts w:ascii="Segoe UI" w:eastAsia="Times New Roman" w:hAnsi="Segoe UI" w:cs="Segoe UI"/>
          <w:i/>
          <w:iCs/>
          <w:color w:val="161616"/>
          <w:sz w:val="24"/>
          <w:szCs w:val="24"/>
        </w:rPr>
        <w:t>lake databases</w:t>
      </w:r>
      <w:r w:rsidRPr="00250EB9">
        <w:rPr>
          <w:rFonts w:ascii="Segoe UI" w:eastAsia="Times New Roman" w:hAnsi="Segoe UI" w:cs="Segoe UI"/>
          <w:color w:val="161616"/>
          <w:sz w:val="24"/>
          <w:szCs w:val="24"/>
        </w:rPr>
        <w:t>). We'll discuss these in more depth later.</w:t>
      </w:r>
    </w:p>
    <w:p w14:paraId="47C6E05E" w14:textId="77777777" w:rsidR="00250EB9" w:rsidRPr="00250EB9" w:rsidRDefault="00250EB9" w:rsidP="00250EB9">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250EB9">
        <w:rPr>
          <w:rFonts w:ascii="Segoe UI" w:eastAsia="Times New Roman" w:hAnsi="Segoe UI" w:cs="Segoe UI"/>
          <w:b/>
          <w:bCs/>
          <w:color w:val="161616"/>
          <w:sz w:val="24"/>
          <w:szCs w:val="24"/>
        </w:rPr>
        <w:t>Analytical data model</w:t>
      </w:r>
      <w:r w:rsidRPr="00250EB9">
        <w:rPr>
          <w:rFonts w:ascii="Segoe UI" w:eastAsia="Times New Roman" w:hAnsi="Segoe UI" w:cs="Segoe UI"/>
          <w:color w:val="161616"/>
          <w:sz w:val="24"/>
          <w:szCs w:val="24"/>
        </w:rPr>
        <w:t> – while data analysts and data scientists can work with the data directly in the analytical data store, it’s common to create one or more data models that pre-aggregate the data to make it easier to produce reports, dashboards, and interactive visualizations. Often these data models are described as </w:t>
      </w:r>
      <w:r w:rsidRPr="00250EB9">
        <w:rPr>
          <w:rFonts w:ascii="Segoe UI" w:eastAsia="Times New Roman" w:hAnsi="Segoe UI" w:cs="Segoe UI"/>
          <w:i/>
          <w:iCs/>
          <w:color w:val="161616"/>
          <w:sz w:val="24"/>
          <w:szCs w:val="24"/>
        </w:rPr>
        <w:t>cubes</w:t>
      </w:r>
      <w:r w:rsidRPr="00250EB9">
        <w:rPr>
          <w:rFonts w:ascii="Segoe UI" w:eastAsia="Times New Roman" w:hAnsi="Segoe UI" w:cs="Segoe UI"/>
          <w:color w:val="161616"/>
          <w:sz w:val="24"/>
          <w:szCs w:val="24"/>
        </w:rPr>
        <w:t>, in which numeric data values are aggregated across one or more dimensions (for example, to determine total sales by product and region). The model encapsulates the relationships between data values and dimensional entities to support "drill-up/drill-down" analysis.</w:t>
      </w:r>
    </w:p>
    <w:p w14:paraId="339A44AD" w14:textId="77777777" w:rsidR="00250EB9" w:rsidRPr="00250EB9" w:rsidRDefault="00250EB9" w:rsidP="00250EB9">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250EB9">
        <w:rPr>
          <w:rFonts w:ascii="Segoe UI" w:eastAsia="Times New Roman" w:hAnsi="Segoe UI" w:cs="Segoe UI"/>
          <w:b/>
          <w:bCs/>
          <w:color w:val="161616"/>
          <w:sz w:val="24"/>
          <w:szCs w:val="24"/>
        </w:rPr>
        <w:t>Data visualization</w:t>
      </w:r>
      <w:r w:rsidRPr="00250EB9">
        <w:rPr>
          <w:rFonts w:ascii="Segoe UI" w:eastAsia="Times New Roman" w:hAnsi="Segoe UI" w:cs="Segoe UI"/>
          <w:color w:val="161616"/>
          <w:sz w:val="24"/>
          <w:szCs w:val="24"/>
        </w:rPr>
        <w:t xml:space="preserve"> – data analysts consume data from analytical models, and directly from analytical stores to create reports, dashboards, and </w:t>
      </w:r>
      <w:r w:rsidRPr="00250EB9">
        <w:rPr>
          <w:rFonts w:ascii="Segoe UI" w:eastAsia="Times New Roman" w:hAnsi="Segoe UI" w:cs="Segoe UI"/>
          <w:color w:val="161616"/>
          <w:sz w:val="24"/>
          <w:szCs w:val="24"/>
        </w:rPr>
        <w:lastRenderedPageBreak/>
        <w:t>other visualizations. Additionally, users in an organization who may not be technology professionals might perform self-service data analysis and reporting. The visualizations from the data show trends, comparisons, and key performance indicators (KPIs) for a business or other organization, and can take the form of printed reports, graphs and charts in documents or PowerPoint presentations, web-based dashboards, and interactive environments in which users can explore data visually.</w:t>
      </w:r>
    </w:p>
    <w:p w14:paraId="26C6C586" w14:textId="77777777" w:rsidR="00E63D0B" w:rsidRDefault="00E63D0B"/>
    <w:sectPr w:rsidR="00E63D0B"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CD5"/>
    <w:multiLevelType w:val="multilevel"/>
    <w:tmpl w:val="8E0CF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7C15DD"/>
    <w:multiLevelType w:val="multilevel"/>
    <w:tmpl w:val="CE90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2B09EE"/>
    <w:multiLevelType w:val="multilevel"/>
    <w:tmpl w:val="675EF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097"/>
    <w:rsid w:val="00250EB9"/>
    <w:rsid w:val="00930097"/>
    <w:rsid w:val="00AD5551"/>
    <w:rsid w:val="00E63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AC16"/>
  <w15:chartTrackingRefBased/>
  <w15:docId w15:val="{07175E46-11CA-48B8-B290-8E075C0B3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customStyle="1" w:styleId="breadcrumbs-item">
    <w:name w:val="breadcrumbs-item"/>
    <w:basedOn w:val="Normal"/>
    <w:rsid w:val="00250EB9"/>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semiHidden/>
    <w:unhideWhenUsed/>
    <w:rsid w:val="00250EB9"/>
    <w:rPr>
      <w:color w:val="0000FF"/>
      <w:u w:val="single"/>
    </w:rPr>
  </w:style>
  <w:style w:type="character" w:customStyle="1" w:styleId="visually-hidden">
    <w:name w:val="visually-hidden"/>
    <w:basedOn w:val="DefaultParagraphFont"/>
    <w:rsid w:val="00250EB9"/>
  </w:style>
  <w:style w:type="character" w:customStyle="1" w:styleId="xp-tag-xp">
    <w:name w:val="xp-tag-xp"/>
    <w:basedOn w:val="DefaultParagraphFont"/>
    <w:rsid w:val="00250EB9"/>
  </w:style>
  <w:style w:type="paragraph" w:styleId="NormalWeb">
    <w:name w:val="Normal (Web)"/>
    <w:basedOn w:val="Normal"/>
    <w:uiPriority w:val="99"/>
    <w:semiHidden/>
    <w:unhideWhenUsed/>
    <w:rsid w:val="00250EB9"/>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250EB9"/>
    <w:rPr>
      <w:b/>
      <w:bCs/>
    </w:rPr>
  </w:style>
  <w:style w:type="character" w:styleId="Emphasis">
    <w:name w:val="Emphasis"/>
    <w:basedOn w:val="DefaultParagraphFont"/>
    <w:uiPriority w:val="20"/>
    <w:qFormat/>
    <w:rsid w:val="00250E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74210">
      <w:bodyDiv w:val="1"/>
      <w:marLeft w:val="0"/>
      <w:marRight w:val="0"/>
      <w:marTop w:val="0"/>
      <w:marBottom w:val="0"/>
      <w:divBdr>
        <w:top w:val="none" w:sz="0" w:space="0" w:color="auto"/>
        <w:left w:val="none" w:sz="0" w:space="0" w:color="auto"/>
        <w:bottom w:val="none" w:sz="0" w:space="0" w:color="auto"/>
        <w:right w:val="none" w:sz="0" w:space="0" w:color="auto"/>
      </w:divBdr>
      <w:divsChild>
        <w:div w:id="1393767422">
          <w:marLeft w:val="0"/>
          <w:marRight w:val="0"/>
          <w:marTop w:val="0"/>
          <w:marBottom w:val="0"/>
          <w:divBdr>
            <w:top w:val="none" w:sz="0" w:space="0" w:color="auto"/>
            <w:left w:val="none" w:sz="0" w:space="0" w:color="auto"/>
            <w:bottom w:val="none" w:sz="0" w:space="0" w:color="auto"/>
            <w:right w:val="none" w:sz="0" w:space="0" w:color="auto"/>
          </w:divBdr>
          <w:divsChild>
            <w:div w:id="6471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2024-02-28T07:19:00Z</dcterms:created>
  <dcterms:modified xsi:type="dcterms:W3CDTF">2024-02-28T07:20:00Z</dcterms:modified>
</cp:coreProperties>
</file>