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Full Clarpoint Business Execution Toolkit | Example Use Case</w:t>
      </w:r>
    </w:p>
    <w:p>
      <w:r>
        <w:rPr>
          <w:i/>
        </w:rPr>
        <w:t>Use this bundle when you want one repeatable system for winning work, starting work, running work, and communicating progress more professionally.</w:t>
      </w:r>
    </w:p>
    <w:p>
      <w:r>
        <w:rPr>
          <w:b/>
        </w:rPr>
        <w:t>Clear plans. Stronger communication. Better execution.</w:t>
      </w:r>
    </w:p>
    <w:p>
      <w:pPr>
        <w:pStyle w:val="Heading1"/>
      </w:pPr>
      <w:r>
        <w:t>Sample scenario</w:t>
      </w:r>
    </w:p>
    <w:p>
      <w:pPr>
        <w:pStyle w:val="ListBullet"/>
      </w:pPr>
      <w:r>
        <w:t>This example shows how Full Clarpoint Business Execution Toolkit can be used to organize work, improve communication, and reduce follow-up noise in a real delivery situation.</w:t>
      </w:r>
    </w:p>
    <w:p>
      <w:pPr>
        <w:pStyle w:val="ListBullet"/>
      </w:pPr>
      <w:r>
        <w:t>Review the example first if you want to see how the files can work together before replacing the sample content with your own.</w:t>
      </w:r>
    </w:p>
    <w:p>
      <w:pPr>
        <w:pStyle w:val="Heading1"/>
      </w:pPr>
      <w:r>
        <w:t>Suggested first moves</w:t>
      </w:r>
    </w:p>
    <w:p>
      <w:pPr>
        <w:pStyle w:val="ListBullet"/>
      </w:pPr>
      <w:r>
        <w:t>Replace sample names, dates, and owners with your real project or client information.</w:t>
      </w:r>
    </w:p>
    <w:p>
      <w:pPr>
        <w:pStyle w:val="ListBullet"/>
      </w:pPr>
      <w:r>
        <w:t>Keep the structure intact at first so the toolkit stays easy to review and reuse.</w:t>
      </w:r>
    </w:p>
    <w:p>
      <w:pPr>
        <w:jc w:val="center"/>
      </w:pPr>
      <w:r>
        <w:rPr>
          <w:i/>
        </w:rPr>
        <w:t>clarpoint.co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