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firstLine="0"/>
        <w:jc w:val="center"/>
      </w:pPr>
      <w:r>
        <w:rPr>
          <w:rFonts w:ascii="Times New Roman" w:hAnsi="Times New Roman"/>
          <w:b/>
          <w:sz w:val="30"/>
        </w:rPr>
        <w:t>INFORMATION DISCLOSURE STATEMENT (IDS) DRAFT - REVISED</w:t>
      </w:r>
    </w:p>
    <w:p>
      <w:pPr>
        <w:pStyle w:val="Heading1"/>
        <w:spacing w:before="200" w:after="80"/>
        <w:ind w:firstLine="0"/>
      </w:pPr>
      <w:r>
        <w:rPr>
          <w:rFonts w:ascii="Times New Roman" w:hAnsi="Times New Roman"/>
          <w:b/>
          <w:sz w:val="26"/>
        </w:rPr>
        <w:t>Purpose</w:t>
      </w:r>
    </w:p>
    <w:p>
      <w:pPr>
        <w:spacing w:line="360" w:lineRule="auto" w:after="0"/>
        <w:ind w:firstLine="360"/>
      </w:pPr>
      <w:r>
        <w:t>This is a preliminary IDS/prior-art review aid based on the uploaded base package. A patent professional should verify bibliographic data, obtain copies where required, and determine what should actually be cited in an IDS.</w:t>
      </w:r>
    </w:p>
    <w:p>
      <w:pPr>
        <w:pStyle w:val="Heading1"/>
        <w:spacing w:before="200" w:after="80"/>
        <w:ind w:firstLine="0"/>
      </w:pPr>
      <w:r>
        <w:rPr>
          <w:rFonts w:ascii="Times New Roman" w:hAnsi="Times New Roman"/>
          <w:b/>
          <w:sz w:val="26"/>
        </w:rPr>
        <w:t>Preliminary references</w:t>
      </w:r>
    </w:p>
    <w:p>
      <w:pPr>
        <w:spacing w:line="360" w:lineRule="auto" w:after="0"/>
        <w:ind w:firstLine="360"/>
      </w:pPr>
      <w:r>
        <w:t>US20220351628A1 - automated mission planning/execution for UAVs.</w:t>
      </w:r>
    </w:p>
    <w:p>
      <w:pPr>
        <w:spacing w:line="360" w:lineRule="auto" w:after="0"/>
        <w:ind w:firstLine="360"/>
      </w:pPr>
      <w:r>
        <w:t>US7451023B2 - collaborative system for teams of unmanned vehicles.</w:t>
      </w:r>
    </w:p>
    <w:p>
      <w:pPr>
        <w:spacing w:line="360" w:lineRule="auto" w:after="0"/>
        <w:ind w:firstLine="360"/>
      </w:pPr>
      <w:r>
        <w:t>US12061673B1 - multi-agent planning and learning-based autonomy.</w:t>
      </w:r>
    </w:p>
    <w:p>
      <w:pPr>
        <w:spacing w:line="360" w:lineRule="auto" w:after="0"/>
        <w:ind w:firstLine="360"/>
      </w:pPr>
      <w:r>
        <w:t>US20230280762A1 - autonomous vehicle mission planning and multi-asset collaborative operations.</w:t>
      </w:r>
    </w:p>
    <w:p>
      <w:pPr>
        <w:spacing w:line="360" w:lineRule="auto" w:after="0"/>
        <w:ind w:firstLine="360"/>
      </w:pPr>
      <w:r>
        <w:t>US20200348696A1 - control of multi-drone fleets using temporal-logic objectives.</w:t>
      </w:r>
    </w:p>
    <w:p>
      <w:pPr>
        <w:spacing w:line="360" w:lineRule="auto" w:after="0"/>
        <w:ind w:firstLine="360"/>
      </w:pPr>
      <w:r>
        <w:t>US10976752B2 - autonomous UAV operation, planning, coordination, and adaptation to uncertainty/faults.</w:t>
      </w:r>
    </w:p>
    <w:p>
      <w:pPr>
        <w:spacing w:line="360" w:lineRule="auto" w:after="0"/>
        <w:ind w:firstLine="360"/>
      </w:pPr>
      <w:r>
        <w:t>US20250239091A1 - sensor fusion for autonomous machines using machine learning.</w:t>
      </w:r>
    </w:p>
    <w:p>
      <w:pPr>
        <w:spacing w:line="360" w:lineRule="auto" w:after="0"/>
        <w:ind w:firstLine="360"/>
      </w:pPr>
      <w:r>
        <w:t>US20240210963A1 - failure prediction and risk mitigation in small uncrewed aircraft systems.</w:t>
      </w:r>
    </w:p>
    <w:p>
      <w:pPr>
        <w:pStyle w:val="Heading1"/>
        <w:spacing w:before="200" w:after="80"/>
        <w:ind w:firstLine="0"/>
      </w:pPr>
      <w:r>
        <w:rPr>
          <w:rFonts w:ascii="Times New Roman" w:hAnsi="Times New Roman"/>
          <w:b/>
          <w:sz w:val="26"/>
        </w:rPr>
        <w:t>Potential combination points for counsel review</w:t>
      </w:r>
    </w:p>
    <w:p>
      <w:pPr>
        <w:spacing w:line="360" w:lineRule="auto" w:after="0"/>
        <w:ind w:firstLine="360"/>
      </w:pPr>
      <w:r>
        <w:t>Confidence/provenance-aware sensor fusion coupled to planning.</w:t>
      </w:r>
    </w:p>
    <w:p>
      <w:pPr>
        <w:spacing w:line="360" w:lineRule="auto" w:after="0"/>
        <w:ind w:firstLine="360"/>
      </w:pPr>
      <w:r>
        <w:t>Deterministic safety-envelope gating of AI-generated flight behavior.</w:t>
      </w:r>
    </w:p>
    <w:p>
      <w:pPr>
        <w:spacing w:line="360" w:lineRule="auto" w:after="0"/>
        <w:ind w:firstLine="360"/>
      </w:pPr>
      <w:r>
        <w:t>Health-prediction-driven update of planning constraints before trajectory selection.</w:t>
      </w:r>
    </w:p>
    <w:p>
      <w:pPr>
        <w:spacing w:line="360" w:lineRule="auto" w:after="0"/>
        <w:ind w:firstLine="360"/>
      </w:pPr>
      <w:r>
        <w:t>Capability-scoped authenticated mission contracts.</w:t>
      </w:r>
    </w:p>
    <w:p>
      <w:pPr>
        <w:spacing w:line="360" w:lineRule="auto" w:after="0"/>
        <w:ind w:firstLine="360"/>
      </w:pPr>
      <w:r>
        <w:t>Degraded-link local/remote mission-state reconciliation using authority and provenance.</w:t>
      </w:r>
    </w:p>
    <w:p>
      <w:pPr>
        <w:spacing w:line="360" w:lineRule="auto" w:after="0"/>
        <w:ind w:firstLine="360"/>
      </w:pPr>
      <w:r>
        <w:t>Evidence logging tying model identity, confidence, health, provenance, and safety decisions.</w:t>
      </w:r>
    </w:p>
    <w:p>
      <w:pPr>
        <w:pStyle w:val="Heading1"/>
        <w:spacing w:before="200" w:after="80"/>
        <w:ind w:firstLine="0"/>
      </w:pPr>
      <w:r>
        <w:rPr>
          <w:rFonts w:ascii="Times New Roman" w:hAnsi="Times New Roman"/>
          <w:b/>
          <w:sz w:val="26"/>
        </w:rPr>
        <w:t>Important limitation</w:t>
      </w:r>
    </w:p>
    <w:p>
      <w:pPr>
        <w:spacing w:line="360" w:lineRule="auto" w:after="0"/>
        <w:ind w:firstLine="360"/>
      </w:pPr>
      <w:r>
        <w:t>This list is not represented as a complete patentability search or a legal conclusion.</w:t>
      </w:r>
    </w:p>
    <w:sectPr w:rsidR="00FC693F" w:rsidRPr="0006063C" w:rsidSect="00034616">
      <w:footerReference w:type="default" r:id="rId9"/>
      <w:pgSz w:w="12240" w:h="15840"/>
      <w:pgMar w:top="1224" w:right="1296" w:bottom="108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36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INFORMATION DISCLOSURE STATEMENT (IDS) DRAFT - REVISED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