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/>
          <w:sz w:val="30"/>
        </w:rPr>
        <w:t>INVENTION DISCLOSURE AND CLAIM STRATEGY MEMO - REVISED</w:t>
      </w:r>
    </w:p>
    <w:p>
      <w:pPr>
        <w:pStyle w:val="Heading1"/>
        <w:spacing w:before="200" w:after="80"/>
        <w:ind w:firstLine="0"/>
      </w:pPr>
      <w:r>
        <w:rPr>
          <w:rFonts w:ascii="Times New Roman" w:hAnsi="Times New Roman"/>
          <w:b/>
          <w:sz w:val="26"/>
        </w:rPr>
        <w:t>Drafting changes made</w:t>
      </w:r>
    </w:p>
    <w:p>
      <w:pPr>
        <w:spacing w:line="360" w:lineRule="auto" w:after="0"/>
        <w:ind w:firstLine="360"/>
      </w:pPr>
      <w:r>
        <w:t>Reconciled the package around a single reference-number system.</w:t>
      </w:r>
    </w:p>
    <w:p>
      <w:pPr>
        <w:spacing w:line="360" w:lineRule="auto" w:after="0"/>
        <w:ind w:firstLine="360"/>
      </w:pPr>
      <w:r>
        <w:t>Removed duplicated claims/abstract sections from the earlier base package.</w:t>
      </w:r>
    </w:p>
    <w:p>
      <w:pPr>
        <w:spacing w:line="360" w:lineRule="auto" w:after="0"/>
        <w:ind w:firstLine="360"/>
      </w:pPr>
      <w:r>
        <w:t>Added explicit environment-model uncertainty to the architecture and independent claims.</w:t>
      </w:r>
    </w:p>
    <w:p>
      <w:pPr>
        <w:spacing w:line="360" w:lineRule="auto" w:after="0"/>
        <w:ind w:firstLine="360"/>
      </w:pPr>
      <w:r>
        <w:t>Moved health-aware constraint updating to the point before trajectory selection, matching the disclosed concept.</w:t>
      </w:r>
    </w:p>
    <w:p>
      <w:pPr>
        <w:spacing w:line="360" w:lineRule="auto" w:after="0"/>
        <w:ind w:firstLine="360"/>
      </w:pPr>
      <w:r>
        <w:t>Distinguished the aircraft storage subsystem (116) from the evidence logger (220).</w:t>
      </w:r>
    </w:p>
    <w:p>
      <w:pPr>
        <w:spacing w:line="360" w:lineRule="auto" w:after="0"/>
        <w:ind w:firstLine="360"/>
      </w:pPr>
      <w:r>
        <w:t>Distinguished the human supervisory station (240) from the communications manager (218).</w:t>
      </w:r>
    </w:p>
    <w:p>
      <w:pPr>
        <w:spacing w:line="360" w:lineRule="auto" w:after="0"/>
        <w:ind w:firstLine="360"/>
      </w:pPr>
      <w:r>
        <w:t>Added mission-state conflict non-executability as an explicit claim element.</w:t>
      </w:r>
    </w:p>
    <w:p>
      <w:pPr>
        <w:spacing w:line="360" w:lineRule="auto" w:after="0"/>
        <w:ind w:firstLine="360"/>
      </w:pPr>
      <w:r>
        <w:t>Removed unverified dimensions/specifications from the substantive disclosure.</w:t>
      </w:r>
    </w:p>
    <w:p>
      <w:pPr>
        <w:pStyle w:val="Heading1"/>
        <w:spacing w:before="200" w:after="80"/>
        <w:ind w:firstLine="0"/>
      </w:pPr>
      <w:r>
        <w:rPr>
          <w:rFonts w:ascii="Times New Roman" w:hAnsi="Times New Roman"/>
          <w:b/>
          <w:sz w:val="26"/>
        </w:rPr>
        <w:t>Claim strategy</w:t>
      </w:r>
    </w:p>
    <w:p>
      <w:pPr>
        <w:spacing w:line="360" w:lineRule="auto" w:after="0"/>
        <w:ind w:firstLine="360"/>
      </w:pPr>
      <w:r>
        <w:t>Independent claim 1 focuses on the integrated architecture and the control gate. Claims 3-19 add health prediction, authenticated mission contracts, communications degradation, reconciliation, evidence logging, model lifecycle, shadow evaluation, fallback, and distributed compute. Claims 20-24 provide method and computer-readable-medium coverage.</w:t>
      </w:r>
    </w:p>
    <w:p>
      <w:pPr>
        <w:pStyle w:val="Heading1"/>
        <w:spacing w:before="200" w:after="80"/>
        <w:ind w:firstLine="0"/>
      </w:pPr>
      <w:r>
        <w:rPr>
          <w:rFonts w:ascii="Times New Roman" w:hAnsi="Times New Roman"/>
          <w:b/>
          <w:sz w:val="26"/>
        </w:rPr>
        <w:t>Attorney review items</w:t>
      </w:r>
    </w:p>
    <w:p>
      <w:pPr>
        <w:spacing w:line="360" w:lineRule="auto" w:after="0"/>
        <w:ind w:firstLine="360"/>
      </w:pPr>
      <w:r>
        <w:t>Confirm novelty and non-obviousness through an expanded search.</w:t>
      </w:r>
    </w:p>
    <w:p>
      <w:pPr>
        <w:spacing w:line="360" w:lineRule="auto" w:after="0"/>
        <w:ind w:firstLine="360"/>
      </w:pPr>
      <w:r>
        <w:t>Confirm that every inventor is correctly identified.</w:t>
      </w:r>
    </w:p>
    <w:p>
      <w:pPr>
        <w:spacing w:line="360" w:lineRule="auto" w:after="0"/>
        <w:ind w:firstLine="360"/>
      </w:pPr>
      <w:r>
        <w:t>Confirm priority, ownership, government-interest, and public-disclosure facts.</w:t>
      </w:r>
    </w:p>
    <w:p>
      <w:pPr>
        <w:spacing w:line="360" w:lineRule="auto" w:after="0"/>
        <w:ind w:firstLine="360"/>
      </w:pPr>
      <w:r>
        <w:t>Review whether any sensitive implementation details should remain proprietary rather than be disclosed.</w:t>
      </w:r>
    </w:p>
    <w:p>
      <w:pPr>
        <w:spacing w:line="360" w:lineRule="auto" w:after="0"/>
        <w:ind w:firstLine="360"/>
      </w:pPr>
      <w:r>
        <w:t>Review the redrafted drawings for final USPTO compliance and whether additional views are needed.</w:t>
      </w:r>
    </w:p>
    <w:sectPr w:rsidR="00FC693F" w:rsidRPr="0006063C" w:rsidSect="00034616">
      <w:footerReference w:type="default" r:id="rId9"/>
      <w:pgSz w:w="12240" w:h="15840"/>
      <w:pgMar w:top="1224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36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INVENTION DISCLOSURE AND CLAIM STRATEGY MEMO - REVISED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