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0"/>
        </w:rPr>
        <w:t>README AND ERROR-RESOLUTION LOG - REVISED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Package purpose</w:t>
      </w:r>
    </w:p>
    <w:p>
      <w:pPr>
        <w:spacing w:line="360" w:lineRule="auto" w:after="0"/>
        <w:ind w:firstLine="360"/>
      </w:pPr>
      <w:r>
        <w:t>Updated working package based on the uploaded 33-page PDF and the latest drawing concept supplied in the conversation.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What was corrected</w:t>
      </w:r>
    </w:p>
    <w:p>
      <w:pPr>
        <w:spacing w:line="360" w:lineRule="auto" w:after="0"/>
        <w:ind w:firstLine="360"/>
      </w:pPr>
      <w:r>
        <w:t>One coherent reference-number scheme is used across text and drawings. Duplicated claim/abstract sections were removed. Unverified aircraft dimensions from generated artwork were not carried into the patent disclosure. The architecture now consistently identifies environment uncertainty, health-aware constraint updates before trajectory selection, authenticated mission contracts, degraded communications, reconciliation, and evidence logging.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Drawing basis</w:t>
      </w:r>
    </w:p>
    <w:p>
      <w:pPr>
        <w:spacing w:line="360" w:lineRule="auto" w:after="0"/>
        <w:ind w:firstLine="360"/>
      </w:pPr>
      <w:r>
        <w:t>The latest black-and-white drawing concept was used as a visual reference for the aircraft, exploded compute-stack, sensor-array, planning/safety, and system-overview content. The filing drawing set was redrafted as clean vector patent-style sheets rather than relying on AI-generated text embedded in the reference image.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Not yet filled</w:t>
      </w:r>
    </w:p>
    <w:p>
      <w:pPr>
        <w:spacing w:line="360" w:lineRule="auto" w:after="0"/>
        <w:ind w:firstLine="360"/>
      </w:pPr>
      <w:r>
        <w:t>Inventor names, applicant/assignee, priority data, government interest, disclosure history, attorney docket, and actual filing fees/forms remain factual/legal items to be verified.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3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AND ERROR-RESOLUTION LOG - REVISED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