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30"/>
        </w:rPr>
        <w:t>DRAWING CHANGE LOG AND PRE-FILING QA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Resolved reference-number conflicts</w:t>
      </w:r>
    </w:p>
    <w:p>
      <w:pPr>
        <w:spacing w:line="360" w:lineRule="auto" w:after="0"/>
        <w:ind w:firstLine="360"/>
      </w:pPr>
      <w:r>
        <w:t>Aircraft principal elements now use 100, 102, 104, 106, 108, 110, 112, 114, 116.</w:t>
      </w:r>
    </w:p>
    <w:p>
      <w:pPr>
        <w:spacing w:line="360" w:lineRule="auto" w:after="0"/>
        <w:ind w:firstLine="360"/>
      </w:pPr>
      <w:r>
        <w:t>Autonomy functions use 200, 202, 204, 206, 208, 210, 212, 214, 216, 218, 220, 222.</w:t>
      </w:r>
    </w:p>
    <w:p>
      <w:pPr>
        <w:spacing w:line="360" w:lineRule="auto" w:after="0"/>
        <w:ind w:firstLine="360"/>
      </w:pPr>
      <w:r>
        <w:t>Mission contract and supervisory station use 230 and 240 respectively.</w:t>
      </w:r>
    </w:p>
    <w:p>
      <w:pPr>
        <w:spacing w:line="360" w:lineRule="auto" w:after="0"/>
        <w:ind w:firstLine="360"/>
      </w:pPr>
      <w:r>
        <w:t>No drawing uses the same reference numeral for unrelated components.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Corrected disclosure mismatches</w:t>
      </w:r>
    </w:p>
    <w:p>
      <w:pPr>
        <w:spacing w:line="360" w:lineRule="auto" w:after="0"/>
        <w:ind w:firstLine="360"/>
      </w:pPr>
      <w:r>
        <w:t>The environment model is consistently described as carrying uncertainty information.</w:t>
      </w:r>
    </w:p>
    <w:p>
      <w:pPr>
        <w:spacing w:line="360" w:lineRule="auto" w:after="0"/>
        <w:ind w:firstLine="360"/>
      </w:pPr>
      <w:r>
        <w:t>Health prediction is consistently described as updating planning constraints before trajectory selection.</w:t>
      </w:r>
    </w:p>
    <w:p>
      <w:pPr>
        <w:spacing w:line="360" w:lineRule="auto" w:after="0"/>
        <w:ind w:firstLine="360"/>
      </w:pPr>
      <w:r>
        <w:t>Storage subsystem 116 is distinct from evidence logger 220.</w:t>
      </w:r>
    </w:p>
    <w:p>
      <w:pPr>
        <w:spacing w:line="360" w:lineRule="auto" w:after="0"/>
        <w:ind w:firstLine="360"/>
      </w:pPr>
      <w:r>
        <w:t>The human supervisory station 240 is distinct from the communications manager 218.</w:t>
      </w:r>
    </w:p>
    <w:p>
      <w:pPr>
        <w:spacing w:line="360" w:lineRule="auto" w:after="0"/>
        <w:ind w:firstLine="360"/>
      </w:pPr>
      <w:r>
        <w:t>Unverified dimensions and performance specifications from generated artwork have been removed from the substantive disclosure.</w:t>
      </w:r>
    </w:p>
    <w:p>
      <w:pPr>
        <w:pStyle w:val="Heading1"/>
        <w:spacing w:before="200" w:after="80"/>
        <w:ind w:firstLine="0"/>
      </w:pPr>
      <w:r>
        <w:rPr>
          <w:rFonts w:ascii="Times New Roman" w:hAnsi="Times New Roman"/>
          <w:b/>
          <w:sz w:val="26"/>
        </w:rPr>
        <w:t>Drawing QA</w:t>
      </w:r>
    </w:p>
    <w:p>
      <w:pPr>
        <w:spacing w:line="360" w:lineRule="auto" w:after="0"/>
        <w:ind w:firstLine="360"/>
      </w:pPr>
      <w:r>
        <w:t>Eight monochrome patent-style sheets are supplied as vector PDF artwork.</w:t>
      </w:r>
    </w:p>
    <w:p>
      <w:pPr>
        <w:spacing w:line="360" w:lineRule="auto" w:after="0"/>
        <w:ind w:firstLine="360"/>
      </w:pPr>
      <w:r>
        <w:t>Each sheet has one principal figure and a sheet-number header.</w:t>
      </w:r>
    </w:p>
    <w:p>
      <w:pPr>
        <w:spacing w:line="360" w:lineRule="auto" w:after="0"/>
        <w:ind w:firstLine="360"/>
      </w:pPr>
      <w:r>
        <w:t>Figures use concise labels and consistent reference numerals.</w:t>
      </w:r>
    </w:p>
    <w:p>
      <w:pPr>
        <w:spacing w:line="360" w:lineRule="auto" w:after="0"/>
        <w:ind w:firstLine="360"/>
      </w:pPr>
      <w:r>
        <w:t>The drawing set is intended for attorney review and final USPTO preflight; counsel should verify line-weight, margins, reproduction, and any additional views needed for prosecution.</w:t>
      </w:r>
    </w:p>
    <w:sectPr w:rsidR="00FC693F" w:rsidRPr="0006063C" w:rsidSect="00034616">
      <w:footerReference w:type="default" r:id="rId9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3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DRAWING CHANGE LOG AND PRE-FILING QA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