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50"/>
        <w:jc w:val="left"/>
      </w:pPr>
      <w:r>
        <w:rPr>
          <w:rFonts w:ascii="Arial" w:cs="Arial" w:eastAsia="Arial" w:hAnsi="Arial"/>
          <w:b/>
          <w:bCs/>
          <w:color w:val="2F83A6"/>
          <w:sz w:val="18"/>
          <w:szCs w:val="18"/>
        </w:rPr>
        <w:t xml:space="preserve">GOWAY · UYGULAMA KAYNAĞI</w:t>
      </w:r>
    </w:p>
    <w:p>
      <w:pPr>
        <w:pStyle w:val="Title"/>
        <w:spacing w:after="120"/>
        <w:jc w:val="left"/>
      </w:pPr>
      <w:r>
        <w:rPr>
          <w:rFonts w:ascii="Arial" w:cs="Arial" w:eastAsia="Arial" w:hAnsi="Arial"/>
          <w:b/>
          <w:bCs/>
          <w:color w:val="185A77"/>
          <w:sz w:val="38"/>
          <w:szCs w:val="38"/>
        </w:rPr>
        <w:t xml:space="preserve">ISO 27001 Risk ve Varlık Envanteri Kontrol Listesi</w:t>
      </w:r>
    </w:p>
    <w:p>
      <w:pPr>
        <w:spacing w:after="220"/>
        <w:jc w:val="left"/>
      </w:pPr>
      <w:r>
        <w:rPr>
          <w:rFonts w:ascii="Arial" w:cs="Arial" w:eastAsia="Arial" w:hAnsi="Arial"/>
          <w:b w:val="false"/>
          <w:bCs w:val="false"/>
          <w:color w:val="185A77"/>
          <w:sz w:val="21"/>
          <w:szCs w:val="21"/>
        </w:rPr>
        <w:t xml:space="preserve">Bilgi varlıklarını, sahiplerini, tehditleri, kontrolleri ve risk aksiyonlarını hazırlık öncesinde eşleştirmek için düzenlenebilir şablon.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50"/>
        <w:gridCol w:w="2963"/>
        <w:gridCol w:w="1550"/>
        <w:gridCol w:w="2963"/>
      </w:tblGrid>
      <w:tr>
        <w:tc>
          <w:tcPr>
            <w:tcW w:type="dxa" w:w="15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Sürüm</w:t>
            </w:r>
          </w:p>
        </w:tc>
        <w:tc>
          <w:tcPr>
            <w:tcW w:type="dxa" w:w="2963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1.0</w:t>
            </w:r>
          </w:p>
        </w:tc>
        <w:tc>
          <w:tcPr>
            <w:tcW w:type="dxa" w:w="15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Güncelleme</w:t>
            </w:r>
          </w:p>
        </w:tc>
        <w:tc>
          <w:tcPr>
            <w:tcW w:type="dxa" w:w="2963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23.08.2026</w:t>
            </w:r>
          </w:p>
        </w:tc>
      </w:tr>
      <w:tr>
        <w:tc>
          <w:tcPr>
            <w:tcW w:type="dxa" w:w="15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İşletme</w:t>
            </w:r>
          </w:p>
        </w:tc>
        <w:tc>
          <w:tcPr>
            <w:tcW w:type="dxa" w:w="2963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____________________</w:t>
            </w:r>
          </w:p>
        </w:tc>
        <w:tc>
          <w:tcPr>
            <w:tcW w:type="dxa" w:w="15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Sorumlu</w:t>
            </w:r>
          </w:p>
        </w:tc>
        <w:tc>
          <w:tcPr>
            <w:tcW w:type="dxa" w:w="2963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____________________</w:t>
            </w:r>
          </w:p>
        </w:tc>
      </w:tr>
    </w:tbl>
    <w:p>
      <w:pPr>
        <w:pStyle w:val="Heading1"/>
        <w:spacing w:after="80"/>
        <w:jc w:val="left"/>
      </w:pPr>
      <w:r>
        <w:rPr>
          <w:rFonts w:ascii="Arial" w:cs="Arial" w:eastAsia="Arial" w:hAnsi="Arial"/>
          <w:b/>
          <w:bCs/>
          <w:color w:val="185A77"/>
          <w:sz w:val="26"/>
          <w:szCs w:val="26"/>
        </w:rPr>
        <w:t xml:space="preserve">Kullanım</w:t>
      </w:r>
    </w:p>
    <w:p>
      <w:pPr>
        <w:spacing w:after="180"/>
        <w:jc w:val="left"/>
      </w:pPr>
      <w:r>
        <w:rPr>
          <w:rFonts w:ascii="Arial" w:cs="Arial" w:eastAsia="Arial" w:hAnsi="Arial"/>
          <w:b w:val="false"/>
          <w:bCs w:val="false"/>
          <w:color w:val="185A77"/>
          <w:sz w:val="19"/>
          <w:szCs w:val="19"/>
        </w:rPr>
        <w:t xml:space="preserve">Her satırı evet, kısmen, hayır veya kapsam dışı olarak değerlendirin. Kanıt alanına erişilebilir kayıt, tarih ve sorumlu bilgisi yazın. Sarı alanlar kullanıcı girdisidir.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350"/>
        <w:gridCol w:w="2250"/>
        <w:gridCol w:w="1926"/>
      </w:tblGrid>
      <w:tr>
        <w:trPr>
          <w:tblHeader/>
        </w:trP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185A77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Alan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185A77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Kontrol sorusu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185A77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Beklenen kanıt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185A77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Durum / not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Varlıklar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Bilgi, uygulama, cihaz, hizmet ve tesis varlıkları envanterde mi?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Varlık envanteri, sahiplik kaydı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Sınıflandırma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Varlıkların önem, gizlilik ve erişilebilirlik seviyesi tanımlı mı?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Sınıflandırma kuralı, kayıt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Risk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Tehdit, zafiyet, etki ve olasılık birlikte değerlendiriliyor mu?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Risk değerlendirmesi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Kontroller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Risklere karşı teknik, fiziksel ve yönetsel kontroller atanmış mı?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Kontrol planı, sorumlu matrisi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Erişim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Yetki talebi, onay, gözden geçirme ve iptal kayıtları tutuluyor mu?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Erişim kayıtları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Olay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Bilgi güvenliği olayları sınıflandırılıyor ve öğrenimler aksiyona bağlanıyor mu?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Olay kaydı, aksiyon planı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Süreklilik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Yedekleme, kurtarma ve kritik hizmet bağımlılıkları test ediliyor mu?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Test raporu, kurtarma kaydı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İyileştirme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İç tetkik ve yönetim kararları risk kaydına geri besleniyor mu?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Tetkik ve YGG kanıtı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</w:tbl>
    <w:p>
      <w:pPr>
        <w:pStyle w:val="Heading1"/>
        <w:spacing w:after="80"/>
        <w:jc w:val="left"/>
      </w:pPr>
      <w:r>
        <w:rPr>
          <w:rFonts w:ascii="Arial" w:cs="Arial" w:eastAsia="Arial" w:hAnsi="Arial"/>
          <w:b/>
          <w:bCs/>
          <w:color w:val="185A77"/>
          <w:sz w:val="26"/>
          <w:szCs w:val="26"/>
        </w:rPr>
        <w:t xml:space="preserve">Sınırlama</w:t>
      </w:r>
    </w:p>
    <w:p>
      <w:pPr>
        <w:spacing w:after="0"/>
        <w:jc w:val="left"/>
      </w:pPr>
      <w:r>
        <w:rPr>
          <w:rFonts w:ascii="Arial" w:cs="Arial" w:eastAsia="Arial" w:hAnsi="Arial"/>
          <w:b w:val="false"/>
          <w:bCs w:val="false"/>
          <w:color w:val="185A77"/>
          <w:sz w:val="18"/>
          <w:szCs w:val="18"/>
        </w:rPr>
        <w:t xml:space="preserve">Bu kaynak genel hazırlık ve öz değerlendirme amacıyla sunulur. İşletmeye özel mevzuat, risk değerlendirmesi, hukuki görüş, belgelendirme veya resmî uygunluk kararının yerine geçmez. Teknik inceleme durumu: bekliyor.</w:t>
      </w:r>
    </w:p>
    <w:sectPr>
      <w:footerReference w:type="default" r:id="rId7"/>
      <w:pgSz w:w="11906" w:h="16838" w:orient="portrait"/>
      <w:pgMar w:top="1000" w:right="1440" w:bottom="11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b w:val="false"/>
        <w:bCs w:val="false"/>
        <w:color w:val="185A77"/>
        <w:sz w:val="16"/>
        <w:szCs w:val="16"/>
      </w:rPr>
      <w:t xml:space="preserve">Goway Danışmanlık · Sayfa </w:t>
    </w:r>
    <w:r>
      <w:rPr>
        <w:rFonts w:ascii="Arial" w:cs="Arial" w:eastAsia="Arial" w:hAnsi="Arial"/>
        <w:color w:val="185A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85A77"/>
        <w:sz w:val="20"/>
        <w:szCs w:val="20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ISO 27001 Risk ve Varlık Envanteri Kontrol Listesi</dc:title>
  <dc:creator>Goway Danışmanlık</dc:creator>
  <dc:description>Bilgi varlıklarını, sahiplerini, tehditleri, kontrolleri ve risk aksiyonlarını hazırlık öncesinde eşleştirmek için düzenlenebilir şablon.</dc:description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