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5E0C" w14:textId="2C1E2D16" w:rsidR="00D939F7" w:rsidRDefault="00EB1887" w:rsidP="00056A43">
      <w:pPr>
        <w:spacing w:line="480" w:lineRule="auto"/>
        <w:rPr>
          <w:rFonts w:ascii="Times New Roman" w:hAnsi="Times New Roman" w:cs="Times New Roman"/>
        </w:rPr>
      </w:pPr>
      <w:r>
        <w:rPr>
          <w:rFonts w:ascii="Times New Roman" w:hAnsi="Times New Roman" w:cs="Times New Roman"/>
          <w:b/>
          <w:bCs/>
        </w:rPr>
        <w:t>Data and Methods</w:t>
      </w:r>
      <w:r w:rsidR="00BE458B">
        <w:rPr>
          <w:rFonts w:ascii="Times New Roman" w:hAnsi="Times New Roman" w:cs="Times New Roman"/>
          <w:b/>
          <w:bCs/>
        </w:rPr>
        <w:t xml:space="preserve"> – Michele Giunti</w:t>
      </w:r>
    </w:p>
    <w:p w14:paraId="58AF252B" w14:textId="3BEACE68" w:rsidR="00EB1887" w:rsidRDefault="00EB1887" w:rsidP="00056A43">
      <w:pPr>
        <w:spacing w:line="480" w:lineRule="auto"/>
        <w:rPr>
          <w:rFonts w:ascii="Times New Roman" w:hAnsi="Times New Roman" w:cs="Times New Roman"/>
        </w:rPr>
      </w:pPr>
      <w:r>
        <w:rPr>
          <w:rFonts w:ascii="Times New Roman" w:hAnsi="Times New Roman" w:cs="Times New Roman"/>
          <w:b/>
          <w:bCs/>
        </w:rPr>
        <w:t>Data Used</w:t>
      </w:r>
    </w:p>
    <w:p w14:paraId="39FD5162" w14:textId="7F6A7D13" w:rsidR="00EB1887" w:rsidRDefault="00724795" w:rsidP="00056A43">
      <w:pPr>
        <w:spacing w:line="480" w:lineRule="auto"/>
        <w:rPr>
          <w:rFonts w:ascii="Times New Roman" w:hAnsi="Times New Roman" w:cs="Times New Roman"/>
        </w:rPr>
      </w:pPr>
      <w:r>
        <w:rPr>
          <w:rFonts w:ascii="Times New Roman" w:hAnsi="Times New Roman" w:cs="Times New Roman"/>
          <w:i/>
          <w:iCs/>
        </w:rPr>
        <w:t>General Social Survey</w:t>
      </w:r>
    </w:p>
    <w:p w14:paraId="0609474A" w14:textId="023A0E72" w:rsidR="00724795" w:rsidRDefault="00316C06" w:rsidP="00056A43">
      <w:pPr>
        <w:spacing w:line="480" w:lineRule="auto"/>
        <w:ind w:firstLine="720"/>
        <w:rPr>
          <w:rFonts w:ascii="Times New Roman" w:hAnsi="Times New Roman" w:cs="Times New Roman"/>
        </w:rPr>
      </w:pPr>
      <w:r>
        <w:rPr>
          <w:rFonts w:ascii="Times New Roman" w:hAnsi="Times New Roman" w:cs="Times New Roman"/>
        </w:rPr>
        <w:t>The dataset used in this analysis was pulled from the General Social Survey</w:t>
      </w:r>
      <w:r w:rsidR="002C002A">
        <w:rPr>
          <w:rFonts w:ascii="Times New Roman" w:hAnsi="Times New Roman" w:cs="Times New Roman"/>
        </w:rPr>
        <w:t xml:space="preserve"> (GSS)</w:t>
      </w:r>
      <w:r>
        <w:rPr>
          <w:rFonts w:ascii="Times New Roman" w:hAnsi="Times New Roman" w:cs="Times New Roman"/>
        </w:rPr>
        <w:t xml:space="preserve"> website, a nationally representative survey of the attitudes and behaviors of adults (18 and over) in the United States. The survey is taken</w:t>
      </w:r>
      <w:r w:rsidR="002C002A">
        <w:rPr>
          <w:rFonts w:ascii="Times New Roman" w:hAnsi="Times New Roman" w:cs="Times New Roman"/>
        </w:rPr>
        <w:t xml:space="preserve"> by the National Opinion Research Center (NORC)</w:t>
      </w:r>
      <w:r>
        <w:rPr>
          <w:rFonts w:ascii="Times New Roman" w:hAnsi="Times New Roman" w:cs="Times New Roman"/>
        </w:rPr>
        <w:t xml:space="preserve"> every one to two years, with cumulative cross-sectional datasets available from the year 1972 to 2021</w:t>
      </w:r>
      <w:r w:rsidR="00C378E6">
        <w:rPr>
          <w:rStyle w:val="FootnoteReference"/>
          <w:rFonts w:ascii="Times New Roman" w:hAnsi="Times New Roman" w:cs="Times New Roman"/>
        </w:rPr>
        <w:footnoteReference w:id="1"/>
      </w:r>
      <w:r>
        <w:rPr>
          <w:rFonts w:ascii="Times New Roman" w:hAnsi="Times New Roman" w:cs="Times New Roman"/>
        </w:rPr>
        <w:t>. The specific data employed will be the 2016-2020 Panel</w:t>
      </w:r>
      <w:r w:rsidR="00C378E6">
        <w:rPr>
          <w:rFonts w:ascii="Times New Roman" w:hAnsi="Times New Roman" w:cs="Times New Roman"/>
        </w:rPr>
        <w:t xml:space="preserve"> (</w:t>
      </w:r>
      <w:r w:rsidR="00C378E6" w:rsidRPr="008076C1">
        <w:rPr>
          <w:rFonts w:ascii="Times New Roman" w:hAnsi="Times New Roman" w:cs="Times New Roman"/>
        </w:rPr>
        <w:t>Davern, Bautista., Freese, Morgan, &amp; Smith</w:t>
      </w:r>
      <w:r>
        <w:rPr>
          <w:rFonts w:ascii="Times New Roman" w:hAnsi="Times New Roman" w:cs="Times New Roman"/>
        </w:rPr>
        <w:t>,</w:t>
      </w:r>
      <w:r w:rsidR="00C378E6">
        <w:rPr>
          <w:rFonts w:ascii="Times New Roman" w:hAnsi="Times New Roman" w:cs="Times New Roman"/>
        </w:rPr>
        <w:t xml:space="preserve"> 2022)</w:t>
      </w:r>
      <w:r>
        <w:rPr>
          <w:rFonts w:ascii="Times New Roman" w:hAnsi="Times New Roman" w:cs="Times New Roman"/>
        </w:rPr>
        <w:t xml:space="preserve"> updated </w:t>
      </w:r>
      <w:r w:rsidR="002C002A">
        <w:rPr>
          <w:rFonts w:ascii="Times New Roman" w:hAnsi="Times New Roman" w:cs="Times New Roman"/>
        </w:rPr>
        <w:t>in</w:t>
      </w:r>
      <w:r>
        <w:rPr>
          <w:rFonts w:ascii="Times New Roman" w:hAnsi="Times New Roman" w:cs="Times New Roman"/>
        </w:rPr>
        <w:t xml:space="preserve"> April 2022, which sampled 6,200 housing units in 2016, with a final tally of 2,867 completed interviews, and 5,200 housing units in 2018, with a final tally of 2,348. The 2020 respondents were obtained from a full sample of the 2018 wave, and a random subsample of 2,146 (74.85%) from the 2016 wave. </w:t>
      </w:r>
      <w:r w:rsidR="00A9201F">
        <w:rPr>
          <w:rFonts w:ascii="Times New Roman" w:hAnsi="Times New Roman" w:cs="Times New Roman"/>
        </w:rPr>
        <w:t>The total number of included observations was 5,215, however, accounting for attrition and respondent non-answers</w:t>
      </w:r>
      <w:r w:rsidR="00A9201F">
        <w:rPr>
          <w:rStyle w:val="FootnoteReference"/>
          <w:rFonts w:ascii="Times New Roman" w:hAnsi="Times New Roman" w:cs="Times New Roman"/>
        </w:rPr>
        <w:footnoteReference w:id="2"/>
      </w:r>
      <w:r w:rsidR="00A9201F">
        <w:rPr>
          <w:rFonts w:ascii="Times New Roman" w:hAnsi="Times New Roman" w:cs="Times New Roman"/>
        </w:rPr>
        <w:t>, the total number of functional observations was 1,823</w:t>
      </w:r>
      <w:r w:rsidR="002C002A">
        <w:rPr>
          <w:rFonts w:ascii="Times New Roman" w:hAnsi="Times New Roman" w:cs="Times New Roman"/>
        </w:rPr>
        <w:t xml:space="preserve"> (34.95%)</w:t>
      </w:r>
      <w:r w:rsidR="00A9201F">
        <w:rPr>
          <w:rFonts w:ascii="Times New Roman" w:hAnsi="Times New Roman" w:cs="Times New Roman"/>
        </w:rPr>
        <w:t>. For the purpose of tracking the same respondents across waves, only those that participated in the 2018 survey were considered, reducing the final observation number to 1,014</w:t>
      </w:r>
      <w:r w:rsidR="002C002A">
        <w:rPr>
          <w:rFonts w:ascii="Times New Roman" w:hAnsi="Times New Roman" w:cs="Times New Roman"/>
        </w:rPr>
        <w:t>.</w:t>
      </w:r>
      <w:r w:rsidR="00A9201F">
        <w:rPr>
          <w:rFonts w:ascii="Times New Roman" w:hAnsi="Times New Roman" w:cs="Times New Roman"/>
        </w:rPr>
        <w:t xml:space="preserve"> </w:t>
      </w:r>
    </w:p>
    <w:p w14:paraId="0BC4CCB5" w14:textId="46867F77" w:rsidR="00724795" w:rsidRDefault="00724795" w:rsidP="00056A43">
      <w:pPr>
        <w:spacing w:line="480" w:lineRule="auto"/>
        <w:rPr>
          <w:rFonts w:ascii="Times New Roman" w:hAnsi="Times New Roman" w:cs="Times New Roman"/>
          <w:i/>
          <w:iCs/>
        </w:rPr>
      </w:pPr>
      <w:r>
        <w:rPr>
          <w:rFonts w:ascii="Times New Roman" w:hAnsi="Times New Roman" w:cs="Times New Roman"/>
          <w:i/>
          <w:iCs/>
        </w:rPr>
        <w:t>American National Elections Survey</w:t>
      </w:r>
    </w:p>
    <w:p w14:paraId="30D4D4C5" w14:textId="1453F9D3" w:rsidR="002C002A" w:rsidRPr="002C002A" w:rsidRDefault="002C002A" w:rsidP="00056A43">
      <w:pPr>
        <w:spacing w:line="480" w:lineRule="auto"/>
        <w:ind w:firstLine="720"/>
        <w:rPr>
          <w:rFonts w:ascii="Times New Roman" w:hAnsi="Times New Roman" w:cs="Times New Roman"/>
        </w:rPr>
      </w:pPr>
      <w:r>
        <w:rPr>
          <w:rFonts w:ascii="Times New Roman" w:hAnsi="Times New Roman" w:cs="Times New Roman"/>
        </w:rPr>
        <w:t>The American National Elections Survey (ANES) is one of the oldest continuous series of survey data of electoral behavior and general attitudes in the United States. The</w:t>
      </w:r>
      <w:r w:rsidR="00C378E6">
        <w:rPr>
          <w:rFonts w:ascii="Times New Roman" w:hAnsi="Times New Roman" w:cs="Times New Roman"/>
        </w:rPr>
        <w:t xml:space="preserve"> surveys are taken before and after presidential elections and national congressional elections by both the Institute of Social Research at the University of Michigan and the Institute for Research in the Social Sciences at Stanford University; latest efforts have included experts from Duke University and the University of Texas at Austin.</w:t>
      </w:r>
    </w:p>
    <w:p w14:paraId="1869FAAC" w14:textId="426490B9" w:rsidR="00724795" w:rsidRDefault="002C002A" w:rsidP="00056A43">
      <w:pPr>
        <w:spacing w:line="480" w:lineRule="auto"/>
        <w:ind w:firstLine="720"/>
        <w:rPr>
          <w:rFonts w:ascii="Times New Roman" w:hAnsi="Times New Roman" w:cs="Times New Roman"/>
        </w:rPr>
      </w:pPr>
      <w:r>
        <w:rPr>
          <w:rFonts w:ascii="Times New Roman" w:hAnsi="Times New Roman" w:cs="Times New Roman"/>
        </w:rPr>
        <w:lastRenderedPageBreak/>
        <w:t>The 2016-2020 panel collaborated with</w:t>
      </w:r>
      <w:r w:rsidR="00B0638F">
        <w:rPr>
          <w:rFonts w:ascii="Times New Roman" w:hAnsi="Times New Roman" w:cs="Times New Roman"/>
        </w:rPr>
        <w:t xml:space="preserve"> the</w:t>
      </w:r>
      <w:r>
        <w:rPr>
          <w:rFonts w:ascii="Times New Roman" w:hAnsi="Times New Roman" w:cs="Times New Roman"/>
        </w:rPr>
        <w:t xml:space="preserve"> American National Elections Survey by offering to all respondents who completed the 2020 wave, and were U.S. citizens at the time, an additional post-election interview. All eligible 1,734 respondents were invited, with the final retention rate being 1,164 (67%). Merging the datasets by respondent ID (yearid) and restricting the observations to those also present in the 2018 sample, resulted in a final observation count of 635.</w:t>
      </w:r>
      <w:r w:rsidR="00C378E6">
        <w:rPr>
          <w:rFonts w:ascii="Times New Roman" w:hAnsi="Times New Roman" w:cs="Times New Roman"/>
        </w:rPr>
        <w:t xml:space="preserve"> </w:t>
      </w:r>
      <w:proofErr w:type="gramStart"/>
      <w:r w:rsidR="00C378E6">
        <w:rPr>
          <w:rFonts w:ascii="Times New Roman" w:hAnsi="Times New Roman" w:cs="Times New Roman"/>
        </w:rPr>
        <w:t>For the purpose of</w:t>
      </w:r>
      <w:proofErr w:type="gramEnd"/>
      <w:r w:rsidR="00C378E6">
        <w:rPr>
          <w:rFonts w:ascii="Times New Roman" w:hAnsi="Times New Roman" w:cs="Times New Roman"/>
        </w:rPr>
        <w:t xml:space="preserve"> the paper, the use of these cross-referenced ANES observations will be preferred, but the main focus will remain on the GSS sample.</w:t>
      </w:r>
    </w:p>
    <w:p w14:paraId="226B7C2B" w14:textId="77777777" w:rsidR="006217F7" w:rsidRDefault="006217F7" w:rsidP="006217F7">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br/>
        <w:t xml:space="preserve">Tabulation of uscitzn_2  </w:t>
      </w:r>
    </w:p>
    <w:tbl>
      <w:tblPr>
        <w:tblW w:w="9773" w:type="dxa"/>
        <w:tblLayout w:type="fixed"/>
        <w:tblLook w:val="0000" w:firstRow="0" w:lastRow="0" w:firstColumn="0" w:lastColumn="0" w:noHBand="0" w:noVBand="0"/>
      </w:tblPr>
      <w:tblGrid>
        <w:gridCol w:w="5193"/>
        <w:gridCol w:w="1523"/>
        <w:gridCol w:w="1523"/>
        <w:gridCol w:w="1534"/>
      </w:tblGrid>
      <w:tr w:rsidR="006217F7" w14:paraId="1517B0AD" w14:textId="77777777" w:rsidTr="00AE5F86">
        <w:trPr>
          <w:trHeight w:val="114"/>
        </w:trPr>
        <w:tc>
          <w:tcPr>
            <w:tcW w:w="5193" w:type="dxa"/>
            <w:tcBorders>
              <w:top w:val="single" w:sz="4" w:space="0" w:color="auto"/>
              <w:left w:val="nil"/>
              <w:bottom w:val="single" w:sz="10" w:space="0" w:color="auto"/>
              <w:right w:val="nil"/>
            </w:tcBorders>
          </w:tcPr>
          <w:p w14:paraId="10873CCA" w14:textId="77777777" w:rsidR="006217F7" w:rsidRDefault="006217F7"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is r us citizen</w:t>
            </w:r>
          </w:p>
        </w:tc>
        <w:tc>
          <w:tcPr>
            <w:tcW w:w="1523" w:type="dxa"/>
            <w:tcBorders>
              <w:top w:val="single" w:sz="4" w:space="0" w:color="auto"/>
              <w:left w:val="nil"/>
              <w:bottom w:val="single" w:sz="10" w:space="0" w:color="auto"/>
              <w:right w:val="nil"/>
            </w:tcBorders>
          </w:tcPr>
          <w:p w14:paraId="2F33C995"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Freq.</w:t>
            </w:r>
          </w:p>
        </w:tc>
        <w:tc>
          <w:tcPr>
            <w:tcW w:w="1523" w:type="dxa"/>
            <w:tcBorders>
              <w:top w:val="single" w:sz="4" w:space="0" w:color="auto"/>
              <w:left w:val="nil"/>
              <w:bottom w:val="single" w:sz="10" w:space="0" w:color="auto"/>
              <w:right w:val="nil"/>
            </w:tcBorders>
          </w:tcPr>
          <w:p w14:paraId="70C91572"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Percent</w:t>
            </w:r>
          </w:p>
        </w:tc>
        <w:tc>
          <w:tcPr>
            <w:tcW w:w="1531" w:type="dxa"/>
            <w:tcBorders>
              <w:top w:val="single" w:sz="4" w:space="0" w:color="auto"/>
              <w:left w:val="nil"/>
              <w:bottom w:val="single" w:sz="10" w:space="0" w:color="auto"/>
              <w:right w:val="nil"/>
            </w:tcBorders>
          </w:tcPr>
          <w:p w14:paraId="6D4898B8"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Cum.</w:t>
            </w:r>
          </w:p>
        </w:tc>
      </w:tr>
      <w:tr w:rsidR="006217F7" w14:paraId="65AC976A" w14:textId="77777777" w:rsidTr="00AE5F86">
        <w:trPr>
          <w:trHeight w:val="107"/>
        </w:trPr>
        <w:tc>
          <w:tcPr>
            <w:tcW w:w="5193" w:type="dxa"/>
            <w:tcBorders>
              <w:top w:val="nil"/>
              <w:left w:val="nil"/>
              <w:bottom w:val="nil"/>
              <w:right w:val="nil"/>
            </w:tcBorders>
          </w:tcPr>
          <w:p w14:paraId="48E18AA1" w14:textId="77777777" w:rsidR="006217F7" w:rsidRDefault="006217F7"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a u.s. citizen</w:t>
            </w:r>
          </w:p>
        </w:tc>
        <w:tc>
          <w:tcPr>
            <w:tcW w:w="1523" w:type="dxa"/>
            <w:tcBorders>
              <w:top w:val="nil"/>
              <w:left w:val="nil"/>
              <w:bottom w:val="nil"/>
              <w:right w:val="nil"/>
            </w:tcBorders>
          </w:tcPr>
          <w:p w14:paraId="0F901BA8"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956</w:t>
            </w:r>
          </w:p>
        </w:tc>
        <w:tc>
          <w:tcPr>
            <w:tcW w:w="1523" w:type="dxa"/>
            <w:tcBorders>
              <w:top w:val="nil"/>
              <w:left w:val="nil"/>
              <w:bottom w:val="nil"/>
              <w:right w:val="nil"/>
            </w:tcBorders>
          </w:tcPr>
          <w:p w14:paraId="2681B55A"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95.12</w:t>
            </w:r>
          </w:p>
        </w:tc>
        <w:tc>
          <w:tcPr>
            <w:tcW w:w="1531" w:type="dxa"/>
            <w:tcBorders>
              <w:top w:val="nil"/>
              <w:left w:val="nil"/>
              <w:bottom w:val="nil"/>
              <w:right w:val="nil"/>
            </w:tcBorders>
          </w:tcPr>
          <w:p w14:paraId="591715CF"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95.12</w:t>
            </w:r>
          </w:p>
        </w:tc>
      </w:tr>
      <w:tr w:rsidR="006217F7" w14:paraId="79836112" w14:textId="77777777" w:rsidTr="00AE5F86">
        <w:trPr>
          <w:trHeight w:val="114"/>
        </w:trPr>
        <w:tc>
          <w:tcPr>
            <w:tcW w:w="5193" w:type="dxa"/>
            <w:tcBorders>
              <w:top w:val="nil"/>
              <w:left w:val="nil"/>
              <w:bottom w:val="nil"/>
              <w:right w:val="nil"/>
            </w:tcBorders>
          </w:tcPr>
          <w:p w14:paraId="2939A8F5" w14:textId="77777777" w:rsidR="006217F7" w:rsidRDefault="006217F7"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not a u.s. citizen</w:t>
            </w:r>
          </w:p>
        </w:tc>
        <w:tc>
          <w:tcPr>
            <w:tcW w:w="1523" w:type="dxa"/>
            <w:tcBorders>
              <w:top w:val="nil"/>
              <w:left w:val="nil"/>
              <w:bottom w:val="nil"/>
              <w:right w:val="nil"/>
            </w:tcBorders>
          </w:tcPr>
          <w:p w14:paraId="2413849D"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40</w:t>
            </w:r>
          </w:p>
        </w:tc>
        <w:tc>
          <w:tcPr>
            <w:tcW w:w="1523" w:type="dxa"/>
            <w:tcBorders>
              <w:top w:val="nil"/>
              <w:left w:val="nil"/>
              <w:bottom w:val="nil"/>
              <w:right w:val="nil"/>
            </w:tcBorders>
          </w:tcPr>
          <w:p w14:paraId="1BD34B10"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3.98</w:t>
            </w:r>
          </w:p>
        </w:tc>
        <w:tc>
          <w:tcPr>
            <w:tcW w:w="1531" w:type="dxa"/>
            <w:tcBorders>
              <w:top w:val="nil"/>
              <w:left w:val="nil"/>
              <w:bottom w:val="nil"/>
              <w:right w:val="nil"/>
            </w:tcBorders>
          </w:tcPr>
          <w:p w14:paraId="13F357FE"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99.10</w:t>
            </w:r>
          </w:p>
        </w:tc>
      </w:tr>
      <w:tr w:rsidR="006217F7" w14:paraId="43BE170F" w14:textId="77777777" w:rsidTr="00AE5F86">
        <w:trPr>
          <w:trHeight w:val="230"/>
        </w:trPr>
        <w:tc>
          <w:tcPr>
            <w:tcW w:w="5193" w:type="dxa"/>
            <w:tcBorders>
              <w:top w:val="nil"/>
              <w:left w:val="nil"/>
              <w:bottom w:val="nil"/>
              <w:right w:val="nil"/>
            </w:tcBorders>
          </w:tcPr>
          <w:p w14:paraId="402FD96A" w14:textId="77777777" w:rsidR="006217F7" w:rsidRDefault="006217F7"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a u.s. citizen born in puerto rico, the u.s. </w:t>
            </w:r>
            <w:proofErr w:type="gramStart"/>
            <w:r>
              <w:rPr>
                <w:rFonts w:ascii="Garamond" w:hAnsi="Garamond"/>
                <w:sz w:val="20"/>
                <w:szCs w:val="20"/>
              </w:rPr>
              <w:t>virgin islands</w:t>
            </w:r>
            <w:proofErr w:type="gramEnd"/>
            <w:r>
              <w:rPr>
                <w:rFonts w:ascii="Garamond" w:hAnsi="Garamond"/>
                <w:sz w:val="20"/>
                <w:szCs w:val="20"/>
              </w:rPr>
              <w:t>, or the northern marianas islands (if volunteered)</w:t>
            </w:r>
          </w:p>
        </w:tc>
        <w:tc>
          <w:tcPr>
            <w:tcW w:w="1523" w:type="dxa"/>
            <w:tcBorders>
              <w:top w:val="nil"/>
              <w:left w:val="nil"/>
              <w:bottom w:val="nil"/>
              <w:right w:val="nil"/>
            </w:tcBorders>
          </w:tcPr>
          <w:p w14:paraId="06B48450"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w:t>
            </w:r>
          </w:p>
        </w:tc>
        <w:tc>
          <w:tcPr>
            <w:tcW w:w="1523" w:type="dxa"/>
            <w:tcBorders>
              <w:top w:val="nil"/>
              <w:left w:val="nil"/>
              <w:bottom w:val="nil"/>
              <w:right w:val="nil"/>
            </w:tcBorders>
          </w:tcPr>
          <w:p w14:paraId="5644AB81"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0.50</w:t>
            </w:r>
          </w:p>
        </w:tc>
        <w:tc>
          <w:tcPr>
            <w:tcW w:w="1531" w:type="dxa"/>
            <w:tcBorders>
              <w:top w:val="nil"/>
              <w:left w:val="nil"/>
              <w:bottom w:val="nil"/>
              <w:right w:val="nil"/>
            </w:tcBorders>
          </w:tcPr>
          <w:p w14:paraId="237467C8"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99.60</w:t>
            </w:r>
          </w:p>
        </w:tc>
      </w:tr>
      <w:tr w:rsidR="006217F7" w14:paraId="400A1493" w14:textId="77777777" w:rsidTr="00AE5F86">
        <w:trPr>
          <w:trHeight w:val="230"/>
        </w:trPr>
        <w:tc>
          <w:tcPr>
            <w:tcW w:w="5193" w:type="dxa"/>
            <w:tcBorders>
              <w:top w:val="nil"/>
              <w:left w:val="nil"/>
              <w:bottom w:val="nil"/>
              <w:right w:val="nil"/>
            </w:tcBorders>
          </w:tcPr>
          <w:p w14:paraId="6E876526" w14:textId="77777777" w:rsidR="006217F7" w:rsidRDefault="006217F7"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born outside of the u.s. to parents who were u.s. citizens at that time (if volunteered)</w:t>
            </w:r>
          </w:p>
        </w:tc>
        <w:tc>
          <w:tcPr>
            <w:tcW w:w="1523" w:type="dxa"/>
            <w:tcBorders>
              <w:top w:val="nil"/>
              <w:left w:val="nil"/>
              <w:bottom w:val="nil"/>
              <w:right w:val="nil"/>
            </w:tcBorders>
          </w:tcPr>
          <w:p w14:paraId="5B4066AD"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w:t>
            </w:r>
          </w:p>
        </w:tc>
        <w:tc>
          <w:tcPr>
            <w:tcW w:w="1523" w:type="dxa"/>
            <w:tcBorders>
              <w:top w:val="nil"/>
              <w:left w:val="nil"/>
              <w:bottom w:val="nil"/>
              <w:right w:val="nil"/>
            </w:tcBorders>
          </w:tcPr>
          <w:p w14:paraId="50AFEF10"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0.40</w:t>
            </w:r>
          </w:p>
        </w:tc>
        <w:tc>
          <w:tcPr>
            <w:tcW w:w="1531" w:type="dxa"/>
            <w:tcBorders>
              <w:top w:val="nil"/>
              <w:left w:val="nil"/>
              <w:bottom w:val="nil"/>
              <w:right w:val="nil"/>
            </w:tcBorders>
          </w:tcPr>
          <w:p w14:paraId="08730817"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6217F7" w14:paraId="788CB4D9" w14:textId="77777777" w:rsidTr="00AE5F86">
        <w:trPr>
          <w:trHeight w:val="114"/>
        </w:trPr>
        <w:tc>
          <w:tcPr>
            <w:tcW w:w="5193" w:type="dxa"/>
            <w:tcBorders>
              <w:top w:val="single" w:sz="4" w:space="0" w:color="auto"/>
              <w:left w:val="nil"/>
              <w:bottom w:val="nil"/>
              <w:right w:val="nil"/>
            </w:tcBorders>
          </w:tcPr>
          <w:p w14:paraId="5DC42A69" w14:textId="77777777" w:rsidR="006217F7" w:rsidRDefault="006217F7"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Total</w:t>
            </w:r>
          </w:p>
        </w:tc>
        <w:tc>
          <w:tcPr>
            <w:tcW w:w="1523" w:type="dxa"/>
            <w:tcBorders>
              <w:top w:val="single" w:sz="4" w:space="0" w:color="auto"/>
              <w:left w:val="nil"/>
              <w:bottom w:val="nil"/>
              <w:right w:val="nil"/>
            </w:tcBorders>
          </w:tcPr>
          <w:p w14:paraId="499BE446"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1005</w:t>
            </w:r>
          </w:p>
        </w:tc>
        <w:tc>
          <w:tcPr>
            <w:tcW w:w="1523" w:type="dxa"/>
            <w:tcBorders>
              <w:top w:val="single" w:sz="4" w:space="0" w:color="auto"/>
              <w:left w:val="nil"/>
              <w:bottom w:val="nil"/>
              <w:right w:val="nil"/>
            </w:tcBorders>
          </w:tcPr>
          <w:p w14:paraId="7C911B02"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c>
          <w:tcPr>
            <w:tcW w:w="1531" w:type="dxa"/>
            <w:tcBorders>
              <w:top w:val="single" w:sz="4" w:space="0" w:color="auto"/>
              <w:left w:val="nil"/>
              <w:bottom w:val="nil"/>
              <w:right w:val="nil"/>
            </w:tcBorders>
          </w:tcPr>
          <w:p w14:paraId="65C603CD" w14:textId="77777777" w:rsidR="006217F7" w:rsidRDefault="006217F7" w:rsidP="00AE5F86">
            <w:pPr>
              <w:widowControl w:val="0"/>
              <w:autoSpaceDE w:val="0"/>
              <w:autoSpaceDN w:val="0"/>
              <w:adjustRightInd w:val="0"/>
              <w:spacing w:after="0" w:line="240" w:lineRule="auto"/>
              <w:jc w:val="right"/>
              <w:rPr>
                <w:rFonts w:ascii="Garamond" w:hAnsi="Garamond"/>
                <w:sz w:val="20"/>
                <w:szCs w:val="20"/>
              </w:rPr>
            </w:pPr>
          </w:p>
        </w:tc>
      </w:tr>
      <w:tr w:rsidR="006217F7" w14:paraId="0E513FDA" w14:textId="77777777" w:rsidTr="00AE5F86">
        <w:trPr>
          <w:trHeight w:val="114"/>
        </w:trPr>
        <w:tc>
          <w:tcPr>
            <w:tcW w:w="9773" w:type="dxa"/>
            <w:gridSpan w:val="4"/>
            <w:tcBorders>
              <w:top w:val="single" w:sz="6" w:space="0" w:color="auto"/>
              <w:left w:val="nil"/>
              <w:bottom w:val="nil"/>
              <w:right w:val="nil"/>
            </w:tcBorders>
          </w:tcPr>
          <w:p w14:paraId="4902DFD1" w14:textId="77777777" w:rsidR="006217F7" w:rsidRDefault="006217F7" w:rsidP="00AE5F86">
            <w:pPr>
              <w:widowControl w:val="0"/>
              <w:autoSpaceDE w:val="0"/>
              <w:autoSpaceDN w:val="0"/>
              <w:adjustRightInd w:val="0"/>
              <w:spacing w:after="0" w:line="240" w:lineRule="auto"/>
              <w:rPr>
                <w:rFonts w:ascii="Garamond" w:hAnsi="Garamond"/>
                <w:sz w:val="20"/>
                <w:szCs w:val="20"/>
              </w:rPr>
            </w:pPr>
          </w:p>
        </w:tc>
      </w:tr>
    </w:tbl>
    <w:p w14:paraId="73BC85F2" w14:textId="77777777" w:rsidR="006217F7" w:rsidRDefault="006217F7">
      <w:pPr>
        <w:rPr>
          <w:rFonts w:ascii="Times New Roman" w:hAnsi="Times New Roman" w:cs="Times New Roman"/>
        </w:rPr>
      </w:pPr>
    </w:p>
    <w:p w14:paraId="2C955FEA" w14:textId="65E8A46B" w:rsidR="002C002A" w:rsidRDefault="002C002A" w:rsidP="00056A43">
      <w:pPr>
        <w:spacing w:line="480" w:lineRule="auto"/>
        <w:rPr>
          <w:rFonts w:ascii="Times New Roman" w:hAnsi="Times New Roman" w:cs="Times New Roman"/>
          <w:i/>
          <w:iCs/>
        </w:rPr>
      </w:pPr>
      <w:r>
        <w:rPr>
          <w:rFonts w:ascii="Times New Roman" w:hAnsi="Times New Roman" w:cs="Times New Roman"/>
          <w:i/>
          <w:iCs/>
        </w:rPr>
        <w:t>Weights</w:t>
      </w:r>
    </w:p>
    <w:p w14:paraId="28F87D61" w14:textId="5BE8FDF4" w:rsidR="002C002A" w:rsidRDefault="00C378E6" w:rsidP="00056A43">
      <w:pPr>
        <w:spacing w:line="480" w:lineRule="auto"/>
        <w:ind w:firstLine="720"/>
        <w:rPr>
          <w:rFonts w:ascii="Times New Roman" w:hAnsi="Times New Roman" w:cs="Times New Roman"/>
        </w:rPr>
      </w:pPr>
      <w:r>
        <w:rPr>
          <w:rFonts w:ascii="Times New Roman" w:hAnsi="Times New Roman" w:cs="Times New Roman"/>
        </w:rPr>
        <w:t xml:space="preserve">Both the GSS and the ANES offer a selection of weights to account for </w:t>
      </w:r>
      <w:r w:rsidR="00E269B0">
        <w:rPr>
          <w:rFonts w:ascii="Times New Roman" w:hAnsi="Times New Roman" w:cs="Times New Roman"/>
        </w:rPr>
        <w:t xml:space="preserve">non-response in the stratified sample areas. The first survey provides a standard variance stratum (vstrat) and a variance primary sampling unit (vpsu), with </w:t>
      </w:r>
      <w:proofErr w:type="gramStart"/>
      <w:r w:rsidR="00E269B0">
        <w:rPr>
          <w:rFonts w:ascii="Times New Roman" w:hAnsi="Times New Roman" w:cs="Times New Roman"/>
        </w:rPr>
        <w:t>a each</w:t>
      </w:r>
      <w:proofErr w:type="gramEnd"/>
      <w:r w:rsidR="00E269B0">
        <w:rPr>
          <w:rFonts w:ascii="Times New Roman" w:hAnsi="Times New Roman" w:cs="Times New Roman"/>
        </w:rPr>
        <w:t xml:space="preserve"> wave either accounting for sub-sampling of nonrespondents and number of adults in the household (wtssall) or the area non-response adjustment based on the stratified units (National Frame Areas; wtssnr). The codebook recommends the use of the wtssnr. On the other hand, the joint ANES file offers both standard variance clusters (V20001xc) and variance stratum (V20001xd) a GSS post-election weight for the GSS cases alone (V200017b), a combined ANES-GSS post-election weight with the mixed video sample groups (V200018b), and a similar weight without mixed video sample groups (V200019b). Considering the adaptations made to the ANES collaboration, it is likely that the latter survey set weights will be used.</w:t>
      </w:r>
    </w:p>
    <w:p w14:paraId="5CF5E2BD" w14:textId="77777777" w:rsidR="00875DE7" w:rsidRDefault="00875DE7" w:rsidP="00056A43">
      <w:pPr>
        <w:spacing w:line="480" w:lineRule="auto"/>
        <w:ind w:firstLine="720"/>
        <w:rPr>
          <w:rFonts w:ascii="Times New Roman" w:hAnsi="Times New Roman" w:cs="Times New Roman"/>
        </w:rPr>
      </w:pPr>
    </w:p>
    <w:p w14:paraId="1EA322F0" w14:textId="77777777" w:rsidR="00543AC6" w:rsidRDefault="00543AC6" w:rsidP="00056A43">
      <w:pPr>
        <w:spacing w:line="480" w:lineRule="auto"/>
        <w:rPr>
          <w:rFonts w:ascii="Times New Roman" w:hAnsi="Times New Roman" w:cs="Times New Roman"/>
        </w:rPr>
      </w:pPr>
      <w:r>
        <w:rPr>
          <w:rFonts w:ascii="Times New Roman" w:hAnsi="Times New Roman" w:cs="Times New Roman"/>
          <w:b/>
          <w:bCs/>
        </w:rPr>
        <w:lastRenderedPageBreak/>
        <w:t>Model Specification and Testing</w:t>
      </w:r>
    </w:p>
    <w:p w14:paraId="7380167E" w14:textId="11165A67" w:rsidR="00543AC6" w:rsidRDefault="00543AC6" w:rsidP="00056A43">
      <w:pPr>
        <w:spacing w:line="480" w:lineRule="auto"/>
        <w:ind w:firstLine="720"/>
        <w:rPr>
          <w:rFonts w:ascii="Times New Roman" w:hAnsi="Times New Roman" w:cs="Times New Roman"/>
        </w:rPr>
      </w:pPr>
      <w:r>
        <w:rPr>
          <w:rFonts w:ascii="Times New Roman" w:hAnsi="Times New Roman" w:cs="Times New Roman"/>
        </w:rPr>
        <w:t xml:space="preserve">The effect of loneliness on our variables of interest will be measured at a high to low categorical scale, expecting </w:t>
      </w:r>
      <w:r w:rsidR="00E90C09">
        <w:rPr>
          <w:rFonts w:ascii="Times New Roman" w:hAnsi="Times New Roman" w:cs="Times New Roman"/>
        </w:rPr>
        <w:t xml:space="preserve">increased effects on the </w:t>
      </w:r>
      <w:r w:rsidR="008773B6">
        <w:rPr>
          <w:rFonts w:ascii="Times New Roman" w:hAnsi="Times New Roman" w:cs="Times New Roman"/>
        </w:rPr>
        <w:t xml:space="preserve">extreme ends of the distribution, while </w:t>
      </w:r>
      <w:r w:rsidR="009A5E5E">
        <w:rPr>
          <w:rFonts w:ascii="Times New Roman" w:hAnsi="Times New Roman" w:cs="Times New Roman"/>
        </w:rPr>
        <w:t>the majority near the mean either does not experience significant correlations or</w:t>
      </w:r>
      <w:r w:rsidR="00510C39">
        <w:rPr>
          <w:rFonts w:ascii="Times New Roman" w:hAnsi="Times New Roman" w:cs="Times New Roman"/>
        </w:rPr>
        <w:t xml:space="preserve"> sees</w:t>
      </w:r>
      <w:r w:rsidR="009A5E5E">
        <w:rPr>
          <w:rFonts w:ascii="Times New Roman" w:hAnsi="Times New Roman" w:cs="Times New Roman"/>
        </w:rPr>
        <w:t xml:space="preserve"> </w:t>
      </w:r>
      <w:r w:rsidR="0032585A">
        <w:rPr>
          <w:rFonts w:ascii="Times New Roman" w:hAnsi="Times New Roman" w:cs="Times New Roman"/>
        </w:rPr>
        <w:t xml:space="preserve">relationships different from the tails. </w:t>
      </w:r>
      <w:r w:rsidR="00B05428">
        <w:rPr>
          <w:rFonts w:ascii="Times New Roman" w:hAnsi="Times New Roman" w:cs="Times New Roman"/>
        </w:rPr>
        <w:t>As such, the models used will be either an Ordered Logit Fixed Effects model or a Random Effects model, with the dependent variable being coded as to distinguish the three</w:t>
      </w:r>
      <w:r w:rsidR="00602C1C">
        <w:rPr>
          <w:rFonts w:ascii="Times New Roman" w:hAnsi="Times New Roman" w:cs="Times New Roman"/>
        </w:rPr>
        <w:t xml:space="preserve"> distinct</w:t>
      </w:r>
      <w:r w:rsidR="00B05428">
        <w:rPr>
          <w:rFonts w:ascii="Times New Roman" w:hAnsi="Times New Roman" w:cs="Times New Roman"/>
        </w:rPr>
        <w:t xml:space="preserve"> categories </w:t>
      </w:r>
      <w:r w:rsidR="00602C1C">
        <w:rPr>
          <w:rFonts w:ascii="Times New Roman" w:hAnsi="Times New Roman" w:cs="Times New Roman"/>
        </w:rPr>
        <w:t>(High, Medium, Low).</w:t>
      </w:r>
    </w:p>
    <w:p w14:paraId="5B162A54" w14:textId="78672023" w:rsidR="00543AC6" w:rsidRDefault="00543AC6" w:rsidP="00056A43">
      <w:pPr>
        <w:spacing w:line="480" w:lineRule="auto"/>
        <w:rPr>
          <w:rFonts w:ascii="Times New Roman" w:hAnsi="Times New Roman" w:cs="Times New Roman"/>
          <w:i/>
          <w:iCs/>
        </w:rPr>
      </w:pPr>
      <w:r>
        <w:rPr>
          <w:rFonts w:ascii="Times New Roman" w:hAnsi="Times New Roman" w:cs="Times New Roman"/>
          <w:i/>
          <w:iCs/>
        </w:rPr>
        <w:t>Fixed Effects vs. Random Effects</w:t>
      </w:r>
    </w:p>
    <w:p w14:paraId="30469E6F" w14:textId="03E3C7F3" w:rsidR="00602C1C" w:rsidRDefault="00602C1C" w:rsidP="00056A43">
      <w:pPr>
        <w:spacing w:line="480" w:lineRule="auto"/>
        <w:ind w:firstLine="720"/>
        <w:rPr>
          <w:rFonts w:ascii="Times New Roman" w:hAnsi="Times New Roman" w:cs="Times New Roman"/>
        </w:rPr>
      </w:pPr>
      <w:r>
        <w:rPr>
          <w:rFonts w:ascii="Times New Roman" w:hAnsi="Times New Roman" w:cs="Times New Roman"/>
        </w:rPr>
        <w:t xml:space="preserve">The choice of Fixed Effects or Random Effects arises from the </w:t>
      </w:r>
      <w:r w:rsidR="001F46A0">
        <w:rPr>
          <w:rFonts w:ascii="Times New Roman" w:hAnsi="Times New Roman" w:cs="Times New Roman"/>
        </w:rPr>
        <w:t>presence</w:t>
      </w:r>
      <w:r w:rsidR="00025379">
        <w:rPr>
          <w:rFonts w:ascii="Times New Roman" w:hAnsi="Times New Roman" w:cs="Times New Roman"/>
        </w:rPr>
        <w:t xml:space="preserve"> of similar observations across waves, which </w:t>
      </w:r>
      <w:r w:rsidR="001F46A0">
        <w:rPr>
          <w:rFonts w:ascii="Times New Roman" w:hAnsi="Times New Roman" w:cs="Times New Roman"/>
        </w:rPr>
        <w:t xml:space="preserve">allows us to account for time-invariant individual characteristics without the need for further controls. In the case of the Fixed Effects, the </w:t>
      </w:r>
      <w:r w:rsidR="00FA3975">
        <w:rPr>
          <w:rFonts w:ascii="Times New Roman" w:hAnsi="Times New Roman" w:cs="Times New Roman"/>
        </w:rPr>
        <w:t xml:space="preserve">individual heterogeneity is included in the intercept and allowed to be correlated with other regressors, while the Random Effects model </w:t>
      </w:r>
      <w:r w:rsidR="006F120A">
        <w:rPr>
          <w:rFonts w:ascii="Times New Roman" w:hAnsi="Times New Roman" w:cs="Times New Roman"/>
        </w:rPr>
        <w:t xml:space="preserve">places the assumption that the individual effect is not correlated with the regressors, </w:t>
      </w:r>
      <w:r w:rsidR="00BB5B2E">
        <w:rPr>
          <w:rFonts w:ascii="Times New Roman" w:hAnsi="Times New Roman" w:cs="Times New Roman"/>
        </w:rPr>
        <w:t>estimating the error variance (</w:t>
      </w:r>
      <w:r w:rsidR="007364A5">
        <w:rPr>
          <w:rFonts w:ascii="Times New Roman" w:hAnsi="Times New Roman" w:cs="Times New Roman"/>
        </w:rPr>
        <w:t>Park, 2011)</w:t>
      </w:r>
      <w:r w:rsidR="005E1A6A">
        <w:rPr>
          <w:rFonts w:ascii="Times New Roman" w:hAnsi="Times New Roman" w:cs="Times New Roman"/>
        </w:rPr>
        <w:t>.</w:t>
      </w:r>
    </w:p>
    <w:p w14:paraId="78115A46" w14:textId="713448B8" w:rsidR="005E1A6A" w:rsidRDefault="005E1A6A" w:rsidP="00056A43">
      <w:pPr>
        <w:spacing w:line="480" w:lineRule="auto"/>
        <w:rPr>
          <w:rFonts w:ascii="Times New Roman" w:hAnsi="Times New Roman" w:cs="Times New Roman"/>
        </w:rPr>
      </w:pPr>
      <w:r>
        <w:rPr>
          <w:rFonts w:ascii="Times New Roman" w:hAnsi="Times New Roman" w:cs="Times New Roman"/>
        </w:rPr>
        <w:t>Fixed Effects:</w:t>
      </w:r>
      <w:r w:rsidR="000F5A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it</m:t>
            </m:r>
          </m:sub>
          <m:sup>
            <m:r>
              <w:rPr>
                <w:rFonts w:ascii="Cambria Math" w:hAnsi="Cambria Math" w:cs="Times New Roman"/>
              </w:rPr>
              <m:t>'</m:t>
            </m:r>
          </m:sup>
        </m:sSubSup>
        <m:r>
          <w:rPr>
            <w:rFonts w:ascii="Cambria Math" w:hAnsi="Cambria Math" w:cs="Times New Roman"/>
          </w:rPr>
          <m:t xml:space="preserve">β+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oMath>
    </w:p>
    <w:p w14:paraId="19A7572F" w14:textId="4AC74C6D" w:rsidR="005E1A6A" w:rsidRDefault="005E1A6A" w:rsidP="00056A43">
      <w:pPr>
        <w:spacing w:line="480" w:lineRule="auto"/>
        <w:rPr>
          <w:rFonts w:ascii="Cambria Math" w:eastAsiaTheme="minorEastAsia" w:hAnsi="Cambria Math" w:cs="Times New Roman"/>
          <w:i/>
        </w:rPr>
      </w:pPr>
      <w:r>
        <w:rPr>
          <w:rFonts w:ascii="Times New Roman" w:hAnsi="Times New Roman" w:cs="Times New Roman"/>
        </w:rPr>
        <w:t>Random Effects:</w:t>
      </w:r>
      <w:r w:rsidR="007F00C9">
        <w:rPr>
          <w:rFonts w:ascii="Times New Roman" w:hAnsi="Times New Roman" w:cs="Times New Roman"/>
        </w:rPr>
        <w:t xml:space="preserve"> </w:t>
      </w:r>
      <w:r w:rsidR="007F00C9" w:rsidRPr="007F00C9">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 xml:space="preserve">= α+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it</m:t>
            </m:r>
          </m:sub>
          <m:sup>
            <m:r>
              <w:rPr>
                <w:rFonts w:ascii="Cambria Math" w:hAnsi="Cambria Math" w:cs="Times New Roman"/>
              </w:rPr>
              <m:t>'</m:t>
            </m:r>
          </m:sup>
        </m:sSubSup>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r>
          <w:rPr>
            <w:rFonts w:ascii="Cambria Math" w:hAnsi="Cambria Math" w:cs="Times New Roman"/>
          </w:rPr>
          <m:t>)</m:t>
        </m:r>
      </m:oMath>
    </w:p>
    <w:p w14:paraId="643F9204" w14:textId="7BB320DE" w:rsidR="004A546A" w:rsidRPr="00397531" w:rsidRDefault="004A546A" w:rsidP="00056A43">
      <w:pPr>
        <w:spacing w:line="480" w:lineRule="auto"/>
        <w:rPr>
          <w:rFonts w:ascii="Cambria Math" w:eastAsiaTheme="minorEastAsia" w:hAnsi="Cambria Math" w:cs="Times New Roman"/>
          <w:i/>
          <w:iCs/>
        </w:rPr>
      </w:pPr>
      <w:r>
        <w:rPr>
          <w:rFonts w:ascii="Cambria Math" w:eastAsiaTheme="minorEastAsia" w:hAnsi="Cambria Math" w:cs="Times New Roman"/>
          <w:iCs/>
        </w:rPr>
        <w:t xml:space="preserve">Both </w:t>
      </w:r>
      <w:r w:rsidR="00E97069">
        <w:rPr>
          <w:rFonts w:ascii="Cambria Math" w:eastAsiaTheme="minorEastAsia" w:hAnsi="Cambria Math" w:cs="Times New Roman"/>
          <w:iCs/>
        </w:rPr>
        <w:t xml:space="preserve">where </w:t>
      </w: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it</m:t>
            </m:r>
          </m:sub>
        </m:sSub>
        <m:r>
          <w:rPr>
            <w:rFonts w:ascii="Cambria Math" w:eastAsiaTheme="minorEastAsia" w:hAnsi="Cambria Math" w:cs="Times New Roman"/>
          </w:rPr>
          <m:t xml:space="preserve">  ~ IID(0, </m:t>
        </m:r>
        <m:sSubSup>
          <m:sSubSupPr>
            <m:ctrlPr>
              <w:rPr>
                <w:rFonts w:ascii="Cambria Math" w:eastAsiaTheme="minorEastAsia" w:hAnsi="Cambria Math" w:cs="Times New Roman"/>
                <w:i/>
                <w:iCs/>
              </w:rPr>
            </m:ctrlPr>
          </m:sSubSupPr>
          <m:e>
            <m:r>
              <w:rPr>
                <w:rFonts w:ascii="Cambria Math" w:eastAsiaTheme="minorEastAsia" w:hAnsi="Cambria Math" w:cs="Times New Roman"/>
              </w:rPr>
              <m:t>σ</m:t>
            </m:r>
          </m:e>
          <m:sub>
            <m:r>
              <w:rPr>
                <w:rFonts w:ascii="Cambria Math" w:eastAsiaTheme="minorEastAsia" w:hAnsi="Cambria Math" w:cs="Times New Roman"/>
              </w:rPr>
              <m:t>v</m:t>
            </m:r>
          </m:sub>
          <m:sup>
            <m:r>
              <w:rPr>
                <w:rFonts w:ascii="Cambria Math" w:eastAsiaTheme="minorEastAsia" w:hAnsi="Cambria Math" w:cs="Times New Roman"/>
              </w:rPr>
              <m:t>2</m:t>
            </m:r>
          </m:sup>
        </m:sSubSup>
        <m:r>
          <w:rPr>
            <w:rFonts w:ascii="Cambria Math" w:eastAsiaTheme="minorEastAsia" w:hAnsi="Cambria Math" w:cs="Times New Roman"/>
          </w:rPr>
          <m:t>)</m:t>
        </m:r>
      </m:oMath>
    </w:p>
    <w:p w14:paraId="7F4231AE" w14:textId="4062F365" w:rsidR="003F7139" w:rsidRPr="003F7139" w:rsidRDefault="00F55350" w:rsidP="00056A43">
      <w:pPr>
        <w:spacing w:line="480" w:lineRule="auto"/>
        <w:ind w:firstLine="720"/>
        <w:rPr>
          <w:rFonts w:ascii="Times New Roman" w:hAnsi="Times New Roman" w:cs="Times New Roman"/>
          <w:iCs/>
        </w:rPr>
      </w:pPr>
      <w:r>
        <w:rPr>
          <w:rFonts w:ascii="Times New Roman" w:hAnsi="Times New Roman" w:cs="Times New Roman"/>
          <w:iCs/>
        </w:rPr>
        <w:t xml:space="preserve">Given that we assume that </w:t>
      </w:r>
      <w:r w:rsidR="00BC027C">
        <w:rPr>
          <w:rFonts w:ascii="Times New Roman" w:hAnsi="Times New Roman" w:cs="Times New Roman"/>
          <w:iCs/>
        </w:rPr>
        <w:t xml:space="preserve">the observations are unique </w:t>
      </w:r>
      <w:r w:rsidR="00D21EC3">
        <w:rPr>
          <w:rFonts w:ascii="Times New Roman" w:hAnsi="Times New Roman" w:cs="Times New Roman"/>
          <w:iCs/>
        </w:rPr>
        <w:t xml:space="preserve">from </w:t>
      </w:r>
      <w:r w:rsidR="00BD4FB6">
        <w:rPr>
          <w:rFonts w:ascii="Times New Roman" w:hAnsi="Times New Roman" w:cs="Times New Roman"/>
          <w:iCs/>
        </w:rPr>
        <w:t>each other,</w:t>
      </w:r>
      <w:r w:rsidR="00D21EC3">
        <w:rPr>
          <w:rFonts w:ascii="Times New Roman" w:hAnsi="Times New Roman" w:cs="Times New Roman"/>
          <w:iCs/>
        </w:rPr>
        <w:t xml:space="preserve"> and we want to draw conclusions from the differences among </w:t>
      </w:r>
      <w:proofErr w:type="gramStart"/>
      <w:r w:rsidR="00D21EC3">
        <w:rPr>
          <w:rFonts w:ascii="Times New Roman" w:hAnsi="Times New Roman" w:cs="Times New Roman"/>
          <w:iCs/>
        </w:rPr>
        <w:t>each individual</w:t>
      </w:r>
      <w:proofErr w:type="gramEnd"/>
      <w:r w:rsidR="00D21EC3">
        <w:rPr>
          <w:rFonts w:ascii="Times New Roman" w:hAnsi="Times New Roman" w:cs="Times New Roman"/>
          <w:iCs/>
        </w:rPr>
        <w:t>, the</w:t>
      </w:r>
      <w:r w:rsidR="00BE20BE">
        <w:rPr>
          <w:rFonts w:ascii="Times New Roman" w:hAnsi="Times New Roman" w:cs="Times New Roman"/>
          <w:iCs/>
        </w:rPr>
        <w:t xml:space="preserve"> Within-</w:t>
      </w:r>
      <w:r w:rsidR="00007F11">
        <w:rPr>
          <w:rFonts w:ascii="Times New Roman" w:hAnsi="Times New Roman" w:cs="Times New Roman"/>
          <w:iCs/>
        </w:rPr>
        <w:t>Effect</w:t>
      </w:r>
      <w:r w:rsidR="00D21EC3">
        <w:rPr>
          <w:rFonts w:ascii="Times New Roman" w:hAnsi="Times New Roman" w:cs="Times New Roman"/>
          <w:iCs/>
        </w:rPr>
        <w:t xml:space="preserve"> Fixed </w:t>
      </w:r>
      <w:r w:rsidR="00737638">
        <w:rPr>
          <w:rFonts w:ascii="Times New Roman" w:hAnsi="Times New Roman" w:cs="Times New Roman"/>
          <w:iCs/>
        </w:rPr>
        <w:t>E</w:t>
      </w:r>
      <w:r w:rsidR="00D21EC3">
        <w:rPr>
          <w:rFonts w:ascii="Times New Roman" w:hAnsi="Times New Roman" w:cs="Times New Roman"/>
          <w:iCs/>
        </w:rPr>
        <w:t>ffects model is more appropriate</w:t>
      </w:r>
      <w:r w:rsidR="009C52E6">
        <w:rPr>
          <w:rFonts w:ascii="Times New Roman" w:hAnsi="Times New Roman" w:cs="Times New Roman"/>
          <w:iCs/>
        </w:rPr>
        <w:t>, especially since we have a limited number of respondents and time periods to analyze</w:t>
      </w:r>
      <w:r w:rsidR="008757B9">
        <w:rPr>
          <w:rFonts w:ascii="Times New Roman" w:hAnsi="Times New Roman" w:cs="Times New Roman"/>
          <w:iCs/>
        </w:rPr>
        <w:t xml:space="preserve"> (</w:t>
      </w:r>
      <w:r w:rsidR="00B100E8">
        <w:rPr>
          <w:rFonts w:ascii="Times New Roman" w:hAnsi="Times New Roman" w:cs="Times New Roman"/>
          <w:iCs/>
        </w:rPr>
        <w:t>Yang &amp; Land, 2008)</w:t>
      </w:r>
      <w:r w:rsidR="00D21EC3">
        <w:rPr>
          <w:rFonts w:ascii="Times New Roman" w:hAnsi="Times New Roman" w:cs="Times New Roman"/>
          <w:iCs/>
        </w:rPr>
        <w:t>.</w:t>
      </w:r>
      <w:r w:rsidR="00BD4FB6">
        <w:rPr>
          <w:rFonts w:ascii="Times New Roman" w:hAnsi="Times New Roman" w:cs="Times New Roman"/>
          <w:iCs/>
        </w:rPr>
        <w:t xml:space="preserve"> Further, the limitation placed on the use of only two years of </w:t>
      </w:r>
      <w:r w:rsidR="0005209F">
        <w:rPr>
          <w:rFonts w:ascii="Times New Roman" w:hAnsi="Times New Roman" w:cs="Times New Roman"/>
          <w:iCs/>
        </w:rPr>
        <w:t xml:space="preserve">data could make it so that using a First </w:t>
      </w:r>
      <w:r w:rsidR="002E520A">
        <w:rPr>
          <w:rFonts w:ascii="Times New Roman" w:hAnsi="Times New Roman" w:cs="Times New Roman"/>
          <w:iCs/>
        </w:rPr>
        <w:t>D</w:t>
      </w:r>
      <w:r w:rsidR="0005209F">
        <w:rPr>
          <w:rFonts w:ascii="Times New Roman" w:hAnsi="Times New Roman" w:cs="Times New Roman"/>
          <w:iCs/>
        </w:rPr>
        <w:t>ifference</w:t>
      </w:r>
      <w:r w:rsidR="002E520A">
        <w:rPr>
          <w:rFonts w:ascii="Times New Roman" w:hAnsi="Times New Roman" w:cs="Times New Roman"/>
          <w:iCs/>
        </w:rPr>
        <w:t xml:space="preserve"> (FD)</w:t>
      </w:r>
      <w:r w:rsidR="0005209F">
        <w:rPr>
          <w:rFonts w:ascii="Times New Roman" w:hAnsi="Times New Roman" w:cs="Times New Roman"/>
          <w:iCs/>
        </w:rPr>
        <w:t xml:space="preserve"> model would be better: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t-1</m:t>
                </m:r>
              </m:sub>
            </m:sSub>
          </m:e>
        </m:d>
        <m:r>
          <w:rPr>
            <w:rFonts w:ascii="Cambria Math" w:hAnsi="Cambria Math" w:cs="Times New Roman"/>
          </w:rPr>
          <m:t>+β</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it-1</m:t>
            </m:r>
          </m:sub>
        </m:sSub>
        <m:r>
          <w:rPr>
            <w:rFonts w:ascii="Cambria Math" w:hAnsi="Cambria Math" w:cs="Times New Roman"/>
          </w:rPr>
          <m:t>)</m:t>
        </m:r>
      </m:oMath>
      <w:r w:rsidR="0005209F">
        <w:rPr>
          <w:rFonts w:ascii="Times New Roman" w:hAnsi="Times New Roman" w:cs="Times New Roman"/>
          <w:iCs/>
        </w:rPr>
        <w:t xml:space="preserve">. </w:t>
      </w:r>
      <w:r w:rsidR="00D21EC3">
        <w:rPr>
          <w:rFonts w:ascii="Times New Roman" w:hAnsi="Times New Roman" w:cs="Times New Roman"/>
          <w:iCs/>
        </w:rPr>
        <w:t>However,</w:t>
      </w:r>
      <w:r w:rsidR="0005209F">
        <w:rPr>
          <w:rFonts w:ascii="Times New Roman" w:hAnsi="Times New Roman" w:cs="Times New Roman"/>
          <w:iCs/>
        </w:rPr>
        <w:t xml:space="preserve"> </w:t>
      </w:r>
      <w:r w:rsidR="002E520A">
        <w:rPr>
          <w:rFonts w:ascii="Times New Roman" w:hAnsi="Times New Roman" w:cs="Times New Roman"/>
          <w:iCs/>
        </w:rPr>
        <w:t xml:space="preserve">FD assumes </w:t>
      </w:r>
      <w:r w:rsidR="00A335C7">
        <w:rPr>
          <w:rFonts w:ascii="Times New Roman" w:hAnsi="Times New Roman" w:cs="Times New Roman"/>
          <w:iCs/>
        </w:rPr>
        <w:t>that the idiosyncratic error term is</w:t>
      </w:r>
      <w:r w:rsidR="00355DB8">
        <w:rPr>
          <w:rFonts w:ascii="Times New Roman" w:hAnsi="Times New Roman" w:cs="Times New Roman"/>
          <w:iCs/>
        </w:rPr>
        <w:t xml:space="preserve"> serially uncorrelated with each </w:t>
      </w:r>
      <w:r w:rsidR="00355DB8">
        <w:rPr>
          <w:rFonts w:ascii="Times New Roman" w:hAnsi="Times New Roman" w:cs="Times New Roman"/>
          <w:iCs/>
        </w:rPr>
        <w:lastRenderedPageBreak/>
        <w:t>period</w:t>
      </w:r>
      <w:r w:rsidR="00044484">
        <w:rPr>
          <w:rFonts w:ascii="Times New Roman" w:hAnsi="Times New Roman" w:cs="Times New Roman"/>
          <w:iCs/>
        </w:rPr>
        <w:t xml:space="preserve">, </w:t>
      </w:r>
      <w:r w:rsidR="0096713A">
        <w:rPr>
          <w:rFonts w:ascii="Times New Roman" w:hAnsi="Times New Roman" w:cs="Times New Roman"/>
          <w:iCs/>
        </w:rPr>
        <w:t>which can be</w:t>
      </w:r>
      <w:r w:rsidR="00D770B4">
        <w:rPr>
          <w:rFonts w:ascii="Times New Roman" w:hAnsi="Times New Roman" w:cs="Times New Roman"/>
          <w:iCs/>
        </w:rPr>
        <w:t xml:space="preserve"> problematic with vulnerable population analysis during the COVID-19 period (</w:t>
      </w:r>
      <w:r w:rsidR="00AC2D01">
        <w:rPr>
          <w:rFonts w:ascii="Times New Roman" w:hAnsi="Times New Roman" w:cs="Times New Roman"/>
          <w:iCs/>
        </w:rPr>
        <w:t xml:space="preserve">Especially seniors; </w:t>
      </w:r>
      <w:r w:rsidR="0047020D">
        <w:rPr>
          <w:rFonts w:ascii="Times New Roman" w:hAnsi="Times New Roman" w:cs="Times New Roman"/>
          <w:iCs/>
        </w:rPr>
        <w:t>Fawcett &amp; Karastoyanova, 2022). As such,</w:t>
      </w:r>
      <w:r w:rsidR="0096713A">
        <w:rPr>
          <w:rFonts w:ascii="Times New Roman" w:hAnsi="Times New Roman" w:cs="Times New Roman"/>
          <w:iCs/>
        </w:rPr>
        <w:t xml:space="preserve"> </w:t>
      </w:r>
      <w:r w:rsidR="008B16BC">
        <w:rPr>
          <w:rFonts w:ascii="Times New Roman" w:hAnsi="Times New Roman" w:cs="Times New Roman"/>
          <w:iCs/>
        </w:rPr>
        <w:t xml:space="preserve">the </w:t>
      </w:r>
      <w:r w:rsidR="00D21EC3">
        <w:rPr>
          <w:rFonts w:ascii="Times New Roman" w:hAnsi="Times New Roman" w:cs="Times New Roman"/>
          <w:iCs/>
        </w:rPr>
        <w:t xml:space="preserve">Hausman test will be performed to </w:t>
      </w:r>
      <w:r w:rsidR="00737638">
        <w:rPr>
          <w:rFonts w:ascii="Times New Roman" w:hAnsi="Times New Roman" w:cs="Times New Roman"/>
          <w:iCs/>
        </w:rPr>
        <w:t>determine if</w:t>
      </w:r>
      <w:r w:rsidR="00355570">
        <w:rPr>
          <w:rFonts w:ascii="Times New Roman" w:hAnsi="Times New Roman" w:cs="Times New Roman"/>
          <w:iCs/>
        </w:rPr>
        <w:t xml:space="preserve"> either</w:t>
      </w:r>
      <w:r w:rsidR="00737638">
        <w:rPr>
          <w:rFonts w:ascii="Times New Roman" w:hAnsi="Times New Roman" w:cs="Times New Roman"/>
          <w:iCs/>
        </w:rPr>
        <w:t xml:space="preserve"> the RE or FE models yield more consistent and unbiased estimates. </w:t>
      </w:r>
    </w:p>
    <w:p w14:paraId="7C62B32D" w14:textId="77777777" w:rsidR="00543AC6" w:rsidRDefault="00543AC6" w:rsidP="00056A43">
      <w:pPr>
        <w:spacing w:line="480" w:lineRule="auto"/>
        <w:rPr>
          <w:rFonts w:ascii="Times New Roman" w:hAnsi="Times New Roman" w:cs="Times New Roman"/>
          <w:i/>
          <w:iCs/>
        </w:rPr>
      </w:pPr>
      <w:r>
        <w:rPr>
          <w:rFonts w:ascii="Times New Roman" w:hAnsi="Times New Roman" w:cs="Times New Roman"/>
          <w:i/>
          <w:iCs/>
        </w:rPr>
        <w:t>Estimation and Causality</w:t>
      </w:r>
    </w:p>
    <w:p w14:paraId="7180BD4E" w14:textId="4B8CE6A4" w:rsidR="00543AC6" w:rsidRPr="00257FE4" w:rsidRDefault="007060EE" w:rsidP="00056A43">
      <w:pPr>
        <w:spacing w:line="480" w:lineRule="auto"/>
        <w:ind w:firstLine="720"/>
        <w:rPr>
          <w:rFonts w:ascii="Times New Roman" w:hAnsi="Times New Roman" w:cs="Times New Roman"/>
        </w:rPr>
      </w:pPr>
      <w:r>
        <w:rPr>
          <w:rFonts w:ascii="Times New Roman" w:hAnsi="Times New Roman" w:cs="Times New Roman"/>
        </w:rPr>
        <w:t>Considering</w:t>
      </w:r>
      <w:r w:rsidR="0047020D">
        <w:rPr>
          <w:rFonts w:ascii="Times New Roman" w:hAnsi="Times New Roman" w:cs="Times New Roman"/>
        </w:rPr>
        <w:t xml:space="preserve"> the use of the </w:t>
      </w:r>
      <w:r w:rsidR="00F94751">
        <w:rPr>
          <w:rFonts w:ascii="Times New Roman" w:hAnsi="Times New Roman" w:cs="Times New Roman"/>
        </w:rPr>
        <w:t xml:space="preserve">Ordered Logit model in a Fixed Effects contest, the problem of estimation arises due to the </w:t>
      </w:r>
      <w:r w:rsidR="00B869A6">
        <w:rPr>
          <w:rFonts w:ascii="Times New Roman" w:hAnsi="Times New Roman" w:cs="Times New Roman"/>
        </w:rPr>
        <w:t>larger standard errors and the absence of time-constant predictor</w:t>
      </w:r>
      <w:r w:rsidR="00656564">
        <w:rPr>
          <w:rFonts w:ascii="Times New Roman" w:hAnsi="Times New Roman" w:cs="Times New Roman"/>
        </w:rPr>
        <w:t xml:space="preserve"> estimates (</w:t>
      </w:r>
      <w:r w:rsidR="00656564" w:rsidRPr="00656564">
        <w:rPr>
          <w:rFonts w:ascii="Times New Roman" w:hAnsi="Times New Roman" w:cs="Times New Roman"/>
        </w:rPr>
        <w:t>Vaisey &amp; Miles</w:t>
      </w:r>
      <w:r w:rsidR="00656564">
        <w:rPr>
          <w:rFonts w:ascii="Times New Roman" w:hAnsi="Times New Roman" w:cs="Times New Roman"/>
        </w:rPr>
        <w:t>, 2017)</w:t>
      </w:r>
      <w:r w:rsidR="00944CDD">
        <w:rPr>
          <w:rFonts w:ascii="Times New Roman" w:hAnsi="Times New Roman" w:cs="Times New Roman"/>
        </w:rPr>
        <w:t xml:space="preserve">. Still, we trade this </w:t>
      </w:r>
      <w:r w:rsidR="000464B3">
        <w:rPr>
          <w:rFonts w:ascii="Times New Roman" w:hAnsi="Times New Roman" w:cs="Times New Roman"/>
        </w:rPr>
        <w:t xml:space="preserve">for the possibility of countering </w:t>
      </w:r>
      <w:r w:rsidR="00EF1602">
        <w:rPr>
          <w:rFonts w:ascii="Times New Roman" w:hAnsi="Times New Roman" w:cs="Times New Roman"/>
        </w:rPr>
        <w:t>selection effects from the time-constant fixed effect (</w:t>
      </w:r>
      <w:r w:rsidR="00EF1602" w:rsidRPr="00980AB8">
        <w:rPr>
          <w:rFonts w:ascii="Times New Roman" w:hAnsi="Times New Roman" w:cs="Times New Roman"/>
          <w:i/>
          <w:iCs/>
        </w:rPr>
        <w:t>u</w:t>
      </w:r>
      <w:r w:rsidR="00EF1602">
        <w:rPr>
          <w:rFonts w:ascii="Times New Roman" w:hAnsi="Times New Roman" w:cs="Times New Roman"/>
        </w:rPr>
        <w:t>)</w:t>
      </w:r>
      <w:r w:rsidR="00980AB8">
        <w:rPr>
          <w:rFonts w:ascii="Times New Roman" w:hAnsi="Times New Roman" w:cs="Times New Roman"/>
        </w:rPr>
        <w:t xml:space="preserve"> on the independent treatment variable (</w:t>
      </w:r>
      <w:r w:rsidR="00980AB8" w:rsidRPr="00980AB8">
        <w:rPr>
          <w:rFonts w:ascii="Times New Roman" w:hAnsi="Times New Roman" w:cs="Times New Roman"/>
          <w:i/>
          <w:iCs/>
        </w:rPr>
        <w:t>x</w:t>
      </w:r>
      <w:r w:rsidR="00980AB8">
        <w:rPr>
          <w:rFonts w:ascii="Times New Roman" w:hAnsi="Times New Roman" w:cs="Times New Roman"/>
        </w:rPr>
        <w:t>)</w:t>
      </w:r>
      <w:r w:rsidR="005614D4">
        <w:rPr>
          <w:rFonts w:ascii="Times New Roman" w:hAnsi="Times New Roman" w:cs="Times New Roman"/>
        </w:rPr>
        <w:t xml:space="preserve">, </w:t>
      </w:r>
      <w:proofErr w:type="gramStart"/>
      <w:r w:rsidR="005614D4">
        <w:rPr>
          <w:rFonts w:ascii="Times New Roman" w:hAnsi="Times New Roman" w:cs="Times New Roman"/>
        </w:rPr>
        <w:t>assuming that</w:t>
      </w:r>
      <w:proofErr w:type="gramEnd"/>
      <w:r w:rsidR="005614D4">
        <w:rPr>
          <w:rFonts w:ascii="Times New Roman" w:hAnsi="Times New Roman" w:cs="Times New Roman"/>
        </w:rPr>
        <w:t xml:space="preserve"> all cases within the model have a similar </w:t>
      </w:r>
      <w:r w:rsidR="00257FE4">
        <w:rPr>
          <w:rFonts w:ascii="Times New Roman" w:hAnsi="Times New Roman" w:cs="Times New Roman"/>
        </w:rPr>
        <w:t>trajectory of change for the dependent variable (</w:t>
      </w:r>
      <w:r w:rsidR="00257FE4">
        <w:rPr>
          <w:rFonts w:ascii="Times New Roman" w:hAnsi="Times New Roman" w:cs="Times New Roman"/>
          <w:i/>
          <w:iCs/>
        </w:rPr>
        <w:t>y</w:t>
      </w:r>
      <w:r w:rsidR="00257FE4">
        <w:rPr>
          <w:rFonts w:ascii="Times New Roman" w:hAnsi="Times New Roman" w:cs="Times New Roman"/>
        </w:rPr>
        <w:t xml:space="preserve">). </w:t>
      </w:r>
      <w:r w:rsidR="0015611B">
        <w:rPr>
          <w:rFonts w:ascii="Times New Roman" w:hAnsi="Times New Roman" w:cs="Times New Roman"/>
        </w:rPr>
        <w:t xml:space="preserve">Unfortunately, it also </w:t>
      </w:r>
      <w:r w:rsidR="001A1D12">
        <w:rPr>
          <w:rFonts w:ascii="Times New Roman" w:hAnsi="Times New Roman" w:cs="Times New Roman"/>
        </w:rPr>
        <w:t>makes causal inference difficult to determine, unless a lagged model</w:t>
      </w:r>
      <w:r w:rsidR="00306A7C">
        <w:rPr>
          <w:rFonts w:ascii="Times New Roman" w:hAnsi="Times New Roman" w:cs="Times New Roman"/>
        </w:rPr>
        <w:t xml:space="preserve"> is implemented;</w:t>
      </w:r>
      <w:r w:rsidR="00DE10E6">
        <w:rPr>
          <w:rFonts w:ascii="Times New Roman" w:hAnsi="Times New Roman" w:cs="Times New Roman"/>
        </w:rPr>
        <w:t xml:space="preserve"> th</w:t>
      </w:r>
      <w:r w:rsidR="0063576B">
        <w:rPr>
          <w:rFonts w:ascii="Times New Roman" w:hAnsi="Times New Roman" w:cs="Times New Roman"/>
        </w:rPr>
        <w:t>e latter</w:t>
      </w:r>
      <w:r w:rsidR="001A1D12">
        <w:rPr>
          <w:rFonts w:ascii="Times New Roman" w:hAnsi="Times New Roman" w:cs="Times New Roman"/>
        </w:rPr>
        <w:t xml:space="preserve"> </w:t>
      </w:r>
      <w:r w:rsidR="00F948D6">
        <w:rPr>
          <w:rFonts w:ascii="Times New Roman" w:hAnsi="Times New Roman" w:cs="Times New Roman"/>
        </w:rPr>
        <w:t xml:space="preserve">might </w:t>
      </w:r>
      <w:r w:rsidR="00306A7C">
        <w:rPr>
          <w:rFonts w:ascii="Times New Roman" w:hAnsi="Times New Roman" w:cs="Times New Roman"/>
        </w:rPr>
        <w:t>skew our estimates if the lag does not match</w:t>
      </w:r>
      <w:r w:rsidR="00CD5479">
        <w:rPr>
          <w:rFonts w:ascii="Times New Roman" w:hAnsi="Times New Roman" w:cs="Times New Roman"/>
        </w:rPr>
        <w:t xml:space="preserve"> the</w:t>
      </w:r>
      <w:r w:rsidR="00306A7C">
        <w:rPr>
          <w:rFonts w:ascii="Times New Roman" w:hAnsi="Times New Roman" w:cs="Times New Roman"/>
        </w:rPr>
        <w:t xml:space="preserve"> </w:t>
      </w:r>
      <w:r w:rsidR="008179CE">
        <w:rPr>
          <w:rFonts w:ascii="Times New Roman" w:hAnsi="Times New Roman" w:cs="Times New Roman"/>
        </w:rPr>
        <w:t>real-world</w:t>
      </w:r>
      <w:r w:rsidR="00306A7C">
        <w:rPr>
          <w:rFonts w:ascii="Times New Roman" w:hAnsi="Times New Roman" w:cs="Times New Roman"/>
        </w:rPr>
        <w:t xml:space="preserve"> causal lag.</w:t>
      </w:r>
      <w:r w:rsidR="00593DED">
        <w:rPr>
          <w:rFonts w:ascii="Times New Roman" w:hAnsi="Times New Roman" w:cs="Times New Roman"/>
        </w:rPr>
        <w:t xml:space="preserve"> </w:t>
      </w:r>
    </w:p>
    <w:p w14:paraId="5BDF3FE5" w14:textId="4CC993CC" w:rsidR="00543AC6" w:rsidRPr="00CD68AB" w:rsidRDefault="004E7442" w:rsidP="00056A43">
      <w:pPr>
        <w:spacing w:line="480" w:lineRule="auto"/>
        <w:ind w:firstLine="720"/>
        <w:rPr>
          <w:rFonts w:ascii="Times New Roman" w:hAnsi="Times New Roman" w:cs="Times New Roman"/>
          <w:i/>
          <w:iCs/>
        </w:rPr>
      </w:pPr>
      <w:r>
        <w:rPr>
          <w:rFonts w:ascii="Times New Roman" w:hAnsi="Times New Roman" w:cs="Times New Roman"/>
        </w:rPr>
        <w:t>While still maintaining</w:t>
      </w:r>
      <w:r w:rsidR="000862FA">
        <w:rPr>
          <w:rFonts w:ascii="Times New Roman" w:hAnsi="Times New Roman" w:cs="Times New Roman"/>
        </w:rPr>
        <w:t xml:space="preserve"> unique categorization, and</w:t>
      </w:r>
      <w:r w:rsidR="00317A22">
        <w:rPr>
          <w:rFonts w:ascii="Times New Roman" w:hAnsi="Times New Roman" w:cs="Times New Roman"/>
        </w:rPr>
        <w:t xml:space="preserve"> the difference between extremes and middle values, estimation of the Ordered Logit model can be performed through a variety of methods</w:t>
      </w:r>
      <w:r w:rsidR="00001491">
        <w:rPr>
          <w:rFonts w:ascii="Times New Roman" w:hAnsi="Times New Roman" w:cs="Times New Roman"/>
        </w:rPr>
        <w:t xml:space="preserve"> that </w:t>
      </w:r>
      <w:r w:rsidR="00A97C70">
        <w:rPr>
          <w:rFonts w:ascii="Times New Roman" w:hAnsi="Times New Roman" w:cs="Times New Roman"/>
        </w:rPr>
        <w:t>employ</w:t>
      </w:r>
      <w:r w:rsidR="00001491">
        <w:rPr>
          <w:rFonts w:ascii="Times New Roman" w:hAnsi="Times New Roman" w:cs="Times New Roman"/>
        </w:rPr>
        <w:t xml:space="preserve"> the </w:t>
      </w:r>
      <w:r w:rsidR="00D25A79">
        <w:rPr>
          <w:rFonts w:ascii="Times New Roman" w:hAnsi="Times New Roman" w:cs="Times New Roman"/>
        </w:rPr>
        <w:t xml:space="preserve">reduction of the model to a binary </w:t>
      </w:r>
      <w:r w:rsidR="00A97C70">
        <w:rPr>
          <w:rFonts w:ascii="Times New Roman" w:hAnsi="Times New Roman" w:cs="Times New Roman"/>
        </w:rPr>
        <w:t>estimation</w:t>
      </w:r>
      <w:r w:rsidR="00E32B6A">
        <w:rPr>
          <w:rFonts w:ascii="Times New Roman" w:hAnsi="Times New Roman" w:cs="Times New Roman"/>
        </w:rPr>
        <w:t xml:space="preserve"> without loss of information</w:t>
      </w:r>
      <w:r w:rsidR="00A97C70">
        <w:rPr>
          <w:rFonts w:ascii="Times New Roman" w:hAnsi="Times New Roman" w:cs="Times New Roman"/>
        </w:rPr>
        <w:t xml:space="preserve">: </w:t>
      </w:r>
      <w:r w:rsidR="006B106C">
        <w:rPr>
          <w:rFonts w:ascii="Times New Roman" w:hAnsi="Times New Roman" w:cs="Times New Roman"/>
        </w:rPr>
        <w:t xml:space="preserve">Chamberlain’s CML </w:t>
      </w:r>
      <w:r w:rsidR="00A97C70">
        <w:rPr>
          <w:rFonts w:ascii="Times New Roman" w:hAnsi="Times New Roman" w:cs="Times New Roman"/>
        </w:rPr>
        <w:t>estimator,</w:t>
      </w:r>
      <w:r w:rsidR="00A71C5E">
        <w:rPr>
          <w:rFonts w:ascii="Times New Roman" w:hAnsi="Times New Roman" w:cs="Times New Roman"/>
        </w:rPr>
        <w:t xml:space="preserve"> Das and van Soest</w:t>
      </w:r>
      <w:r w:rsidR="006C6C45">
        <w:rPr>
          <w:rFonts w:ascii="Times New Roman" w:hAnsi="Times New Roman" w:cs="Times New Roman"/>
        </w:rPr>
        <w:t xml:space="preserve">’s estimator, the </w:t>
      </w:r>
      <w:r w:rsidR="006C6C45" w:rsidRPr="006C6C45">
        <w:rPr>
          <w:rFonts w:ascii="Times New Roman" w:hAnsi="Times New Roman" w:cs="Times New Roman"/>
        </w:rPr>
        <w:t>Ferrer-i-Carbonell and Frijters</w:t>
      </w:r>
      <w:r w:rsidR="006C6C45">
        <w:rPr>
          <w:rFonts w:ascii="Times New Roman" w:hAnsi="Times New Roman" w:cs="Times New Roman"/>
        </w:rPr>
        <w:t xml:space="preserve"> estimator, and</w:t>
      </w:r>
      <w:r w:rsidR="00A97C70">
        <w:rPr>
          <w:rFonts w:ascii="Times New Roman" w:hAnsi="Times New Roman" w:cs="Times New Roman"/>
        </w:rPr>
        <w:t xml:space="preserve"> </w:t>
      </w:r>
      <w:r w:rsidR="00BC5D9B">
        <w:rPr>
          <w:rFonts w:ascii="Times New Roman" w:hAnsi="Times New Roman" w:cs="Times New Roman"/>
        </w:rPr>
        <w:t>The “Blow Up and Cluster” (BUC</w:t>
      </w:r>
      <w:r w:rsidR="006C6C45">
        <w:rPr>
          <w:rFonts w:ascii="Times New Roman" w:hAnsi="Times New Roman" w:cs="Times New Roman"/>
        </w:rPr>
        <w:t xml:space="preserve">; </w:t>
      </w:r>
      <w:r w:rsidR="006353FD" w:rsidRPr="006353FD">
        <w:rPr>
          <w:rFonts w:ascii="Times New Roman" w:hAnsi="Times New Roman" w:cs="Times New Roman"/>
        </w:rPr>
        <w:t>Baetschmann, G., Staub, K. E., &amp; Winkelmann,</w:t>
      </w:r>
      <w:r w:rsidR="006353FD">
        <w:rPr>
          <w:rFonts w:ascii="Times New Roman" w:hAnsi="Times New Roman" w:cs="Times New Roman"/>
        </w:rPr>
        <w:t xml:space="preserve"> 2015). The latter </w:t>
      </w:r>
      <w:r w:rsidR="009866B6">
        <w:rPr>
          <w:rFonts w:ascii="Times New Roman" w:hAnsi="Times New Roman" w:cs="Times New Roman"/>
        </w:rPr>
        <w:t xml:space="preserve">seems to be more efficient </w:t>
      </w:r>
      <w:r w:rsidR="00EA1468">
        <w:rPr>
          <w:rFonts w:ascii="Times New Roman" w:hAnsi="Times New Roman" w:cs="Times New Roman"/>
        </w:rPr>
        <w:t>in smaller sample contexts (</w:t>
      </w:r>
      <w:r w:rsidR="00137091" w:rsidRPr="00137091">
        <w:rPr>
          <w:rFonts w:ascii="Times New Roman" w:hAnsi="Times New Roman" w:cs="Times New Roman"/>
        </w:rPr>
        <w:t>Riedl &amp; Geishecker</w:t>
      </w:r>
      <w:r w:rsidR="00137091">
        <w:rPr>
          <w:rFonts w:ascii="Times New Roman" w:hAnsi="Times New Roman" w:cs="Times New Roman"/>
        </w:rPr>
        <w:t>, 2014)</w:t>
      </w:r>
      <w:r w:rsidR="00F50E53">
        <w:rPr>
          <w:rFonts w:ascii="Times New Roman" w:hAnsi="Times New Roman" w:cs="Times New Roman"/>
        </w:rPr>
        <w:t>, and a community contrib</w:t>
      </w:r>
      <w:r w:rsidR="00CD68AB">
        <w:rPr>
          <w:rFonts w:ascii="Times New Roman" w:hAnsi="Times New Roman" w:cs="Times New Roman"/>
        </w:rPr>
        <w:t xml:space="preserve">ution </w:t>
      </w:r>
      <w:r w:rsidR="000D4AC3">
        <w:rPr>
          <w:rFonts w:ascii="Times New Roman" w:hAnsi="Times New Roman" w:cs="Times New Roman"/>
        </w:rPr>
        <w:t>STATA</w:t>
      </w:r>
      <w:r w:rsidR="00CD68AB">
        <w:rPr>
          <w:rFonts w:ascii="Times New Roman" w:hAnsi="Times New Roman" w:cs="Times New Roman"/>
        </w:rPr>
        <w:t xml:space="preserve"> command package described by </w:t>
      </w:r>
      <w:r w:rsidR="00C734F9" w:rsidRPr="00D72347">
        <w:rPr>
          <w:rFonts w:ascii="Times New Roman" w:hAnsi="Times New Roman" w:cs="Times New Roman"/>
        </w:rPr>
        <w:t>Baetschmann,</w:t>
      </w:r>
      <w:r w:rsidR="00C734F9">
        <w:rPr>
          <w:rFonts w:ascii="Times New Roman" w:hAnsi="Times New Roman" w:cs="Times New Roman"/>
        </w:rPr>
        <w:t xml:space="preserve"> </w:t>
      </w:r>
      <w:r w:rsidR="00C734F9" w:rsidRPr="00D72347">
        <w:rPr>
          <w:rFonts w:ascii="Times New Roman" w:hAnsi="Times New Roman" w:cs="Times New Roman"/>
        </w:rPr>
        <w:t>Ballantyne</w:t>
      </w:r>
      <w:r w:rsidR="00C734F9">
        <w:rPr>
          <w:rFonts w:ascii="Times New Roman" w:hAnsi="Times New Roman" w:cs="Times New Roman"/>
        </w:rPr>
        <w:t xml:space="preserve">, </w:t>
      </w:r>
      <w:r w:rsidR="00C734F9" w:rsidRPr="00D72347">
        <w:rPr>
          <w:rFonts w:ascii="Times New Roman" w:hAnsi="Times New Roman" w:cs="Times New Roman"/>
        </w:rPr>
        <w:t>Staub</w:t>
      </w:r>
      <w:r w:rsidR="00C734F9">
        <w:rPr>
          <w:rFonts w:ascii="Times New Roman" w:hAnsi="Times New Roman" w:cs="Times New Roman"/>
        </w:rPr>
        <w:t xml:space="preserve"> and</w:t>
      </w:r>
      <w:r w:rsidR="00C734F9" w:rsidRPr="00D72347">
        <w:rPr>
          <w:rFonts w:ascii="Times New Roman" w:hAnsi="Times New Roman" w:cs="Times New Roman"/>
        </w:rPr>
        <w:t xml:space="preserve"> Winkelman</w:t>
      </w:r>
      <w:r w:rsidR="00632149">
        <w:rPr>
          <w:rFonts w:ascii="Times New Roman" w:hAnsi="Times New Roman" w:cs="Times New Roman"/>
        </w:rPr>
        <w:t xml:space="preserve"> (2020)</w:t>
      </w:r>
      <w:r w:rsidR="007C79B5">
        <w:rPr>
          <w:rFonts w:ascii="Times New Roman" w:hAnsi="Times New Roman" w:cs="Times New Roman"/>
        </w:rPr>
        <w:t xml:space="preserve"> – </w:t>
      </w:r>
      <w:r w:rsidR="007C79B5" w:rsidRPr="007C79B5">
        <w:rPr>
          <w:rFonts w:ascii="Times New Roman" w:hAnsi="Times New Roman" w:cs="Times New Roman"/>
          <w:i/>
          <w:iCs/>
        </w:rPr>
        <w:t>feologit</w:t>
      </w:r>
      <w:r w:rsidR="007C79B5">
        <w:rPr>
          <w:rFonts w:ascii="Times New Roman" w:hAnsi="Times New Roman" w:cs="Times New Roman"/>
          <w:i/>
          <w:iCs/>
        </w:rPr>
        <w:t xml:space="preserve"> – </w:t>
      </w:r>
      <w:r w:rsidR="00CA460A">
        <w:rPr>
          <w:rFonts w:ascii="Times New Roman" w:hAnsi="Times New Roman" w:cs="Times New Roman"/>
        </w:rPr>
        <w:t>allows for</w:t>
      </w:r>
      <w:r w:rsidR="004E4430">
        <w:rPr>
          <w:rFonts w:ascii="Times New Roman" w:hAnsi="Times New Roman" w:cs="Times New Roman"/>
        </w:rPr>
        <w:t xml:space="preserve"> its</w:t>
      </w:r>
      <w:r w:rsidR="00CA460A">
        <w:rPr>
          <w:rFonts w:ascii="Times New Roman" w:hAnsi="Times New Roman" w:cs="Times New Roman"/>
        </w:rPr>
        <w:t xml:space="preserve"> easy use within the</w:t>
      </w:r>
      <w:r w:rsidR="004E4430">
        <w:rPr>
          <w:rFonts w:ascii="Times New Roman" w:hAnsi="Times New Roman" w:cs="Times New Roman"/>
        </w:rPr>
        <w:t xml:space="preserve"> statistical</w:t>
      </w:r>
      <w:r w:rsidR="00CA460A">
        <w:rPr>
          <w:rFonts w:ascii="Times New Roman" w:hAnsi="Times New Roman" w:cs="Times New Roman"/>
        </w:rPr>
        <w:t xml:space="preserve"> program, with the option of </w:t>
      </w:r>
      <w:r w:rsidR="0024354E">
        <w:rPr>
          <w:rFonts w:ascii="Times New Roman" w:hAnsi="Times New Roman" w:cs="Times New Roman"/>
        </w:rPr>
        <w:t>a</w:t>
      </w:r>
      <w:r w:rsidR="00CA460A">
        <w:rPr>
          <w:rFonts w:ascii="Times New Roman" w:hAnsi="Times New Roman" w:cs="Times New Roman"/>
        </w:rPr>
        <w:t xml:space="preserve"> hybrid BUC-τ </w:t>
      </w:r>
      <w:r w:rsidR="00F97E56">
        <w:rPr>
          <w:rFonts w:ascii="Times New Roman" w:hAnsi="Times New Roman" w:cs="Times New Roman"/>
        </w:rPr>
        <w:t>if we assume constant thresholds a</w:t>
      </w:r>
      <w:r w:rsidR="00632149">
        <w:rPr>
          <w:rFonts w:ascii="Times New Roman" w:hAnsi="Times New Roman" w:cs="Times New Roman"/>
        </w:rPr>
        <w:t>cross individuals</w:t>
      </w:r>
      <w:r w:rsidR="007C79B5">
        <w:rPr>
          <w:rFonts w:ascii="Times New Roman" w:hAnsi="Times New Roman" w:cs="Times New Roman"/>
        </w:rPr>
        <w:t xml:space="preserve">. </w:t>
      </w:r>
    </w:p>
    <w:p w14:paraId="07E68A8D" w14:textId="1F9C7637" w:rsidR="00EB1887" w:rsidRDefault="00EB1887" w:rsidP="00056A43">
      <w:pPr>
        <w:spacing w:line="480" w:lineRule="auto"/>
        <w:rPr>
          <w:rFonts w:ascii="Times New Roman" w:hAnsi="Times New Roman" w:cs="Times New Roman"/>
        </w:rPr>
      </w:pPr>
      <w:r>
        <w:rPr>
          <w:rFonts w:ascii="Times New Roman" w:hAnsi="Times New Roman" w:cs="Times New Roman"/>
          <w:b/>
          <w:bCs/>
        </w:rPr>
        <w:t>Dependent Variables</w:t>
      </w:r>
    </w:p>
    <w:p w14:paraId="506FE675" w14:textId="4242F1A7" w:rsidR="00EB1887" w:rsidRDefault="00682522" w:rsidP="00056A43">
      <w:pPr>
        <w:spacing w:line="480" w:lineRule="auto"/>
        <w:ind w:firstLine="720"/>
        <w:rPr>
          <w:rFonts w:ascii="Times New Roman" w:hAnsi="Times New Roman" w:cs="Times New Roman"/>
        </w:rPr>
      </w:pPr>
      <w:r>
        <w:rPr>
          <w:rFonts w:ascii="Times New Roman" w:hAnsi="Times New Roman" w:cs="Times New Roman"/>
        </w:rPr>
        <w:t xml:space="preserve">All dependent variables were included in both the 2018 and 2020 waves, assuring some level of stability across respondents. Three categories of variables were selected to address the three aspects of our research questions: Health, Happiness, and Social Cohesion. Each variable, including the independent </w:t>
      </w:r>
      <w:r>
        <w:rPr>
          <w:rFonts w:ascii="Times New Roman" w:hAnsi="Times New Roman" w:cs="Times New Roman"/>
        </w:rPr>
        <w:lastRenderedPageBreak/>
        <w:t>variables, were coded as _1b to indicate data collected in 2018, and _2 to indicate data collected in 2020; for the purpose of clarity, the suffixes will be omitted in the variable description.</w:t>
      </w:r>
    </w:p>
    <w:p w14:paraId="5983CD2B" w14:textId="67442EB3" w:rsidR="00EB1887" w:rsidRDefault="00EB1887" w:rsidP="00056A43">
      <w:pPr>
        <w:spacing w:line="480" w:lineRule="auto"/>
        <w:rPr>
          <w:rFonts w:ascii="Times New Roman" w:hAnsi="Times New Roman" w:cs="Times New Roman"/>
          <w:i/>
          <w:iCs/>
        </w:rPr>
      </w:pPr>
      <w:r>
        <w:rPr>
          <w:rFonts w:ascii="Times New Roman" w:hAnsi="Times New Roman" w:cs="Times New Roman"/>
          <w:i/>
          <w:iCs/>
        </w:rPr>
        <w:t>Health</w:t>
      </w:r>
    </w:p>
    <w:p w14:paraId="3DC07779" w14:textId="23821F35" w:rsidR="00EB1887" w:rsidRPr="00F06A56" w:rsidRDefault="00682522" w:rsidP="00056A43">
      <w:pPr>
        <w:spacing w:line="480" w:lineRule="auto"/>
        <w:ind w:firstLine="720"/>
        <w:rPr>
          <w:rFonts w:ascii="Times New Roman" w:hAnsi="Times New Roman" w:cs="Times New Roman"/>
        </w:rPr>
      </w:pPr>
      <w:r>
        <w:rPr>
          <w:rFonts w:ascii="Times New Roman" w:hAnsi="Times New Roman" w:cs="Times New Roman"/>
        </w:rPr>
        <w:t xml:space="preserve">Self-Perceived </w:t>
      </w:r>
      <w:r w:rsidRPr="00095586">
        <w:rPr>
          <w:rFonts w:ascii="Times New Roman" w:hAnsi="Times New Roman" w:cs="Times New Roman"/>
          <w:i/>
          <w:iCs/>
        </w:rPr>
        <w:t>health</w:t>
      </w:r>
      <w:r>
        <w:rPr>
          <w:rFonts w:ascii="Times New Roman" w:hAnsi="Times New Roman" w:cs="Times New Roman"/>
        </w:rPr>
        <w:t xml:space="preserve"> was measured through a 4-point scale answering the following: “</w:t>
      </w:r>
      <w:r w:rsidRPr="00682522">
        <w:rPr>
          <w:rFonts w:ascii="Times New Roman" w:hAnsi="Times New Roman" w:cs="Times New Roman"/>
        </w:rPr>
        <w:t>Would you say your own health, in general, is excellent, good, fair, or poor</w:t>
      </w:r>
      <w:r>
        <w:rPr>
          <w:rFonts w:ascii="Times New Roman" w:hAnsi="Times New Roman" w:cs="Times New Roman"/>
        </w:rPr>
        <w:t xml:space="preserve">?” The scale </w:t>
      </w:r>
      <w:r w:rsidR="00B672CB">
        <w:rPr>
          <w:rFonts w:ascii="Times New Roman" w:hAnsi="Times New Roman" w:cs="Times New Roman"/>
        </w:rPr>
        <w:t>adopted</w:t>
      </w:r>
      <w:r>
        <w:rPr>
          <w:rFonts w:ascii="Times New Roman" w:hAnsi="Times New Roman" w:cs="Times New Roman"/>
        </w:rPr>
        <w:t xml:space="preserve"> the Excellent, Good, Fair, Poor distinction, but the</w:t>
      </w:r>
      <w:r w:rsidR="00543AC6">
        <w:rPr>
          <w:rFonts w:ascii="Times New Roman" w:hAnsi="Times New Roman" w:cs="Times New Roman"/>
        </w:rPr>
        <w:t xml:space="preserve"> “Poor” category w</w:t>
      </w:r>
      <w:r w:rsidR="008E20D2">
        <w:rPr>
          <w:rFonts w:ascii="Times New Roman" w:hAnsi="Times New Roman" w:cs="Times New Roman"/>
        </w:rPr>
        <w:t>ill be</w:t>
      </w:r>
      <w:r w:rsidR="00543AC6">
        <w:rPr>
          <w:rFonts w:ascii="Times New Roman" w:hAnsi="Times New Roman" w:cs="Times New Roman"/>
        </w:rPr>
        <w:t xml:space="preserve"> collapsed into the “Fair” category due to the limited number of observations.</w:t>
      </w:r>
      <w:r w:rsidR="0014202A">
        <w:rPr>
          <w:rFonts w:ascii="Times New Roman" w:hAnsi="Times New Roman" w:cs="Times New Roman"/>
        </w:rPr>
        <w:t xml:space="preserve"> A Shapiro-Wilk test on the </w:t>
      </w:r>
      <w:r w:rsidR="00B33BB8">
        <w:rPr>
          <w:rFonts w:ascii="Times New Roman" w:hAnsi="Times New Roman" w:cs="Times New Roman"/>
        </w:rPr>
        <w:t>non-collapsed variable</w:t>
      </w:r>
      <w:r w:rsidR="00382619">
        <w:rPr>
          <w:rFonts w:ascii="Times New Roman" w:hAnsi="Times New Roman" w:cs="Times New Roman"/>
        </w:rPr>
        <w:t>s</w:t>
      </w:r>
      <w:r w:rsidR="00B33BB8">
        <w:rPr>
          <w:rFonts w:ascii="Times New Roman" w:hAnsi="Times New Roman" w:cs="Times New Roman"/>
        </w:rPr>
        <w:t xml:space="preserve"> revealed that </w:t>
      </w:r>
      <w:r w:rsidR="006D3229">
        <w:rPr>
          <w:rFonts w:ascii="Times New Roman" w:hAnsi="Times New Roman" w:cs="Times New Roman"/>
        </w:rPr>
        <w:t xml:space="preserve">the distribution was indeed marginally </w:t>
      </w:r>
      <w:r w:rsidR="00F92B67">
        <w:rPr>
          <w:rFonts w:ascii="Times New Roman" w:hAnsi="Times New Roman" w:cs="Times New Roman"/>
        </w:rPr>
        <w:t xml:space="preserve">non-normal (z = </w:t>
      </w:r>
      <w:r w:rsidR="00F92B67" w:rsidRPr="00F92B67">
        <w:rPr>
          <w:rFonts w:ascii="Times New Roman" w:hAnsi="Times New Roman" w:cs="Times New Roman"/>
        </w:rPr>
        <w:t>1.580</w:t>
      </w:r>
      <w:r w:rsidR="00F92B67">
        <w:rPr>
          <w:rFonts w:ascii="Times New Roman" w:hAnsi="Times New Roman" w:cs="Times New Roman"/>
        </w:rPr>
        <w:t xml:space="preserve">, p = </w:t>
      </w:r>
      <w:r w:rsidR="00F92B67" w:rsidRPr="00F92B67">
        <w:rPr>
          <w:rFonts w:ascii="Times New Roman" w:hAnsi="Times New Roman" w:cs="Times New Roman"/>
        </w:rPr>
        <w:t>0.05701</w:t>
      </w:r>
      <w:r w:rsidR="00F92B67">
        <w:rPr>
          <w:rFonts w:ascii="Times New Roman" w:hAnsi="Times New Roman" w:cs="Times New Roman"/>
        </w:rPr>
        <w:t>)</w:t>
      </w:r>
      <w:r w:rsidR="00C105D1">
        <w:rPr>
          <w:rFonts w:ascii="Times New Roman" w:hAnsi="Times New Roman" w:cs="Times New Roman"/>
        </w:rPr>
        <w:t>, although</w:t>
      </w:r>
      <w:r w:rsidR="00F73603">
        <w:rPr>
          <w:rFonts w:ascii="Times New Roman" w:hAnsi="Times New Roman" w:cs="Times New Roman"/>
        </w:rPr>
        <w:t xml:space="preserve"> the 2018 wave showed the opposite (z = 2.123, p = </w:t>
      </w:r>
      <w:r w:rsidR="0093010D">
        <w:rPr>
          <w:rFonts w:ascii="Times New Roman" w:hAnsi="Times New Roman" w:cs="Times New Roman"/>
        </w:rPr>
        <w:t>0.01690)</w:t>
      </w:r>
      <w:r w:rsidR="009F056A">
        <w:rPr>
          <w:rFonts w:ascii="Times New Roman" w:hAnsi="Times New Roman" w:cs="Times New Roman"/>
        </w:rPr>
        <w:t>.</w:t>
      </w:r>
      <w:r w:rsidR="007703FB">
        <w:rPr>
          <w:rFonts w:ascii="Times New Roman" w:hAnsi="Times New Roman" w:cs="Times New Roman"/>
        </w:rPr>
        <w:t xml:space="preserve"> </w:t>
      </w:r>
    </w:p>
    <w:p w14:paraId="07ABB3EC" w14:textId="77777777" w:rsidR="00543AC6" w:rsidRDefault="00543AC6" w:rsidP="00543AC6">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t xml:space="preserve">Tabulation of health_2  </w:t>
      </w:r>
    </w:p>
    <w:tbl>
      <w:tblPr>
        <w:tblW w:w="0" w:type="auto"/>
        <w:tblLayout w:type="fixed"/>
        <w:tblLook w:val="0000" w:firstRow="0" w:lastRow="0" w:firstColumn="0" w:lastColumn="0" w:noHBand="0" w:noVBand="0"/>
      </w:tblPr>
      <w:tblGrid>
        <w:gridCol w:w="1908"/>
        <w:gridCol w:w="1350"/>
        <w:gridCol w:w="1350"/>
        <w:gridCol w:w="1350"/>
      </w:tblGrid>
      <w:tr w:rsidR="00543AC6" w14:paraId="6A8A52E3" w14:textId="77777777">
        <w:tc>
          <w:tcPr>
            <w:tcW w:w="1908" w:type="dxa"/>
            <w:tcBorders>
              <w:top w:val="single" w:sz="4" w:space="0" w:color="auto"/>
              <w:left w:val="nil"/>
              <w:bottom w:val="single" w:sz="10" w:space="0" w:color="auto"/>
              <w:right w:val="nil"/>
            </w:tcBorders>
          </w:tcPr>
          <w:p w14:paraId="6122186F" w14:textId="77777777" w:rsidR="00543AC6" w:rsidRDefault="00543AC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condition of health</w:t>
            </w:r>
          </w:p>
        </w:tc>
        <w:tc>
          <w:tcPr>
            <w:tcW w:w="1350" w:type="dxa"/>
            <w:tcBorders>
              <w:top w:val="single" w:sz="4" w:space="0" w:color="auto"/>
              <w:left w:val="nil"/>
              <w:bottom w:val="single" w:sz="10" w:space="0" w:color="auto"/>
              <w:right w:val="nil"/>
            </w:tcBorders>
          </w:tcPr>
          <w:p w14:paraId="741040E6"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Freq.</w:t>
            </w:r>
          </w:p>
        </w:tc>
        <w:tc>
          <w:tcPr>
            <w:tcW w:w="1350" w:type="dxa"/>
            <w:tcBorders>
              <w:top w:val="single" w:sz="4" w:space="0" w:color="auto"/>
              <w:left w:val="nil"/>
              <w:bottom w:val="single" w:sz="10" w:space="0" w:color="auto"/>
              <w:right w:val="nil"/>
            </w:tcBorders>
          </w:tcPr>
          <w:p w14:paraId="2E96AAF2"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Percent</w:t>
            </w:r>
          </w:p>
        </w:tc>
        <w:tc>
          <w:tcPr>
            <w:tcW w:w="1350" w:type="dxa"/>
            <w:tcBorders>
              <w:top w:val="single" w:sz="4" w:space="0" w:color="auto"/>
              <w:left w:val="nil"/>
              <w:bottom w:val="single" w:sz="10" w:space="0" w:color="auto"/>
              <w:right w:val="nil"/>
            </w:tcBorders>
          </w:tcPr>
          <w:p w14:paraId="6528D543"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Cum.</w:t>
            </w:r>
          </w:p>
        </w:tc>
      </w:tr>
      <w:tr w:rsidR="00543AC6" w14:paraId="7E899C9E" w14:textId="77777777">
        <w:tc>
          <w:tcPr>
            <w:tcW w:w="1908" w:type="dxa"/>
            <w:tcBorders>
              <w:top w:val="nil"/>
              <w:left w:val="nil"/>
              <w:bottom w:val="nil"/>
              <w:right w:val="nil"/>
            </w:tcBorders>
          </w:tcPr>
          <w:p w14:paraId="579ACFB7" w14:textId="77777777" w:rsidR="00543AC6" w:rsidRDefault="00543AC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excellent</w:t>
            </w:r>
          </w:p>
        </w:tc>
        <w:tc>
          <w:tcPr>
            <w:tcW w:w="1350" w:type="dxa"/>
            <w:tcBorders>
              <w:top w:val="nil"/>
              <w:left w:val="nil"/>
              <w:bottom w:val="nil"/>
              <w:right w:val="nil"/>
            </w:tcBorders>
          </w:tcPr>
          <w:p w14:paraId="691F85FB"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132</w:t>
            </w:r>
          </w:p>
        </w:tc>
        <w:tc>
          <w:tcPr>
            <w:tcW w:w="1350" w:type="dxa"/>
            <w:tcBorders>
              <w:top w:val="nil"/>
              <w:left w:val="nil"/>
              <w:bottom w:val="nil"/>
              <w:right w:val="nil"/>
            </w:tcBorders>
          </w:tcPr>
          <w:p w14:paraId="7963DA9A"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19.50</w:t>
            </w:r>
          </w:p>
        </w:tc>
        <w:tc>
          <w:tcPr>
            <w:tcW w:w="1350" w:type="dxa"/>
            <w:tcBorders>
              <w:top w:val="nil"/>
              <w:left w:val="nil"/>
              <w:bottom w:val="nil"/>
              <w:right w:val="nil"/>
            </w:tcBorders>
          </w:tcPr>
          <w:p w14:paraId="06C63FC8"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19.50</w:t>
            </w:r>
          </w:p>
        </w:tc>
      </w:tr>
      <w:tr w:rsidR="00543AC6" w14:paraId="63960237" w14:textId="77777777">
        <w:tc>
          <w:tcPr>
            <w:tcW w:w="1908" w:type="dxa"/>
            <w:tcBorders>
              <w:top w:val="nil"/>
              <w:left w:val="nil"/>
              <w:bottom w:val="nil"/>
              <w:right w:val="nil"/>
            </w:tcBorders>
          </w:tcPr>
          <w:p w14:paraId="004A45C0" w14:textId="77777777" w:rsidR="00543AC6" w:rsidRDefault="00543AC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good</w:t>
            </w:r>
          </w:p>
        </w:tc>
        <w:tc>
          <w:tcPr>
            <w:tcW w:w="1350" w:type="dxa"/>
            <w:tcBorders>
              <w:top w:val="nil"/>
              <w:left w:val="nil"/>
              <w:bottom w:val="nil"/>
              <w:right w:val="nil"/>
            </w:tcBorders>
          </w:tcPr>
          <w:p w14:paraId="3C627D0A"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357</w:t>
            </w:r>
          </w:p>
        </w:tc>
        <w:tc>
          <w:tcPr>
            <w:tcW w:w="1350" w:type="dxa"/>
            <w:tcBorders>
              <w:top w:val="nil"/>
              <w:left w:val="nil"/>
              <w:bottom w:val="nil"/>
              <w:right w:val="nil"/>
            </w:tcBorders>
          </w:tcPr>
          <w:p w14:paraId="2963BB82"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52.73</w:t>
            </w:r>
          </w:p>
        </w:tc>
        <w:tc>
          <w:tcPr>
            <w:tcW w:w="1350" w:type="dxa"/>
            <w:tcBorders>
              <w:top w:val="nil"/>
              <w:left w:val="nil"/>
              <w:bottom w:val="nil"/>
              <w:right w:val="nil"/>
            </w:tcBorders>
          </w:tcPr>
          <w:p w14:paraId="721D280A"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72.23</w:t>
            </w:r>
          </w:p>
        </w:tc>
      </w:tr>
      <w:tr w:rsidR="00543AC6" w14:paraId="3080DB22" w14:textId="77777777">
        <w:tc>
          <w:tcPr>
            <w:tcW w:w="1908" w:type="dxa"/>
            <w:tcBorders>
              <w:top w:val="nil"/>
              <w:left w:val="nil"/>
              <w:bottom w:val="nil"/>
              <w:right w:val="nil"/>
            </w:tcBorders>
          </w:tcPr>
          <w:p w14:paraId="0CDFD81E" w14:textId="77777777" w:rsidR="00543AC6" w:rsidRDefault="00543AC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fair</w:t>
            </w:r>
          </w:p>
        </w:tc>
        <w:tc>
          <w:tcPr>
            <w:tcW w:w="1350" w:type="dxa"/>
            <w:tcBorders>
              <w:top w:val="nil"/>
              <w:left w:val="nil"/>
              <w:bottom w:val="nil"/>
              <w:right w:val="nil"/>
            </w:tcBorders>
          </w:tcPr>
          <w:p w14:paraId="0272AC1A"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161</w:t>
            </w:r>
          </w:p>
        </w:tc>
        <w:tc>
          <w:tcPr>
            <w:tcW w:w="1350" w:type="dxa"/>
            <w:tcBorders>
              <w:top w:val="nil"/>
              <w:left w:val="nil"/>
              <w:bottom w:val="nil"/>
              <w:right w:val="nil"/>
            </w:tcBorders>
          </w:tcPr>
          <w:p w14:paraId="04411394"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23.78</w:t>
            </w:r>
          </w:p>
        </w:tc>
        <w:tc>
          <w:tcPr>
            <w:tcW w:w="1350" w:type="dxa"/>
            <w:tcBorders>
              <w:top w:val="nil"/>
              <w:left w:val="nil"/>
              <w:bottom w:val="nil"/>
              <w:right w:val="nil"/>
            </w:tcBorders>
          </w:tcPr>
          <w:p w14:paraId="4F98B5BC"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96.01</w:t>
            </w:r>
          </w:p>
        </w:tc>
      </w:tr>
      <w:tr w:rsidR="00543AC6" w14:paraId="4ABAB34D" w14:textId="77777777">
        <w:tc>
          <w:tcPr>
            <w:tcW w:w="1908" w:type="dxa"/>
            <w:tcBorders>
              <w:top w:val="nil"/>
              <w:left w:val="nil"/>
              <w:bottom w:val="nil"/>
              <w:right w:val="nil"/>
            </w:tcBorders>
          </w:tcPr>
          <w:p w14:paraId="5A637CD8" w14:textId="77777777" w:rsidR="00543AC6" w:rsidRDefault="00543AC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poor</w:t>
            </w:r>
          </w:p>
        </w:tc>
        <w:tc>
          <w:tcPr>
            <w:tcW w:w="1350" w:type="dxa"/>
            <w:tcBorders>
              <w:top w:val="nil"/>
              <w:left w:val="nil"/>
              <w:bottom w:val="nil"/>
              <w:right w:val="nil"/>
            </w:tcBorders>
          </w:tcPr>
          <w:p w14:paraId="35B94DF9"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27</w:t>
            </w:r>
          </w:p>
        </w:tc>
        <w:tc>
          <w:tcPr>
            <w:tcW w:w="1350" w:type="dxa"/>
            <w:tcBorders>
              <w:top w:val="nil"/>
              <w:left w:val="nil"/>
              <w:bottom w:val="nil"/>
              <w:right w:val="nil"/>
            </w:tcBorders>
          </w:tcPr>
          <w:p w14:paraId="20F12BB1"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3.99</w:t>
            </w:r>
          </w:p>
        </w:tc>
        <w:tc>
          <w:tcPr>
            <w:tcW w:w="1350" w:type="dxa"/>
            <w:tcBorders>
              <w:top w:val="nil"/>
              <w:left w:val="nil"/>
              <w:bottom w:val="nil"/>
              <w:right w:val="nil"/>
            </w:tcBorders>
          </w:tcPr>
          <w:p w14:paraId="5F25DDCC"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543AC6" w14:paraId="0EBE97EC" w14:textId="77777777">
        <w:tc>
          <w:tcPr>
            <w:tcW w:w="1908" w:type="dxa"/>
            <w:tcBorders>
              <w:top w:val="single" w:sz="4" w:space="0" w:color="auto"/>
              <w:left w:val="nil"/>
              <w:bottom w:val="nil"/>
              <w:right w:val="nil"/>
            </w:tcBorders>
          </w:tcPr>
          <w:p w14:paraId="777D62CB" w14:textId="77777777" w:rsidR="00543AC6" w:rsidRDefault="00543AC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Total</w:t>
            </w:r>
          </w:p>
        </w:tc>
        <w:tc>
          <w:tcPr>
            <w:tcW w:w="1350" w:type="dxa"/>
            <w:tcBorders>
              <w:top w:val="single" w:sz="4" w:space="0" w:color="auto"/>
              <w:left w:val="nil"/>
              <w:bottom w:val="nil"/>
              <w:right w:val="nil"/>
            </w:tcBorders>
          </w:tcPr>
          <w:p w14:paraId="2043ED13"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677</w:t>
            </w:r>
          </w:p>
        </w:tc>
        <w:tc>
          <w:tcPr>
            <w:tcW w:w="1350" w:type="dxa"/>
            <w:tcBorders>
              <w:top w:val="single" w:sz="4" w:space="0" w:color="auto"/>
              <w:left w:val="nil"/>
              <w:bottom w:val="nil"/>
              <w:right w:val="nil"/>
            </w:tcBorders>
          </w:tcPr>
          <w:p w14:paraId="68EAB7F5"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c>
          <w:tcPr>
            <w:tcW w:w="1350" w:type="dxa"/>
            <w:tcBorders>
              <w:top w:val="single" w:sz="4" w:space="0" w:color="auto"/>
              <w:left w:val="nil"/>
              <w:bottom w:val="nil"/>
              <w:right w:val="nil"/>
            </w:tcBorders>
          </w:tcPr>
          <w:p w14:paraId="0FA02BD7" w14:textId="77777777" w:rsidR="00543AC6" w:rsidRDefault="00543AC6">
            <w:pPr>
              <w:widowControl w:val="0"/>
              <w:autoSpaceDE w:val="0"/>
              <w:autoSpaceDN w:val="0"/>
              <w:adjustRightInd w:val="0"/>
              <w:spacing w:after="0" w:line="240" w:lineRule="auto"/>
              <w:jc w:val="right"/>
              <w:rPr>
                <w:rFonts w:ascii="Garamond" w:hAnsi="Garamond"/>
                <w:sz w:val="20"/>
                <w:szCs w:val="20"/>
              </w:rPr>
            </w:pPr>
          </w:p>
        </w:tc>
      </w:tr>
      <w:tr w:rsidR="00543AC6" w14:paraId="10DFFD67" w14:textId="77777777">
        <w:tc>
          <w:tcPr>
            <w:tcW w:w="5958" w:type="dxa"/>
            <w:gridSpan w:val="4"/>
            <w:tcBorders>
              <w:top w:val="single" w:sz="6" w:space="0" w:color="auto"/>
              <w:left w:val="nil"/>
              <w:bottom w:val="nil"/>
              <w:right w:val="nil"/>
            </w:tcBorders>
          </w:tcPr>
          <w:p w14:paraId="40D6F0C8" w14:textId="77777777" w:rsidR="00543AC6" w:rsidRDefault="00543AC6">
            <w:pPr>
              <w:widowControl w:val="0"/>
              <w:autoSpaceDE w:val="0"/>
              <w:autoSpaceDN w:val="0"/>
              <w:adjustRightInd w:val="0"/>
              <w:spacing w:after="0" w:line="240" w:lineRule="auto"/>
              <w:rPr>
                <w:rFonts w:ascii="Garamond" w:hAnsi="Garamond"/>
                <w:sz w:val="20"/>
                <w:szCs w:val="20"/>
              </w:rPr>
            </w:pPr>
          </w:p>
        </w:tc>
      </w:tr>
    </w:tbl>
    <w:p w14:paraId="336337FF" w14:textId="5C110F4C" w:rsidR="00543AC6" w:rsidRDefault="00543AC6">
      <w:pPr>
        <w:rPr>
          <w:rFonts w:ascii="Times New Roman" w:hAnsi="Times New Roman" w:cs="Times New Roman"/>
        </w:rPr>
      </w:pPr>
    </w:p>
    <w:p w14:paraId="1FFBCBBC" w14:textId="77777777" w:rsidR="00543AC6" w:rsidRDefault="00543AC6" w:rsidP="00543AC6">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t xml:space="preserve">Tabulation of health_1b  </w:t>
      </w:r>
    </w:p>
    <w:tbl>
      <w:tblPr>
        <w:tblW w:w="0" w:type="auto"/>
        <w:tblLayout w:type="fixed"/>
        <w:tblLook w:val="0000" w:firstRow="0" w:lastRow="0" w:firstColumn="0" w:lastColumn="0" w:noHBand="0" w:noVBand="0"/>
      </w:tblPr>
      <w:tblGrid>
        <w:gridCol w:w="1908"/>
        <w:gridCol w:w="1350"/>
        <w:gridCol w:w="1350"/>
        <w:gridCol w:w="1350"/>
      </w:tblGrid>
      <w:tr w:rsidR="00543AC6" w14:paraId="42FF9FA4" w14:textId="77777777">
        <w:tc>
          <w:tcPr>
            <w:tcW w:w="1908" w:type="dxa"/>
            <w:tcBorders>
              <w:top w:val="single" w:sz="4" w:space="0" w:color="auto"/>
              <w:left w:val="nil"/>
              <w:bottom w:val="single" w:sz="10" w:space="0" w:color="auto"/>
              <w:right w:val="nil"/>
            </w:tcBorders>
          </w:tcPr>
          <w:p w14:paraId="19C3A931" w14:textId="77777777" w:rsidR="00543AC6" w:rsidRDefault="00543AC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condition of health</w:t>
            </w:r>
          </w:p>
        </w:tc>
        <w:tc>
          <w:tcPr>
            <w:tcW w:w="1350" w:type="dxa"/>
            <w:tcBorders>
              <w:top w:val="single" w:sz="4" w:space="0" w:color="auto"/>
              <w:left w:val="nil"/>
              <w:bottom w:val="single" w:sz="10" w:space="0" w:color="auto"/>
              <w:right w:val="nil"/>
            </w:tcBorders>
          </w:tcPr>
          <w:p w14:paraId="023E71A1"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Freq.</w:t>
            </w:r>
          </w:p>
        </w:tc>
        <w:tc>
          <w:tcPr>
            <w:tcW w:w="1350" w:type="dxa"/>
            <w:tcBorders>
              <w:top w:val="single" w:sz="4" w:space="0" w:color="auto"/>
              <w:left w:val="nil"/>
              <w:bottom w:val="single" w:sz="10" w:space="0" w:color="auto"/>
              <w:right w:val="nil"/>
            </w:tcBorders>
          </w:tcPr>
          <w:p w14:paraId="3099E323"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Percent</w:t>
            </w:r>
          </w:p>
        </w:tc>
        <w:tc>
          <w:tcPr>
            <w:tcW w:w="1350" w:type="dxa"/>
            <w:tcBorders>
              <w:top w:val="single" w:sz="4" w:space="0" w:color="auto"/>
              <w:left w:val="nil"/>
              <w:bottom w:val="single" w:sz="10" w:space="0" w:color="auto"/>
              <w:right w:val="nil"/>
            </w:tcBorders>
          </w:tcPr>
          <w:p w14:paraId="1AAB91A8"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Cum.</w:t>
            </w:r>
          </w:p>
        </w:tc>
      </w:tr>
      <w:tr w:rsidR="00543AC6" w14:paraId="30EA6D75" w14:textId="77777777">
        <w:tc>
          <w:tcPr>
            <w:tcW w:w="1908" w:type="dxa"/>
            <w:tcBorders>
              <w:top w:val="nil"/>
              <w:left w:val="nil"/>
              <w:bottom w:val="nil"/>
              <w:right w:val="nil"/>
            </w:tcBorders>
          </w:tcPr>
          <w:p w14:paraId="639C269A" w14:textId="77777777" w:rsidR="00543AC6" w:rsidRDefault="00543AC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excellent</w:t>
            </w:r>
          </w:p>
        </w:tc>
        <w:tc>
          <w:tcPr>
            <w:tcW w:w="1350" w:type="dxa"/>
            <w:tcBorders>
              <w:top w:val="nil"/>
              <w:left w:val="nil"/>
              <w:bottom w:val="nil"/>
              <w:right w:val="nil"/>
            </w:tcBorders>
          </w:tcPr>
          <w:p w14:paraId="7881BB7B"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160</w:t>
            </w:r>
          </w:p>
        </w:tc>
        <w:tc>
          <w:tcPr>
            <w:tcW w:w="1350" w:type="dxa"/>
            <w:tcBorders>
              <w:top w:val="nil"/>
              <w:left w:val="nil"/>
              <w:bottom w:val="nil"/>
              <w:right w:val="nil"/>
            </w:tcBorders>
          </w:tcPr>
          <w:p w14:paraId="24026036"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23.63</w:t>
            </w:r>
          </w:p>
        </w:tc>
        <w:tc>
          <w:tcPr>
            <w:tcW w:w="1350" w:type="dxa"/>
            <w:tcBorders>
              <w:top w:val="nil"/>
              <w:left w:val="nil"/>
              <w:bottom w:val="nil"/>
              <w:right w:val="nil"/>
            </w:tcBorders>
          </w:tcPr>
          <w:p w14:paraId="0A31BB48"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23.63</w:t>
            </w:r>
          </w:p>
        </w:tc>
      </w:tr>
      <w:tr w:rsidR="00543AC6" w14:paraId="62AA5EF3" w14:textId="77777777">
        <w:tc>
          <w:tcPr>
            <w:tcW w:w="1908" w:type="dxa"/>
            <w:tcBorders>
              <w:top w:val="nil"/>
              <w:left w:val="nil"/>
              <w:bottom w:val="nil"/>
              <w:right w:val="nil"/>
            </w:tcBorders>
          </w:tcPr>
          <w:p w14:paraId="2C75F31A" w14:textId="77777777" w:rsidR="00543AC6" w:rsidRDefault="00543AC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good</w:t>
            </w:r>
          </w:p>
        </w:tc>
        <w:tc>
          <w:tcPr>
            <w:tcW w:w="1350" w:type="dxa"/>
            <w:tcBorders>
              <w:top w:val="nil"/>
              <w:left w:val="nil"/>
              <w:bottom w:val="nil"/>
              <w:right w:val="nil"/>
            </w:tcBorders>
          </w:tcPr>
          <w:p w14:paraId="43FBFEDE"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341</w:t>
            </w:r>
          </w:p>
        </w:tc>
        <w:tc>
          <w:tcPr>
            <w:tcW w:w="1350" w:type="dxa"/>
            <w:tcBorders>
              <w:top w:val="nil"/>
              <w:left w:val="nil"/>
              <w:bottom w:val="nil"/>
              <w:right w:val="nil"/>
            </w:tcBorders>
          </w:tcPr>
          <w:p w14:paraId="356D5CFF"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50.37</w:t>
            </w:r>
          </w:p>
        </w:tc>
        <w:tc>
          <w:tcPr>
            <w:tcW w:w="1350" w:type="dxa"/>
            <w:tcBorders>
              <w:top w:val="nil"/>
              <w:left w:val="nil"/>
              <w:bottom w:val="nil"/>
              <w:right w:val="nil"/>
            </w:tcBorders>
          </w:tcPr>
          <w:p w14:paraId="3F956E04"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74.00</w:t>
            </w:r>
          </w:p>
        </w:tc>
      </w:tr>
      <w:tr w:rsidR="00543AC6" w14:paraId="6F4C726C" w14:textId="77777777">
        <w:tc>
          <w:tcPr>
            <w:tcW w:w="1908" w:type="dxa"/>
            <w:tcBorders>
              <w:top w:val="nil"/>
              <w:left w:val="nil"/>
              <w:bottom w:val="nil"/>
              <w:right w:val="nil"/>
            </w:tcBorders>
          </w:tcPr>
          <w:p w14:paraId="3D0985C4" w14:textId="77777777" w:rsidR="00543AC6" w:rsidRDefault="00543AC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fair</w:t>
            </w:r>
          </w:p>
        </w:tc>
        <w:tc>
          <w:tcPr>
            <w:tcW w:w="1350" w:type="dxa"/>
            <w:tcBorders>
              <w:top w:val="nil"/>
              <w:left w:val="nil"/>
              <w:bottom w:val="nil"/>
              <w:right w:val="nil"/>
            </w:tcBorders>
          </w:tcPr>
          <w:p w14:paraId="315D82DA"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146</w:t>
            </w:r>
          </w:p>
        </w:tc>
        <w:tc>
          <w:tcPr>
            <w:tcW w:w="1350" w:type="dxa"/>
            <w:tcBorders>
              <w:top w:val="nil"/>
              <w:left w:val="nil"/>
              <w:bottom w:val="nil"/>
              <w:right w:val="nil"/>
            </w:tcBorders>
          </w:tcPr>
          <w:p w14:paraId="6B71A615"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21.57</w:t>
            </w:r>
          </w:p>
        </w:tc>
        <w:tc>
          <w:tcPr>
            <w:tcW w:w="1350" w:type="dxa"/>
            <w:tcBorders>
              <w:top w:val="nil"/>
              <w:left w:val="nil"/>
              <w:bottom w:val="nil"/>
              <w:right w:val="nil"/>
            </w:tcBorders>
          </w:tcPr>
          <w:p w14:paraId="01FD5903"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95.57</w:t>
            </w:r>
          </w:p>
        </w:tc>
      </w:tr>
      <w:tr w:rsidR="00543AC6" w14:paraId="568B721C" w14:textId="77777777">
        <w:tc>
          <w:tcPr>
            <w:tcW w:w="1908" w:type="dxa"/>
            <w:tcBorders>
              <w:top w:val="nil"/>
              <w:left w:val="nil"/>
              <w:bottom w:val="nil"/>
              <w:right w:val="nil"/>
            </w:tcBorders>
          </w:tcPr>
          <w:p w14:paraId="62CE8B20" w14:textId="77777777" w:rsidR="00543AC6" w:rsidRDefault="00543AC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poor</w:t>
            </w:r>
          </w:p>
        </w:tc>
        <w:tc>
          <w:tcPr>
            <w:tcW w:w="1350" w:type="dxa"/>
            <w:tcBorders>
              <w:top w:val="nil"/>
              <w:left w:val="nil"/>
              <w:bottom w:val="nil"/>
              <w:right w:val="nil"/>
            </w:tcBorders>
          </w:tcPr>
          <w:p w14:paraId="28BC3F24"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30</w:t>
            </w:r>
          </w:p>
        </w:tc>
        <w:tc>
          <w:tcPr>
            <w:tcW w:w="1350" w:type="dxa"/>
            <w:tcBorders>
              <w:top w:val="nil"/>
              <w:left w:val="nil"/>
              <w:bottom w:val="nil"/>
              <w:right w:val="nil"/>
            </w:tcBorders>
          </w:tcPr>
          <w:p w14:paraId="58CF0CDC"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4.43</w:t>
            </w:r>
          </w:p>
        </w:tc>
        <w:tc>
          <w:tcPr>
            <w:tcW w:w="1350" w:type="dxa"/>
            <w:tcBorders>
              <w:top w:val="nil"/>
              <w:left w:val="nil"/>
              <w:bottom w:val="nil"/>
              <w:right w:val="nil"/>
            </w:tcBorders>
          </w:tcPr>
          <w:p w14:paraId="1A2D4A63"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543AC6" w14:paraId="42B38B3D" w14:textId="77777777">
        <w:tc>
          <w:tcPr>
            <w:tcW w:w="1908" w:type="dxa"/>
            <w:tcBorders>
              <w:top w:val="single" w:sz="4" w:space="0" w:color="auto"/>
              <w:left w:val="nil"/>
              <w:bottom w:val="nil"/>
              <w:right w:val="nil"/>
            </w:tcBorders>
          </w:tcPr>
          <w:p w14:paraId="3EA57437" w14:textId="77777777" w:rsidR="00543AC6" w:rsidRDefault="00543AC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Total</w:t>
            </w:r>
          </w:p>
        </w:tc>
        <w:tc>
          <w:tcPr>
            <w:tcW w:w="1350" w:type="dxa"/>
            <w:tcBorders>
              <w:top w:val="single" w:sz="4" w:space="0" w:color="auto"/>
              <w:left w:val="nil"/>
              <w:bottom w:val="nil"/>
              <w:right w:val="nil"/>
            </w:tcBorders>
          </w:tcPr>
          <w:p w14:paraId="6C6825DD"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677</w:t>
            </w:r>
          </w:p>
        </w:tc>
        <w:tc>
          <w:tcPr>
            <w:tcW w:w="1350" w:type="dxa"/>
            <w:tcBorders>
              <w:top w:val="single" w:sz="4" w:space="0" w:color="auto"/>
              <w:left w:val="nil"/>
              <w:bottom w:val="nil"/>
              <w:right w:val="nil"/>
            </w:tcBorders>
          </w:tcPr>
          <w:p w14:paraId="72817EDA" w14:textId="77777777" w:rsidR="00543AC6" w:rsidRDefault="00543AC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c>
          <w:tcPr>
            <w:tcW w:w="1350" w:type="dxa"/>
            <w:tcBorders>
              <w:top w:val="single" w:sz="4" w:space="0" w:color="auto"/>
              <w:left w:val="nil"/>
              <w:bottom w:val="nil"/>
              <w:right w:val="nil"/>
            </w:tcBorders>
          </w:tcPr>
          <w:p w14:paraId="6CEC5CDD" w14:textId="77777777" w:rsidR="00543AC6" w:rsidRDefault="00543AC6">
            <w:pPr>
              <w:widowControl w:val="0"/>
              <w:autoSpaceDE w:val="0"/>
              <w:autoSpaceDN w:val="0"/>
              <w:adjustRightInd w:val="0"/>
              <w:spacing w:after="0" w:line="240" w:lineRule="auto"/>
              <w:jc w:val="right"/>
              <w:rPr>
                <w:rFonts w:ascii="Garamond" w:hAnsi="Garamond"/>
                <w:sz w:val="20"/>
                <w:szCs w:val="20"/>
              </w:rPr>
            </w:pPr>
          </w:p>
        </w:tc>
      </w:tr>
      <w:tr w:rsidR="00543AC6" w14:paraId="551094CB" w14:textId="77777777">
        <w:tc>
          <w:tcPr>
            <w:tcW w:w="5958" w:type="dxa"/>
            <w:gridSpan w:val="4"/>
            <w:tcBorders>
              <w:top w:val="single" w:sz="6" w:space="0" w:color="auto"/>
              <w:left w:val="nil"/>
              <w:bottom w:val="nil"/>
              <w:right w:val="nil"/>
            </w:tcBorders>
          </w:tcPr>
          <w:p w14:paraId="7CF16DDC" w14:textId="77777777" w:rsidR="00543AC6" w:rsidRDefault="00543AC6">
            <w:pPr>
              <w:widowControl w:val="0"/>
              <w:autoSpaceDE w:val="0"/>
              <w:autoSpaceDN w:val="0"/>
              <w:adjustRightInd w:val="0"/>
              <w:spacing w:after="0" w:line="240" w:lineRule="auto"/>
              <w:rPr>
                <w:rFonts w:ascii="Garamond" w:hAnsi="Garamond"/>
                <w:sz w:val="20"/>
                <w:szCs w:val="20"/>
              </w:rPr>
            </w:pPr>
          </w:p>
        </w:tc>
      </w:tr>
    </w:tbl>
    <w:p w14:paraId="333C36AD" w14:textId="77777777" w:rsidR="00A93590" w:rsidRDefault="00A93590">
      <w:pPr>
        <w:rPr>
          <w:rFonts w:ascii="Times New Roman" w:hAnsi="Times New Roman" w:cs="Times New Roman"/>
        </w:rPr>
      </w:pPr>
    </w:p>
    <w:p w14:paraId="6A25D31C" w14:textId="621AA516" w:rsidR="00EB1887" w:rsidRDefault="00EB1887" w:rsidP="00056A43">
      <w:pPr>
        <w:spacing w:line="480" w:lineRule="auto"/>
        <w:rPr>
          <w:rFonts w:ascii="Times New Roman" w:hAnsi="Times New Roman" w:cs="Times New Roman"/>
        </w:rPr>
      </w:pPr>
      <w:r>
        <w:rPr>
          <w:rFonts w:ascii="Times New Roman" w:hAnsi="Times New Roman" w:cs="Times New Roman"/>
          <w:i/>
          <w:iCs/>
        </w:rPr>
        <w:t>Happiness</w:t>
      </w:r>
    </w:p>
    <w:p w14:paraId="64316CBA" w14:textId="159947FB" w:rsidR="00EB1887" w:rsidRDefault="0024354E" w:rsidP="00056A43">
      <w:pPr>
        <w:spacing w:line="480" w:lineRule="auto"/>
        <w:ind w:firstLine="720"/>
        <w:rPr>
          <w:rFonts w:ascii="Times New Roman" w:hAnsi="Times New Roman" w:cs="Times New Roman"/>
        </w:rPr>
      </w:pPr>
      <w:r>
        <w:rPr>
          <w:rFonts w:ascii="Times New Roman" w:hAnsi="Times New Roman" w:cs="Times New Roman"/>
        </w:rPr>
        <w:t xml:space="preserve">Self-Perceived </w:t>
      </w:r>
      <w:r w:rsidRPr="00095586">
        <w:rPr>
          <w:rFonts w:ascii="Times New Roman" w:hAnsi="Times New Roman" w:cs="Times New Roman"/>
          <w:i/>
          <w:iCs/>
        </w:rPr>
        <w:t>happiness</w:t>
      </w:r>
      <w:r>
        <w:rPr>
          <w:rFonts w:ascii="Times New Roman" w:hAnsi="Times New Roman" w:cs="Times New Roman"/>
        </w:rPr>
        <w:t xml:space="preserve"> was measured through a 3-point scale answering the following</w:t>
      </w:r>
      <w:r w:rsidR="00373F0F">
        <w:rPr>
          <w:rFonts w:ascii="Times New Roman" w:hAnsi="Times New Roman" w:cs="Times New Roman"/>
        </w:rPr>
        <w:t>: “</w:t>
      </w:r>
      <w:r w:rsidR="00373F0F" w:rsidRPr="00373F0F">
        <w:rPr>
          <w:rFonts w:ascii="Times New Roman" w:hAnsi="Times New Roman" w:cs="Times New Roman"/>
        </w:rPr>
        <w:t>Taken all together, how would you say things are these days--would you say that you are very happy, pretty happy, or not too happy?</w:t>
      </w:r>
      <w:r w:rsidR="00373F0F">
        <w:rPr>
          <w:rFonts w:ascii="Times New Roman" w:hAnsi="Times New Roman" w:cs="Times New Roman"/>
        </w:rPr>
        <w:t>”</w:t>
      </w:r>
      <w:r w:rsidR="00B672CB">
        <w:rPr>
          <w:rFonts w:ascii="Times New Roman" w:hAnsi="Times New Roman" w:cs="Times New Roman"/>
        </w:rPr>
        <w:t xml:space="preserve"> The scale adopted the Very Happy, </w:t>
      </w:r>
      <w:proofErr w:type="gramStart"/>
      <w:r w:rsidR="00B672CB">
        <w:rPr>
          <w:rFonts w:ascii="Times New Roman" w:hAnsi="Times New Roman" w:cs="Times New Roman"/>
        </w:rPr>
        <w:t>Pretty Happy</w:t>
      </w:r>
      <w:proofErr w:type="gramEnd"/>
      <w:r w:rsidR="00B672CB">
        <w:rPr>
          <w:rFonts w:ascii="Times New Roman" w:hAnsi="Times New Roman" w:cs="Times New Roman"/>
        </w:rPr>
        <w:t xml:space="preserve">, and Not Too Happy distinction, </w:t>
      </w:r>
      <w:r w:rsidR="0086296B">
        <w:rPr>
          <w:rFonts w:ascii="Times New Roman" w:hAnsi="Times New Roman" w:cs="Times New Roman"/>
        </w:rPr>
        <w:t xml:space="preserve">which was not modified for easier </w:t>
      </w:r>
      <w:r w:rsidR="00822EC1">
        <w:rPr>
          <w:rFonts w:ascii="Times New Roman" w:hAnsi="Times New Roman" w:cs="Times New Roman"/>
        </w:rPr>
        <w:t>categorization</w:t>
      </w:r>
      <w:r w:rsidR="009A790C">
        <w:rPr>
          <w:rFonts w:ascii="Times New Roman" w:hAnsi="Times New Roman" w:cs="Times New Roman"/>
        </w:rPr>
        <w:t>.</w:t>
      </w:r>
    </w:p>
    <w:p w14:paraId="17F4858A" w14:textId="77777777" w:rsidR="0085610F" w:rsidRDefault="0085610F" w:rsidP="00056A43">
      <w:pPr>
        <w:spacing w:line="480" w:lineRule="auto"/>
        <w:ind w:firstLine="720"/>
        <w:rPr>
          <w:rFonts w:ascii="Times New Roman" w:hAnsi="Times New Roman" w:cs="Times New Roman"/>
        </w:rPr>
      </w:pPr>
    </w:p>
    <w:p w14:paraId="2FB04922" w14:textId="77777777" w:rsidR="004A726E" w:rsidRDefault="004A726E" w:rsidP="004A726E">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lastRenderedPageBreak/>
        <w:t xml:space="preserve">Tabulation of happy_1b  </w:t>
      </w:r>
    </w:p>
    <w:tbl>
      <w:tblPr>
        <w:tblW w:w="0" w:type="auto"/>
        <w:tblLayout w:type="fixed"/>
        <w:tblLook w:val="0000" w:firstRow="0" w:lastRow="0" w:firstColumn="0" w:lastColumn="0" w:noHBand="0" w:noVBand="0"/>
      </w:tblPr>
      <w:tblGrid>
        <w:gridCol w:w="2243"/>
        <w:gridCol w:w="1242"/>
        <w:gridCol w:w="1242"/>
        <w:gridCol w:w="1242"/>
      </w:tblGrid>
      <w:tr w:rsidR="004A726E" w14:paraId="5C73E308" w14:textId="77777777" w:rsidTr="00162947">
        <w:trPr>
          <w:trHeight w:val="250"/>
        </w:trPr>
        <w:tc>
          <w:tcPr>
            <w:tcW w:w="2243" w:type="dxa"/>
            <w:tcBorders>
              <w:top w:val="single" w:sz="4" w:space="0" w:color="auto"/>
              <w:left w:val="nil"/>
              <w:bottom w:val="single" w:sz="10" w:space="0" w:color="auto"/>
              <w:right w:val="nil"/>
            </w:tcBorders>
          </w:tcPr>
          <w:p w14:paraId="18F2794B" w14:textId="77777777" w:rsidR="004A726E" w:rsidRDefault="004A726E"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general happiness</w:t>
            </w:r>
          </w:p>
        </w:tc>
        <w:tc>
          <w:tcPr>
            <w:tcW w:w="1242" w:type="dxa"/>
            <w:tcBorders>
              <w:top w:val="single" w:sz="4" w:space="0" w:color="auto"/>
              <w:left w:val="nil"/>
              <w:bottom w:val="single" w:sz="10" w:space="0" w:color="auto"/>
              <w:right w:val="nil"/>
            </w:tcBorders>
          </w:tcPr>
          <w:p w14:paraId="2923E0DA"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Freq.</w:t>
            </w:r>
          </w:p>
        </w:tc>
        <w:tc>
          <w:tcPr>
            <w:tcW w:w="1242" w:type="dxa"/>
            <w:tcBorders>
              <w:top w:val="single" w:sz="4" w:space="0" w:color="auto"/>
              <w:left w:val="nil"/>
              <w:bottom w:val="single" w:sz="10" w:space="0" w:color="auto"/>
              <w:right w:val="nil"/>
            </w:tcBorders>
          </w:tcPr>
          <w:p w14:paraId="6075E449"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Percent</w:t>
            </w:r>
          </w:p>
        </w:tc>
        <w:tc>
          <w:tcPr>
            <w:tcW w:w="1242" w:type="dxa"/>
            <w:tcBorders>
              <w:top w:val="single" w:sz="4" w:space="0" w:color="auto"/>
              <w:left w:val="nil"/>
              <w:bottom w:val="single" w:sz="10" w:space="0" w:color="auto"/>
              <w:right w:val="nil"/>
            </w:tcBorders>
          </w:tcPr>
          <w:p w14:paraId="25C39D3D"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Cum.</w:t>
            </w:r>
          </w:p>
        </w:tc>
      </w:tr>
      <w:tr w:rsidR="004A726E" w14:paraId="2C2CFCEA" w14:textId="77777777" w:rsidTr="00162947">
        <w:trPr>
          <w:trHeight w:val="266"/>
        </w:trPr>
        <w:tc>
          <w:tcPr>
            <w:tcW w:w="2243" w:type="dxa"/>
            <w:tcBorders>
              <w:top w:val="nil"/>
              <w:left w:val="nil"/>
              <w:bottom w:val="nil"/>
              <w:right w:val="nil"/>
            </w:tcBorders>
          </w:tcPr>
          <w:p w14:paraId="64D99ABF" w14:textId="77777777" w:rsidR="004A726E" w:rsidRDefault="004A726E"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very happy</w:t>
            </w:r>
          </w:p>
        </w:tc>
        <w:tc>
          <w:tcPr>
            <w:tcW w:w="1242" w:type="dxa"/>
            <w:tcBorders>
              <w:top w:val="nil"/>
              <w:left w:val="nil"/>
              <w:bottom w:val="nil"/>
              <w:right w:val="nil"/>
            </w:tcBorders>
          </w:tcPr>
          <w:p w14:paraId="0B12805C"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311</w:t>
            </w:r>
          </w:p>
        </w:tc>
        <w:tc>
          <w:tcPr>
            <w:tcW w:w="1242" w:type="dxa"/>
            <w:tcBorders>
              <w:top w:val="nil"/>
              <w:left w:val="nil"/>
              <w:bottom w:val="nil"/>
              <w:right w:val="nil"/>
            </w:tcBorders>
          </w:tcPr>
          <w:p w14:paraId="5FD2FD45"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30.70</w:t>
            </w:r>
          </w:p>
        </w:tc>
        <w:tc>
          <w:tcPr>
            <w:tcW w:w="1242" w:type="dxa"/>
            <w:tcBorders>
              <w:top w:val="nil"/>
              <w:left w:val="nil"/>
              <w:bottom w:val="nil"/>
              <w:right w:val="nil"/>
            </w:tcBorders>
          </w:tcPr>
          <w:p w14:paraId="3C4B3495"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30.70</w:t>
            </w:r>
          </w:p>
        </w:tc>
      </w:tr>
      <w:tr w:rsidR="004A726E" w14:paraId="12985547" w14:textId="77777777" w:rsidTr="00162947">
        <w:trPr>
          <w:trHeight w:val="250"/>
        </w:trPr>
        <w:tc>
          <w:tcPr>
            <w:tcW w:w="2243" w:type="dxa"/>
            <w:tcBorders>
              <w:top w:val="nil"/>
              <w:left w:val="nil"/>
              <w:bottom w:val="nil"/>
              <w:right w:val="nil"/>
            </w:tcBorders>
          </w:tcPr>
          <w:p w14:paraId="54EF6D1B" w14:textId="77777777" w:rsidR="004A726E" w:rsidRDefault="004A726E"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pretty happy</w:t>
            </w:r>
          </w:p>
        </w:tc>
        <w:tc>
          <w:tcPr>
            <w:tcW w:w="1242" w:type="dxa"/>
            <w:tcBorders>
              <w:top w:val="nil"/>
              <w:left w:val="nil"/>
              <w:bottom w:val="nil"/>
              <w:right w:val="nil"/>
            </w:tcBorders>
          </w:tcPr>
          <w:p w14:paraId="00398552"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563</w:t>
            </w:r>
          </w:p>
        </w:tc>
        <w:tc>
          <w:tcPr>
            <w:tcW w:w="1242" w:type="dxa"/>
            <w:tcBorders>
              <w:top w:val="nil"/>
              <w:left w:val="nil"/>
              <w:bottom w:val="nil"/>
              <w:right w:val="nil"/>
            </w:tcBorders>
          </w:tcPr>
          <w:p w14:paraId="39BC4C78"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55.58</w:t>
            </w:r>
          </w:p>
        </w:tc>
        <w:tc>
          <w:tcPr>
            <w:tcW w:w="1242" w:type="dxa"/>
            <w:tcBorders>
              <w:top w:val="nil"/>
              <w:left w:val="nil"/>
              <w:bottom w:val="nil"/>
              <w:right w:val="nil"/>
            </w:tcBorders>
          </w:tcPr>
          <w:p w14:paraId="07CE5B7C"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86.28</w:t>
            </w:r>
          </w:p>
        </w:tc>
      </w:tr>
      <w:tr w:rsidR="004A726E" w14:paraId="6A09F6C1" w14:textId="77777777" w:rsidTr="00162947">
        <w:trPr>
          <w:trHeight w:val="266"/>
        </w:trPr>
        <w:tc>
          <w:tcPr>
            <w:tcW w:w="2243" w:type="dxa"/>
            <w:tcBorders>
              <w:top w:val="nil"/>
              <w:left w:val="nil"/>
              <w:bottom w:val="nil"/>
              <w:right w:val="nil"/>
            </w:tcBorders>
          </w:tcPr>
          <w:p w14:paraId="790C453A" w14:textId="77777777" w:rsidR="004A726E" w:rsidRDefault="004A726E"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not too happy</w:t>
            </w:r>
          </w:p>
        </w:tc>
        <w:tc>
          <w:tcPr>
            <w:tcW w:w="1242" w:type="dxa"/>
            <w:tcBorders>
              <w:top w:val="nil"/>
              <w:left w:val="nil"/>
              <w:bottom w:val="nil"/>
              <w:right w:val="nil"/>
            </w:tcBorders>
          </w:tcPr>
          <w:p w14:paraId="66C8CA5D"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139</w:t>
            </w:r>
          </w:p>
        </w:tc>
        <w:tc>
          <w:tcPr>
            <w:tcW w:w="1242" w:type="dxa"/>
            <w:tcBorders>
              <w:top w:val="nil"/>
              <w:left w:val="nil"/>
              <w:bottom w:val="nil"/>
              <w:right w:val="nil"/>
            </w:tcBorders>
          </w:tcPr>
          <w:p w14:paraId="40083B36"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13.72</w:t>
            </w:r>
          </w:p>
        </w:tc>
        <w:tc>
          <w:tcPr>
            <w:tcW w:w="1242" w:type="dxa"/>
            <w:tcBorders>
              <w:top w:val="nil"/>
              <w:left w:val="nil"/>
              <w:bottom w:val="nil"/>
              <w:right w:val="nil"/>
            </w:tcBorders>
          </w:tcPr>
          <w:p w14:paraId="16D44FE6"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4A726E" w14:paraId="0CCEA18A" w14:textId="77777777" w:rsidTr="00162947">
        <w:trPr>
          <w:trHeight w:val="250"/>
        </w:trPr>
        <w:tc>
          <w:tcPr>
            <w:tcW w:w="2243" w:type="dxa"/>
            <w:tcBorders>
              <w:top w:val="single" w:sz="4" w:space="0" w:color="auto"/>
              <w:left w:val="nil"/>
              <w:bottom w:val="nil"/>
              <w:right w:val="nil"/>
            </w:tcBorders>
          </w:tcPr>
          <w:p w14:paraId="1B4C3FE7" w14:textId="77777777" w:rsidR="004A726E" w:rsidRDefault="004A726E"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Total</w:t>
            </w:r>
          </w:p>
        </w:tc>
        <w:tc>
          <w:tcPr>
            <w:tcW w:w="1242" w:type="dxa"/>
            <w:tcBorders>
              <w:top w:val="single" w:sz="4" w:space="0" w:color="auto"/>
              <w:left w:val="nil"/>
              <w:bottom w:val="nil"/>
              <w:right w:val="nil"/>
            </w:tcBorders>
          </w:tcPr>
          <w:p w14:paraId="573C4913"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1013</w:t>
            </w:r>
          </w:p>
        </w:tc>
        <w:tc>
          <w:tcPr>
            <w:tcW w:w="1242" w:type="dxa"/>
            <w:tcBorders>
              <w:top w:val="single" w:sz="4" w:space="0" w:color="auto"/>
              <w:left w:val="nil"/>
              <w:bottom w:val="nil"/>
              <w:right w:val="nil"/>
            </w:tcBorders>
          </w:tcPr>
          <w:p w14:paraId="3ECC34AB"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c>
          <w:tcPr>
            <w:tcW w:w="1242" w:type="dxa"/>
            <w:tcBorders>
              <w:top w:val="single" w:sz="4" w:space="0" w:color="auto"/>
              <w:left w:val="nil"/>
              <w:bottom w:val="nil"/>
              <w:right w:val="nil"/>
            </w:tcBorders>
          </w:tcPr>
          <w:p w14:paraId="3B0D6B00" w14:textId="77777777" w:rsidR="004A726E" w:rsidRDefault="004A726E" w:rsidP="00AE5F86">
            <w:pPr>
              <w:widowControl w:val="0"/>
              <w:autoSpaceDE w:val="0"/>
              <w:autoSpaceDN w:val="0"/>
              <w:adjustRightInd w:val="0"/>
              <w:spacing w:after="0" w:line="240" w:lineRule="auto"/>
              <w:jc w:val="right"/>
              <w:rPr>
                <w:rFonts w:ascii="Garamond" w:hAnsi="Garamond"/>
                <w:sz w:val="20"/>
                <w:szCs w:val="20"/>
              </w:rPr>
            </w:pPr>
          </w:p>
        </w:tc>
      </w:tr>
    </w:tbl>
    <w:p w14:paraId="664B348F" w14:textId="77777777" w:rsidR="00BD5E8A" w:rsidRDefault="00BD5E8A">
      <w:pPr>
        <w:rPr>
          <w:rFonts w:ascii="Times New Roman" w:hAnsi="Times New Roman" w:cs="Times New Roman"/>
        </w:rPr>
      </w:pPr>
    </w:p>
    <w:p w14:paraId="2CBCF10D" w14:textId="77777777" w:rsidR="00162947" w:rsidRDefault="00162947" w:rsidP="00162947">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t xml:space="preserve">Tabulation of happy_2  </w:t>
      </w:r>
    </w:p>
    <w:tbl>
      <w:tblPr>
        <w:tblW w:w="0" w:type="auto"/>
        <w:tblLayout w:type="fixed"/>
        <w:tblLook w:val="0000" w:firstRow="0" w:lastRow="0" w:firstColumn="0" w:lastColumn="0" w:noHBand="0" w:noVBand="0"/>
      </w:tblPr>
      <w:tblGrid>
        <w:gridCol w:w="2237"/>
        <w:gridCol w:w="1239"/>
        <w:gridCol w:w="1239"/>
        <w:gridCol w:w="1239"/>
      </w:tblGrid>
      <w:tr w:rsidR="00162947" w14:paraId="51A94514" w14:textId="77777777" w:rsidTr="00162947">
        <w:trPr>
          <w:trHeight w:val="268"/>
        </w:trPr>
        <w:tc>
          <w:tcPr>
            <w:tcW w:w="2237" w:type="dxa"/>
            <w:tcBorders>
              <w:top w:val="single" w:sz="4" w:space="0" w:color="auto"/>
              <w:left w:val="nil"/>
              <w:bottom w:val="single" w:sz="10" w:space="0" w:color="auto"/>
              <w:right w:val="nil"/>
            </w:tcBorders>
          </w:tcPr>
          <w:p w14:paraId="67785D62" w14:textId="77777777" w:rsidR="00162947" w:rsidRDefault="00162947"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general happiness</w:t>
            </w:r>
          </w:p>
        </w:tc>
        <w:tc>
          <w:tcPr>
            <w:tcW w:w="1239" w:type="dxa"/>
            <w:tcBorders>
              <w:top w:val="single" w:sz="4" w:space="0" w:color="auto"/>
              <w:left w:val="nil"/>
              <w:bottom w:val="single" w:sz="10" w:space="0" w:color="auto"/>
              <w:right w:val="nil"/>
            </w:tcBorders>
          </w:tcPr>
          <w:p w14:paraId="0FA35464"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Freq.</w:t>
            </w:r>
          </w:p>
        </w:tc>
        <w:tc>
          <w:tcPr>
            <w:tcW w:w="1239" w:type="dxa"/>
            <w:tcBorders>
              <w:top w:val="single" w:sz="4" w:space="0" w:color="auto"/>
              <w:left w:val="nil"/>
              <w:bottom w:val="single" w:sz="10" w:space="0" w:color="auto"/>
              <w:right w:val="nil"/>
            </w:tcBorders>
          </w:tcPr>
          <w:p w14:paraId="07E9475D"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Percent</w:t>
            </w:r>
          </w:p>
        </w:tc>
        <w:tc>
          <w:tcPr>
            <w:tcW w:w="1239" w:type="dxa"/>
            <w:tcBorders>
              <w:top w:val="single" w:sz="4" w:space="0" w:color="auto"/>
              <w:left w:val="nil"/>
              <w:bottom w:val="single" w:sz="10" w:space="0" w:color="auto"/>
              <w:right w:val="nil"/>
            </w:tcBorders>
          </w:tcPr>
          <w:p w14:paraId="1B6375C2"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Cum.</w:t>
            </w:r>
          </w:p>
        </w:tc>
      </w:tr>
      <w:tr w:rsidR="00162947" w14:paraId="63094C3C" w14:textId="77777777" w:rsidTr="00162947">
        <w:trPr>
          <w:trHeight w:val="285"/>
        </w:trPr>
        <w:tc>
          <w:tcPr>
            <w:tcW w:w="2237" w:type="dxa"/>
            <w:tcBorders>
              <w:top w:val="nil"/>
              <w:left w:val="nil"/>
              <w:bottom w:val="nil"/>
              <w:right w:val="nil"/>
            </w:tcBorders>
          </w:tcPr>
          <w:p w14:paraId="65CBF38B" w14:textId="77777777" w:rsidR="00162947" w:rsidRDefault="00162947"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very happy</w:t>
            </w:r>
          </w:p>
        </w:tc>
        <w:tc>
          <w:tcPr>
            <w:tcW w:w="1239" w:type="dxa"/>
            <w:tcBorders>
              <w:top w:val="nil"/>
              <w:left w:val="nil"/>
              <w:bottom w:val="nil"/>
              <w:right w:val="nil"/>
            </w:tcBorders>
          </w:tcPr>
          <w:p w14:paraId="5C4B0F2F"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197</w:t>
            </w:r>
          </w:p>
        </w:tc>
        <w:tc>
          <w:tcPr>
            <w:tcW w:w="1239" w:type="dxa"/>
            <w:tcBorders>
              <w:top w:val="nil"/>
              <w:left w:val="nil"/>
              <w:bottom w:val="nil"/>
              <w:right w:val="nil"/>
            </w:tcBorders>
          </w:tcPr>
          <w:p w14:paraId="4692694C"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19.49</w:t>
            </w:r>
          </w:p>
        </w:tc>
        <w:tc>
          <w:tcPr>
            <w:tcW w:w="1239" w:type="dxa"/>
            <w:tcBorders>
              <w:top w:val="nil"/>
              <w:left w:val="nil"/>
              <w:bottom w:val="nil"/>
              <w:right w:val="nil"/>
            </w:tcBorders>
          </w:tcPr>
          <w:p w14:paraId="79DE5FAC"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19.49</w:t>
            </w:r>
          </w:p>
        </w:tc>
      </w:tr>
      <w:tr w:rsidR="00162947" w14:paraId="48E83E22" w14:textId="77777777" w:rsidTr="00162947">
        <w:trPr>
          <w:trHeight w:val="268"/>
        </w:trPr>
        <w:tc>
          <w:tcPr>
            <w:tcW w:w="2237" w:type="dxa"/>
            <w:tcBorders>
              <w:top w:val="nil"/>
              <w:left w:val="nil"/>
              <w:bottom w:val="nil"/>
              <w:right w:val="nil"/>
            </w:tcBorders>
          </w:tcPr>
          <w:p w14:paraId="76BE7249" w14:textId="77777777" w:rsidR="00162947" w:rsidRDefault="00162947"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pretty happy</w:t>
            </w:r>
          </w:p>
        </w:tc>
        <w:tc>
          <w:tcPr>
            <w:tcW w:w="1239" w:type="dxa"/>
            <w:tcBorders>
              <w:top w:val="nil"/>
              <w:left w:val="nil"/>
              <w:bottom w:val="nil"/>
              <w:right w:val="nil"/>
            </w:tcBorders>
          </w:tcPr>
          <w:p w14:paraId="03334838"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516</w:t>
            </w:r>
          </w:p>
        </w:tc>
        <w:tc>
          <w:tcPr>
            <w:tcW w:w="1239" w:type="dxa"/>
            <w:tcBorders>
              <w:top w:val="nil"/>
              <w:left w:val="nil"/>
              <w:bottom w:val="nil"/>
              <w:right w:val="nil"/>
            </w:tcBorders>
          </w:tcPr>
          <w:p w14:paraId="61663CD2"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51.04</w:t>
            </w:r>
          </w:p>
        </w:tc>
        <w:tc>
          <w:tcPr>
            <w:tcW w:w="1239" w:type="dxa"/>
            <w:tcBorders>
              <w:top w:val="nil"/>
              <w:left w:val="nil"/>
              <w:bottom w:val="nil"/>
              <w:right w:val="nil"/>
            </w:tcBorders>
          </w:tcPr>
          <w:p w14:paraId="2A383223"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70.52</w:t>
            </w:r>
          </w:p>
        </w:tc>
      </w:tr>
      <w:tr w:rsidR="00162947" w14:paraId="08346EFD" w14:textId="77777777" w:rsidTr="00162947">
        <w:trPr>
          <w:trHeight w:val="285"/>
        </w:trPr>
        <w:tc>
          <w:tcPr>
            <w:tcW w:w="2237" w:type="dxa"/>
            <w:tcBorders>
              <w:top w:val="nil"/>
              <w:left w:val="nil"/>
              <w:bottom w:val="nil"/>
              <w:right w:val="nil"/>
            </w:tcBorders>
          </w:tcPr>
          <w:p w14:paraId="10A47AE4" w14:textId="77777777" w:rsidR="00162947" w:rsidRDefault="00162947"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not too happy</w:t>
            </w:r>
          </w:p>
        </w:tc>
        <w:tc>
          <w:tcPr>
            <w:tcW w:w="1239" w:type="dxa"/>
            <w:tcBorders>
              <w:top w:val="nil"/>
              <w:left w:val="nil"/>
              <w:bottom w:val="nil"/>
              <w:right w:val="nil"/>
            </w:tcBorders>
          </w:tcPr>
          <w:p w14:paraId="110B3CD2"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298</w:t>
            </w:r>
          </w:p>
        </w:tc>
        <w:tc>
          <w:tcPr>
            <w:tcW w:w="1239" w:type="dxa"/>
            <w:tcBorders>
              <w:top w:val="nil"/>
              <w:left w:val="nil"/>
              <w:bottom w:val="nil"/>
              <w:right w:val="nil"/>
            </w:tcBorders>
          </w:tcPr>
          <w:p w14:paraId="7728FC68"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29.48</w:t>
            </w:r>
          </w:p>
        </w:tc>
        <w:tc>
          <w:tcPr>
            <w:tcW w:w="1239" w:type="dxa"/>
            <w:tcBorders>
              <w:top w:val="nil"/>
              <w:left w:val="nil"/>
              <w:bottom w:val="nil"/>
              <w:right w:val="nil"/>
            </w:tcBorders>
          </w:tcPr>
          <w:p w14:paraId="7A6823DB"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162947" w14:paraId="3F2EB516" w14:textId="77777777" w:rsidTr="00162947">
        <w:trPr>
          <w:trHeight w:val="268"/>
        </w:trPr>
        <w:tc>
          <w:tcPr>
            <w:tcW w:w="2237" w:type="dxa"/>
            <w:tcBorders>
              <w:top w:val="single" w:sz="4" w:space="0" w:color="auto"/>
              <w:left w:val="nil"/>
              <w:bottom w:val="nil"/>
              <w:right w:val="nil"/>
            </w:tcBorders>
          </w:tcPr>
          <w:p w14:paraId="5E929F13" w14:textId="77777777" w:rsidR="00162947" w:rsidRDefault="00162947"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Total</w:t>
            </w:r>
          </w:p>
        </w:tc>
        <w:tc>
          <w:tcPr>
            <w:tcW w:w="1239" w:type="dxa"/>
            <w:tcBorders>
              <w:top w:val="single" w:sz="4" w:space="0" w:color="auto"/>
              <w:left w:val="nil"/>
              <w:bottom w:val="nil"/>
              <w:right w:val="nil"/>
            </w:tcBorders>
          </w:tcPr>
          <w:p w14:paraId="39ED7A76"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1011</w:t>
            </w:r>
          </w:p>
        </w:tc>
        <w:tc>
          <w:tcPr>
            <w:tcW w:w="1239" w:type="dxa"/>
            <w:tcBorders>
              <w:top w:val="single" w:sz="4" w:space="0" w:color="auto"/>
              <w:left w:val="nil"/>
              <w:bottom w:val="nil"/>
              <w:right w:val="nil"/>
            </w:tcBorders>
          </w:tcPr>
          <w:p w14:paraId="667FE38C"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c>
          <w:tcPr>
            <w:tcW w:w="1239" w:type="dxa"/>
            <w:tcBorders>
              <w:top w:val="single" w:sz="4" w:space="0" w:color="auto"/>
              <w:left w:val="nil"/>
              <w:bottom w:val="nil"/>
              <w:right w:val="nil"/>
            </w:tcBorders>
          </w:tcPr>
          <w:p w14:paraId="5349542A" w14:textId="77777777" w:rsidR="00162947" w:rsidRDefault="00162947" w:rsidP="00AE5F86">
            <w:pPr>
              <w:widowControl w:val="0"/>
              <w:autoSpaceDE w:val="0"/>
              <w:autoSpaceDN w:val="0"/>
              <w:adjustRightInd w:val="0"/>
              <w:spacing w:after="0" w:line="240" w:lineRule="auto"/>
              <w:jc w:val="right"/>
              <w:rPr>
                <w:rFonts w:ascii="Garamond" w:hAnsi="Garamond"/>
                <w:sz w:val="20"/>
                <w:szCs w:val="20"/>
              </w:rPr>
            </w:pPr>
          </w:p>
        </w:tc>
      </w:tr>
    </w:tbl>
    <w:p w14:paraId="312C8F1C" w14:textId="77777777" w:rsidR="004A726E" w:rsidRDefault="004A726E">
      <w:pPr>
        <w:rPr>
          <w:rFonts w:ascii="Times New Roman" w:hAnsi="Times New Roman" w:cs="Times New Roman"/>
        </w:rPr>
      </w:pPr>
    </w:p>
    <w:p w14:paraId="40B0C5C4" w14:textId="76AA8FFD" w:rsidR="00EB1887" w:rsidRPr="00682522" w:rsidRDefault="00682522" w:rsidP="00056A43">
      <w:pPr>
        <w:spacing w:line="480" w:lineRule="auto"/>
        <w:rPr>
          <w:rFonts w:ascii="Times New Roman" w:hAnsi="Times New Roman" w:cs="Times New Roman"/>
        </w:rPr>
      </w:pPr>
      <w:r>
        <w:rPr>
          <w:rFonts w:ascii="Times New Roman" w:hAnsi="Times New Roman" w:cs="Times New Roman"/>
          <w:i/>
          <w:iCs/>
        </w:rPr>
        <w:t>Social Cohesion</w:t>
      </w:r>
    </w:p>
    <w:p w14:paraId="3E41CD41" w14:textId="2C740AA4" w:rsidR="00EB1887" w:rsidRDefault="00A93787" w:rsidP="00056A43">
      <w:pPr>
        <w:spacing w:line="480" w:lineRule="auto"/>
        <w:ind w:firstLine="720"/>
        <w:rPr>
          <w:rFonts w:ascii="Times New Roman" w:hAnsi="Times New Roman" w:cs="Times New Roman"/>
        </w:rPr>
      </w:pPr>
      <w:r>
        <w:rPr>
          <w:rFonts w:ascii="Times New Roman" w:hAnsi="Times New Roman" w:cs="Times New Roman"/>
        </w:rPr>
        <w:t xml:space="preserve">Measures for social cohesion were </w:t>
      </w:r>
      <w:r w:rsidR="00365608">
        <w:rPr>
          <w:rFonts w:ascii="Times New Roman" w:hAnsi="Times New Roman" w:cs="Times New Roman"/>
        </w:rPr>
        <w:t xml:space="preserve">separated into three distinct </w:t>
      </w:r>
      <w:r w:rsidR="003E0728">
        <w:rPr>
          <w:rFonts w:ascii="Times New Roman" w:hAnsi="Times New Roman" w:cs="Times New Roman"/>
        </w:rPr>
        <w:t>dummies</w:t>
      </w:r>
      <w:r w:rsidR="00227A14">
        <w:rPr>
          <w:rFonts w:ascii="Times New Roman" w:hAnsi="Times New Roman" w:cs="Times New Roman"/>
        </w:rPr>
        <w:t xml:space="preserve"> with three distinct set of responses</w:t>
      </w:r>
      <w:r w:rsidR="003E0728">
        <w:rPr>
          <w:rFonts w:ascii="Times New Roman" w:hAnsi="Times New Roman" w:cs="Times New Roman"/>
        </w:rPr>
        <w:t xml:space="preserve">: </w:t>
      </w:r>
      <w:r w:rsidR="003E0728" w:rsidRPr="00095586">
        <w:rPr>
          <w:rFonts w:ascii="Times New Roman" w:hAnsi="Times New Roman" w:cs="Times New Roman"/>
          <w:i/>
          <w:iCs/>
        </w:rPr>
        <w:t>trust</w:t>
      </w:r>
      <w:r w:rsidR="003E0728">
        <w:rPr>
          <w:rFonts w:ascii="Times New Roman" w:hAnsi="Times New Roman" w:cs="Times New Roman"/>
        </w:rPr>
        <w:t xml:space="preserve"> (“</w:t>
      </w:r>
      <w:r w:rsidR="003E0728" w:rsidRPr="003E0728">
        <w:rPr>
          <w:rFonts w:ascii="Times New Roman" w:hAnsi="Times New Roman" w:cs="Times New Roman"/>
        </w:rPr>
        <w:t>Generally speaking, would you say that most people can be trusted or that you can't be too careful when dealing with others?</w:t>
      </w:r>
      <w:r w:rsidR="003E0728">
        <w:rPr>
          <w:rFonts w:ascii="Times New Roman" w:hAnsi="Times New Roman" w:cs="Times New Roman"/>
        </w:rPr>
        <w:t xml:space="preserve">”), </w:t>
      </w:r>
      <w:r w:rsidR="00DB599F" w:rsidRPr="00095586">
        <w:rPr>
          <w:rFonts w:ascii="Times New Roman" w:hAnsi="Times New Roman" w:cs="Times New Roman"/>
          <w:i/>
          <w:iCs/>
        </w:rPr>
        <w:t>fair</w:t>
      </w:r>
      <w:r w:rsidR="00DB599F">
        <w:rPr>
          <w:rFonts w:ascii="Times New Roman" w:hAnsi="Times New Roman" w:cs="Times New Roman"/>
        </w:rPr>
        <w:t xml:space="preserve"> (</w:t>
      </w:r>
      <w:r w:rsidR="00DB599F" w:rsidRPr="00DB599F">
        <w:rPr>
          <w:rFonts w:ascii="Times New Roman" w:hAnsi="Times New Roman" w:cs="Times New Roman"/>
        </w:rPr>
        <w:t>“Do you think most people would try to take advantage of you if they got a chance, or would they try to be fair?“</w:t>
      </w:r>
      <w:r w:rsidR="00DB599F">
        <w:rPr>
          <w:rFonts w:ascii="Times New Roman" w:hAnsi="Times New Roman" w:cs="Times New Roman"/>
        </w:rPr>
        <w:t xml:space="preserve">), and </w:t>
      </w:r>
      <w:r w:rsidR="00DB599F" w:rsidRPr="00095586">
        <w:rPr>
          <w:rFonts w:ascii="Times New Roman" w:hAnsi="Times New Roman" w:cs="Times New Roman"/>
          <w:i/>
          <w:iCs/>
        </w:rPr>
        <w:t>helpful</w:t>
      </w:r>
      <w:r w:rsidR="00DB599F">
        <w:rPr>
          <w:rFonts w:ascii="Times New Roman" w:hAnsi="Times New Roman" w:cs="Times New Roman"/>
        </w:rPr>
        <w:t xml:space="preserve"> (</w:t>
      </w:r>
      <w:r w:rsidR="00DB599F" w:rsidRPr="00DB599F">
        <w:rPr>
          <w:rFonts w:ascii="Times New Roman" w:hAnsi="Times New Roman" w:cs="Times New Roman"/>
        </w:rPr>
        <w:t>Would you say that most of the time people try to be helpful, or that they are mostly just looking out for themselves?”</w:t>
      </w:r>
      <w:r w:rsidR="00DB599F">
        <w:rPr>
          <w:rFonts w:ascii="Times New Roman" w:hAnsi="Times New Roman" w:cs="Times New Roman"/>
        </w:rPr>
        <w:t>).</w:t>
      </w:r>
      <w:r w:rsidR="00EF4FBC">
        <w:rPr>
          <w:rFonts w:ascii="Times New Roman" w:hAnsi="Times New Roman" w:cs="Times New Roman"/>
        </w:rPr>
        <w:t xml:space="preserve"> Certain authors like</w:t>
      </w:r>
      <w:r w:rsidR="00DB599F">
        <w:rPr>
          <w:rFonts w:ascii="Times New Roman" w:hAnsi="Times New Roman" w:cs="Times New Roman"/>
        </w:rPr>
        <w:t xml:space="preserve"> </w:t>
      </w:r>
      <w:r w:rsidR="00340ED3">
        <w:rPr>
          <w:rFonts w:ascii="Times New Roman" w:hAnsi="Times New Roman" w:cs="Times New Roman"/>
        </w:rPr>
        <w:t xml:space="preserve">Mewes, Fairbrother, Giordano, Wu, &amp; Wilkes </w:t>
      </w:r>
      <w:r w:rsidR="00C6427D">
        <w:rPr>
          <w:rFonts w:ascii="Times New Roman" w:hAnsi="Times New Roman" w:cs="Times New Roman"/>
        </w:rPr>
        <w:t>(2021</w:t>
      </w:r>
      <w:r w:rsidR="00443AD5">
        <w:rPr>
          <w:rFonts w:ascii="Times New Roman" w:hAnsi="Times New Roman" w:cs="Times New Roman"/>
        </w:rPr>
        <w:t xml:space="preserve">) took the mean of the three variables to obtain a generalized dependent </w:t>
      </w:r>
      <w:r w:rsidR="00F507A4">
        <w:rPr>
          <w:rFonts w:ascii="Times New Roman" w:hAnsi="Times New Roman" w:cs="Times New Roman"/>
        </w:rPr>
        <w:t xml:space="preserve">scale going from 0 to 1, with 0 indicating </w:t>
      </w:r>
      <w:r w:rsidR="00C83CB7">
        <w:rPr>
          <w:rFonts w:ascii="Times New Roman" w:hAnsi="Times New Roman" w:cs="Times New Roman"/>
        </w:rPr>
        <w:t xml:space="preserve">negative connotations of trust, while numbers closer to 1 pointed at higher trust and social cohesion. </w:t>
      </w:r>
      <w:r w:rsidR="004142E3">
        <w:rPr>
          <w:rFonts w:ascii="Times New Roman" w:hAnsi="Times New Roman" w:cs="Times New Roman"/>
        </w:rPr>
        <w:t xml:space="preserve">On the other hand, </w:t>
      </w:r>
      <w:r w:rsidR="00EF4FBC">
        <w:rPr>
          <w:rFonts w:ascii="Times New Roman" w:hAnsi="Times New Roman" w:cs="Times New Roman"/>
        </w:rPr>
        <w:t>others like Glanville</w:t>
      </w:r>
      <w:r w:rsidR="006229A9">
        <w:rPr>
          <w:rFonts w:ascii="Times New Roman" w:hAnsi="Times New Roman" w:cs="Times New Roman"/>
        </w:rPr>
        <w:t xml:space="preserve">, </w:t>
      </w:r>
      <w:r w:rsidR="00EF4FBC">
        <w:rPr>
          <w:rFonts w:ascii="Times New Roman" w:hAnsi="Times New Roman" w:cs="Times New Roman"/>
        </w:rPr>
        <w:t>Andersson</w:t>
      </w:r>
      <w:r w:rsidR="006229A9">
        <w:rPr>
          <w:rFonts w:ascii="Times New Roman" w:hAnsi="Times New Roman" w:cs="Times New Roman"/>
        </w:rPr>
        <w:t>, and Paxton</w:t>
      </w:r>
      <w:r w:rsidR="00EF4FBC">
        <w:rPr>
          <w:rFonts w:ascii="Times New Roman" w:hAnsi="Times New Roman" w:cs="Times New Roman"/>
        </w:rPr>
        <w:t xml:space="preserve"> (2013)</w:t>
      </w:r>
      <w:r w:rsidR="006229A9">
        <w:rPr>
          <w:rFonts w:ascii="Times New Roman" w:hAnsi="Times New Roman" w:cs="Times New Roman"/>
        </w:rPr>
        <w:t xml:space="preserve"> created a</w:t>
      </w:r>
      <w:r w:rsidR="00F75779">
        <w:rPr>
          <w:rFonts w:ascii="Times New Roman" w:hAnsi="Times New Roman" w:cs="Times New Roman"/>
        </w:rPr>
        <w:t xml:space="preserve"> composite index of laten</w:t>
      </w:r>
      <w:r w:rsidR="0085610F">
        <w:rPr>
          <w:rFonts w:ascii="Times New Roman" w:hAnsi="Times New Roman" w:cs="Times New Roman"/>
        </w:rPr>
        <w:t>t</w:t>
      </w:r>
      <w:r w:rsidR="00F75779">
        <w:rPr>
          <w:rFonts w:ascii="Times New Roman" w:hAnsi="Times New Roman" w:cs="Times New Roman"/>
        </w:rPr>
        <w:t xml:space="preserve"> generalized trust, which was based on</w:t>
      </w:r>
      <w:r w:rsidR="0060205E">
        <w:rPr>
          <w:rFonts w:ascii="Times New Roman" w:hAnsi="Times New Roman" w:cs="Times New Roman"/>
        </w:rPr>
        <w:t xml:space="preserve"> a</w:t>
      </w:r>
      <w:r w:rsidR="00F75779">
        <w:rPr>
          <w:rFonts w:ascii="Times New Roman" w:hAnsi="Times New Roman" w:cs="Times New Roman"/>
        </w:rPr>
        <w:t xml:space="preserve"> previous </w:t>
      </w:r>
      <w:r w:rsidR="0060205E">
        <w:rPr>
          <w:rFonts w:ascii="Times New Roman" w:hAnsi="Times New Roman" w:cs="Times New Roman"/>
        </w:rPr>
        <w:t>analysis by Paxton (1999)</w:t>
      </w:r>
      <w:r w:rsidR="004C6B3B">
        <w:rPr>
          <w:rFonts w:ascii="Times New Roman" w:hAnsi="Times New Roman" w:cs="Times New Roman"/>
        </w:rPr>
        <w:t xml:space="preserve"> confirm</w:t>
      </w:r>
      <w:r w:rsidR="00E4767A">
        <w:rPr>
          <w:rFonts w:ascii="Times New Roman" w:hAnsi="Times New Roman" w:cs="Times New Roman"/>
        </w:rPr>
        <w:t>ing</w:t>
      </w:r>
      <w:r w:rsidR="004C6B3B">
        <w:rPr>
          <w:rFonts w:ascii="Times New Roman" w:hAnsi="Times New Roman" w:cs="Times New Roman"/>
        </w:rPr>
        <w:t xml:space="preserve"> the stability of these parameters</w:t>
      </w:r>
      <w:r w:rsidR="00662623">
        <w:rPr>
          <w:rFonts w:ascii="Times New Roman" w:hAnsi="Times New Roman" w:cs="Times New Roman"/>
        </w:rPr>
        <w:t xml:space="preserve"> when aggregated together</w:t>
      </w:r>
      <w:r w:rsidR="00662623">
        <w:rPr>
          <w:rStyle w:val="FootnoteReference"/>
          <w:rFonts w:ascii="Times New Roman" w:hAnsi="Times New Roman" w:cs="Times New Roman"/>
        </w:rPr>
        <w:footnoteReference w:id="3"/>
      </w:r>
      <w:r w:rsidR="006D0A3C">
        <w:rPr>
          <w:rFonts w:ascii="Times New Roman" w:hAnsi="Times New Roman" w:cs="Times New Roman"/>
        </w:rPr>
        <w:t>.</w:t>
      </w:r>
    </w:p>
    <w:p w14:paraId="23DC16A2" w14:textId="540A57FA" w:rsidR="006D0A3C" w:rsidRDefault="004A74AE" w:rsidP="00056A43">
      <w:pPr>
        <w:spacing w:line="480" w:lineRule="auto"/>
        <w:ind w:firstLine="720"/>
        <w:rPr>
          <w:rFonts w:ascii="Times New Roman" w:hAnsi="Times New Roman" w:cs="Times New Roman"/>
        </w:rPr>
      </w:pPr>
      <w:r>
        <w:rPr>
          <w:rFonts w:ascii="Times New Roman" w:hAnsi="Times New Roman" w:cs="Times New Roman"/>
        </w:rPr>
        <w:t>While it is not yet clear what methodology would be best to standardize the three measures</w:t>
      </w:r>
      <w:r w:rsidR="001503B0">
        <w:rPr>
          <w:rFonts w:ascii="Times New Roman" w:hAnsi="Times New Roman" w:cs="Times New Roman"/>
        </w:rPr>
        <w:t>, the parameters will be standardized into a 0 and 1 dichotomy, collapsing the “Depends</w:t>
      </w:r>
      <w:r w:rsidR="00227A14">
        <w:rPr>
          <w:rFonts w:ascii="Times New Roman" w:hAnsi="Times New Roman" w:cs="Times New Roman"/>
        </w:rPr>
        <w:t xml:space="preserve">” answer common </w:t>
      </w:r>
      <w:r w:rsidR="00EB5194">
        <w:rPr>
          <w:rFonts w:ascii="Times New Roman" w:hAnsi="Times New Roman" w:cs="Times New Roman"/>
        </w:rPr>
        <w:t>of</w:t>
      </w:r>
      <w:r w:rsidR="00227A14">
        <w:rPr>
          <w:rFonts w:ascii="Times New Roman" w:hAnsi="Times New Roman" w:cs="Times New Roman"/>
        </w:rPr>
        <w:t xml:space="preserve"> all three into the </w:t>
      </w:r>
      <w:r w:rsidR="00987BDA">
        <w:rPr>
          <w:rFonts w:ascii="Times New Roman" w:hAnsi="Times New Roman" w:cs="Times New Roman"/>
        </w:rPr>
        <w:t>0</w:t>
      </w:r>
      <w:r w:rsidR="00EB5194">
        <w:rPr>
          <w:rFonts w:ascii="Times New Roman" w:hAnsi="Times New Roman" w:cs="Times New Roman"/>
        </w:rPr>
        <w:t xml:space="preserve"> level</w:t>
      </w:r>
      <w:r w:rsidR="00C8203B">
        <w:rPr>
          <w:rFonts w:ascii="Times New Roman" w:hAnsi="Times New Roman" w:cs="Times New Roman"/>
        </w:rPr>
        <w:t xml:space="preserve"> (</w:t>
      </w:r>
      <w:r w:rsidR="009E03C5">
        <w:rPr>
          <w:rFonts w:ascii="Times New Roman" w:hAnsi="Times New Roman" w:cs="Times New Roman"/>
        </w:rPr>
        <w:t>Carl &amp; Billari, 2014)</w:t>
      </w:r>
      <w:r w:rsidR="00987BDA">
        <w:rPr>
          <w:rFonts w:ascii="Times New Roman" w:hAnsi="Times New Roman" w:cs="Times New Roman"/>
        </w:rPr>
        <w:t xml:space="preserve">. This is </w:t>
      </w:r>
      <w:r w:rsidR="005B7CB8">
        <w:rPr>
          <w:rFonts w:ascii="Times New Roman" w:hAnsi="Times New Roman" w:cs="Times New Roman"/>
        </w:rPr>
        <w:t>justified by</w:t>
      </w:r>
      <w:r w:rsidR="00987BDA">
        <w:rPr>
          <w:rFonts w:ascii="Times New Roman" w:hAnsi="Times New Roman" w:cs="Times New Roman"/>
        </w:rPr>
        <w:t xml:space="preserve"> the </w:t>
      </w:r>
      <w:r w:rsidR="00470D71">
        <w:rPr>
          <w:rFonts w:ascii="Times New Roman" w:hAnsi="Times New Roman" w:cs="Times New Roman"/>
        </w:rPr>
        <w:t xml:space="preserve">low cell value of the category, and the perceived negative connotation of doubt when </w:t>
      </w:r>
      <w:r w:rsidR="00EB5194">
        <w:rPr>
          <w:rFonts w:ascii="Times New Roman" w:hAnsi="Times New Roman" w:cs="Times New Roman"/>
        </w:rPr>
        <w:t>inquired</w:t>
      </w:r>
      <w:r w:rsidR="00470D71">
        <w:rPr>
          <w:rFonts w:ascii="Times New Roman" w:hAnsi="Times New Roman" w:cs="Times New Roman"/>
        </w:rPr>
        <w:t xml:space="preserve"> on the reliability of other people.</w:t>
      </w:r>
    </w:p>
    <w:p w14:paraId="27FC6BAA" w14:textId="77777777" w:rsidR="00CC60A9" w:rsidRDefault="00CC60A9" w:rsidP="00CC60A9">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lastRenderedPageBreak/>
        <w:t xml:space="preserve">Tabulation of fair_2  </w:t>
      </w:r>
    </w:p>
    <w:tbl>
      <w:tblPr>
        <w:tblW w:w="5224" w:type="dxa"/>
        <w:tblLook w:val="0000" w:firstRow="0" w:lastRow="0" w:firstColumn="0" w:lastColumn="0" w:noHBand="0" w:noVBand="0"/>
      </w:tblPr>
      <w:tblGrid>
        <w:gridCol w:w="3004"/>
        <w:gridCol w:w="639"/>
        <w:gridCol w:w="830"/>
        <w:gridCol w:w="751"/>
      </w:tblGrid>
      <w:tr w:rsidR="00CC60A9" w14:paraId="7CD2B9B4" w14:textId="77777777" w:rsidTr="00F5791D">
        <w:trPr>
          <w:trHeight w:val="249"/>
        </w:trPr>
        <w:tc>
          <w:tcPr>
            <w:tcW w:w="0" w:type="auto"/>
            <w:tcBorders>
              <w:top w:val="single" w:sz="4" w:space="0" w:color="auto"/>
              <w:left w:val="nil"/>
              <w:bottom w:val="single" w:sz="10" w:space="0" w:color="auto"/>
              <w:right w:val="nil"/>
            </w:tcBorders>
          </w:tcPr>
          <w:p w14:paraId="19BB1D18" w14:textId="77777777" w:rsidR="00CC60A9" w:rsidRDefault="00CC60A9"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people fair or try to take advantage</w:t>
            </w:r>
          </w:p>
        </w:tc>
        <w:tc>
          <w:tcPr>
            <w:tcW w:w="0" w:type="auto"/>
            <w:tcBorders>
              <w:top w:val="single" w:sz="4" w:space="0" w:color="auto"/>
              <w:left w:val="nil"/>
              <w:bottom w:val="single" w:sz="10" w:space="0" w:color="auto"/>
              <w:right w:val="nil"/>
            </w:tcBorders>
          </w:tcPr>
          <w:p w14:paraId="3A57EE5F"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Freq.</w:t>
            </w:r>
          </w:p>
        </w:tc>
        <w:tc>
          <w:tcPr>
            <w:tcW w:w="0" w:type="auto"/>
            <w:tcBorders>
              <w:top w:val="single" w:sz="4" w:space="0" w:color="auto"/>
              <w:left w:val="nil"/>
              <w:bottom w:val="single" w:sz="10" w:space="0" w:color="auto"/>
              <w:right w:val="nil"/>
            </w:tcBorders>
          </w:tcPr>
          <w:p w14:paraId="5A608562"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Percent</w:t>
            </w:r>
          </w:p>
        </w:tc>
        <w:tc>
          <w:tcPr>
            <w:tcW w:w="0" w:type="auto"/>
            <w:tcBorders>
              <w:top w:val="single" w:sz="4" w:space="0" w:color="auto"/>
              <w:left w:val="nil"/>
              <w:bottom w:val="single" w:sz="10" w:space="0" w:color="auto"/>
              <w:right w:val="nil"/>
            </w:tcBorders>
          </w:tcPr>
          <w:p w14:paraId="43E9D665"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Cum.</w:t>
            </w:r>
          </w:p>
        </w:tc>
      </w:tr>
      <w:tr w:rsidR="00CC60A9" w14:paraId="64C6009B" w14:textId="77777777" w:rsidTr="00F5791D">
        <w:trPr>
          <w:trHeight w:val="265"/>
        </w:trPr>
        <w:tc>
          <w:tcPr>
            <w:tcW w:w="0" w:type="auto"/>
            <w:tcBorders>
              <w:top w:val="nil"/>
              <w:left w:val="nil"/>
              <w:bottom w:val="nil"/>
              <w:right w:val="nil"/>
            </w:tcBorders>
          </w:tcPr>
          <w:p w14:paraId="3B2B2680" w14:textId="77777777" w:rsidR="00CC60A9" w:rsidRDefault="00CC60A9"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would take advantage of you</w:t>
            </w:r>
          </w:p>
        </w:tc>
        <w:tc>
          <w:tcPr>
            <w:tcW w:w="0" w:type="auto"/>
            <w:tcBorders>
              <w:top w:val="nil"/>
              <w:left w:val="nil"/>
              <w:bottom w:val="nil"/>
              <w:right w:val="nil"/>
            </w:tcBorders>
          </w:tcPr>
          <w:p w14:paraId="0170DCF0"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292</w:t>
            </w:r>
          </w:p>
        </w:tc>
        <w:tc>
          <w:tcPr>
            <w:tcW w:w="0" w:type="auto"/>
            <w:tcBorders>
              <w:top w:val="nil"/>
              <w:left w:val="nil"/>
              <w:bottom w:val="nil"/>
              <w:right w:val="nil"/>
            </w:tcBorders>
          </w:tcPr>
          <w:p w14:paraId="61D88DE5"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43.91</w:t>
            </w:r>
          </w:p>
        </w:tc>
        <w:tc>
          <w:tcPr>
            <w:tcW w:w="0" w:type="auto"/>
            <w:tcBorders>
              <w:top w:val="nil"/>
              <w:left w:val="nil"/>
              <w:bottom w:val="nil"/>
              <w:right w:val="nil"/>
            </w:tcBorders>
          </w:tcPr>
          <w:p w14:paraId="4BC87890"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43.91</w:t>
            </w:r>
          </w:p>
        </w:tc>
      </w:tr>
      <w:tr w:rsidR="00CC60A9" w14:paraId="3D26F41C" w14:textId="77777777" w:rsidTr="00F5791D">
        <w:trPr>
          <w:trHeight w:val="249"/>
        </w:trPr>
        <w:tc>
          <w:tcPr>
            <w:tcW w:w="0" w:type="auto"/>
            <w:tcBorders>
              <w:top w:val="nil"/>
              <w:left w:val="nil"/>
              <w:bottom w:val="nil"/>
              <w:right w:val="nil"/>
            </w:tcBorders>
          </w:tcPr>
          <w:p w14:paraId="1B12216A" w14:textId="77777777" w:rsidR="00CC60A9" w:rsidRDefault="00CC60A9"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would try to be fair</w:t>
            </w:r>
          </w:p>
        </w:tc>
        <w:tc>
          <w:tcPr>
            <w:tcW w:w="0" w:type="auto"/>
            <w:tcBorders>
              <w:top w:val="nil"/>
              <w:left w:val="nil"/>
              <w:bottom w:val="nil"/>
              <w:right w:val="nil"/>
            </w:tcBorders>
          </w:tcPr>
          <w:p w14:paraId="21989097"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359</w:t>
            </w:r>
          </w:p>
        </w:tc>
        <w:tc>
          <w:tcPr>
            <w:tcW w:w="0" w:type="auto"/>
            <w:tcBorders>
              <w:top w:val="nil"/>
              <w:left w:val="nil"/>
              <w:bottom w:val="nil"/>
              <w:right w:val="nil"/>
            </w:tcBorders>
          </w:tcPr>
          <w:p w14:paraId="74EFA35B"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53.98</w:t>
            </w:r>
          </w:p>
        </w:tc>
        <w:tc>
          <w:tcPr>
            <w:tcW w:w="0" w:type="auto"/>
            <w:tcBorders>
              <w:top w:val="nil"/>
              <w:left w:val="nil"/>
              <w:bottom w:val="nil"/>
              <w:right w:val="nil"/>
            </w:tcBorders>
          </w:tcPr>
          <w:p w14:paraId="285AC43C"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97.89</w:t>
            </w:r>
          </w:p>
        </w:tc>
      </w:tr>
      <w:tr w:rsidR="00CC60A9" w14:paraId="25695E49" w14:textId="77777777" w:rsidTr="00F5791D">
        <w:trPr>
          <w:trHeight w:val="265"/>
        </w:trPr>
        <w:tc>
          <w:tcPr>
            <w:tcW w:w="0" w:type="auto"/>
            <w:tcBorders>
              <w:top w:val="nil"/>
              <w:left w:val="nil"/>
              <w:bottom w:val="nil"/>
              <w:right w:val="nil"/>
            </w:tcBorders>
          </w:tcPr>
          <w:p w14:paraId="1A6FA67F" w14:textId="77777777" w:rsidR="00CC60A9" w:rsidRDefault="00CC60A9" w:rsidP="00AE5F86">
            <w:pPr>
              <w:widowControl w:val="0"/>
              <w:autoSpaceDE w:val="0"/>
              <w:autoSpaceDN w:val="0"/>
              <w:adjustRightInd w:val="0"/>
              <w:spacing w:after="0" w:line="240" w:lineRule="auto"/>
              <w:rPr>
                <w:rFonts w:ascii="Garamond" w:hAnsi="Garamond"/>
                <w:sz w:val="20"/>
                <w:szCs w:val="20"/>
              </w:rPr>
            </w:pPr>
            <w:proofErr w:type="gramStart"/>
            <w:r>
              <w:rPr>
                <w:rFonts w:ascii="Garamond" w:hAnsi="Garamond"/>
                <w:sz w:val="20"/>
                <w:szCs w:val="20"/>
              </w:rPr>
              <w:t>depends</w:t>
            </w:r>
            <w:proofErr w:type="gramEnd"/>
          </w:p>
        </w:tc>
        <w:tc>
          <w:tcPr>
            <w:tcW w:w="0" w:type="auto"/>
            <w:tcBorders>
              <w:top w:val="nil"/>
              <w:left w:val="nil"/>
              <w:bottom w:val="nil"/>
              <w:right w:val="nil"/>
            </w:tcBorders>
          </w:tcPr>
          <w:p w14:paraId="48532530"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14</w:t>
            </w:r>
          </w:p>
        </w:tc>
        <w:tc>
          <w:tcPr>
            <w:tcW w:w="0" w:type="auto"/>
            <w:tcBorders>
              <w:top w:val="nil"/>
              <w:left w:val="nil"/>
              <w:bottom w:val="nil"/>
              <w:right w:val="nil"/>
            </w:tcBorders>
          </w:tcPr>
          <w:p w14:paraId="38C66E1E"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2.11</w:t>
            </w:r>
          </w:p>
        </w:tc>
        <w:tc>
          <w:tcPr>
            <w:tcW w:w="0" w:type="auto"/>
            <w:tcBorders>
              <w:top w:val="nil"/>
              <w:left w:val="nil"/>
              <w:bottom w:val="nil"/>
              <w:right w:val="nil"/>
            </w:tcBorders>
          </w:tcPr>
          <w:p w14:paraId="2F7B39E9"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CC60A9" w14:paraId="5A7F9DC3" w14:textId="77777777" w:rsidTr="00F5791D">
        <w:trPr>
          <w:trHeight w:val="249"/>
        </w:trPr>
        <w:tc>
          <w:tcPr>
            <w:tcW w:w="0" w:type="auto"/>
            <w:tcBorders>
              <w:top w:val="single" w:sz="4" w:space="0" w:color="auto"/>
              <w:left w:val="nil"/>
              <w:bottom w:val="nil"/>
              <w:right w:val="nil"/>
            </w:tcBorders>
          </w:tcPr>
          <w:p w14:paraId="5652EAAA" w14:textId="77777777" w:rsidR="00CC60A9" w:rsidRDefault="00CC60A9"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Total</w:t>
            </w:r>
          </w:p>
        </w:tc>
        <w:tc>
          <w:tcPr>
            <w:tcW w:w="0" w:type="auto"/>
            <w:tcBorders>
              <w:top w:val="single" w:sz="4" w:space="0" w:color="auto"/>
              <w:left w:val="nil"/>
              <w:bottom w:val="nil"/>
              <w:right w:val="nil"/>
            </w:tcBorders>
          </w:tcPr>
          <w:p w14:paraId="460154EC"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665</w:t>
            </w:r>
          </w:p>
        </w:tc>
        <w:tc>
          <w:tcPr>
            <w:tcW w:w="0" w:type="auto"/>
            <w:tcBorders>
              <w:top w:val="single" w:sz="4" w:space="0" w:color="auto"/>
              <w:left w:val="nil"/>
              <w:bottom w:val="nil"/>
              <w:right w:val="nil"/>
            </w:tcBorders>
          </w:tcPr>
          <w:p w14:paraId="3C23C16B"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c>
          <w:tcPr>
            <w:tcW w:w="0" w:type="auto"/>
            <w:tcBorders>
              <w:top w:val="single" w:sz="4" w:space="0" w:color="auto"/>
              <w:left w:val="nil"/>
              <w:bottom w:val="nil"/>
              <w:right w:val="nil"/>
            </w:tcBorders>
          </w:tcPr>
          <w:p w14:paraId="42BFFDFD"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p>
        </w:tc>
      </w:tr>
      <w:tr w:rsidR="00CC60A9" w14:paraId="22DA357E" w14:textId="77777777" w:rsidTr="00F5791D">
        <w:trPr>
          <w:trHeight w:val="265"/>
        </w:trPr>
        <w:tc>
          <w:tcPr>
            <w:tcW w:w="0" w:type="auto"/>
            <w:gridSpan w:val="4"/>
            <w:tcBorders>
              <w:top w:val="single" w:sz="6" w:space="0" w:color="auto"/>
              <w:left w:val="nil"/>
              <w:bottom w:val="nil"/>
              <w:right w:val="nil"/>
            </w:tcBorders>
          </w:tcPr>
          <w:p w14:paraId="6CD42D49" w14:textId="77777777" w:rsidR="00CC60A9" w:rsidRDefault="00CC60A9" w:rsidP="00AE5F86">
            <w:pPr>
              <w:widowControl w:val="0"/>
              <w:autoSpaceDE w:val="0"/>
              <w:autoSpaceDN w:val="0"/>
              <w:adjustRightInd w:val="0"/>
              <w:spacing w:after="0" w:line="240" w:lineRule="auto"/>
              <w:rPr>
                <w:rFonts w:ascii="Garamond" w:hAnsi="Garamond"/>
                <w:sz w:val="20"/>
                <w:szCs w:val="20"/>
              </w:rPr>
            </w:pPr>
          </w:p>
        </w:tc>
      </w:tr>
    </w:tbl>
    <w:p w14:paraId="5597B5E4" w14:textId="77777777" w:rsidR="00F529B6" w:rsidRDefault="00F8660E" w:rsidP="00F529B6">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t xml:space="preserve"> </w:t>
      </w:r>
      <w:r w:rsidR="00F529B6">
        <w:rPr>
          <w:rFonts w:ascii="Garamond" w:hAnsi="Garamond"/>
          <w:b/>
          <w:bCs/>
          <w:sz w:val="20"/>
          <w:szCs w:val="20"/>
        </w:rPr>
        <w:t xml:space="preserve">Tabulation of fair_1b  </w:t>
      </w:r>
    </w:p>
    <w:tbl>
      <w:tblPr>
        <w:tblW w:w="0" w:type="auto"/>
        <w:tblLayout w:type="fixed"/>
        <w:tblLook w:val="0000" w:firstRow="0" w:lastRow="0" w:firstColumn="0" w:lastColumn="0" w:noHBand="0" w:noVBand="0"/>
      </w:tblPr>
      <w:tblGrid>
        <w:gridCol w:w="2777"/>
        <w:gridCol w:w="815"/>
        <w:gridCol w:w="815"/>
        <w:gridCol w:w="818"/>
      </w:tblGrid>
      <w:tr w:rsidR="00F529B6" w14:paraId="3D3316DA" w14:textId="77777777" w:rsidTr="00F5791D">
        <w:trPr>
          <w:trHeight w:val="165"/>
        </w:trPr>
        <w:tc>
          <w:tcPr>
            <w:tcW w:w="2777" w:type="dxa"/>
            <w:tcBorders>
              <w:top w:val="single" w:sz="4" w:space="0" w:color="auto"/>
              <w:left w:val="nil"/>
              <w:bottom w:val="single" w:sz="10" w:space="0" w:color="auto"/>
              <w:right w:val="nil"/>
            </w:tcBorders>
          </w:tcPr>
          <w:p w14:paraId="3829C837" w14:textId="77777777" w:rsidR="00F529B6" w:rsidRDefault="00F529B6"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people fair or try to take advantage</w:t>
            </w:r>
          </w:p>
        </w:tc>
        <w:tc>
          <w:tcPr>
            <w:tcW w:w="815" w:type="dxa"/>
            <w:tcBorders>
              <w:top w:val="single" w:sz="4" w:space="0" w:color="auto"/>
              <w:left w:val="nil"/>
              <w:bottom w:val="single" w:sz="10" w:space="0" w:color="auto"/>
              <w:right w:val="nil"/>
            </w:tcBorders>
          </w:tcPr>
          <w:p w14:paraId="35F2BE66"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Freq.</w:t>
            </w:r>
          </w:p>
        </w:tc>
        <w:tc>
          <w:tcPr>
            <w:tcW w:w="815" w:type="dxa"/>
            <w:tcBorders>
              <w:top w:val="single" w:sz="4" w:space="0" w:color="auto"/>
              <w:left w:val="nil"/>
              <w:bottom w:val="single" w:sz="10" w:space="0" w:color="auto"/>
              <w:right w:val="nil"/>
            </w:tcBorders>
          </w:tcPr>
          <w:p w14:paraId="3C7F0F6B"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Percent</w:t>
            </w:r>
          </w:p>
        </w:tc>
        <w:tc>
          <w:tcPr>
            <w:tcW w:w="818" w:type="dxa"/>
            <w:tcBorders>
              <w:top w:val="single" w:sz="4" w:space="0" w:color="auto"/>
              <w:left w:val="nil"/>
              <w:bottom w:val="single" w:sz="10" w:space="0" w:color="auto"/>
              <w:right w:val="nil"/>
            </w:tcBorders>
          </w:tcPr>
          <w:p w14:paraId="717F56D5"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Cum.</w:t>
            </w:r>
          </w:p>
        </w:tc>
      </w:tr>
      <w:tr w:rsidR="00F529B6" w14:paraId="034C60DC" w14:textId="77777777" w:rsidTr="00F5791D">
        <w:trPr>
          <w:trHeight w:val="176"/>
        </w:trPr>
        <w:tc>
          <w:tcPr>
            <w:tcW w:w="2777" w:type="dxa"/>
            <w:tcBorders>
              <w:top w:val="nil"/>
              <w:left w:val="nil"/>
              <w:bottom w:val="nil"/>
              <w:right w:val="nil"/>
            </w:tcBorders>
          </w:tcPr>
          <w:p w14:paraId="6C006B34" w14:textId="77777777" w:rsidR="00F529B6" w:rsidRDefault="00F529B6"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would take advantage of you</w:t>
            </w:r>
          </w:p>
        </w:tc>
        <w:tc>
          <w:tcPr>
            <w:tcW w:w="815" w:type="dxa"/>
            <w:tcBorders>
              <w:top w:val="nil"/>
              <w:left w:val="nil"/>
              <w:bottom w:val="nil"/>
              <w:right w:val="nil"/>
            </w:tcBorders>
          </w:tcPr>
          <w:p w14:paraId="671DAB11"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263</w:t>
            </w:r>
          </w:p>
        </w:tc>
        <w:tc>
          <w:tcPr>
            <w:tcW w:w="815" w:type="dxa"/>
            <w:tcBorders>
              <w:top w:val="nil"/>
              <w:left w:val="nil"/>
              <w:bottom w:val="nil"/>
              <w:right w:val="nil"/>
            </w:tcBorders>
          </w:tcPr>
          <w:p w14:paraId="78388AB5"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39.20</w:t>
            </w:r>
          </w:p>
        </w:tc>
        <w:tc>
          <w:tcPr>
            <w:tcW w:w="818" w:type="dxa"/>
            <w:tcBorders>
              <w:top w:val="nil"/>
              <w:left w:val="nil"/>
              <w:bottom w:val="nil"/>
              <w:right w:val="nil"/>
            </w:tcBorders>
          </w:tcPr>
          <w:p w14:paraId="2C2E324C"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39.20</w:t>
            </w:r>
          </w:p>
        </w:tc>
      </w:tr>
      <w:tr w:rsidR="00F529B6" w14:paraId="65842B22" w14:textId="77777777" w:rsidTr="00F5791D">
        <w:trPr>
          <w:trHeight w:val="165"/>
        </w:trPr>
        <w:tc>
          <w:tcPr>
            <w:tcW w:w="2777" w:type="dxa"/>
            <w:tcBorders>
              <w:top w:val="nil"/>
              <w:left w:val="nil"/>
              <w:bottom w:val="nil"/>
              <w:right w:val="nil"/>
            </w:tcBorders>
          </w:tcPr>
          <w:p w14:paraId="242C83D5" w14:textId="77777777" w:rsidR="00F529B6" w:rsidRDefault="00F529B6"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would try to be fair</w:t>
            </w:r>
          </w:p>
        </w:tc>
        <w:tc>
          <w:tcPr>
            <w:tcW w:w="815" w:type="dxa"/>
            <w:tcBorders>
              <w:top w:val="nil"/>
              <w:left w:val="nil"/>
              <w:bottom w:val="nil"/>
              <w:right w:val="nil"/>
            </w:tcBorders>
          </w:tcPr>
          <w:p w14:paraId="5ACA46CA"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367</w:t>
            </w:r>
          </w:p>
        </w:tc>
        <w:tc>
          <w:tcPr>
            <w:tcW w:w="815" w:type="dxa"/>
            <w:tcBorders>
              <w:top w:val="nil"/>
              <w:left w:val="nil"/>
              <w:bottom w:val="nil"/>
              <w:right w:val="nil"/>
            </w:tcBorders>
          </w:tcPr>
          <w:p w14:paraId="1D0A9E02"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54.69</w:t>
            </w:r>
          </w:p>
        </w:tc>
        <w:tc>
          <w:tcPr>
            <w:tcW w:w="818" w:type="dxa"/>
            <w:tcBorders>
              <w:top w:val="nil"/>
              <w:left w:val="nil"/>
              <w:bottom w:val="nil"/>
              <w:right w:val="nil"/>
            </w:tcBorders>
          </w:tcPr>
          <w:p w14:paraId="3B5C7869"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93.89</w:t>
            </w:r>
          </w:p>
        </w:tc>
      </w:tr>
      <w:tr w:rsidR="00F529B6" w14:paraId="689F6899" w14:textId="77777777" w:rsidTr="00F5791D">
        <w:trPr>
          <w:trHeight w:val="176"/>
        </w:trPr>
        <w:tc>
          <w:tcPr>
            <w:tcW w:w="2777" w:type="dxa"/>
            <w:tcBorders>
              <w:top w:val="nil"/>
              <w:left w:val="nil"/>
              <w:bottom w:val="nil"/>
              <w:right w:val="nil"/>
            </w:tcBorders>
          </w:tcPr>
          <w:p w14:paraId="1A77B323" w14:textId="77777777" w:rsidR="00F529B6" w:rsidRDefault="00F529B6" w:rsidP="00AE5F86">
            <w:pPr>
              <w:widowControl w:val="0"/>
              <w:autoSpaceDE w:val="0"/>
              <w:autoSpaceDN w:val="0"/>
              <w:adjustRightInd w:val="0"/>
              <w:spacing w:after="0" w:line="240" w:lineRule="auto"/>
              <w:rPr>
                <w:rFonts w:ascii="Garamond" w:hAnsi="Garamond"/>
                <w:sz w:val="20"/>
                <w:szCs w:val="20"/>
              </w:rPr>
            </w:pPr>
            <w:proofErr w:type="gramStart"/>
            <w:r>
              <w:rPr>
                <w:rFonts w:ascii="Garamond" w:hAnsi="Garamond"/>
                <w:sz w:val="20"/>
                <w:szCs w:val="20"/>
              </w:rPr>
              <w:t>depends</w:t>
            </w:r>
            <w:proofErr w:type="gramEnd"/>
          </w:p>
        </w:tc>
        <w:tc>
          <w:tcPr>
            <w:tcW w:w="815" w:type="dxa"/>
            <w:tcBorders>
              <w:top w:val="nil"/>
              <w:left w:val="nil"/>
              <w:bottom w:val="nil"/>
              <w:right w:val="nil"/>
            </w:tcBorders>
          </w:tcPr>
          <w:p w14:paraId="7D1FFBE2"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41</w:t>
            </w:r>
          </w:p>
        </w:tc>
        <w:tc>
          <w:tcPr>
            <w:tcW w:w="815" w:type="dxa"/>
            <w:tcBorders>
              <w:top w:val="nil"/>
              <w:left w:val="nil"/>
              <w:bottom w:val="nil"/>
              <w:right w:val="nil"/>
            </w:tcBorders>
          </w:tcPr>
          <w:p w14:paraId="4F0F19D1"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6.11</w:t>
            </w:r>
          </w:p>
        </w:tc>
        <w:tc>
          <w:tcPr>
            <w:tcW w:w="818" w:type="dxa"/>
            <w:tcBorders>
              <w:top w:val="nil"/>
              <w:left w:val="nil"/>
              <w:bottom w:val="nil"/>
              <w:right w:val="nil"/>
            </w:tcBorders>
          </w:tcPr>
          <w:p w14:paraId="115E4590"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F529B6" w14:paraId="0DAAA546" w14:textId="77777777" w:rsidTr="00F5791D">
        <w:trPr>
          <w:trHeight w:val="165"/>
        </w:trPr>
        <w:tc>
          <w:tcPr>
            <w:tcW w:w="2777" w:type="dxa"/>
            <w:tcBorders>
              <w:top w:val="single" w:sz="4" w:space="0" w:color="auto"/>
              <w:left w:val="nil"/>
              <w:bottom w:val="nil"/>
              <w:right w:val="nil"/>
            </w:tcBorders>
          </w:tcPr>
          <w:p w14:paraId="467C93C4" w14:textId="77777777" w:rsidR="00F529B6" w:rsidRDefault="00F529B6"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Total</w:t>
            </w:r>
          </w:p>
        </w:tc>
        <w:tc>
          <w:tcPr>
            <w:tcW w:w="815" w:type="dxa"/>
            <w:tcBorders>
              <w:top w:val="single" w:sz="4" w:space="0" w:color="auto"/>
              <w:left w:val="nil"/>
              <w:bottom w:val="nil"/>
              <w:right w:val="nil"/>
            </w:tcBorders>
          </w:tcPr>
          <w:p w14:paraId="343DAC68"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671</w:t>
            </w:r>
          </w:p>
        </w:tc>
        <w:tc>
          <w:tcPr>
            <w:tcW w:w="815" w:type="dxa"/>
            <w:tcBorders>
              <w:top w:val="single" w:sz="4" w:space="0" w:color="auto"/>
              <w:left w:val="nil"/>
              <w:bottom w:val="nil"/>
              <w:right w:val="nil"/>
            </w:tcBorders>
          </w:tcPr>
          <w:p w14:paraId="3D0BE254"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c>
          <w:tcPr>
            <w:tcW w:w="818" w:type="dxa"/>
            <w:tcBorders>
              <w:top w:val="single" w:sz="4" w:space="0" w:color="auto"/>
              <w:left w:val="nil"/>
              <w:bottom w:val="nil"/>
              <w:right w:val="nil"/>
            </w:tcBorders>
          </w:tcPr>
          <w:p w14:paraId="0BF69479" w14:textId="77777777" w:rsidR="00F529B6" w:rsidRDefault="00F529B6" w:rsidP="00AE5F86">
            <w:pPr>
              <w:widowControl w:val="0"/>
              <w:autoSpaceDE w:val="0"/>
              <w:autoSpaceDN w:val="0"/>
              <w:adjustRightInd w:val="0"/>
              <w:spacing w:after="0" w:line="240" w:lineRule="auto"/>
              <w:jc w:val="right"/>
              <w:rPr>
                <w:rFonts w:ascii="Garamond" w:hAnsi="Garamond"/>
                <w:sz w:val="20"/>
                <w:szCs w:val="20"/>
              </w:rPr>
            </w:pPr>
          </w:p>
        </w:tc>
      </w:tr>
      <w:tr w:rsidR="00F529B6" w14:paraId="385452C0" w14:textId="77777777" w:rsidTr="00F5791D">
        <w:trPr>
          <w:trHeight w:val="176"/>
        </w:trPr>
        <w:tc>
          <w:tcPr>
            <w:tcW w:w="5225" w:type="dxa"/>
            <w:gridSpan w:val="4"/>
            <w:tcBorders>
              <w:top w:val="single" w:sz="6" w:space="0" w:color="auto"/>
              <w:left w:val="nil"/>
              <w:bottom w:val="nil"/>
              <w:right w:val="nil"/>
            </w:tcBorders>
          </w:tcPr>
          <w:p w14:paraId="6693348F" w14:textId="77777777" w:rsidR="00F529B6" w:rsidRDefault="00F529B6" w:rsidP="00AE5F86">
            <w:pPr>
              <w:widowControl w:val="0"/>
              <w:autoSpaceDE w:val="0"/>
              <w:autoSpaceDN w:val="0"/>
              <w:adjustRightInd w:val="0"/>
              <w:spacing w:after="0" w:line="240" w:lineRule="auto"/>
              <w:rPr>
                <w:rFonts w:ascii="Garamond" w:hAnsi="Garamond"/>
                <w:sz w:val="20"/>
                <w:szCs w:val="20"/>
              </w:rPr>
            </w:pPr>
          </w:p>
        </w:tc>
      </w:tr>
    </w:tbl>
    <w:p w14:paraId="2842F2E0" w14:textId="15F772CF" w:rsidR="00CC60A9" w:rsidRDefault="00CC60A9" w:rsidP="00CC60A9">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br/>
        <w:t xml:space="preserve">Tabulation of trust_2  </w:t>
      </w:r>
    </w:p>
    <w:tbl>
      <w:tblPr>
        <w:tblW w:w="0" w:type="auto"/>
        <w:tblLayout w:type="fixed"/>
        <w:tblLook w:val="0000" w:firstRow="0" w:lastRow="0" w:firstColumn="0" w:lastColumn="0" w:noHBand="0" w:noVBand="0"/>
      </w:tblPr>
      <w:tblGrid>
        <w:gridCol w:w="2493"/>
        <w:gridCol w:w="909"/>
        <w:gridCol w:w="909"/>
        <w:gridCol w:w="913"/>
      </w:tblGrid>
      <w:tr w:rsidR="00CC60A9" w14:paraId="20B0E442" w14:textId="77777777" w:rsidTr="00F5791D">
        <w:trPr>
          <w:trHeight w:val="182"/>
        </w:trPr>
        <w:tc>
          <w:tcPr>
            <w:tcW w:w="2493" w:type="dxa"/>
            <w:tcBorders>
              <w:top w:val="single" w:sz="4" w:space="0" w:color="auto"/>
              <w:left w:val="nil"/>
              <w:bottom w:val="single" w:sz="10" w:space="0" w:color="auto"/>
              <w:right w:val="nil"/>
            </w:tcBorders>
          </w:tcPr>
          <w:p w14:paraId="2B6C3585" w14:textId="77777777" w:rsidR="00CC60A9" w:rsidRDefault="00CC60A9"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can people be trusted</w:t>
            </w:r>
          </w:p>
        </w:tc>
        <w:tc>
          <w:tcPr>
            <w:tcW w:w="909" w:type="dxa"/>
            <w:tcBorders>
              <w:top w:val="single" w:sz="4" w:space="0" w:color="auto"/>
              <w:left w:val="nil"/>
              <w:bottom w:val="single" w:sz="10" w:space="0" w:color="auto"/>
              <w:right w:val="nil"/>
            </w:tcBorders>
          </w:tcPr>
          <w:p w14:paraId="714E075B"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Freq.</w:t>
            </w:r>
          </w:p>
        </w:tc>
        <w:tc>
          <w:tcPr>
            <w:tcW w:w="909" w:type="dxa"/>
            <w:tcBorders>
              <w:top w:val="single" w:sz="4" w:space="0" w:color="auto"/>
              <w:left w:val="nil"/>
              <w:bottom w:val="single" w:sz="10" w:space="0" w:color="auto"/>
              <w:right w:val="nil"/>
            </w:tcBorders>
          </w:tcPr>
          <w:p w14:paraId="597D184E"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Percent</w:t>
            </w:r>
          </w:p>
        </w:tc>
        <w:tc>
          <w:tcPr>
            <w:tcW w:w="913" w:type="dxa"/>
            <w:tcBorders>
              <w:top w:val="single" w:sz="4" w:space="0" w:color="auto"/>
              <w:left w:val="nil"/>
              <w:bottom w:val="single" w:sz="10" w:space="0" w:color="auto"/>
              <w:right w:val="nil"/>
            </w:tcBorders>
          </w:tcPr>
          <w:p w14:paraId="2F1A580E"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Cum.</w:t>
            </w:r>
          </w:p>
        </w:tc>
      </w:tr>
      <w:tr w:rsidR="00CC60A9" w14:paraId="3C343BBE" w14:textId="77777777" w:rsidTr="00F5791D">
        <w:trPr>
          <w:trHeight w:val="194"/>
        </w:trPr>
        <w:tc>
          <w:tcPr>
            <w:tcW w:w="2493" w:type="dxa"/>
            <w:tcBorders>
              <w:top w:val="nil"/>
              <w:left w:val="nil"/>
              <w:bottom w:val="nil"/>
              <w:right w:val="nil"/>
            </w:tcBorders>
          </w:tcPr>
          <w:p w14:paraId="3D318348" w14:textId="77777777" w:rsidR="00CC60A9" w:rsidRDefault="00CC60A9"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can't trust</w:t>
            </w:r>
          </w:p>
        </w:tc>
        <w:tc>
          <w:tcPr>
            <w:tcW w:w="909" w:type="dxa"/>
            <w:tcBorders>
              <w:top w:val="nil"/>
              <w:left w:val="nil"/>
              <w:bottom w:val="nil"/>
              <w:right w:val="nil"/>
            </w:tcBorders>
          </w:tcPr>
          <w:p w14:paraId="2F8629B0"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242</w:t>
            </w:r>
          </w:p>
        </w:tc>
        <w:tc>
          <w:tcPr>
            <w:tcW w:w="909" w:type="dxa"/>
            <w:tcBorders>
              <w:top w:val="nil"/>
              <w:left w:val="nil"/>
              <w:bottom w:val="nil"/>
              <w:right w:val="nil"/>
            </w:tcBorders>
          </w:tcPr>
          <w:p w14:paraId="48FA182F"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36.07</w:t>
            </w:r>
          </w:p>
        </w:tc>
        <w:tc>
          <w:tcPr>
            <w:tcW w:w="913" w:type="dxa"/>
            <w:tcBorders>
              <w:top w:val="nil"/>
              <w:left w:val="nil"/>
              <w:bottom w:val="nil"/>
              <w:right w:val="nil"/>
            </w:tcBorders>
          </w:tcPr>
          <w:p w14:paraId="3D7E9559"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36.07</w:t>
            </w:r>
          </w:p>
        </w:tc>
      </w:tr>
      <w:tr w:rsidR="00CC60A9" w14:paraId="7B166B3C" w14:textId="77777777" w:rsidTr="00F5791D">
        <w:trPr>
          <w:trHeight w:val="182"/>
        </w:trPr>
        <w:tc>
          <w:tcPr>
            <w:tcW w:w="2493" w:type="dxa"/>
            <w:tcBorders>
              <w:top w:val="nil"/>
              <w:left w:val="nil"/>
              <w:bottom w:val="nil"/>
              <w:right w:val="nil"/>
            </w:tcBorders>
          </w:tcPr>
          <w:p w14:paraId="3AE4BBA5" w14:textId="77777777" w:rsidR="00CC60A9" w:rsidRDefault="00CC60A9"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can't be too careful</w:t>
            </w:r>
          </w:p>
        </w:tc>
        <w:tc>
          <w:tcPr>
            <w:tcW w:w="909" w:type="dxa"/>
            <w:tcBorders>
              <w:top w:val="nil"/>
              <w:left w:val="nil"/>
              <w:bottom w:val="nil"/>
              <w:right w:val="nil"/>
            </w:tcBorders>
          </w:tcPr>
          <w:p w14:paraId="73FF77B0"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419</w:t>
            </w:r>
          </w:p>
        </w:tc>
        <w:tc>
          <w:tcPr>
            <w:tcW w:w="909" w:type="dxa"/>
            <w:tcBorders>
              <w:top w:val="nil"/>
              <w:left w:val="nil"/>
              <w:bottom w:val="nil"/>
              <w:right w:val="nil"/>
            </w:tcBorders>
          </w:tcPr>
          <w:p w14:paraId="2A9F9778"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62.44</w:t>
            </w:r>
          </w:p>
        </w:tc>
        <w:tc>
          <w:tcPr>
            <w:tcW w:w="913" w:type="dxa"/>
            <w:tcBorders>
              <w:top w:val="nil"/>
              <w:left w:val="nil"/>
              <w:bottom w:val="nil"/>
              <w:right w:val="nil"/>
            </w:tcBorders>
          </w:tcPr>
          <w:p w14:paraId="4782AC3D"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98.51</w:t>
            </w:r>
          </w:p>
        </w:tc>
      </w:tr>
      <w:tr w:rsidR="00CC60A9" w14:paraId="0B5DBAA4" w14:textId="77777777" w:rsidTr="00F5791D">
        <w:trPr>
          <w:trHeight w:val="194"/>
        </w:trPr>
        <w:tc>
          <w:tcPr>
            <w:tcW w:w="2493" w:type="dxa"/>
            <w:tcBorders>
              <w:top w:val="nil"/>
              <w:left w:val="nil"/>
              <w:bottom w:val="nil"/>
              <w:right w:val="nil"/>
            </w:tcBorders>
          </w:tcPr>
          <w:p w14:paraId="261CDD27" w14:textId="77777777" w:rsidR="00CC60A9" w:rsidRDefault="00CC60A9" w:rsidP="00AE5F86">
            <w:pPr>
              <w:widowControl w:val="0"/>
              <w:autoSpaceDE w:val="0"/>
              <w:autoSpaceDN w:val="0"/>
              <w:adjustRightInd w:val="0"/>
              <w:spacing w:after="0" w:line="240" w:lineRule="auto"/>
              <w:rPr>
                <w:rFonts w:ascii="Garamond" w:hAnsi="Garamond"/>
                <w:sz w:val="20"/>
                <w:szCs w:val="20"/>
              </w:rPr>
            </w:pPr>
            <w:proofErr w:type="gramStart"/>
            <w:r>
              <w:rPr>
                <w:rFonts w:ascii="Garamond" w:hAnsi="Garamond"/>
                <w:sz w:val="20"/>
                <w:szCs w:val="20"/>
              </w:rPr>
              <w:t>depends</w:t>
            </w:r>
            <w:proofErr w:type="gramEnd"/>
          </w:p>
        </w:tc>
        <w:tc>
          <w:tcPr>
            <w:tcW w:w="909" w:type="dxa"/>
            <w:tcBorders>
              <w:top w:val="nil"/>
              <w:left w:val="nil"/>
              <w:bottom w:val="nil"/>
              <w:right w:val="nil"/>
            </w:tcBorders>
          </w:tcPr>
          <w:p w14:paraId="3C5CDA7D"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w:t>
            </w:r>
          </w:p>
        </w:tc>
        <w:tc>
          <w:tcPr>
            <w:tcW w:w="909" w:type="dxa"/>
            <w:tcBorders>
              <w:top w:val="nil"/>
              <w:left w:val="nil"/>
              <w:bottom w:val="nil"/>
              <w:right w:val="nil"/>
            </w:tcBorders>
          </w:tcPr>
          <w:p w14:paraId="5136C586"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1.49</w:t>
            </w:r>
          </w:p>
        </w:tc>
        <w:tc>
          <w:tcPr>
            <w:tcW w:w="913" w:type="dxa"/>
            <w:tcBorders>
              <w:top w:val="nil"/>
              <w:left w:val="nil"/>
              <w:bottom w:val="nil"/>
              <w:right w:val="nil"/>
            </w:tcBorders>
          </w:tcPr>
          <w:p w14:paraId="3D4496E6"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CC60A9" w14:paraId="0C82BC94" w14:textId="77777777" w:rsidTr="00F5791D">
        <w:trPr>
          <w:trHeight w:val="182"/>
        </w:trPr>
        <w:tc>
          <w:tcPr>
            <w:tcW w:w="2493" w:type="dxa"/>
            <w:tcBorders>
              <w:top w:val="single" w:sz="4" w:space="0" w:color="auto"/>
              <w:left w:val="nil"/>
              <w:bottom w:val="nil"/>
              <w:right w:val="nil"/>
            </w:tcBorders>
          </w:tcPr>
          <w:p w14:paraId="25CDEB30" w14:textId="77777777" w:rsidR="00CC60A9" w:rsidRDefault="00CC60A9"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Total</w:t>
            </w:r>
          </w:p>
        </w:tc>
        <w:tc>
          <w:tcPr>
            <w:tcW w:w="909" w:type="dxa"/>
            <w:tcBorders>
              <w:top w:val="single" w:sz="4" w:space="0" w:color="auto"/>
              <w:left w:val="nil"/>
              <w:bottom w:val="nil"/>
              <w:right w:val="nil"/>
            </w:tcBorders>
          </w:tcPr>
          <w:p w14:paraId="67C46075"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671</w:t>
            </w:r>
          </w:p>
        </w:tc>
        <w:tc>
          <w:tcPr>
            <w:tcW w:w="909" w:type="dxa"/>
            <w:tcBorders>
              <w:top w:val="single" w:sz="4" w:space="0" w:color="auto"/>
              <w:left w:val="nil"/>
              <w:bottom w:val="nil"/>
              <w:right w:val="nil"/>
            </w:tcBorders>
          </w:tcPr>
          <w:p w14:paraId="73B56867"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c>
          <w:tcPr>
            <w:tcW w:w="913" w:type="dxa"/>
            <w:tcBorders>
              <w:top w:val="single" w:sz="4" w:space="0" w:color="auto"/>
              <w:left w:val="nil"/>
              <w:bottom w:val="nil"/>
              <w:right w:val="nil"/>
            </w:tcBorders>
          </w:tcPr>
          <w:p w14:paraId="117339F2"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p>
        </w:tc>
      </w:tr>
      <w:tr w:rsidR="00CC60A9" w14:paraId="3FB913C6" w14:textId="77777777" w:rsidTr="0092158D">
        <w:trPr>
          <w:trHeight w:val="194"/>
        </w:trPr>
        <w:tc>
          <w:tcPr>
            <w:tcW w:w="5224" w:type="dxa"/>
            <w:gridSpan w:val="4"/>
            <w:tcBorders>
              <w:top w:val="single" w:sz="6" w:space="0" w:color="auto"/>
              <w:left w:val="nil"/>
              <w:bottom w:val="nil"/>
              <w:right w:val="nil"/>
            </w:tcBorders>
          </w:tcPr>
          <w:p w14:paraId="0E892E12" w14:textId="77777777" w:rsidR="00CC60A9" w:rsidRDefault="00CC60A9" w:rsidP="00AE5F86">
            <w:pPr>
              <w:widowControl w:val="0"/>
              <w:autoSpaceDE w:val="0"/>
              <w:autoSpaceDN w:val="0"/>
              <w:adjustRightInd w:val="0"/>
              <w:spacing w:after="0" w:line="240" w:lineRule="auto"/>
              <w:rPr>
                <w:rFonts w:ascii="Garamond" w:hAnsi="Garamond"/>
                <w:sz w:val="20"/>
                <w:szCs w:val="20"/>
              </w:rPr>
            </w:pPr>
          </w:p>
        </w:tc>
      </w:tr>
    </w:tbl>
    <w:p w14:paraId="35515522" w14:textId="77777777" w:rsidR="00F5791D" w:rsidRDefault="00F5791D" w:rsidP="00F5791D">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t xml:space="preserve">Tabulation of trust_1b  </w:t>
      </w:r>
    </w:p>
    <w:tbl>
      <w:tblPr>
        <w:tblW w:w="0" w:type="auto"/>
        <w:tblLayout w:type="fixed"/>
        <w:tblLook w:val="0000" w:firstRow="0" w:lastRow="0" w:firstColumn="0" w:lastColumn="0" w:noHBand="0" w:noVBand="0"/>
      </w:tblPr>
      <w:tblGrid>
        <w:gridCol w:w="2498"/>
        <w:gridCol w:w="912"/>
        <w:gridCol w:w="912"/>
        <w:gridCol w:w="914"/>
      </w:tblGrid>
      <w:tr w:rsidR="00F5791D" w14:paraId="6E4CDE70" w14:textId="77777777" w:rsidTr="00AE5F86">
        <w:trPr>
          <w:trHeight w:val="248"/>
        </w:trPr>
        <w:tc>
          <w:tcPr>
            <w:tcW w:w="2498" w:type="dxa"/>
            <w:tcBorders>
              <w:top w:val="single" w:sz="4" w:space="0" w:color="auto"/>
              <w:left w:val="nil"/>
              <w:bottom w:val="single" w:sz="10" w:space="0" w:color="auto"/>
              <w:right w:val="nil"/>
            </w:tcBorders>
          </w:tcPr>
          <w:p w14:paraId="0C3BC52F" w14:textId="77777777" w:rsidR="00F5791D" w:rsidRDefault="00F5791D"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can people be trusted</w:t>
            </w:r>
          </w:p>
        </w:tc>
        <w:tc>
          <w:tcPr>
            <w:tcW w:w="912" w:type="dxa"/>
            <w:tcBorders>
              <w:top w:val="single" w:sz="4" w:space="0" w:color="auto"/>
              <w:left w:val="nil"/>
              <w:bottom w:val="single" w:sz="10" w:space="0" w:color="auto"/>
              <w:right w:val="nil"/>
            </w:tcBorders>
          </w:tcPr>
          <w:p w14:paraId="6C0848A7"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Freq.</w:t>
            </w:r>
          </w:p>
        </w:tc>
        <w:tc>
          <w:tcPr>
            <w:tcW w:w="912" w:type="dxa"/>
            <w:tcBorders>
              <w:top w:val="single" w:sz="4" w:space="0" w:color="auto"/>
              <w:left w:val="nil"/>
              <w:bottom w:val="single" w:sz="10" w:space="0" w:color="auto"/>
              <w:right w:val="nil"/>
            </w:tcBorders>
          </w:tcPr>
          <w:p w14:paraId="14D831CC"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Percent</w:t>
            </w:r>
          </w:p>
        </w:tc>
        <w:tc>
          <w:tcPr>
            <w:tcW w:w="912" w:type="dxa"/>
            <w:tcBorders>
              <w:top w:val="single" w:sz="4" w:space="0" w:color="auto"/>
              <w:left w:val="nil"/>
              <w:bottom w:val="single" w:sz="10" w:space="0" w:color="auto"/>
              <w:right w:val="nil"/>
            </w:tcBorders>
          </w:tcPr>
          <w:p w14:paraId="44FB0DCA"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Cum.</w:t>
            </w:r>
          </w:p>
        </w:tc>
      </w:tr>
      <w:tr w:rsidR="00F5791D" w14:paraId="557BFF49" w14:textId="77777777" w:rsidTr="00AE5F86">
        <w:trPr>
          <w:trHeight w:val="264"/>
        </w:trPr>
        <w:tc>
          <w:tcPr>
            <w:tcW w:w="2498" w:type="dxa"/>
            <w:tcBorders>
              <w:top w:val="nil"/>
              <w:left w:val="nil"/>
              <w:bottom w:val="nil"/>
              <w:right w:val="nil"/>
            </w:tcBorders>
          </w:tcPr>
          <w:p w14:paraId="15FE69A6" w14:textId="77777777" w:rsidR="00F5791D" w:rsidRDefault="00F5791D"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can't trust</w:t>
            </w:r>
          </w:p>
        </w:tc>
        <w:tc>
          <w:tcPr>
            <w:tcW w:w="912" w:type="dxa"/>
            <w:tcBorders>
              <w:top w:val="nil"/>
              <w:left w:val="nil"/>
              <w:bottom w:val="nil"/>
              <w:right w:val="nil"/>
            </w:tcBorders>
          </w:tcPr>
          <w:p w14:paraId="5C27BBA0"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236</w:t>
            </w:r>
          </w:p>
        </w:tc>
        <w:tc>
          <w:tcPr>
            <w:tcW w:w="912" w:type="dxa"/>
            <w:tcBorders>
              <w:top w:val="nil"/>
              <w:left w:val="nil"/>
              <w:bottom w:val="nil"/>
              <w:right w:val="nil"/>
            </w:tcBorders>
          </w:tcPr>
          <w:p w14:paraId="7B55DD69"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35.07</w:t>
            </w:r>
          </w:p>
        </w:tc>
        <w:tc>
          <w:tcPr>
            <w:tcW w:w="912" w:type="dxa"/>
            <w:tcBorders>
              <w:top w:val="nil"/>
              <w:left w:val="nil"/>
              <w:bottom w:val="nil"/>
              <w:right w:val="nil"/>
            </w:tcBorders>
          </w:tcPr>
          <w:p w14:paraId="281C01C1"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35.07</w:t>
            </w:r>
          </w:p>
        </w:tc>
      </w:tr>
      <w:tr w:rsidR="00F5791D" w14:paraId="42A7196E" w14:textId="77777777" w:rsidTr="00AE5F86">
        <w:trPr>
          <w:trHeight w:val="248"/>
        </w:trPr>
        <w:tc>
          <w:tcPr>
            <w:tcW w:w="2498" w:type="dxa"/>
            <w:tcBorders>
              <w:top w:val="nil"/>
              <w:left w:val="nil"/>
              <w:bottom w:val="nil"/>
              <w:right w:val="nil"/>
            </w:tcBorders>
          </w:tcPr>
          <w:p w14:paraId="10FD79E0" w14:textId="77777777" w:rsidR="00F5791D" w:rsidRDefault="00F5791D"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can't be too careful</w:t>
            </w:r>
          </w:p>
        </w:tc>
        <w:tc>
          <w:tcPr>
            <w:tcW w:w="912" w:type="dxa"/>
            <w:tcBorders>
              <w:top w:val="nil"/>
              <w:left w:val="nil"/>
              <w:bottom w:val="nil"/>
              <w:right w:val="nil"/>
            </w:tcBorders>
          </w:tcPr>
          <w:p w14:paraId="67393E7F"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403</w:t>
            </w:r>
          </w:p>
        </w:tc>
        <w:tc>
          <w:tcPr>
            <w:tcW w:w="912" w:type="dxa"/>
            <w:tcBorders>
              <w:top w:val="nil"/>
              <w:left w:val="nil"/>
              <w:bottom w:val="nil"/>
              <w:right w:val="nil"/>
            </w:tcBorders>
          </w:tcPr>
          <w:p w14:paraId="1A1F69DA"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59.88</w:t>
            </w:r>
          </w:p>
        </w:tc>
        <w:tc>
          <w:tcPr>
            <w:tcW w:w="912" w:type="dxa"/>
            <w:tcBorders>
              <w:top w:val="nil"/>
              <w:left w:val="nil"/>
              <w:bottom w:val="nil"/>
              <w:right w:val="nil"/>
            </w:tcBorders>
          </w:tcPr>
          <w:p w14:paraId="422C9042"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94.95</w:t>
            </w:r>
          </w:p>
        </w:tc>
      </w:tr>
      <w:tr w:rsidR="00F5791D" w14:paraId="0B21BDFF" w14:textId="77777777" w:rsidTr="00AE5F86">
        <w:trPr>
          <w:trHeight w:val="264"/>
        </w:trPr>
        <w:tc>
          <w:tcPr>
            <w:tcW w:w="2498" w:type="dxa"/>
            <w:tcBorders>
              <w:top w:val="nil"/>
              <w:left w:val="nil"/>
              <w:bottom w:val="nil"/>
              <w:right w:val="nil"/>
            </w:tcBorders>
          </w:tcPr>
          <w:p w14:paraId="1F87688E" w14:textId="77777777" w:rsidR="00F5791D" w:rsidRDefault="00F5791D" w:rsidP="00AE5F86">
            <w:pPr>
              <w:widowControl w:val="0"/>
              <w:autoSpaceDE w:val="0"/>
              <w:autoSpaceDN w:val="0"/>
              <w:adjustRightInd w:val="0"/>
              <w:spacing w:after="0" w:line="240" w:lineRule="auto"/>
              <w:rPr>
                <w:rFonts w:ascii="Garamond" w:hAnsi="Garamond"/>
                <w:sz w:val="20"/>
                <w:szCs w:val="20"/>
              </w:rPr>
            </w:pPr>
            <w:proofErr w:type="gramStart"/>
            <w:r>
              <w:rPr>
                <w:rFonts w:ascii="Garamond" w:hAnsi="Garamond"/>
                <w:sz w:val="20"/>
                <w:szCs w:val="20"/>
              </w:rPr>
              <w:t>depends</w:t>
            </w:r>
            <w:proofErr w:type="gramEnd"/>
          </w:p>
        </w:tc>
        <w:tc>
          <w:tcPr>
            <w:tcW w:w="912" w:type="dxa"/>
            <w:tcBorders>
              <w:top w:val="nil"/>
              <w:left w:val="nil"/>
              <w:bottom w:val="nil"/>
              <w:right w:val="nil"/>
            </w:tcBorders>
          </w:tcPr>
          <w:p w14:paraId="28C2D007"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34</w:t>
            </w:r>
          </w:p>
        </w:tc>
        <w:tc>
          <w:tcPr>
            <w:tcW w:w="912" w:type="dxa"/>
            <w:tcBorders>
              <w:top w:val="nil"/>
              <w:left w:val="nil"/>
              <w:bottom w:val="nil"/>
              <w:right w:val="nil"/>
            </w:tcBorders>
          </w:tcPr>
          <w:p w14:paraId="54B3581C"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5.05</w:t>
            </w:r>
          </w:p>
        </w:tc>
        <w:tc>
          <w:tcPr>
            <w:tcW w:w="912" w:type="dxa"/>
            <w:tcBorders>
              <w:top w:val="nil"/>
              <w:left w:val="nil"/>
              <w:bottom w:val="nil"/>
              <w:right w:val="nil"/>
            </w:tcBorders>
          </w:tcPr>
          <w:p w14:paraId="7F481384"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F5791D" w14:paraId="231513E2" w14:textId="77777777" w:rsidTr="00AE5F86">
        <w:trPr>
          <w:trHeight w:val="248"/>
        </w:trPr>
        <w:tc>
          <w:tcPr>
            <w:tcW w:w="2498" w:type="dxa"/>
            <w:tcBorders>
              <w:top w:val="single" w:sz="4" w:space="0" w:color="auto"/>
              <w:left w:val="nil"/>
              <w:bottom w:val="nil"/>
              <w:right w:val="nil"/>
            </w:tcBorders>
          </w:tcPr>
          <w:p w14:paraId="288289AC" w14:textId="77777777" w:rsidR="00F5791D" w:rsidRDefault="00F5791D"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Total</w:t>
            </w:r>
          </w:p>
        </w:tc>
        <w:tc>
          <w:tcPr>
            <w:tcW w:w="912" w:type="dxa"/>
            <w:tcBorders>
              <w:top w:val="single" w:sz="4" w:space="0" w:color="auto"/>
              <w:left w:val="nil"/>
              <w:bottom w:val="nil"/>
              <w:right w:val="nil"/>
            </w:tcBorders>
          </w:tcPr>
          <w:p w14:paraId="32E86181"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673</w:t>
            </w:r>
          </w:p>
        </w:tc>
        <w:tc>
          <w:tcPr>
            <w:tcW w:w="912" w:type="dxa"/>
            <w:tcBorders>
              <w:top w:val="single" w:sz="4" w:space="0" w:color="auto"/>
              <w:left w:val="nil"/>
              <w:bottom w:val="nil"/>
              <w:right w:val="nil"/>
            </w:tcBorders>
          </w:tcPr>
          <w:p w14:paraId="17F1596C"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c>
          <w:tcPr>
            <w:tcW w:w="912" w:type="dxa"/>
            <w:tcBorders>
              <w:top w:val="single" w:sz="4" w:space="0" w:color="auto"/>
              <w:left w:val="nil"/>
              <w:bottom w:val="nil"/>
              <w:right w:val="nil"/>
            </w:tcBorders>
          </w:tcPr>
          <w:p w14:paraId="2100499F"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p>
        </w:tc>
      </w:tr>
      <w:tr w:rsidR="00F5791D" w14:paraId="2DF5629E" w14:textId="77777777" w:rsidTr="00AE5F86">
        <w:trPr>
          <w:trHeight w:val="264"/>
        </w:trPr>
        <w:tc>
          <w:tcPr>
            <w:tcW w:w="5236" w:type="dxa"/>
            <w:gridSpan w:val="4"/>
            <w:tcBorders>
              <w:top w:val="single" w:sz="6" w:space="0" w:color="auto"/>
              <w:left w:val="nil"/>
              <w:bottom w:val="nil"/>
              <w:right w:val="nil"/>
            </w:tcBorders>
          </w:tcPr>
          <w:p w14:paraId="7AA884A3" w14:textId="77777777" w:rsidR="00F5791D" w:rsidRDefault="00F5791D" w:rsidP="00AE5F86">
            <w:pPr>
              <w:widowControl w:val="0"/>
              <w:autoSpaceDE w:val="0"/>
              <w:autoSpaceDN w:val="0"/>
              <w:adjustRightInd w:val="0"/>
              <w:spacing w:after="0" w:line="240" w:lineRule="auto"/>
              <w:rPr>
                <w:rFonts w:ascii="Garamond" w:hAnsi="Garamond"/>
                <w:sz w:val="20"/>
                <w:szCs w:val="20"/>
              </w:rPr>
            </w:pPr>
          </w:p>
        </w:tc>
      </w:tr>
    </w:tbl>
    <w:p w14:paraId="03B429E1" w14:textId="77777777" w:rsidR="00F5791D" w:rsidRDefault="00F5791D" w:rsidP="00CC60A9">
      <w:pPr>
        <w:widowControl w:val="0"/>
        <w:autoSpaceDE w:val="0"/>
        <w:autoSpaceDN w:val="0"/>
        <w:adjustRightInd w:val="0"/>
        <w:spacing w:after="0" w:line="240" w:lineRule="auto"/>
        <w:rPr>
          <w:rFonts w:ascii="Garamond" w:hAnsi="Garamond"/>
          <w:b/>
          <w:bCs/>
          <w:sz w:val="20"/>
          <w:szCs w:val="20"/>
        </w:rPr>
      </w:pPr>
    </w:p>
    <w:p w14:paraId="3A38655A" w14:textId="7B659939" w:rsidR="00CC60A9" w:rsidRDefault="00CC60A9" w:rsidP="00CC60A9">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br/>
        <w:t xml:space="preserve">Tabulation of helpful_2  </w:t>
      </w:r>
    </w:p>
    <w:tbl>
      <w:tblPr>
        <w:tblW w:w="0" w:type="auto"/>
        <w:tblLayout w:type="fixed"/>
        <w:tblLook w:val="0000" w:firstRow="0" w:lastRow="0" w:firstColumn="0" w:lastColumn="0" w:noHBand="0" w:noVBand="0"/>
      </w:tblPr>
      <w:tblGrid>
        <w:gridCol w:w="2770"/>
        <w:gridCol w:w="812"/>
        <w:gridCol w:w="812"/>
        <w:gridCol w:w="817"/>
      </w:tblGrid>
      <w:tr w:rsidR="00CC60A9" w14:paraId="26D373A6" w14:textId="77777777" w:rsidTr="00F5791D">
        <w:trPr>
          <w:trHeight w:val="317"/>
        </w:trPr>
        <w:tc>
          <w:tcPr>
            <w:tcW w:w="2770" w:type="dxa"/>
            <w:tcBorders>
              <w:top w:val="single" w:sz="4" w:space="0" w:color="auto"/>
              <w:left w:val="nil"/>
              <w:bottom w:val="single" w:sz="10" w:space="0" w:color="auto"/>
              <w:right w:val="nil"/>
            </w:tcBorders>
          </w:tcPr>
          <w:p w14:paraId="2095000B" w14:textId="77777777" w:rsidR="00CC60A9" w:rsidRDefault="00CC60A9"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people helpful or looking out for selves</w:t>
            </w:r>
          </w:p>
        </w:tc>
        <w:tc>
          <w:tcPr>
            <w:tcW w:w="812" w:type="dxa"/>
            <w:tcBorders>
              <w:top w:val="single" w:sz="4" w:space="0" w:color="auto"/>
              <w:left w:val="nil"/>
              <w:bottom w:val="single" w:sz="10" w:space="0" w:color="auto"/>
              <w:right w:val="nil"/>
            </w:tcBorders>
          </w:tcPr>
          <w:p w14:paraId="0F2F7161"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Freq.</w:t>
            </w:r>
          </w:p>
        </w:tc>
        <w:tc>
          <w:tcPr>
            <w:tcW w:w="812" w:type="dxa"/>
            <w:tcBorders>
              <w:top w:val="single" w:sz="4" w:space="0" w:color="auto"/>
              <w:left w:val="nil"/>
              <w:bottom w:val="single" w:sz="10" w:space="0" w:color="auto"/>
              <w:right w:val="nil"/>
            </w:tcBorders>
          </w:tcPr>
          <w:p w14:paraId="2A1D3F60"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Percent</w:t>
            </w:r>
          </w:p>
        </w:tc>
        <w:tc>
          <w:tcPr>
            <w:tcW w:w="817" w:type="dxa"/>
            <w:tcBorders>
              <w:top w:val="single" w:sz="4" w:space="0" w:color="auto"/>
              <w:left w:val="nil"/>
              <w:bottom w:val="single" w:sz="10" w:space="0" w:color="auto"/>
              <w:right w:val="nil"/>
            </w:tcBorders>
          </w:tcPr>
          <w:p w14:paraId="3F151500"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Cum.</w:t>
            </w:r>
          </w:p>
        </w:tc>
      </w:tr>
      <w:tr w:rsidR="00CC60A9" w14:paraId="0C237B08" w14:textId="77777777" w:rsidTr="00F5791D">
        <w:trPr>
          <w:trHeight w:val="337"/>
        </w:trPr>
        <w:tc>
          <w:tcPr>
            <w:tcW w:w="2770" w:type="dxa"/>
            <w:tcBorders>
              <w:top w:val="nil"/>
              <w:left w:val="nil"/>
              <w:bottom w:val="nil"/>
              <w:right w:val="nil"/>
            </w:tcBorders>
          </w:tcPr>
          <w:p w14:paraId="19086832" w14:textId="77777777" w:rsidR="00CC60A9" w:rsidRDefault="00CC60A9"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try to be helpful</w:t>
            </w:r>
          </w:p>
        </w:tc>
        <w:tc>
          <w:tcPr>
            <w:tcW w:w="812" w:type="dxa"/>
            <w:tcBorders>
              <w:top w:val="nil"/>
              <w:left w:val="nil"/>
              <w:bottom w:val="nil"/>
              <w:right w:val="nil"/>
            </w:tcBorders>
          </w:tcPr>
          <w:p w14:paraId="7292052D"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381</w:t>
            </w:r>
          </w:p>
        </w:tc>
        <w:tc>
          <w:tcPr>
            <w:tcW w:w="812" w:type="dxa"/>
            <w:tcBorders>
              <w:top w:val="nil"/>
              <w:left w:val="nil"/>
              <w:bottom w:val="nil"/>
              <w:right w:val="nil"/>
            </w:tcBorders>
          </w:tcPr>
          <w:p w14:paraId="66DD8655"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56.61</w:t>
            </w:r>
          </w:p>
        </w:tc>
        <w:tc>
          <w:tcPr>
            <w:tcW w:w="817" w:type="dxa"/>
            <w:tcBorders>
              <w:top w:val="nil"/>
              <w:left w:val="nil"/>
              <w:bottom w:val="nil"/>
              <w:right w:val="nil"/>
            </w:tcBorders>
          </w:tcPr>
          <w:p w14:paraId="5B7755CD"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56.61</w:t>
            </w:r>
          </w:p>
        </w:tc>
      </w:tr>
      <w:tr w:rsidR="00CC60A9" w14:paraId="74616CE4" w14:textId="77777777" w:rsidTr="00F5791D">
        <w:trPr>
          <w:trHeight w:val="317"/>
        </w:trPr>
        <w:tc>
          <w:tcPr>
            <w:tcW w:w="2770" w:type="dxa"/>
            <w:tcBorders>
              <w:top w:val="nil"/>
              <w:left w:val="nil"/>
              <w:bottom w:val="nil"/>
              <w:right w:val="nil"/>
            </w:tcBorders>
          </w:tcPr>
          <w:p w14:paraId="4833A86A" w14:textId="77777777" w:rsidR="00CC60A9" w:rsidRDefault="00CC60A9"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looking out for themselves</w:t>
            </w:r>
          </w:p>
        </w:tc>
        <w:tc>
          <w:tcPr>
            <w:tcW w:w="812" w:type="dxa"/>
            <w:tcBorders>
              <w:top w:val="nil"/>
              <w:left w:val="nil"/>
              <w:bottom w:val="nil"/>
              <w:right w:val="nil"/>
            </w:tcBorders>
          </w:tcPr>
          <w:p w14:paraId="00D0C16E"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281</w:t>
            </w:r>
          </w:p>
        </w:tc>
        <w:tc>
          <w:tcPr>
            <w:tcW w:w="812" w:type="dxa"/>
            <w:tcBorders>
              <w:top w:val="nil"/>
              <w:left w:val="nil"/>
              <w:bottom w:val="nil"/>
              <w:right w:val="nil"/>
            </w:tcBorders>
          </w:tcPr>
          <w:p w14:paraId="6399410C"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41.75</w:t>
            </w:r>
          </w:p>
        </w:tc>
        <w:tc>
          <w:tcPr>
            <w:tcW w:w="817" w:type="dxa"/>
            <w:tcBorders>
              <w:top w:val="nil"/>
              <w:left w:val="nil"/>
              <w:bottom w:val="nil"/>
              <w:right w:val="nil"/>
            </w:tcBorders>
          </w:tcPr>
          <w:p w14:paraId="09614A06"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98.37</w:t>
            </w:r>
          </w:p>
        </w:tc>
      </w:tr>
      <w:tr w:rsidR="00CC60A9" w14:paraId="3335A32C" w14:textId="77777777" w:rsidTr="00F5791D">
        <w:trPr>
          <w:trHeight w:val="337"/>
        </w:trPr>
        <w:tc>
          <w:tcPr>
            <w:tcW w:w="2770" w:type="dxa"/>
            <w:tcBorders>
              <w:top w:val="nil"/>
              <w:left w:val="nil"/>
              <w:bottom w:val="nil"/>
              <w:right w:val="nil"/>
            </w:tcBorders>
          </w:tcPr>
          <w:p w14:paraId="589B672E" w14:textId="77777777" w:rsidR="00CC60A9" w:rsidRDefault="00CC60A9" w:rsidP="00AE5F86">
            <w:pPr>
              <w:widowControl w:val="0"/>
              <w:autoSpaceDE w:val="0"/>
              <w:autoSpaceDN w:val="0"/>
              <w:adjustRightInd w:val="0"/>
              <w:spacing w:after="0" w:line="240" w:lineRule="auto"/>
              <w:rPr>
                <w:rFonts w:ascii="Garamond" w:hAnsi="Garamond"/>
                <w:sz w:val="20"/>
                <w:szCs w:val="20"/>
              </w:rPr>
            </w:pPr>
            <w:proofErr w:type="gramStart"/>
            <w:r>
              <w:rPr>
                <w:rFonts w:ascii="Garamond" w:hAnsi="Garamond"/>
                <w:sz w:val="20"/>
                <w:szCs w:val="20"/>
              </w:rPr>
              <w:t>depends</w:t>
            </w:r>
            <w:proofErr w:type="gramEnd"/>
          </w:p>
        </w:tc>
        <w:tc>
          <w:tcPr>
            <w:tcW w:w="812" w:type="dxa"/>
            <w:tcBorders>
              <w:top w:val="nil"/>
              <w:left w:val="nil"/>
              <w:bottom w:val="nil"/>
              <w:right w:val="nil"/>
            </w:tcBorders>
          </w:tcPr>
          <w:p w14:paraId="5CD22F65"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11</w:t>
            </w:r>
          </w:p>
        </w:tc>
        <w:tc>
          <w:tcPr>
            <w:tcW w:w="812" w:type="dxa"/>
            <w:tcBorders>
              <w:top w:val="nil"/>
              <w:left w:val="nil"/>
              <w:bottom w:val="nil"/>
              <w:right w:val="nil"/>
            </w:tcBorders>
          </w:tcPr>
          <w:p w14:paraId="06710DD0"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1.63</w:t>
            </w:r>
          </w:p>
        </w:tc>
        <w:tc>
          <w:tcPr>
            <w:tcW w:w="817" w:type="dxa"/>
            <w:tcBorders>
              <w:top w:val="nil"/>
              <w:left w:val="nil"/>
              <w:bottom w:val="nil"/>
              <w:right w:val="nil"/>
            </w:tcBorders>
          </w:tcPr>
          <w:p w14:paraId="3A2B890E"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CC60A9" w14:paraId="1298E27C" w14:textId="77777777" w:rsidTr="00F5791D">
        <w:trPr>
          <w:trHeight w:val="317"/>
        </w:trPr>
        <w:tc>
          <w:tcPr>
            <w:tcW w:w="2770" w:type="dxa"/>
            <w:tcBorders>
              <w:top w:val="single" w:sz="4" w:space="0" w:color="auto"/>
              <w:left w:val="nil"/>
              <w:bottom w:val="nil"/>
              <w:right w:val="nil"/>
            </w:tcBorders>
          </w:tcPr>
          <w:p w14:paraId="2BC19498" w14:textId="77777777" w:rsidR="00CC60A9" w:rsidRDefault="00CC60A9"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Total</w:t>
            </w:r>
          </w:p>
        </w:tc>
        <w:tc>
          <w:tcPr>
            <w:tcW w:w="812" w:type="dxa"/>
            <w:tcBorders>
              <w:top w:val="single" w:sz="4" w:space="0" w:color="auto"/>
              <w:left w:val="nil"/>
              <w:bottom w:val="nil"/>
              <w:right w:val="nil"/>
            </w:tcBorders>
          </w:tcPr>
          <w:p w14:paraId="3C6E5B3E"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673</w:t>
            </w:r>
          </w:p>
        </w:tc>
        <w:tc>
          <w:tcPr>
            <w:tcW w:w="812" w:type="dxa"/>
            <w:tcBorders>
              <w:top w:val="single" w:sz="4" w:space="0" w:color="auto"/>
              <w:left w:val="nil"/>
              <w:bottom w:val="nil"/>
              <w:right w:val="nil"/>
            </w:tcBorders>
          </w:tcPr>
          <w:p w14:paraId="70AF330F"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c>
          <w:tcPr>
            <w:tcW w:w="817" w:type="dxa"/>
            <w:tcBorders>
              <w:top w:val="single" w:sz="4" w:space="0" w:color="auto"/>
              <w:left w:val="nil"/>
              <w:bottom w:val="nil"/>
              <w:right w:val="nil"/>
            </w:tcBorders>
          </w:tcPr>
          <w:p w14:paraId="0C46C8FA" w14:textId="77777777" w:rsidR="00CC60A9" w:rsidRDefault="00CC60A9" w:rsidP="00AE5F86">
            <w:pPr>
              <w:widowControl w:val="0"/>
              <w:autoSpaceDE w:val="0"/>
              <w:autoSpaceDN w:val="0"/>
              <w:adjustRightInd w:val="0"/>
              <w:spacing w:after="0" w:line="240" w:lineRule="auto"/>
              <w:jc w:val="right"/>
              <w:rPr>
                <w:rFonts w:ascii="Garamond" w:hAnsi="Garamond"/>
                <w:sz w:val="20"/>
                <w:szCs w:val="20"/>
              </w:rPr>
            </w:pPr>
          </w:p>
        </w:tc>
      </w:tr>
      <w:tr w:rsidR="00CC60A9" w14:paraId="31311EEE" w14:textId="77777777" w:rsidTr="0092158D">
        <w:trPr>
          <w:trHeight w:val="337"/>
        </w:trPr>
        <w:tc>
          <w:tcPr>
            <w:tcW w:w="5211" w:type="dxa"/>
            <w:gridSpan w:val="4"/>
            <w:tcBorders>
              <w:top w:val="single" w:sz="6" w:space="0" w:color="auto"/>
              <w:left w:val="nil"/>
              <w:bottom w:val="nil"/>
              <w:right w:val="nil"/>
            </w:tcBorders>
          </w:tcPr>
          <w:p w14:paraId="0E35635A" w14:textId="77777777" w:rsidR="00CC60A9" w:rsidRDefault="00CC60A9" w:rsidP="00AE5F86">
            <w:pPr>
              <w:widowControl w:val="0"/>
              <w:autoSpaceDE w:val="0"/>
              <w:autoSpaceDN w:val="0"/>
              <w:adjustRightInd w:val="0"/>
              <w:spacing w:after="0" w:line="240" w:lineRule="auto"/>
              <w:rPr>
                <w:rFonts w:ascii="Garamond" w:hAnsi="Garamond"/>
                <w:sz w:val="20"/>
                <w:szCs w:val="20"/>
              </w:rPr>
            </w:pPr>
          </w:p>
        </w:tc>
      </w:tr>
    </w:tbl>
    <w:p w14:paraId="3E71AA38" w14:textId="77777777" w:rsidR="00F5791D" w:rsidRDefault="00F5791D" w:rsidP="00F5791D">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t xml:space="preserve">Tabulation of helpful_1b  </w:t>
      </w:r>
    </w:p>
    <w:tbl>
      <w:tblPr>
        <w:tblW w:w="0" w:type="auto"/>
        <w:tblLayout w:type="fixed"/>
        <w:tblLook w:val="0000" w:firstRow="0" w:lastRow="0" w:firstColumn="0" w:lastColumn="0" w:noHBand="0" w:noVBand="0"/>
      </w:tblPr>
      <w:tblGrid>
        <w:gridCol w:w="2778"/>
        <w:gridCol w:w="815"/>
        <w:gridCol w:w="815"/>
        <w:gridCol w:w="818"/>
      </w:tblGrid>
      <w:tr w:rsidR="00F5791D" w14:paraId="0F36DF73" w14:textId="77777777" w:rsidTr="00AE5F86">
        <w:trPr>
          <w:trHeight w:val="248"/>
        </w:trPr>
        <w:tc>
          <w:tcPr>
            <w:tcW w:w="2778" w:type="dxa"/>
            <w:tcBorders>
              <w:top w:val="single" w:sz="4" w:space="0" w:color="auto"/>
              <w:left w:val="nil"/>
              <w:bottom w:val="single" w:sz="10" w:space="0" w:color="auto"/>
              <w:right w:val="nil"/>
            </w:tcBorders>
          </w:tcPr>
          <w:p w14:paraId="299BF3AC" w14:textId="77777777" w:rsidR="00F5791D" w:rsidRDefault="00F5791D"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people helpful or looking out for selves</w:t>
            </w:r>
          </w:p>
        </w:tc>
        <w:tc>
          <w:tcPr>
            <w:tcW w:w="815" w:type="dxa"/>
            <w:tcBorders>
              <w:top w:val="single" w:sz="4" w:space="0" w:color="auto"/>
              <w:left w:val="nil"/>
              <w:bottom w:val="single" w:sz="10" w:space="0" w:color="auto"/>
              <w:right w:val="nil"/>
            </w:tcBorders>
          </w:tcPr>
          <w:p w14:paraId="5EDFD258"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Freq.</w:t>
            </w:r>
          </w:p>
        </w:tc>
        <w:tc>
          <w:tcPr>
            <w:tcW w:w="815" w:type="dxa"/>
            <w:tcBorders>
              <w:top w:val="single" w:sz="4" w:space="0" w:color="auto"/>
              <w:left w:val="nil"/>
              <w:bottom w:val="single" w:sz="10" w:space="0" w:color="auto"/>
              <w:right w:val="nil"/>
            </w:tcBorders>
          </w:tcPr>
          <w:p w14:paraId="4B955109"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Percent</w:t>
            </w:r>
          </w:p>
        </w:tc>
        <w:tc>
          <w:tcPr>
            <w:tcW w:w="815" w:type="dxa"/>
            <w:tcBorders>
              <w:top w:val="single" w:sz="4" w:space="0" w:color="auto"/>
              <w:left w:val="nil"/>
              <w:bottom w:val="single" w:sz="10" w:space="0" w:color="auto"/>
              <w:right w:val="nil"/>
            </w:tcBorders>
          </w:tcPr>
          <w:p w14:paraId="3A52A2A8"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Cum.</w:t>
            </w:r>
          </w:p>
        </w:tc>
      </w:tr>
      <w:tr w:rsidR="00F5791D" w14:paraId="5748F03B" w14:textId="77777777" w:rsidTr="00AE5F86">
        <w:trPr>
          <w:trHeight w:val="264"/>
        </w:trPr>
        <w:tc>
          <w:tcPr>
            <w:tcW w:w="2778" w:type="dxa"/>
            <w:tcBorders>
              <w:top w:val="nil"/>
              <w:left w:val="nil"/>
              <w:bottom w:val="nil"/>
              <w:right w:val="nil"/>
            </w:tcBorders>
          </w:tcPr>
          <w:p w14:paraId="4726FF24" w14:textId="77777777" w:rsidR="00F5791D" w:rsidRDefault="00F5791D"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try to be helpful</w:t>
            </w:r>
          </w:p>
        </w:tc>
        <w:tc>
          <w:tcPr>
            <w:tcW w:w="815" w:type="dxa"/>
            <w:tcBorders>
              <w:top w:val="nil"/>
              <w:left w:val="nil"/>
              <w:bottom w:val="nil"/>
              <w:right w:val="nil"/>
            </w:tcBorders>
          </w:tcPr>
          <w:p w14:paraId="3E16E30B"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335</w:t>
            </w:r>
          </w:p>
        </w:tc>
        <w:tc>
          <w:tcPr>
            <w:tcW w:w="815" w:type="dxa"/>
            <w:tcBorders>
              <w:top w:val="nil"/>
              <w:left w:val="nil"/>
              <w:bottom w:val="nil"/>
              <w:right w:val="nil"/>
            </w:tcBorders>
          </w:tcPr>
          <w:p w14:paraId="0F10E41B"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49.70</w:t>
            </w:r>
          </w:p>
        </w:tc>
        <w:tc>
          <w:tcPr>
            <w:tcW w:w="815" w:type="dxa"/>
            <w:tcBorders>
              <w:top w:val="nil"/>
              <w:left w:val="nil"/>
              <w:bottom w:val="nil"/>
              <w:right w:val="nil"/>
            </w:tcBorders>
          </w:tcPr>
          <w:p w14:paraId="160BA1C0"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49.70</w:t>
            </w:r>
          </w:p>
        </w:tc>
      </w:tr>
      <w:tr w:rsidR="00F5791D" w14:paraId="36319830" w14:textId="77777777" w:rsidTr="00AE5F86">
        <w:trPr>
          <w:trHeight w:val="248"/>
        </w:trPr>
        <w:tc>
          <w:tcPr>
            <w:tcW w:w="2778" w:type="dxa"/>
            <w:tcBorders>
              <w:top w:val="nil"/>
              <w:left w:val="nil"/>
              <w:bottom w:val="nil"/>
              <w:right w:val="nil"/>
            </w:tcBorders>
          </w:tcPr>
          <w:p w14:paraId="2434EB17" w14:textId="77777777" w:rsidR="00F5791D" w:rsidRDefault="00F5791D"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looking out for themselves</w:t>
            </w:r>
          </w:p>
        </w:tc>
        <w:tc>
          <w:tcPr>
            <w:tcW w:w="815" w:type="dxa"/>
            <w:tcBorders>
              <w:top w:val="nil"/>
              <w:left w:val="nil"/>
              <w:bottom w:val="nil"/>
              <w:right w:val="nil"/>
            </w:tcBorders>
          </w:tcPr>
          <w:p w14:paraId="1D2B9B2A"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286</w:t>
            </w:r>
          </w:p>
        </w:tc>
        <w:tc>
          <w:tcPr>
            <w:tcW w:w="815" w:type="dxa"/>
            <w:tcBorders>
              <w:top w:val="nil"/>
              <w:left w:val="nil"/>
              <w:bottom w:val="nil"/>
              <w:right w:val="nil"/>
            </w:tcBorders>
          </w:tcPr>
          <w:p w14:paraId="2CEC4A83"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42.43</w:t>
            </w:r>
          </w:p>
        </w:tc>
        <w:tc>
          <w:tcPr>
            <w:tcW w:w="815" w:type="dxa"/>
            <w:tcBorders>
              <w:top w:val="nil"/>
              <w:left w:val="nil"/>
              <w:bottom w:val="nil"/>
              <w:right w:val="nil"/>
            </w:tcBorders>
          </w:tcPr>
          <w:p w14:paraId="7FF35C87"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92.14</w:t>
            </w:r>
          </w:p>
        </w:tc>
      </w:tr>
      <w:tr w:rsidR="00F5791D" w14:paraId="60F214BE" w14:textId="77777777" w:rsidTr="00AE5F86">
        <w:trPr>
          <w:trHeight w:val="264"/>
        </w:trPr>
        <w:tc>
          <w:tcPr>
            <w:tcW w:w="2778" w:type="dxa"/>
            <w:tcBorders>
              <w:top w:val="nil"/>
              <w:left w:val="nil"/>
              <w:bottom w:val="nil"/>
              <w:right w:val="nil"/>
            </w:tcBorders>
          </w:tcPr>
          <w:p w14:paraId="27A827B4" w14:textId="77777777" w:rsidR="00F5791D" w:rsidRDefault="00F5791D" w:rsidP="00AE5F86">
            <w:pPr>
              <w:widowControl w:val="0"/>
              <w:autoSpaceDE w:val="0"/>
              <w:autoSpaceDN w:val="0"/>
              <w:adjustRightInd w:val="0"/>
              <w:spacing w:after="0" w:line="240" w:lineRule="auto"/>
              <w:rPr>
                <w:rFonts w:ascii="Garamond" w:hAnsi="Garamond"/>
                <w:sz w:val="20"/>
                <w:szCs w:val="20"/>
              </w:rPr>
            </w:pPr>
            <w:proofErr w:type="gramStart"/>
            <w:r>
              <w:rPr>
                <w:rFonts w:ascii="Garamond" w:hAnsi="Garamond"/>
                <w:sz w:val="20"/>
                <w:szCs w:val="20"/>
              </w:rPr>
              <w:t>depends</w:t>
            </w:r>
            <w:proofErr w:type="gramEnd"/>
          </w:p>
        </w:tc>
        <w:tc>
          <w:tcPr>
            <w:tcW w:w="815" w:type="dxa"/>
            <w:tcBorders>
              <w:top w:val="nil"/>
              <w:left w:val="nil"/>
              <w:bottom w:val="nil"/>
              <w:right w:val="nil"/>
            </w:tcBorders>
          </w:tcPr>
          <w:p w14:paraId="7907FC0E"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53</w:t>
            </w:r>
          </w:p>
        </w:tc>
        <w:tc>
          <w:tcPr>
            <w:tcW w:w="815" w:type="dxa"/>
            <w:tcBorders>
              <w:top w:val="nil"/>
              <w:left w:val="nil"/>
              <w:bottom w:val="nil"/>
              <w:right w:val="nil"/>
            </w:tcBorders>
          </w:tcPr>
          <w:p w14:paraId="425D92DB"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7.86</w:t>
            </w:r>
          </w:p>
        </w:tc>
        <w:tc>
          <w:tcPr>
            <w:tcW w:w="815" w:type="dxa"/>
            <w:tcBorders>
              <w:top w:val="nil"/>
              <w:left w:val="nil"/>
              <w:bottom w:val="nil"/>
              <w:right w:val="nil"/>
            </w:tcBorders>
          </w:tcPr>
          <w:p w14:paraId="1AD7B972"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F5791D" w14:paraId="0AA5278D" w14:textId="77777777" w:rsidTr="00AE5F86">
        <w:trPr>
          <w:trHeight w:val="248"/>
        </w:trPr>
        <w:tc>
          <w:tcPr>
            <w:tcW w:w="2778" w:type="dxa"/>
            <w:tcBorders>
              <w:top w:val="single" w:sz="4" w:space="0" w:color="auto"/>
              <w:left w:val="nil"/>
              <w:bottom w:val="nil"/>
              <w:right w:val="nil"/>
            </w:tcBorders>
          </w:tcPr>
          <w:p w14:paraId="42129E0E" w14:textId="77777777" w:rsidR="00F5791D" w:rsidRDefault="00F5791D"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Total</w:t>
            </w:r>
          </w:p>
        </w:tc>
        <w:tc>
          <w:tcPr>
            <w:tcW w:w="815" w:type="dxa"/>
            <w:tcBorders>
              <w:top w:val="single" w:sz="4" w:space="0" w:color="auto"/>
              <w:left w:val="nil"/>
              <w:bottom w:val="nil"/>
              <w:right w:val="nil"/>
            </w:tcBorders>
          </w:tcPr>
          <w:p w14:paraId="5F46618A"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674</w:t>
            </w:r>
          </w:p>
        </w:tc>
        <w:tc>
          <w:tcPr>
            <w:tcW w:w="815" w:type="dxa"/>
            <w:tcBorders>
              <w:top w:val="single" w:sz="4" w:space="0" w:color="auto"/>
              <w:left w:val="nil"/>
              <w:bottom w:val="nil"/>
              <w:right w:val="nil"/>
            </w:tcBorders>
          </w:tcPr>
          <w:p w14:paraId="2A18DEE6"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c>
          <w:tcPr>
            <w:tcW w:w="815" w:type="dxa"/>
            <w:tcBorders>
              <w:top w:val="single" w:sz="4" w:space="0" w:color="auto"/>
              <w:left w:val="nil"/>
              <w:bottom w:val="nil"/>
              <w:right w:val="nil"/>
            </w:tcBorders>
          </w:tcPr>
          <w:p w14:paraId="172BE963" w14:textId="77777777" w:rsidR="00F5791D" w:rsidRDefault="00F5791D" w:rsidP="00AE5F86">
            <w:pPr>
              <w:widowControl w:val="0"/>
              <w:autoSpaceDE w:val="0"/>
              <w:autoSpaceDN w:val="0"/>
              <w:adjustRightInd w:val="0"/>
              <w:spacing w:after="0" w:line="240" w:lineRule="auto"/>
              <w:jc w:val="right"/>
              <w:rPr>
                <w:rFonts w:ascii="Garamond" w:hAnsi="Garamond"/>
                <w:sz w:val="20"/>
                <w:szCs w:val="20"/>
              </w:rPr>
            </w:pPr>
          </w:p>
        </w:tc>
      </w:tr>
      <w:tr w:rsidR="00F5791D" w14:paraId="5ED062A7" w14:textId="77777777" w:rsidTr="00AE5F86">
        <w:trPr>
          <w:trHeight w:val="264"/>
        </w:trPr>
        <w:tc>
          <w:tcPr>
            <w:tcW w:w="5226" w:type="dxa"/>
            <w:gridSpan w:val="4"/>
            <w:tcBorders>
              <w:top w:val="single" w:sz="6" w:space="0" w:color="auto"/>
              <w:left w:val="nil"/>
              <w:bottom w:val="nil"/>
              <w:right w:val="nil"/>
            </w:tcBorders>
          </w:tcPr>
          <w:p w14:paraId="7CEB029E" w14:textId="77777777" w:rsidR="00F5791D" w:rsidRDefault="00F5791D" w:rsidP="00AE5F86">
            <w:pPr>
              <w:widowControl w:val="0"/>
              <w:autoSpaceDE w:val="0"/>
              <w:autoSpaceDN w:val="0"/>
              <w:adjustRightInd w:val="0"/>
              <w:spacing w:after="0" w:line="240" w:lineRule="auto"/>
              <w:rPr>
                <w:rFonts w:ascii="Garamond" w:hAnsi="Garamond"/>
                <w:sz w:val="20"/>
                <w:szCs w:val="20"/>
              </w:rPr>
            </w:pPr>
          </w:p>
        </w:tc>
      </w:tr>
    </w:tbl>
    <w:p w14:paraId="5229B372" w14:textId="77777777" w:rsidR="00DA27BD" w:rsidRDefault="00DA27BD">
      <w:pPr>
        <w:rPr>
          <w:rFonts w:ascii="Times New Roman" w:hAnsi="Times New Roman" w:cs="Times New Roman"/>
        </w:rPr>
      </w:pPr>
    </w:p>
    <w:p w14:paraId="7E0228E8" w14:textId="77777777" w:rsidR="005B7CB8" w:rsidRDefault="005B7CB8">
      <w:pPr>
        <w:rPr>
          <w:rFonts w:ascii="Times New Roman" w:hAnsi="Times New Roman" w:cs="Times New Roman"/>
        </w:rPr>
      </w:pPr>
    </w:p>
    <w:p w14:paraId="36E256C0" w14:textId="27C00033" w:rsidR="00EB1887" w:rsidRDefault="00EB1887" w:rsidP="00056A43">
      <w:pPr>
        <w:spacing w:line="480" w:lineRule="auto"/>
        <w:rPr>
          <w:rFonts w:ascii="Times New Roman" w:hAnsi="Times New Roman" w:cs="Times New Roman"/>
          <w:b/>
          <w:bCs/>
        </w:rPr>
      </w:pPr>
      <w:r>
        <w:rPr>
          <w:rFonts w:ascii="Times New Roman" w:hAnsi="Times New Roman" w:cs="Times New Roman"/>
          <w:b/>
          <w:bCs/>
        </w:rPr>
        <w:lastRenderedPageBreak/>
        <w:t>Independent Variables</w:t>
      </w:r>
    </w:p>
    <w:p w14:paraId="7F41FB8F" w14:textId="6E83A88E" w:rsidR="00EB1887" w:rsidRDefault="003F6813" w:rsidP="00056A43">
      <w:pPr>
        <w:spacing w:line="480" w:lineRule="auto"/>
        <w:ind w:firstLine="720"/>
        <w:rPr>
          <w:rFonts w:ascii="Times New Roman" w:hAnsi="Times New Roman" w:cs="Times New Roman"/>
        </w:rPr>
      </w:pPr>
      <w:r>
        <w:rPr>
          <w:rFonts w:ascii="Times New Roman" w:hAnsi="Times New Roman" w:cs="Times New Roman"/>
        </w:rPr>
        <w:t xml:space="preserve">The calculation of the independent variables will vary across years, as not all elements of the 2018 questionnaire were included in the 2020 questionnaire. However, the wording of differentiated variables </w:t>
      </w:r>
      <w:r w:rsidR="005B7CB8">
        <w:rPr>
          <w:rFonts w:ascii="Times New Roman" w:hAnsi="Times New Roman" w:cs="Times New Roman"/>
        </w:rPr>
        <w:t>was</w:t>
      </w:r>
      <w:r>
        <w:rPr>
          <w:rFonts w:ascii="Times New Roman" w:hAnsi="Times New Roman" w:cs="Times New Roman"/>
        </w:rPr>
        <w:t xml:space="preserve"> </w:t>
      </w:r>
      <w:r w:rsidR="00724CBF">
        <w:rPr>
          <w:rFonts w:ascii="Times New Roman" w:hAnsi="Times New Roman" w:cs="Times New Roman"/>
        </w:rPr>
        <w:t xml:space="preserve">similar across the two waves, and the ANES addendum helps complement the missing aspects of certain omitted </w:t>
      </w:r>
      <w:r w:rsidR="00346D2B">
        <w:rPr>
          <w:rFonts w:ascii="Times New Roman" w:hAnsi="Times New Roman" w:cs="Times New Roman"/>
        </w:rPr>
        <w:t xml:space="preserve">variables. The naming of the variables will not include </w:t>
      </w:r>
      <w:r w:rsidR="009041EE">
        <w:rPr>
          <w:rFonts w:ascii="Times New Roman" w:hAnsi="Times New Roman" w:cs="Times New Roman"/>
        </w:rPr>
        <w:t>their suffixes _1b and _</w:t>
      </w:r>
      <w:proofErr w:type="gramStart"/>
      <w:r w:rsidR="009041EE">
        <w:rPr>
          <w:rFonts w:ascii="Times New Roman" w:hAnsi="Times New Roman" w:cs="Times New Roman"/>
        </w:rPr>
        <w:t>2, but</w:t>
      </w:r>
      <w:proofErr w:type="gramEnd"/>
      <w:r w:rsidR="009041EE">
        <w:rPr>
          <w:rFonts w:ascii="Times New Roman" w:hAnsi="Times New Roman" w:cs="Times New Roman"/>
        </w:rPr>
        <w:t xml:space="preserve"> will be specified explicitly by year.</w:t>
      </w:r>
    </w:p>
    <w:p w14:paraId="76878F9F" w14:textId="102E7F67" w:rsidR="00EB1887" w:rsidRDefault="00EB1887" w:rsidP="00056A43">
      <w:pPr>
        <w:spacing w:line="480" w:lineRule="auto"/>
        <w:rPr>
          <w:rFonts w:ascii="Times New Roman" w:hAnsi="Times New Roman" w:cs="Times New Roman"/>
          <w:i/>
          <w:iCs/>
        </w:rPr>
      </w:pPr>
      <w:r>
        <w:rPr>
          <w:rFonts w:ascii="Times New Roman" w:hAnsi="Times New Roman" w:cs="Times New Roman"/>
          <w:i/>
          <w:iCs/>
        </w:rPr>
        <w:t>Loneliness</w:t>
      </w:r>
    </w:p>
    <w:p w14:paraId="5ADF70AE" w14:textId="0AC8CB62" w:rsidR="00724795" w:rsidRDefault="009041EE" w:rsidP="00056A43">
      <w:pPr>
        <w:spacing w:line="480" w:lineRule="auto"/>
        <w:ind w:firstLine="720"/>
        <w:rPr>
          <w:rFonts w:ascii="Times New Roman" w:eastAsia="Times New Roman" w:hAnsi="Times New Roman" w:cs="Times New Roman"/>
          <w:color w:val="000000"/>
        </w:rPr>
      </w:pPr>
      <w:r>
        <w:rPr>
          <w:rFonts w:ascii="Times New Roman" w:hAnsi="Times New Roman" w:cs="Times New Roman"/>
        </w:rPr>
        <w:t xml:space="preserve">Measures of loneliness were </w:t>
      </w:r>
      <w:r w:rsidR="001E3116">
        <w:rPr>
          <w:rFonts w:ascii="Times New Roman" w:hAnsi="Times New Roman" w:cs="Times New Roman"/>
        </w:rPr>
        <w:t xml:space="preserve">identified by the </w:t>
      </w:r>
      <w:r w:rsidR="001E3116" w:rsidRPr="00095586">
        <w:rPr>
          <w:rFonts w:ascii="Times New Roman" w:hAnsi="Times New Roman" w:cs="Times New Roman"/>
          <w:i/>
          <w:iCs/>
        </w:rPr>
        <w:t>lonely3</w:t>
      </w:r>
      <w:r w:rsidR="001E3116">
        <w:rPr>
          <w:rFonts w:ascii="Times New Roman" w:hAnsi="Times New Roman" w:cs="Times New Roman"/>
        </w:rPr>
        <w:t xml:space="preserve"> parameter (“</w:t>
      </w:r>
      <w:r w:rsidR="00202465" w:rsidRPr="00202465">
        <w:rPr>
          <w:rFonts w:ascii="Times New Roman" w:hAnsi="Times New Roman" w:cs="Times New Roman"/>
        </w:rPr>
        <w:t>How often in the past 4 weeks have you felt t</w:t>
      </w:r>
      <w:r w:rsidR="00202465">
        <w:rPr>
          <w:rFonts w:ascii="Times New Roman" w:hAnsi="Times New Roman" w:cs="Times New Roman"/>
        </w:rPr>
        <w:t>hat y</w:t>
      </w:r>
      <w:r w:rsidR="00202465" w:rsidRPr="00202465">
        <w:rPr>
          <w:rFonts w:ascii="Times New Roman" w:hAnsi="Times New Roman" w:cs="Times New Roman"/>
        </w:rPr>
        <w:t>ou are left out?</w:t>
      </w:r>
      <w:r w:rsidR="00202465">
        <w:rPr>
          <w:rFonts w:ascii="Times New Roman" w:hAnsi="Times New Roman" w:cs="Times New Roman"/>
        </w:rPr>
        <w:t xml:space="preserve">”) in 2018, and by the </w:t>
      </w:r>
      <w:r w:rsidR="00202465" w:rsidRPr="00095586">
        <w:rPr>
          <w:rFonts w:ascii="Times New Roman" w:hAnsi="Times New Roman" w:cs="Times New Roman"/>
          <w:i/>
          <w:iCs/>
        </w:rPr>
        <w:t>lonely1</w:t>
      </w:r>
      <w:r w:rsidR="00202465">
        <w:rPr>
          <w:rFonts w:ascii="Times New Roman" w:hAnsi="Times New Roman" w:cs="Times New Roman"/>
        </w:rPr>
        <w:t xml:space="preserve"> and </w:t>
      </w:r>
      <w:r w:rsidR="00202465" w:rsidRPr="00095586">
        <w:rPr>
          <w:rFonts w:ascii="Times New Roman" w:hAnsi="Times New Roman" w:cs="Times New Roman"/>
          <w:i/>
          <w:iCs/>
        </w:rPr>
        <w:t>lonely2</w:t>
      </w:r>
      <w:r w:rsidR="00202465">
        <w:rPr>
          <w:rFonts w:ascii="Times New Roman" w:hAnsi="Times New Roman" w:cs="Times New Roman"/>
        </w:rPr>
        <w:t xml:space="preserve"> parameters (“</w:t>
      </w:r>
      <w:r w:rsidR="00584E97" w:rsidRPr="00584E97">
        <w:rPr>
          <w:rFonts w:ascii="Times New Roman" w:hAnsi="Times New Roman" w:cs="Times New Roman"/>
        </w:rPr>
        <w:t>How often in the past 4 weeks have you felt tha</w:t>
      </w:r>
      <w:r w:rsidR="00584E97">
        <w:rPr>
          <w:rFonts w:ascii="Times New Roman" w:hAnsi="Times New Roman" w:cs="Times New Roman"/>
        </w:rPr>
        <w:t>t yo</w:t>
      </w:r>
      <w:r w:rsidR="00584E97" w:rsidRPr="00584E97">
        <w:rPr>
          <w:rFonts w:ascii="Times New Roman" w:hAnsi="Times New Roman" w:cs="Times New Roman"/>
        </w:rPr>
        <w:t>u lack companionship?</w:t>
      </w:r>
      <w:r w:rsidR="00584E97">
        <w:rPr>
          <w:rFonts w:ascii="Times New Roman" w:hAnsi="Times New Roman" w:cs="Times New Roman"/>
        </w:rPr>
        <w:t>”</w:t>
      </w:r>
      <w:r w:rsidR="00F56CB5">
        <w:rPr>
          <w:rFonts w:ascii="Times New Roman" w:hAnsi="Times New Roman" w:cs="Times New Roman"/>
        </w:rPr>
        <w:t>; “</w:t>
      </w:r>
      <w:r w:rsidR="00F56CB5" w:rsidRPr="00F56CB5">
        <w:rPr>
          <w:rFonts w:ascii="Times New Roman" w:hAnsi="Times New Roman" w:cs="Times New Roman"/>
        </w:rPr>
        <w:t>How often in the past 4 weeks have you felt tha</w:t>
      </w:r>
      <w:r w:rsidR="00F56CB5">
        <w:rPr>
          <w:rFonts w:ascii="Times New Roman" w:hAnsi="Times New Roman" w:cs="Times New Roman"/>
        </w:rPr>
        <w:t>t yo</w:t>
      </w:r>
      <w:r w:rsidR="00F56CB5" w:rsidRPr="00F56CB5">
        <w:rPr>
          <w:rFonts w:ascii="Times New Roman" w:hAnsi="Times New Roman" w:cs="Times New Roman"/>
        </w:rPr>
        <w:t>u are isolated from others?</w:t>
      </w:r>
      <w:r w:rsidR="00F56CB5">
        <w:rPr>
          <w:rFonts w:ascii="Times New Roman" w:hAnsi="Times New Roman" w:cs="Times New Roman"/>
        </w:rPr>
        <w:t>”)</w:t>
      </w:r>
      <w:r w:rsidR="00420A5E">
        <w:rPr>
          <w:rFonts w:ascii="Times New Roman" w:hAnsi="Times New Roman" w:cs="Times New Roman"/>
        </w:rPr>
        <w:t xml:space="preserve"> in 2020</w:t>
      </w:r>
      <w:r w:rsidR="00F56CB5">
        <w:rPr>
          <w:rFonts w:ascii="Times New Roman" w:hAnsi="Times New Roman" w:cs="Times New Roman"/>
        </w:rPr>
        <w:t xml:space="preserve">. </w:t>
      </w:r>
      <w:r w:rsidR="006967E6">
        <w:rPr>
          <w:rFonts w:ascii="Times New Roman" w:hAnsi="Times New Roman" w:cs="Times New Roman"/>
        </w:rPr>
        <w:t xml:space="preserve">While </w:t>
      </w:r>
      <w:r w:rsidR="004C1F53" w:rsidRPr="00095586">
        <w:rPr>
          <w:rFonts w:ascii="Times New Roman" w:hAnsi="Times New Roman" w:cs="Times New Roman"/>
          <w:i/>
          <w:iCs/>
        </w:rPr>
        <w:t>lonely3</w:t>
      </w:r>
      <w:r w:rsidR="004C1F53">
        <w:rPr>
          <w:rFonts w:ascii="Times New Roman" w:hAnsi="Times New Roman" w:cs="Times New Roman"/>
        </w:rPr>
        <w:t xml:space="preserve"> seems to directly capture the aspect of emotional loneliness we want to express (</w:t>
      </w:r>
      <w:r w:rsidR="005754DE">
        <w:rPr>
          <w:rFonts w:ascii="Times New Roman" w:hAnsi="Times New Roman" w:cs="Times New Roman"/>
        </w:rPr>
        <w:t xml:space="preserve">Prohaska et al. 2020), </w:t>
      </w:r>
      <w:r w:rsidR="005754DE" w:rsidRPr="00095586">
        <w:rPr>
          <w:rFonts w:ascii="Times New Roman" w:hAnsi="Times New Roman" w:cs="Times New Roman"/>
          <w:i/>
          <w:iCs/>
        </w:rPr>
        <w:t>lonely1</w:t>
      </w:r>
      <w:r w:rsidR="005754DE">
        <w:rPr>
          <w:rFonts w:ascii="Times New Roman" w:hAnsi="Times New Roman" w:cs="Times New Roman"/>
        </w:rPr>
        <w:t xml:space="preserve"> and </w:t>
      </w:r>
      <w:r w:rsidR="005754DE" w:rsidRPr="00095586">
        <w:rPr>
          <w:rFonts w:ascii="Times New Roman" w:hAnsi="Times New Roman" w:cs="Times New Roman"/>
          <w:i/>
          <w:iCs/>
        </w:rPr>
        <w:t>lonely2</w:t>
      </w:r>
      <w:r w:rsidR="005754DE">
        <w:rPr>
          <w:rFonts w:ascii="Times New Roman" w:hAnsi="Times New Roman" w:cs="Times New Roman"/>
        </w:rPr>
        <w:t xml:space="preserve"> seem to distinguish </w:t>
      </w:r>
      <w:r w:rsidR="006C3842">
        <w:rPr>
          <w:rFonts w:ascii="Times New Roman" w:hAnsi="Times New Roman" w:cs="Times New Roman"/>
        </w:rPr>
        <w:t>emotional loneliness with physical loneliness</w:t>
      </w:r>
      <w:r w:rsidR="00B02CFA">
        <w:rPr>
          <w:rFonts w:ascii="Times New Roman" w:hAnsi="Times New Roman" w:cs="Times New Roman"/>
        </w:rPr>
        <w:t xml:space="preserve">, the latter </w:t>
      </w:r>
      <w:proofErr w:type="gramStart"/>
      <w:r w:rsidR="00B02CFA">
        <w:rPr>
          <w:rFonts w:ascii="Times New Roman" w:hAnsi="Times New Roman" w:cs="Times New Roman"/>
        </w:rPr>
        <w:t>as a consequence of</w:t>
      </w:r>
      <w:proofErr w:type="gramEnd"/>
      <w:r w:rsidR="00B02CFA">
        <w:rPr>
          <w:rFonts w:ascii="Times New Roman" w:hAnsi="Times New Roman" w:cs="Times New Roman"/>
        </w:rPr>
        <w:t xml:space="preserve"> concrete restrictions of interaction (</w:t>
      </w:r>
      <w:r w:rsidR="00EB6BD4">
        <w:rPr>
          <w:rFonts w:ascii="Times New Roman" w:hAnsi="Times New Roman" w:cs="Times New Roman"/>
        </w:rPr>
        <w:t xml:space="preserve">Holt-Lunstad &amp; Steptoe, 2022). </w:t>
      </w:r>
      <w:r w:rsidR="00E43B65">
        <w:rPr>
          <w:rFonts w:ascii="Times New Roman" w:hAnsi="Times New Roman" w:cs="Times New Roman"/>
        </w:rPr>
        <w:t xml:space="preserve">The variable </w:t>
      </w:r>
      <w:r w:rsidR="00E43B65" w:rsidRPr="00095586">
        <w:rPr>
          <w:rFonts w:ascii="Times New Roman" w:hAnsi="Times New Roman" w:cs="Times New Roman"/>
          <w:i/>
          <w:iCs/>
        </w:rPr>
        <w:t>conwkday</w:t>
      </w:r>
      <w:r w:rsidR="00E43B65">
        <w:rPr>
          <w:rFonts w:ascii="Times New Roman" w:hAnsi="Times New Roman" w:cs="Times New Roman"/>
        </w:rPr>
        <w:t xml:space="preserve"> in 2018 measures the number of people a respondent contacts in a typical weekday</w:t>
      </w:r>
      <w:r w:rsidR="0030340E">
        <w:rPr>
          <w:rFonts w:ascii="Times New Roman" w:hAnsi="Times New Roman" w:cs="Times New Roman"/>
        </w:rPr>
        <w:t xml:space="preserve"> (“</w:t>
      </w:r>
      <w:r w:rsidR="0030340E" w:rsidRPr="0030340E">
        <w:rPr>
          <w:rFonts w:ascii="Times New Roman" w:hAnsi="Times New Roman" w:cs="Times New Roman"/>
        </w:rPr>
        <w:t xml:space="preserve">Please indicate about how many people do you have contact with on a typical weekday irrespective of whether you know them or not. Include anyone you chat with, talk to, or text, either face-to-face, by phone, </w:t>
      </w:r>
      <w:proofErr w:type="gramStart"/>
      <w:r w:rsidR="0030340E" w:rsidRPr="0030340E">
        <w:rPr>
          <w:rFonts w:ascii="Times New Roman" w:hAnsi="Times New Roman" w:cs="Times New Roman"/>
        </w:rPr>
        <w:t>internet</w:t>
      </w:r>
      <w:proofErr w:type="gramEnd"/>
      <w:r w:rsidR="0030340E" w:rsidRPr="0030340E">
        <w:rPr>
          <w:rFonts w:ascii="Times New Roman" w:hAnsi="Times New Roman" w:cs="Times New Roman"/>
        </w:rPr>
        <w:t xml:space="preserve"> or any other communication device.</w:t>
      </w:r>
      <w:r w:rsidR="0030340E">
        <w:rPr>
          <w:rFonts w:ascii="Times New Roman" w:hAnsi="Times New Roman" w:cs="Times New Roman"/>
        </w:rPr>
        <w:t>”)</w:t>
      </w:r>
      <w:r w:rsidR="00CE4BBB">
        <w:rPr>
          <w:rFonts w:ascii="Times New Roman" w:hAnsi="Times New Roman" w:cs="Times New Roman"/>
        </w:rPr>
        <w:t xml:space="preserve">, which can be used as a way to pair the lonely3 variable </w:t>
      </w:r>
      <w:r w:rsidR="00A81621">
        <w:rPr>
          <w:rFonts w:ascii="Times New Roman" w:hAnsi="Times New Roman" w:cs="Times New Roman"/>
        </w:rPr>
        <w:t xml:space="preserve">in 2018. As such we would obtain two distinguished measures of both emotional and physical loneliness that would determine which is more important in the variation of health, </w:t>
      </w:r>
      <w:r w:rsidR="00DF1A78">
        <w:rPr>
          <w:rFonts w:ascii="Times New Roman" w:hAnsi="Times New Roman" w:cs="Times New Roman"/>
        </w:rPr>
        <w:t>happiness, and trust</w:t>
      </w:r>
      <w:r w:rsidR="006050E5">
        <w:rPr>
          <w:rFonts w:ascii="Times New Roman" w:hAnsi="Times New Roman" w:cs="Times New Roman"/>
        </w:rPr>
        <w:t xml:space="preserve"> (</w:t>
      </w:r>
      <w:r w:rsidR="006050E5">
        <w:rPr>
          <w:rFonts w:ascii="Times New Roman" w:hAnsi="Times New Roman" w:cs="Times New Roman"/>
          <w:bCs/>
        </w:rPr>
        <w:t>Lee &amp; Lee, 2010; Vacchiano &amp; Bolano, 2021</w:t>
      </w:r>
      <w:r w:rsidR="007B6C53">
        <w:rPr>
          <w:rFonts w:ascii="Times New Roman" w:hAnsi="Times New Roman" w:cs="Times New Roman"/>
          <w:bCs/>
        </w:rPr>
        <w:t>)</w:t>
      </w:r>
      <w:r w:rsidR="000D1F9F">
        <w:rPr>
          <w:rFonts w:ascii="Times New Roman" w:hAnsi="Times New Roman" w:cs="Times New Roman"/>
          <w:bCs/>
        </w:rPr>
        <w:t>.</w:t>
      </w:r>
      <w:r w:rsidR="006508C8">
        <w:rPr>
          <w:rFonts w:ascii="Times New Roman" w:hAnsi="Times New Roman" w:cs="Times New Roman"/>
          <w:bCs/>
        </w:rPr>
        <w:t xml:space="preserve"> </w:t>
      </w:r>
      <w:r w:rsidR="00AD198D">
        <w:rPr>
          <w:rFonts w:ascii="Times New Roman" w:hAnsi="Times New Roman" w:cs="Times New Roman"/>
          <w:bCs/>
        </w:rPr>
        <w:t xml:space="preserve">Previous literature predicts that the </w:t>
      </w:r>
      <w:r w:rsidR="000E7216">
        <w:rPr>
          <w:rFonts w:ascii="Times New Roman" w:hAnsi="Times New Roman" w:cs="Times New Roman"/>
          <w:bCs/>
        </w:rPr>
        <w:t>former</w:t>
      </w:r>
      <w:r w:rsidR="00AD198D">
        <w:rPr>
          <w:rFonts w:ascii="Times New Roman" w:hAnsi="Times New Roman" w:cs="Times New Roman"/>
          <w:bCs/>
        </w:rPr>
        <w:t xml:space="preserve"> will have</w:t>
      </w:r>
      <w:r w:rsidR="00AD2756">
        <w:rPr>
          <w:rFonts w:ascii="Times New Roman" w:hAnsi="Times New Roman" w:cs="Times New Roman"/>
          <w:bCs/>
        </w:rPr>
        <w:t xml:space="preserve"> a</w:t>
      </w:r>
      <w:r w:rsidR="00AD198D">
        <w:rPr>
          <w:rFonts w:ascii="Times New Roman" w:hAnsi="Times New Roman" w:cs="Times New Roman"/>
          <w:bCs/>
        </w:rPr>
        <w:t xml:space="preserve"> lesser</w:t>
      </w:r>
      <w:r w:rsidR="00AD2756">
        <w:rPr>
          <w:rFonts w:ascii="Times New Roman" w:hAnsi="Times New Roman" w:cs="Times New Roman"/>
          <w:bCs/>
        </w:rPr>
        <w:t>, though still negative,</w:t>
      </w:r>
      <w:r w:rsidR="00AD198D">
        <w:rPr>
          <w:rFonts w:ascii="Times New Roman" w:hAnsi="Times New Roman" w:cs="Times New Roman"/>
          <w:bCs/>
        </w:rPr>
        <w:t xml:space="preserve"> effect on the three</w:t>
      </w:r>
      <w:r w:rsidR="00AD2756">
        <w:rPr>
          <w:rFonts w:ascii="Times New Roman" w:hAnsi="Times New Roman" w:cs="Times New Roman"/>
          <w:bCs/>
        </w:rPr>
        <w:t xml:space="preserve"> </w:t>
      </w:r>
      <w:r w:rsidR="000E7216">
        <w:rPr>
          <w:rFonts w:ascii="Times New Roman" w:hAnsi="Times New Roman" w:cs="Times New Roman"/>
          <w:bCs/>
        </w:rPr>
        <w:t xml:space="preserve">if we </w:t>
      </w:r>
      <w:proofErr w:type="gramStart"/>
      <w:r w:rsidR="000E7216">
        <w:rPr>
          <w:rFonts w:ascii="Times New Roman" w:hAnsi="Times New Roman" w:cs="Times New Roman"/>
          <w:bCs/>
        </w:rPr>
        <w:t>take into account</w:t>
      </w:r>
      <w:proofErr w:type="gramEnd"/>
      <w:r w:rsidR="000E7216">
        <w:rPr>
          <w:rFonts w:ascii="Times New Roman" w:hAnsi="Times New Roman" w:cs="Times New Roman"/>
          <w:bCs/>
        </w:rPr>
        <w:t xml:space="preserve"> a person’s preferred method of communication </w:t>
      </w:r>
      <w:r w:rsidR="00AD2756">
        <w:rPr>
          <w:rFonts w:ascii="Times New Roman" w:hAnsi="Times New Roman" w:cs="Times New Roman"/>
          <w:bCs/>
        </w:rPr>
        <w:t>(</w:t>
      </w:r>
      <w:r w:rsidR="000E7216">
        <w:rPr>
          <w:rFonts w:ascii="Times New Roman" w:hAnsi="Times New Roman" w:cs="Times New Roman"/>
          <w:bCs/>
        </w:rPr>
        <w:t xml:space="preserve">Digital or Physical; </w:t>
      </w:r>
      <w:r w:rsidR="00BD5E9B">
        <w:rPr>
          <w:rFonts w:ascii="Times New Roman" w:eastAsia="Times New Roman" w:hAnsi="Times New Roman" w:cs="Times New Roman"/>
          <w:color w:val="000000"/>
        </w:rPr>
        <w:t>Steafnone, Huang</w:t>
      </w:r>
      <w:r w:rsidR="00BD5E9B" w:rsidRPr="00E32417">
        <w:rPr>
          <w:rFonts w:ascii="Times New Roman" w:eastAsia="Times New Roman" w:hAnsi="Times New Roman" w:cs="Times New Roman"/>
          <w:color w:val="000000"/>
        </w:rPr>
        <w:t>, &amp; Lackaff</w:t>
      </w:r>
      <w:r w:rsidR="00BD5E9B">
        <w:rPr>
          <w:rFonts w:ascii="Times New Roman" w:eastAsia="Times New Roman" w:hAnsi="Times New Roman" w:cs="Times New Roman"/>
          <w:color w:val="000000"/>
        </w:rPr>
        <w:t>, 2011)</w:t>
      </w:r>
    </w:p>
    <w:p w14:paraId="2E99DCCA" w14:textId="77777777" w:rsidR="001344F9" w:rsidRDefault="001344F9" w:rsidP="00056A43">
      <w:pPr>
        <w:spacing w:line="480" w:lineRule="auto"/>
        <w:ind w:firstLine="720"/>
        <w:rPr>
          <w:rFonts w:ascii="Times New Roman" w:hAnsi="Times New Roman" w:cs="Times New Roman"/>
        </w:rPr>
      </w:pPr>
    </w:p>
    <w:p w14:paraId="19C4A4CA" w14:textId="7AC2AC88" w:rsidR="00EB1887" w:rsidRPr="00EB1887" w:rsidRDefault="00724795" w:rsidP="00056A43">
      <w:pPr>
        <w:spacing w:line="480" w:lineRule="auto"/>
        <w:rPr>
          <w:rFonts w:ascii="Times New Roman" w:hAnsi="Times New Roman" w:cs="Times New Roman"/>
          <w:i/>
          <w:iCs/>
        </w:rPr>
      </w:pPr>
      <w:r>
        <w:rPr>
          <w:rFonts w:ascii="Times New Roman" w:hAnsi="Times New Roman" w:cs="Times New Roman"/>
          <w:i/>
          <w:iCs/>
        </w:rPr>
        <w:lastRenderedPageBreak/>
        <w:t>Communication Methods</w:t>
      </w:r>
    </w:p>
    <w:p w14:paraId="445CD8D3" w14:textId="0BEC7349" w:rsidR="00EB1887" w:rsidRPr="00EB1887" w:rsidRDefault="00CC405E" w:rsidP="00056A43">
      <w:pPr>
        <w:spacing w:line="480" w:lineRule="auto"/>
        <w:ind w:firstLine="720"/>
        <w:rPr>
          <w:rFonts w:ascii="Times New Roman" w:hAnsi="Times New Roman" w:cs="Times New Roman"/>
        </w:rPr>
      </w:pPr>
      <w:r>
        <w:rPr>
          <w:rFonts w:ascii="Times New Roman" w:hAnsi="Times New Roman" w:cs="Times New Roman"/>
        </w:rPr>
        <w:t xml:space="preserve">Measures of communication will be determined by the variables </w:t>
      </w:r>
      <w:r w:rsidRPr="00095586">
        <w:rPr>
          <w:rFonts w:ascii="Times New Roman" w:hAnsi="Times New Roman" w:cs="Times New Roman"/>
          <w:i/>
          <w:iCs/>
        </w:rPr>
        <w:t>conf2f</w:t>
      </w:r>
      <w:r>
        <w:rPr>
          <w:rFonts w:ascii="Times New Roman" w:hAnsi="Times New Roman" w:cs="Times New Roman"/>
        </w:rPr>
        <w:t xml:space="preserve"> (“</w:t>
      </w:r>
      <w:r w:rsidR="00873970" w:rsidRPr="00873970">
        <w:rPr>
          <w:rFonts w:ascii="Times New Roman" w:hAnsi="Times New Roman" w:cs="Times New Roman"/>
        </w:rPr>
        <w:t>About how many of these people do you see face-to-face on a typical weekday?</w:t>
      </w:r>
      <w:r w:rsidR="008945F5">
        <w:rPr>
          <w:rFonts w:ascii="Times New Roman" w:hAnsi="Times New Roman" w:cs="Times New Roman"/>
        </w:rPr>
        <w:t xml:space="preserve">”) and </w:t>
      </w:r>
      <w:r w:rsidR="008945F5" w:rsidRPr="00095586">
        <w:rPr>
          <w:rFonts w:ascii="Times New Roman" w:hAnsi="Times New Roman" w:cs="Times New Roman"/>
          <w:i/>
          <w:iCs/>
        </w:rPr>
        <w:t>intcntct</w:t>
      </w:r>
      <w:r w:rsidR="008945F5">
        <w:rPr>
          <w:rFonts w:ascii="Times New Roman" w:hAnsi="Times New Roman" w:cs="Times New Roman"/>
        </w:rPr>
        <w:t xml:space="preserve"> (“</w:t>
      </w:r>
      <w:r w:rsidR="007905EB" w:rsidRPr="007905EB">
        <w:rPr>
          <w:rFonts w:ascii="Times New Roman" w:hAnsi="Times New Roman" w:cs="Times New Roman"/>
        </w:rPr>
        <w:t xml:space="preserve">Think now of your contact with </w:t>
      </w:r>
      <w:proofErr w:type="gramStart"/>
      <w:r w:rsidR="007905EB" w:rsidRPr="007905EB">
        <w:rPr>
          <w:rFonts w:ascii="Times New Roman" w:hAnsi="Times New Roman" w:cs="Times New Roman"/>
        </w:rPr>
        <w:t>all of</w:t>
      </w:r>
      <w:proofErr w:type="gramEnd"/>
      <w:r w:rsidR="007905EB" w:rsidRPr="007905EB">
        <w:rPr>
          <w:rFonts w:ascii="Times New Roman" w:hAnsi="Times New Roman" w:cs="Times New Roman"/>
        </w:rPr>
        <w:t xml:space="preserve"> your family members and close friends. How much of it is through text messages, mobile phones, or other communication devices that use the internet?</w:t>
      </w:r>
      <w:r w:rsidR="007905EB">
        <w:rPr>
          <w:rFonts w:ascii="Times New Roman" w:hAnsi="Times New Roman" w:cs="Times New Roman"/>
        </w:rPr>
        <w:t xml:space="preserve">), which consider respectively the </w:t>
      </w:r>
      <w:r w:rsidR="002B4940">
        <w:rPr>
          <w:rFonts w:ascii="Times New Roman" w:hAnsi="Times New Roman" w:cs="Times New Roman"/>
        </w:rPr>
        <w:t>number</w:t>
      </w:r>
      <w:r w:rsidR="007905EB">
        <w:rPr>
          <w:rFonts w:ascii="Times New Roman" w:hAnsi="Times New Roman" w:cs="Times New Roman"/>
        </w:rPr>
        <w:t xml:space="preserve"> of physical interactions and digital interactions a person faces</w:t>
      </w:r>
      <w:r w:rsidR="004E6A02">
        <w:rPr>
          <w:rFonts w:ascii="Times New Roman" w:hAnsi="Times New Roman" w:cs="Times New Roman"/>
        </w:rPr>
        <w:t xml:space="preserve">. The main limitation of these two variables is that they are </w:t>
      </w:r>
      <w:r w:rsidR="003E039A">
        <w:rPr>
          <w:rFonts w:ascii="Times New Roman" w:hAnsi="Times New Roman" w:cs="Times New Roman"/>
        </w:rPr>
        <w:t>exclusive</w:t>
      </w:r>
      <w:r w:rsidR="004E6A02">
        <w:rPr>
          <w:rFonts w:ascii="Times New Roman" w:hAnsi="Times New Roman" w:cs="Times New Roman"/>
        </w:rPr>
        <w:t xml:space="preserve"> to the 2018 wave, and their wording doesn’t concurrently specify </w:t>
      </w:r>
      <w:r w:rsidR="00E80A0B">
        <w:rPr>
          <w:rFonts w:ascii="Times New Roman" w:hAnsi="Times New Roman" w:cs="Times New Roman"/>
        </w:rPr>
        <w:t xml:space="preserve">the time frame by which this interaction takes place. While the fixed effects model should compensate for the first limitation, </w:t>
      </w:r>
      <w:r w:rsidR="002B4940">
        <w:rPr>
          <w:rFonts w:ascii="Times New Roman" w:hAnsi="Times New Roman" w:cs="Times New Roman"/>
        </w:rPr>
        <w:t>the difference in content might need to be checked for misspecification.</w:t>
      </w:r>
      <w:r w:rsidR="004C3058">
        <w:rPr>
          <w:rFonts w:ascii="Times New Roman" w:hAnsi="Times New Roman" w:cs="Times New Roman"/>
        </w:rPr>
        <w:t xml:space="preserve"> </w:t>
      </w:r>
      <w:r w:rsidR="00866FC3">
        <w:rPr>
          <w:rFonts w:ascii="Times New Roman" w:hAnsi="Times New Roman" w:cs="Times New Roman"/>
        </w:rPr>
        <w:t>Further, the ANES addendum contains</w:t>
      </w:r>
      <w:r w:rsidR="00DE4F2E">
        <w:rPr>
          <w:rFonts w:ascii="Times New Roman" w:hAnsi="Times New Roman" w:cs="Times New Roman"/>
        </w:rPr>
        <w:t xml:space="preserve"> a set of variables</w:t>
      </w:r>
      <w:r w:rsidR="00C017EF">
        <w:rPr>
          <w:rFonts w:ascii="Times New Roman" w:hAnsi="Times New Roman" w:cs="Times New Roman"/>
        </w:rPr>
        <w:t xml:space="preserve"> V202541a</w:t>
      </w:r>
      <w:r w:rsidR="002C715E">
        <w:rPr>
          <w:rFonts w:ascii="Times New Roman" w:hAnsi="Times New Roman" w:cs="Times New Roman"/>
        </w:rPr>
        <w:t xml:space="preserve">-b-c-d-f, which track number of visits to Facebook, Twitter, Instagram, </w:t>
      </w:r>
      <w:proofErr w:type="gramStart"/>
      <w:r w:rsidR="002C715E">
        <w:rPr>
          <w:rFonts w:ascii="Times New Roman" w:hAnsi="Times New Roman" w:cs="Times New Roman"/>
        </w:rPr>
        <w:t>Reddit</w:t>
      </w:r>
      <w:proofErr w:type="gramEnd"/>
      <w:r w:rsidR="002C715E">
        <w:rPr>
          <w:rFonts w:ascii="Times New Roman" w:hAnsi="Times New Roman" w:cs="Times New Roman"/>
        </w:rPr>
        <w:t xml:space="preserve"> and Snapchat respectively</w:t>
      </w:r>
      <w:r w:rsidR="00EE553F">
        <w:rPr>
          <w:rFonts w:ascii="Times New Roman" w:hAnsi="Times New Roman" w:cs="Times New Roman"/>
        </w:rPr>
        <w:t>, allowing some degree of follow-up to online communication patterns.</w:t>
      </w:r>
      <w:r w:rsidR="002B4940">
        <w:rPr>
          <w:rFonts w:ascii="Times New Roman" w:hAnsi="Times New Roman" w:cs="Times New Roman"/>
        </w:rPr>
        <w:t xml:space="preserve"> </w:t>
      </w:r>
      <w:r w:rsidR="009D48AB">
        <w:rPr>
          <w:rFonts w:ascii="Times New Roman" w:hAnsi="Times New Roman" w:cs="Times New Roman"/>
        </w:rPr>
        <w:t>We expect, however, that the effect of</w:t>
      </w:r>
      <w:r w:rsidR="00BF484B">
        <w:rPr>
          <w:rFonts w:ascii="Times New Roman" w:hAnsi="Times New Roman" w:cs="Times New Roman"/>
        </w:rPr>
        <w:t xml:space="preserve"> social</w:t>
      </w:r>
      <w:r w:rsidR="001E0372">
        <w:rPr>
          <w:rFonts w:ascii="Times New Roman" w:hAnsi="Times New Roman" w:cs="Times New Roman"/>
        </w:rPr>
        <w:t xml:space="preserve"> digital interaction</w:t>
      </w:r>
      <w:r w:rsidR="00BF484B">
        <w:rPr>
          <w:rFonts w:ascii="Times New Roman" w:hAnsi="Times New Roman" w:cs="Times New Roman"/>
        </w:rPr>
        <w:t>s</w:t>
      </w:r>
      <w:r w:rsidR="001E0372">
        <w:rPr>
          <w:rFonts w:ascii="Times New Roman" w:hAnsi="Times New Roman" w:cs="Times New Roman"/>
        </w:rPr>
        <w:t xml:space="preserve"> will be driven by the level of </w:t>
      </w:r>
      <w:r w:rsidR="00BF484B">
        <w:rPr>
          <w:rFonts w:ascii="Times New Roman" w:hAnsi="Times New Roman" w:cs="Times New Roman"/>
        </w:rPr>
        <w:t>social real-life</w:t>
      </w:r>
      <w:r w:rsidR="00E955BF">
        <w:rPr>
          <w:rFonts w:ascii="Times New Roman" w:hAnsi="Times New Roman" w:cs="Times New Roman"/>
        </w:rPr>
        <w:t xml:space="preserve"> interaction</w:t>
      </w:r>
      <w:r w:rsidR="00BF484B">
        <w:rPr>
          <w:rFonts w:ascii="Times New Roman" w:hAnsi="Times New Roman" w:cs="Times New Roman"/>
        </w:rPr>
        <w:t>s</w:t>
      </w:r>
      <w:r w:rsidR="00271F61">
        <w:rPr>
          <w:rFonts w:ascii="Times New Roman" w:hAnsi="Times New Roman" w:cs="Times New Roman"/>
        </w:rPr>
        <w:t xml:space="preserve"> (</w:t>
      </w:r>
      <w:r w:rsidR="00FD710D" w:rsidRPr="00DA239E">
        <w:rPr>
          <w:rFonts w:ascii="Times New Roman" w:hAnsi="Times New Roman" w:cs="Times New Roman"/>
          <w:bCs/>
        </w:rPr>
        <w:t>Filiposka, Gajduk, Dimitrova, &amp; Kocarev,</w:t>
      </w:r>
      <w:r w:rsidR="00FD710D">
        <w:rPr>
          <w:rFonts w:ascii="Times New Roman" w:hAnsi="Times New Roman" w:cs="Times New Roman"/>
          <w:bCs/>
        </w:rPr>
        <w:t xml:space="preserve"> </w:t>
      </w:r>
      <w:r w:rsidR="00FD710D" w:rsidRPr="00DA239E">
        <w:rPr>
          <w:rFonts w:ascii="Times New Roman" w:hAnsi="Times New Roman" w:cs="Times New Roman"/>
          <w:bCs/>
        </w:rPr>
        <w:t>2017</w:t>
      </w:r>
      <w:r w:rsidR="00FD710D">
        <w:rPr>
          <w:rFonts w:ascii="Times New Roman" w:hAnsi="Times New Roman" w:cs="Times New Roman"/>
          <w:bCs/>
        </w:rPr>
        <w:t>)</w:t>
      </w:r>
      <w:r w:rsidR="00B33FF4">
        <w:rPr>
          <w:rFonts w:ascii="Times New Roman" w:hAnsi="Times New Roman" w:cs="Times New Roman"/>
          <w:bCs/>
        </w:rPr>
        <w:t xml:space="preserve">, and that placing </w:t>
      </w:r>
      <w:r w:rsidR="00BF484B">
        <w:rPr>
          <w:rFonts w:ascii="Times New Roman" w:hAnsi="Times New Roman" w:cs="Times New Roman"/>
          <w:bCs/>
        </w:rPr>
        <w:t>online communication frequenc</w:t>
      </w:r>
      <w:r w:rsidR="0020456D">
        <w:rPr>
          <w:rFonts w:ascii="Times New Roman" w:hAnsi="Times New Roman" w:cs="Times New Roman"/>
          <w:bCs/>
        </w:rPr>
        <w:t>y</w:t>
      </w:r>
      <w:r w:rsidR="00B33FF4">
        <w:rPr>
          <w:rFonts w:ascii="Times New Roman" w:hAnsi="Times New Roman" w:cs="Times New Roman"/>
          <w:bCs/>
        </w:rPr>
        <w:t xml:space="preserve"> as a mediator across the relationship with political participation will damper the positive effect of the latter on </w:t>
      </w:r>
      <w:r w:rsidR="00CB132D">
        <w:rPr>
          <w:rFonts w:ascii="Times New Roman" w:hAnsi="Times New Roman" w:cs="Times New Roman"/>
          <w:bCs/>
        </w:rPr>
        <w:t>Health, Happiness, and Social Cohesion.</w:t>
      </w:r>
    </w:p>
    <w:p w14:paraId="23067813" w14:textId="56C8EC26" w:rsidR="00EB1887" w:rsidRPr="00724795" w:rsidRDefault="00EB1887" w:rsidP="00056A43">
      <w:pPr>
        <w:spacing w:line="480" w:lineRule="auto"/>
        <w:rPr>
          <w:rFonts w:ascii="Times New Roman" w:hAnsi="Times New Roman" w:cs="Times New Roman"/>
          <w:i/>
          <w:iCs/>
        </w:rPr>
      </w:pPr>
      <w:r>
        <w:rPr>
          <w:rFonts w:ascii="Times New Roman" w:hAnsi="Times New Roman" w:cs="Times New Roman"/>
          <w:i/>
          <w:iCs/>
        </w:rPr>
        <w:t xml:space="preserve">Social </w:t>
      </w:r>
      <w:r w:rsidR="00F05F5D">
        <w:rPr>
          <w:rFonts w:ascii="Times New Roman" w:hAnsi="Times New Roman" w:cs="Times New Roman"/>
          <w:i/>
          <w:iCs/>
        </w:rPr>
        <w:t>Contact</w:t>
      </w:r>
    </w:p>
    <w:p w14:paraId="14DA874D" w14:textId="315D153B" w:rsidR="00724795" w:rsidRDefault="00491641" w:rsidP="00056A43">
      <w:pPr>
        <w:spacing w:line="480" w:lineRule="auto"/>
        <w:ind w:firstLine="720"/>
        <w:rPr>
          <w:rFonts w:ascii="Times New Roman" w:hAnsi="Times New Roman" w:cs="Times New Roman"/>
        </w:rPr>
      </w:pPr>
      <w:r>
        <w:rPr>
          <w:rFonts w:ascii="Times New Roman" w:hAnsi="Times New Roman" w:cs="Times New Roman"/>
        </w:rPr>
        <w:t>The General Social Survey</w:t>
      </w:r>
      <w:r w:rsidR="007967B9">
        <w:rPr>
          <w:rFonts w:ascii="Times New Roman" w:hAnsi="Times New Roman" w:cs="Times New Roman"/>
        </w:rPr>
        <w:t xml:space="preserve"> </w:t>
      </w:r>
      <w:r w:rsidR="00390A6D">
        <w:rPr>
          <w:rFonts w:ascii="Times New Roman" w:hAnsi="Times New Roman" w:cs="Times New Roman"/>
        </w:rPr>
        <w:t>contains</w:t>
      </w:r>
      <w:r>
        <w:rPr>
          <w:rFonts w:ascii="Times New Roman" w:hAnsi="Times New Roman" w:cs="Times New Roman"/>
        </w:rPr>
        <w:t xml:space="preserve"> </w:t>
      </w:r>
      <w:r w:rsidR="00085422">
        <w:rPr>
          <w:rFonts w:ascii="Times New Roman" w:hAnsi="Times New Roman" w:cs="Times New Roman"/>
        </w:rPr>
        <w:t xml:space="preserve">four different measures of social interaction: </w:t>
      </w:r>
      <w:r w:rsidR="00085422" w:rsidRPr="00095586">
        <w:rPr>
          <w:rFonts w:ascii="Times New Roman" w:hAnsi="Times New Roman" w:cs="Times New Roman"/>
          <w:i/>
          <w:iCs/>
        </w:rPr>
        <w:t xml:space="preserve">socbar, socfrend, socommun, </w:t>
      </w:r>
      <w:r w:rsidR="00085422" w:rsidRPr="00095586">
        <w:rPr>
          <w:rFonts w:ascii="Times New Roman" w:hAnsi="Times New Roman" w:cs="Times New Roman"/>
        </w:rPr>
        <w:t>and</w:t>
      </w:r>
      <w:r w:rsidR="00085422" w:rsidRPr="00095586">
        <w:rPr>
          <w:rFonts w:ascii="Times New Roman" w:hAnsi="Times New Roman" w:cs="Times New Roman"/>
          <w:i/>
          <w:iCs/>
        </w:rPr>
        <w:t xml:space="preserve"> socrel</w:t>
      </w:r>
      <w:r w:rsidR="00085422">
        <w:rPr>
          <w:rFonts w:ascii="Times New Roman" w:hAnsi="Times New Roman" w:cs="Times New Roman"/>
        </w:rPr>
        <w:t xml:space="preserve">, respectively </w:t>
      </w:r>
      <w:r w:rsidR="00E351E1">
        <w:rPr>
          <w:rFonts w:ascii="Times New Roman" w:hAnsi="Times New Roman" w:cs="Times New Roman"/>
        </w:rPr>
        <w:t>asking how often an individual spends his social evening at the bar, with friends, with neighbors or with relatives</w:t>
      </w:r>
      <w:r w:rsidR="00390A6D">
        <w:rPr>
          <w:rFonts w:ascii="Times New Roman" w:hAnsi="Times New Roman" w:cs="Times New Roman"/>
        </w:rPr>
        <w:t xml:space="preserve">. </w:t>
      </w:r>
      <w:r w:rsidR="008A7577">
        <w:rPr>
          <w:rFonts w:ascii="Times New Roman" w:hAnsi="Times New Roman" w:cs="Times New Roman"/>
        </w:rPr>
        <w:t xml:space="preserve">A considerable </w:t>
      </w:r>
      <w:r w:rsidR="0020456D">
        <w:rPr>
          <w:rFonts w:ascii="Times New Roman" w:hAnsi="Times New Roman" w:cs="Times New Roman"/>
        </w:rPr>
        <w:t>number</w:t>
      </w:r>
      <w:r w:rsidR="008A7577">
        <w:rPr>
          <w:rFonts w:ascii="Times New Roman" w:hAnsi="Times New Roman" w:cs="Times New Roman"/>
        </w:rPr>
        <w:t xml:space="preserve"> of papers</w:t>
      </w:r>
      <w:r w:rsidR="004472E6">
        <w:rPr>
          <w:rFonts w:ascii="Times New Roman" w:hAnsi="Times New Roman" w:cs="Times New Roman"/>
        </w:rPr>
        <w:t xml:space="preserve"> (</w:t>
      </w:r>
      <w:r w:rsidR="00752716">
        <w:rPr>
          <w:rFonts w:ascii="Times New Roman" w:hAnsi="Times New Roman" w:cs="Times New Roman"/>
        </w:rPr>
        <w:t xml:space="preserve">Mewes, Fairbrother, Giordano, Wu &amp; Wilkes, 2021; </w:t>
      </w:r>
      <w:r w:rsidR="0053340E">
        <w:rPr>
          <w:rFonts w:ascii="Times New Roman" w:hAnsi="Times New Roman" w:cs="Times New Roman"/>
        </w:rPr>
        <w:t>Zhang &amp; Xiang, 20</w:t>
      </w:r>
      <w:r w:rsidR="0011648B">
        <w:rPr>
          <w:rFonts w:ascii="Times New Roman" w:hAnsi="Times New Roman" w:cs="Times New Roman"/>
        </w:rPr>
        <w:t>19; Bianchi &amp; Vohs, 2016)</w:t>
      </w:r>
      <w:r w:rsidR="008A7577">
        <w:rPr>
          <w:rFonts w:ascii="Times New Roman" w:hAnsi="Times New Roman" w:cs="Times New Roman"/>
        </w:rPr>
        <w:t xml:space="preserve"> have adopted Glanville’s</w:t>
      </w:r>
      <w:r w:rsidR="00752716">
        <w:rPr>
          <w:rFonts w:ascii="Times New Roman" w:hAnsi="Times New Roman" w:cs="Times New Roman"/>
        </w:rPr>
        <w:t xml:space="preserve"> (2</w:t>
      </w:r>
      <w:r w:rsidR="007C5CC1">
        <w:rPr>
          <w:rFonts w:ascii="Times New Roman" w:hAnsi="Times New Roman" w:cs="Times New Roman"/>
        </w:rPr>
        <w:t>013)</w:t>
      </w:r>
      <w:r w:rsidR="008A7577">
        <w:rPr>
          <w:rFonts w:ascii="Times New Roman" w:hAnsi="Times New Roman" w:cs="Times New Roman"/>
        </w:rPr>
        <w:t xml:space="preserve"> </w:t>
      </w:r>
      <w:r w:rsidR="00D53E7D">
        <w:rPr>
          <w:rFonts w:ascii="Times New Roman" w:hAnsi="Times New Roman" w:cs="Times New Roman"/>
        </w:rPr>
        <w:t xml:space="preserve">transformation of the four variables, which where previously coded in a 1 to 7 scale (going from </w:t>
      </w:r>
      <w:r w:rsidR="004472E6">
        <w:rPr>
          <w:rFonts w:ascii="Times New Roman" w:hAnsi="Times New Roman" w:cs="Times New Roman"/>
        </w:rPr>
        <w:t>“Almost Daily” to “Never”</w:t>
      </w:r>
      <w:r w:rsidR="00453A4D">
        <w:rPr>
          <w:rFonts w:ascii="Times New Roman" w:hAnsi="Times New Roman" w:cs="Times New Roman"/>
        </w:rPr>
        <w:t xml:space="preserve">). This consists in turning </w:t>
      </w:r>
      <w:r w:rsidR="007A7069">
        <w:rPr>
          <w:rFonts w:ascii="Times New Roman" w:hAnsi="Times New Roman" w:cs="Times New Roman"/>
        </w:rPr>
        <w:t xml:space="preserve">a combination of the four into a numeric </w:t>
      </w:r>
      <w:r w:rsidR="001E6C43">
        <w:rPr>
          <w:rFonts w:ascii="Times New Roman" w:hAnsi="Times New Roman" w:cs="Times New Roman"/>
        </w:rPr>
        <w:t xml:space="preserve">indication of days per year, with </w:t>
      </w:r>
      <w:r w:rsidR="0050078B">
        <w:rPr>
          <w:rFonts w:ascii="Times New Roman" w:hAnsi="Times New Roman" w:cs="Times New Roman"/>
        </w:rPr>
        <w:t xml:space="preserve">“Almost Daily” being assigned 300, </w:t>
      </w:r>
      <w:r w:rsidR="00D52D7F">
        <w:rPr>
          <w:rFonts w:ascii="Times New Roman" w:hAnsi="Times New Roman" w:cs="Times New Roman"/>
        </w:rPr>
        <w:t>“Once a year” 1, “Never” 0, and “Several” being 4 (thus “Several Times a Week is 208 or 4x52, “Several Times a Month” is 48 or 4x12, and “Several Times a Year is 4 or 4x1).</w:t>
      </w:r>
      <w:r w:rsidR="0020488A">
        <w:rPr>
          <w:rFonts w:ascii="Times New Roman" w:hAnsi="Times New Roman" w:cs="Times New Roman"/>
        </w:rPr>
        <w:t xml:space="preserve"> The presence of all variables in both wave ballots allows </w:t>
      </w:r>
      <w:r w:rsidR="0020488A">
        <w:rPr>
          <w:rFonts w:ascii="Times New Roman" w:hAnsi="Times New Roman" w:cs="Times New Roman"/>
        </w:rPr>
        <w:lastRenderedPageBreak/>
        <w:t>for constant tracking of their effect</w:t>
      </w:r>
      <w:r w:rsidR="00953813">
        <w:rPr>
          <w:rFonts w:ascii="Times New Roman" w:hAnsi="Times New Roman" w:cs="Times New Roman"/>
        </w:rPr>
        <w:t>, which is expected to be positive on all the dependent variables</w:t>
      </w:r>
      <w:r w:rsidR="0020488A">
        <w:rPr>
          <w:rFonts w:ascii="Times New Roman" w:hAnsi="Times New Roman" w:cs="Times New Roman"/>
        </w:rPr>
        <w:t>.</w:t>
      </w:r>
      <w:r w:rsidR="00B97903">
        <w:rPr>
          <w:rFonts w:ascii="Times New Roman" w:hAnsi="Times New Roman" w:cs="Times New Roman"/>
        </w:rPr>
        <w:t xml:space="preserve"> People at different extremes of th</w:t>
      </w:r>
      <w:r w:rsidR="00AD71D3">
        <w:rPr>
          <w:rFonts w:ascii="Times New Roman" w:hAnsi="Times New Roman" w:cs="Times New Roman"/>
        </w:rPr>
        <w:t>is factor variable will be more likely to experience the negative effects of loneliness</w:t>
      </w:r>
      <w:r w:rsidR="00F4088D">
        <w:rPr>
          <w:rFonts w:ascii="Times New Roman" w:hAnsi="Times New Roman" w:cs="Times New Roman"/>
        </w:rPr>
        <w:t xml:space="preserve"> and online interactions</w:t>
      </w:r>
      <w:r w:rsidR="00AD71D3">
        <w:rPr>
          <w:rFonts w:ascii="Times New Roman" w:hAnsi="Times New Roman" w:cs="Times New Roman"/>
        </w:rPr>
        <w:t xml:space="preserve"> on our three dependent variables</w:t>
      </w:r>
      <w:r w:rsidR="0096362E">
        <w:rPr>
          <w:rFonts w:ascii="Times New Roman" w:hAnsi="Times New Roman" w:cs="Times New Roman"/>
        </w:rPr>
        <w:t xml:space="preserve"> (</w:t>
      </w:r>
      <w:r w:rsidR="0096362E">
        <w:rPr>
          <w:rFonts w:ascii="Times New Roman" w:hAnsi="Times New Roman" w:cs="Times New Roman"/>
          <w:bCs/>
        </w:rPr>
        <w:t>Kim, 2017; Pittman, 2018)</w:t>
      </w:r>
      <w:r w:rsidR="00AD71D3">
        <w:rPr>
          <w:rFonts w:ascii="Times New Roman" w:hAnsi="Times New Roman" w:cs="Times New Roman"/>
        </w:rPr>
        <w:t xml:space="preserve">, while </w:t>
      </w:r>
      <w:r w:rsidR="00834690">
        <w:rPr>
          <w:rFonts w:ascii="Times New Roman" w:hAnsi="Times New Roman" w:cs="Times New Roman"/>
        </w:rPr>
        <w:t xml:space="preserve">the positive </w:t>
      </w:r>
      <w:r w:rsidR="00F4088D">
        <w:rPr>
          <w:rFonts w:ascii="Times New Roman" w:hAnsi="Times New Roman" w:cs="Times New Roman"/>
        </w:rPr>
        <w:t>effect among people within the middle of the distribution has been shown to be typically positive and still significant (</w:t>
      </w:r>
      <w:r w:rsidR="000B3DCF">
        <w:rPr>
          <w:rFonts w:ascii="Times New Roman" w:hAnsi="Times New Roman" w:cs="Times New Roman"/>
        </w:rPr>
        <w:t>Chopik, 2016).</w:t>
      </w:r>
    </w:p>
    <w:p w14:paraId="1D6DFB7F" w14:textId="5211936D" w:rsidR="00724795" w:rsidRDefault="00046AEB" w:rsidP="00056A43">
      <w:pPr>
        <w:spacing w:line="480" w:lineRule="auto"/>
        <w:rPr>
          <w:rFonts w:ascii="Times New Roman" w:hAnsi="Times New Roman" w:cs="Times New Roman"/>
          <w:i/>
          <w:iCs/>
        </w:rPr>
      </w:pPr>
      <w:r>
        <w:rPr>
          <w:rFonts w:ascii="Times New Roman" w:hAnsi="Times New Roman" w:cs="Times New Roman"/>
          <w:i/>
          <w:iCs/>
        </w:rPr>
        <w:t>Political Participation</w:t>
      </w:r>
    </w:p>
    <w:p w14:paraId="28A46738" w14:textId="4B4FFD13" w:rsidR="00724795" w:rsidRDefault="00736078" w:rsidP="00056A43">
      <w:pPr>
        <w:spacing w:line="480" w:lineRule="auto"/>
        <w:ind w:firstLine="720"/>
        <w:rPr>
          <w:rFonts w:ascii="Times New Roman" w:hAnsi="Times New Roman" w:cs="Times New Roman"/>
        </w:rPr>
      </w:pPr>
      <w:r>
        <w:rPr>
          <w:rFonts w:ascii="Times New Roman" w:hAnsi="Times New Roman" w:cs="Times New Roman"/>
        </w:rPr>
        <w:t xml:space="preserve">Differing from previous research, </w:t>
      </w:r>
      <w:r w:rsidR="00BE607D">
        <w:rPr>
          <w:rFonts w:ascii="Times New Roman" w:hAnsi="Times New Roman" w:cs="Times New Roman"/>
        </w:rPr>
        <w:t xml:space="preserve">the behavioral aspect of social trust is placed upon a person’s willingness to participate in political and community activities. This is not the same as spending time with friends and acquaintances, but rather </w:t>
      </w:r>
      <w:r w:rsidR="0077043B">
        <w:rPr>
          <w:rFonts w:ascii="Times New Roman" w:hAnsi="Times New Roman" w:cs="Times New Roman"/>
        </w:rPr>
        <w:t xml:space="preserve">shows a level of connectedness with the individual’s surroundings that is strong enough to warrant </w:t>
      </w:r>
      <w:r w:rsidR="00C37123">
        <w:rPr>
          <w:rFonts w:ascii="Times New Roman" w:hAnsi="Times New Roman" w:cs="Times New Roman"/>
        </w:rPr>
        <w:t xml:space="preserve">collaboration and participation. </w:t>
      </w:r>
      <w:r w:rsidR="003910BF">
        <w:rPr>
          <w:rFonts w:ascii="Times New Roman" w:hAnsi="Times New Roman" w:cs="Times New Roman"/>
        </w:rPr>
        <w:t xml:space="preserve">Questions that tracked a person’s political participation in 2018 were included in the </w:t>
      </w:r>
      <w:r w:rsidR="003910BF" w:rsidRPr="006B7442">
        <w:rPr>
          <w:rFonts w:ascii="Times New Roman" w:hAnsi="Times New Roman" w:cs="Times New Roman"/>
          <w:i/>
          <w:iCs/>
        </w:rPr>
        <w:t>partlsc</w:t>
      </w:r>
      <w:r w:rsidR="001B0C34">
        <w:rPr>
          <w:rFonts w:ascii="Times New Roman" w:hAnsi="Times New Roman" w:cs="Times New Roman"/>
        </w:rPr>
        <w:t>,</w:t>
      </w:r>
      <w:r w:rsidR="003910BF">
        <w:rPr>
          <w:rFonts w:ascii="Times New Roman" w:hAnsi="Times New Roman" w:cs="Times New Roman"/>
        </w:rPr>
        <w:t xml:space="preserve"> </w:t>
      </w:r>
      <w:r w:rsidR="003910BF" w:rsidRPr="006B7442">
        <w:rPr>
          <w:rFonts w:ascii="Times New Roman" w:hAnsi="Times New Roman" w:cs="Times New Roman"/>
          <w:i/>
          <w:iCs/>
        </w:rPr>
        <w:t xml:space="preserve">parpart </w:t>
      </w:r>
      <w:r w:rsidR="003910BF">
        <w:rPr>
          <w:rFonts w:ascii="Times New Roman" w:hAnsi="Times New Roman" w:cs="Times New Roman"/>
        </w:rPr>
        <w:t xml:space="preserve">and </w:t>
      </w:r>
      <w:r w:rsidR="003910BF" w:rsidRPr="006B7442">
        <w:rPr>
          <w:rFonts w:ascii="Times New Roman" w:hAnsi="Times New Roman" w:cs="Times New Roman"/>
          <w:i/>
          <w:iCs/>
        </w:rPr>
        <w:t>partvol</w:t>
      </w:r>
      <w:r w:rsidR="001B0C34">
        <w:rPr>
          <w:rFonts w:ascii="Times New Roman" w:hAnsi="Times New Roman" w:cs="Times New Roman"/>
        </w:rPr>
        <w:t xml:space="preserve"> variables (“</w:t>
      </w:r>
      <w:r w:rsidR="00025754" w:rsidRPr="00025754">
        <w:rPr>
          <w:rFonts w:ascii="Times New Roman" w:hAnsi="Times New Roman" w:cs="Times New Roman"/>
        </w:rPr>
        <w:t xml:space="preserve">In the past 12 months, how often, if at all, have you taken part in the activities? Of groups or associations for leisure, </w:t>
      </w:r>
      <w:proofErr w:type="gramStart"/>
      <w:r w:rsidR="00025754" w:rsidRPr="00025754">
        <w:rPr>
          <w:rFonts w:ascii="Times New Roman" w:hAnsi="Times New Roman" w:cs="Times New Roman"/>
        </w:rPr>
        <w:t>sports</w:t>
      </w:r>
      <w:proofErr w:type="gramEnd"/>
      <w:r w:rsidR="00025754" w:rsidRPr="00025754">
        <w:rPr>
          <w:rFonts w:ascii="Times New Roman" w:hAnsi="Times New Roman" w:cs="Times New Roman"/>
        </w:rPr>
        <w:t xml:space="preserve"> or culture?</w:t>
      </w:r>
      <w:r w:rsidR="00025754">
        <w:rPr>
          <w:rFonts w:ascii="Times New Roman" w:hAnsi="Times New Roman" w:cs="Times New Roman"/>
        </w:rPr>
        <w:t xml:space="preserve">”, </w:t>
      </w:r>
      <w:r w:rsidR="00D11A26" w:rsidRPr="00D11A26">
        <w:rPr>
          <w:rFonts w:ascii="Times New Roman" w:hAnsi="Times New Roman" w:cs="Times New Roman"/>
        </w:rPr>
        <w:t xml:space="preserve">In the past 12 months, how often, if at all, have you taken part in the activities? Of political parties, political </w:t>
      </w:r>
      <w:proofErr w:type="gramStart"/>
      <w:r w:rsidR="00D11A26" w:rsidRPr="00D11A26">
        <w:rPr>
          <w:rFonts w:ascii="Times New Roman" w:hAnsi="Times New Roman" w:cs="Times New Roman"/>
        </w:rPr>
        <w:t>groups</w:t>
      </w:r>
      <w:proofErr w:type="gramEnd"/>
      <w:r w:rsidR="00D11A26" w:rsidRPr="00D11A26">
        <w:rPr>
          <w:rFonts w:ascii="Times New Roman" w:hAnsi="Times New Roman" w:cs="Times New Roman"/>
        </w:rPr>
        <w:t xml:space="preserve"> or political associations?</w:t>
      </w:r>
      <w:r w:rsidR="00D11A26">
        <w:rPr>
          <w:rFonts w:ascii="Times New Roman" w:hAnsi="Times New Roman" w:cs="Times New Roman"/>
        </w:rPr>
        <w:t xml:space="preserve">” and </w:t>
      </w:r>
      <w:r w:rsidR="00025754">
        <w:rPr>
          <w:rFonts w:ascii="Times New Roman" w:hAnsi="Times New Roman" w:cs="Times New Roman"/>
        </w:rPr>
        <w:t>“</w:t>
      </w:r>
      <w:r w:rsidR="00025754" w:rsidRPr="00025754">
        <w:rPr>
          <w:rFonts w:ascii="Times New Roman" w:hAnsi="Times New Roman" w:cs="Times New Roman"/>
        </w:rPr>
        <w:t>In the past 12 months, how often, if at all, have you taken part in the activities? Of charitable or religious organizations that do voluntary work?</w:t>
      </w:r>
      <w:r w:rsidR="00025754">
        <w:rPr>
          <w:rFonts w:ascii="Times New Roman" w:hAnsi="Times New Roman" w:cs="Times New Roman"/>
        </w:rPr>
        <w:t>”</w:t>
      </w:r>
      <w:r w:rsidR="00D11A26">
        <w:rPr>
          <w:rFonts w:ascii="Times New Roman" w:hAnsi="Times New Roman" w:cs="Times New Roman"/>
        </w:rPr>
        <w:t xml:space="preserve">). </w:t>
      </w:r>
      <w:r w:rsidR="00C93C1D">
        <w:rPr>
          <w:rFonts w:ascii="Times New Roman" w:hAnsi="Times New Roman" w:cs="Times New Roman"/>
        </w:rPr>
        <w:t xml:space="preserve">Each of these are coded on a 5-point scale, going from </w:t>
      </w:r>
      <w:r w:rsidR="00E930C7">
        <w:rPr>
          <w:rFonts w:ascii="Times New Roman" w:hAnsi="Times New Roman" w:cs="Times New Roman"/>
        </w:rPr>
        <w:t xml:space="preserve">“Once a Week or More” to “Never”. In 2020, the ANES annex </w:t>
      </w:r>
      <w:r w:rsidR="007E72CF">
        <w:rPr>
          <w:rFonts w:ascii="Times New Roman" w:hAnsi="Times New Roman" w:cs="Times New Roman"/>
        </w:rPr>
        <w:t xml:space="preserve">contained </w:t>
      </w:r>
      <w:r w:rsidR="007D15EF">
        <w:rPr>
          <w:rFonts w:ascii="Times New Roman" w:hAnsi="Times New Roman" w:cs="Times New Roman"/>
        </w:rPr>
        <w:t>9</w:t>
      </w:r>
      <w:r w:rsidR="00764453">
        <w:rPr>
          <w:rFonts w:ascii="Times New Roman" w:hAnsi="Times New Roman" w:cs="Times New Roman"/>
        </w:rPr>
        <w:t xml:space="preserve"> different questions tracking political participation, not including direct contact with governmental institutions</w:t>
      </w:r>
      <w:r w:rsidR="007D15EF">
        <w:rPr>
          <w:rFonts w:ascii="Times New Roman" w:hAnsi="Times New Roman" w:cs="Times New Roman"/>
        </w:rPr>
        <w:t xml:space="preserve">. </w:t>
      </w:r>
      <w:r w:rsidR="00B32280">
        <w:rPr>
          <w:rFonts w:ascii="Times New Roman" w:hAnsi="Times New Roman" w:cs="Times New Roman"/>
        </w:rPr>
        <w:t xml:space="preserve">These asked for an individual’s participation in political arguments, </w:t>
      </w:r>
      <w:r w:rsidR="00AA406B">
        <w:rPr>
          <w:rFonts w:ascii="Times New Roman" w:hAnsi="Times New Roman" w:cs="Times New Roman"/>
        </w:rPr>
        <w:t>marche</w:t>
      </w:r>
      <w:r w:rsidR="00F037CA">
        <w:rPr>
          <w:rFonts w:ascii="Times New Roman" w:hAnsi="Times New Roman" w:cs="Times New Roman"/>
        </w:rPr>
        <w:t>s</w:t>
      </w:r>
      <w:r w:rsidR="00AA406B">
        <w:rPr>
          <w:rFonts w:ascii="Times New Roman" w:hAnsi="Times New Roman" w:cs="Times New Roman"/>
        </w:rPr>
        <w:t xml:space="preserve">, religious organizations, money donations, online discussions, community problem-solving, </w:t>
      </w:r>
      <w:r w:rsidR="00F037CA">
        <w:rPr>
          <w:rFonts w:ascii="Times New Roman" w:hAnsi="Times New Roman" w:cs="Times New Roman"/>
        </w:rPr>
        <w:t>school management, and volunteering, with each being coded as 1 “Have done this in the past 12 months” and 2 “Have not done this in the past 12 months”.</w:t>
      </w:r>
    </w:p>
    <w:p w14:paraId="3A645DF8" w14:textId="749DC7B1" w:rsidR="00F037CA" w:rsidRPr="00F037CA" w:rsidRDefault="00F037CA" w:rsidP="00056A43">
      <w:pPr>
        <w:spacing w:line="480" w:lineRule="auto"/>
        <w:ind w:firstLine="720"/>
        <w:rPr>
          <w:rFonts w:ascii="Times New Roman" w:hAnsi="Times New Roman" w:cs="Times New Roman"/>
        </w:rPr>
      </w:pPr>
      <w:r w:rsidRPr="00F037CA">
        <w:rPr>
          <w:rFonts w:ascii="Times New Roman" w:hAnsi="Times New Roman" w:cs="Times New Roman"/>
        </w:rPr>
        <w:t>In a similar fashion as</w:t>
      </w:r>
      <w:r>
        <w:rPr>
          <w:rFonts w:ascii="Times New Roman" w:hAnsi="Times New Roman" w:cs="Times New Roman"/>
        </w:rPr>
        <w:t xml:space="preserve"> the social cohesion dependent variable, each </w:t>
      </w:r>
      <w:r w:rsidR="00276010">
        <w:rPr>
          <w:rFonts w:ascii="Times New Roman" w:hAnsi="Times New Roman" w:cs="Times New Roman"/>
        </w:rPr>
        <w:t>group</w:t>
      </w:r>
      <w:r>
        <w:rPr>
          <w:rFonts w:ascii="Times New Roman" w:hAnsi="Times New Roman" w:cs="Times New Roman"/>
        </w:rPr>
        <w:t xml:space="preserve"> will be collapsed into binary dummies and indexed together to form a </w:t>
      </w:r>
      <w:r w:rsidR="00E43243">
        <w:rPr>
          <w:rFonts w:ascii="Times New Roman" w:hAnsi="Times New Roman" w:cs="Times New Roman"/>
        </w:rPr>
        <w:t xml:space="preserve">singular score. </w:t>
      </w:r>
      <w:r w:rsidR="00CB132D">
        <w:rPr>
          <w:rFonts w:ascii="Times New Roman" w:hAnsi="Times New Roman" w:cs="Times New Roman"/>
        </w:rPr>
        <w:t>Political participation is expected to have a positive effect on all three dependent variables</w:t>
      </w:r>
      <w:r w:rsidR="002F49DF">
        <w:rPr>
          <w:rFonts w:ascii="Times New Roman" w:hAnsi="Times New Roman" w:cs="Times New Roman"/>
        </w:rPr>
        <w:t xml:space="preserve">, but its effect will be reduced by the </w:t>
      </w:r>
      <w:r w:rsidR="009F66E4">
        <w:rPr>
          <w:rFonts w:ascii="Times New Roman" w:hAnsi="Times New Roman" w:cs="Times New Roman"/>
        </w:rPr>
        <w:t xml:space="preserve">higher levels of </w:t>
      </w:r>
      <w:r w:rsidR="009F66E4">
        <w:rPr>
          <w:rFonts w:ascii="Times New Roman" w:hAnsi="Times New Roman" w:cs="Times New Roman"/>
        </w:rPr>
        <w:lastRenderedPageBreak/>
        <w:t>online communication</w:t>
      </w:r>
      <w:r w:rsidR="00FD30F5">
        <w:rPr>
          <w:rFonts w:ascii="Times New Roman" w:hAnsi="Times New Roman" w:cs="Times New Roman"/>
        </w:rPr>
        <w:t xml:space="preserve"> (</w:t>
      </w:r>
      <w:r w:rsidR="002172DA">
        <w:rPr>
          <w:rFonts w:ascii="Times New Roman" w:hAnsi="Times New Roman" w:cs="Times New Roman"/>
        </w:rPr>
        <w:t>Moy, Manosevitch, Stamm, &amp; Dunsmore, 2005)</w:t>
      </w:r>
      <w:r w:rsidR="00B95FD8">
        <w:rPr>
          <w:rFonts w:ascii="Times New Roman" w:hAnsi="Times New Roman" w:cs="Times New Roman"/>
        </w:rPr>
        <w:t>, but only at either very high or very low levels o</w:t>
      </w:r>
      <w:r w:rsidR="00AE0DB2">
        <w:rPr>
          <w:rFonts w:ascii="Times New Roman" w:hAnsi="Times New Roman" w:cs="Times New Roman"/>
        </w:rPr>
        <w:t>f social contact.</w:t>
      </w:r>
    </w:p>
    <w:p w14:paraId="0E382346" w14:textId="4888F485" w:rsidR="00EB1887" w:rsidRPr="00EB32A1" w:rsidRDefault="00EB1887" w:rsidP="00056A43">
      <w:pPr>
        <w:spacing w:line="480" w:lineRule="auto"/>
        <w:rPr>
          <w:rFonts w:ascii="Times New Roman" w:hAnsi="Times New Roman" w:cs="Times New Roman"/>
        </w:rPr>
      </w:pPr>
      <w:r w:rsidRPr="00EB32A1">
        <w:rPr>
          <w:rFonts w:ascii="Times New Roman" w:hAnsi="Times New Roman" w:cs="Times New Roman"/>
          <w:b/>
          <w:bCs/>
        </w:rPr>
        <w:t>Controls</w:t>
      </w:r>
    </w:p>
    <w:p w14:paraId="6BA5FB76" w14:textId="52D5CCA5" w:rsidR="00724795" w:rsidRPr="00EB32A1" w:rsidRDefault="00EB32A1" w:rsidP="00056A43">
      <w:pPr>
        <w:spacing w:line="480" w:lineRule="auto"/>
        <w:ind w:firstLine="720"/>
        <w:rPr>
          <w:rFonts w:ascii="Times New Roman" w:hAnsi="Times New Roman" w:cs="Times New Roman"/>
        </w:rPr>
      </w:pPr>
      <w:r w:rsidRPr="00EB32A1">
        <w:rPr>
          <w:rFonts w:ascii="Times New Roman" w:hAnsi="Times New Roman" w:cs="Times New Roman"/>
        </w:rPr>
        <w:t>Wh</w:t>
      </w:r>
      <w:r>
        <w:rPr>
          <w:rFonts w:ascii="Times New Roman" w:hAnsi="Times New Roman" w:cs="Times New Roman"/>
        </w:rPr>
        <w:t>ile</w:t>
      </w:r>
      <w:r w:rsidR="00AE0DB2">
        <w:rPr>
          <w:rFonts w:ascii="Times New Roman" w:hAnsi="Times New Roman" w:cs="Times New Roman"/>
        </w:rPr>
        <w:t xml:space="preserve"> the FE model does deal with time-invariant variable effects, </w:t>
      </w:r>
      <w:r w:rsidR="00B73365">
        <w:rPr>
          <w:rFonts w:ascii="Times New Roman" w:hAnsi="Times New Roman" w:cs="Times New Roman"/>
        </w:rPr>
        <w:t xml:space="preserve">certain time-variant aspects of a person’s daily life can indirectly affect </w:t>
      </w:r>
      <w:r w:rsidR="00BA7D5A">
        <w:rPr>
          <w:rFonts w:ascii="Times New Roman" w:hAnsi="Times New Roman" w:cs="Times New Roman"/>
        </w:rPr>
        <w:t>the role that online communication has in health (age</w:t>
      </w:r>
      <w:r w:rsidR="008908B4">
        <w:rPr>
          <w:rFonts w:ascii="Times New Roman" w:hAnsi="Times New Roman" w:cs="Times New Roman"/>
        </w:rPr>
        <w:t>, technology use</w:t>
      </w:r>
      <w:r w:rsidR="00BA7D5A">
        <w:rPr>
          <w:rFonts w:ascii="Times New Roman" w:hAnsi="Times New Roman" w:cs="Times New Roman"/>
        </w:rPr>
        <w:t>), happiness (</w:t>
      </w:r>
      <w:r w:rsidR="008908B4">
        <w:rPr>
          <w:rFonts w:ascii="Times New Roman" w:hAnsi="Times New Roman" w:cs="Times New Roman"/>
        </w:rPr>
        <w:t xml:space="preserve">income, marriage happiness), and social cohesion (religious attendance, </w:t>
      </w:r>
      <w:r w:rsidR="00CE3FD4">
        <w:rPr>
          <w:rFonts w:ascii="Times New Roman" w:hAnsi="Times New Roman" w:cs="Times New Roman"/>
        </w:rPr>
        <w:t>cohabitation status).</w:t>
      </w:r>
    </w:p>
    <w:p w14:paraId="56023E99" w14:textId="2A5525A4" w:rsidR="00724795" w:rsidRDefault="00724795" w:rsidP="00056A43">
      <w:pPr>
        <w:spacing w:line="480" w:lineRule="auto"/>
        <w:rPr>
          <w:rFonts w:ascii="Times New Roman" w:hAnsi="Times New Roman" w:cs="Times New Roman"/>
        </w:rPr>
      </w:pPr>
      <w:r>
        <w:rPr>
          <w:rFonts w:ascii="Times New Roman" w:hAnsi="Times New Roman" w:cs="Times New Roman"/>
          <w:i/>
          <w:iCs/>
        </w:rPr>
        <w:t>Marriage Happiness</w:t>
      </w:r>
      <w:r w:rsidR="0014463B">
        <w:rPr>
          <w:rFonts w:ascii="Times New Roman" w:hAnsi="Times New Roman" w:cs="Times New Roman"/>
          <w:i/>
          <w:iCs/>
        </w:rPr>
        <w:t xml:space="preserve"> and Cohabitation Status</w:t>
      </w:r>
    </w:p>
    <w:p w14:paraId="07122F2F" w14:textId="1DC1FB3E" w:rsidR="00724795" w:rsidRPr="00541FF0" w:rsidRDefault="00463BFF" w:rsidP="00056A43">
      <w:pPr>
        <w:spacing w:line="480" w:lineRule="auto"/>
        <w:ind w:firstLine="720"/>
        <w:rPr>
          <w:rFonts w:ascii="Times New Roman" w:hAnsi="Times New Roman" w:cs="Times New Roman"/>
        </w:rPr>
      </w:pPr>
      <w:r>
        <w:rPr>
          <w:rFonts w:ascii="Times New Roman" w:hAnsi="Times New Roman" w:cs="Times New Roman"/>
        </w:rPr>
        <w:t xml:space="preserve">Marriage happiness has been shown to shield people from </w:t>
      </w:r>
      <w:r w:rsidR="00F058EF">
        <w:rPr>
          <w:rFonts w:ascii="Times New Roman" w:hAnsi="Times New Roman" w:cs="Times New Roman"/>
        </w:rPr>
        <w:t xml:space="preserve">stressors of mental health. To this degree, DeMaris (2020) </w:t>
      </w:r>
      <w:r w:rsidR="00F75A95">
        <w:rPr>
          <w:rFonts w:ascii="Times New Roman" w:hAnsi="Times New Roman" w:cs="Times New Roman"/>
        </w:rPr>
        <w:t>finds this relationship to be significant</w:t>
      </w:r>
      <w:r w:rsidR="00034D7E">
        <w:rPr>
          <w:rFonts w:ascii="Times New Roman" w:hAnsi="Times New Roman" w:cs="Times New Roman"/>
        </w:rPr>
        <w:t>,</w:t>
      </w:r>
      <w:r w:rsidR="008520B7">
        <w:rPr>
          <w:rFonts w:ascii="Times New Roman" w:hAnsi="Times New Roman" w:cs="Times New Roman"/>
        </w:rPr>
        <w:t xml:space="preserve"> </w:t>
      </w:r>
      <w:r w:rsidR="00034D7E">
        <w:rPr>
          <w:rFonts w:ascii="Times New Roman" w:hAnsi="Times New Roman" w:cs="Times New Roman"/>
        </w:rPr>
        <w:t xml:space="preserve">also </w:t>
      </w:r>
      <w:r w:rsidR="008520B7">
        <w:rPr>
          <w:rFonts w:ascii="Times New Roman" w:hAnsi="Times New Roman" w:cs="Times New Roman"/>
        </w:rPr>
        <w:t>provid</w:t>
      </w:r>
      <w:r w:rsidR="00034D7E">
        <w:rPr>
          <w:rFonts w:ascii="Times New Roman" w:hAnsi="Times New Roman" w:cs="Times New Roman"/>
        </w:rPr>
        <w:t>ing</w:t>
      </w:r>
      <w:r w:rsidR="008520B7">
        <w:rPr>
          <w:rFonts w:ascii="Times New Roman" w:hAnsi="Times New Roman" w:cs="Times New Roman"/>
        </w:rPr>
        <w:t xml:space="preserve"> a length of studies backing his</w:t>
      </w:r>
      <w:r w:rsidR="001A341C">
        <w:rPr>
          <w:rFonts w:ascii="Times New Roman" w:hAnsi="Times New Roman" w:cs="Times New Roman"/>
        </w:rPr>
        <w:t xml:space="preserve"> results, and if we further consider the elevated importance of a partner’s intimate relationship</w:t>
      </w:r>
      <w:r w:rsidR="00752C4A">
        <w:rPr>
          <w:rFonts w:ascii="Times New Roman" w:hAnsi="Times New Roman" w:cs="Times New Roman"/>
        </w:rPr>
        <w:t xml:space="preserve"> within the perception of social connectedness (Prohaska et al., 2020)</w:t>
      </w:r>
      <w:r w:rsidR="00377656">
        <w:rPr>
          <w:rFonts w:ascii="Times New Roman" w:hAnsi="Times New Roman" w:cs="Times New Roman"/>
        </w:rPr>
        <w:t>, marriage can severely</w:t>
      </w:r>
      <w:r w:rsidR="007545B8">
        <w:rPr>
          <w:rFonts w:ascii="Times New Roman" w:hAnsi="Times New Roman" w:cs="Times New Roman"/>
        </w:rPr>
        <w:t xml:space="preserve"> skew </w:t>
      </w:r>
      <w:r w:rsidR="00D77DAF">
        <w:rPr>
          <w:rFonts w:ascii="Times New Roman" w:hAnsi="Times New Roman" w:cs="Times New Roman"/>
        </w:rPr>
        <w:t xml:space="preserve">our estimation. </w:t>
      </w:r>
      <w:r w:rsidR="00456DF0">
        <w:rPr>
          <w:rFonts w:ascii="Times New Roman" w:hAnsi="Times New Roman" w:cs="Times New Roman"/>
        </w:rPr>
        <w:t>In addition, w</w:t>
      </w:r>
      <w:r w:rsidR="00D77DAF">
        <w:rPr>
          <w:rFonts w:ascii="Times New Roman" w:hAnsi="Times New Roman" w:cs="Times New Roman"/>
        </w:rPr>
        <w:t xml:space="preserve">e place it as a time variant control due to the </w:t>
      </w:r>
      <w:r w:rsidR="00296E80">
        <w:rPr>
          <w:rFonts w:ascii="Times New Roman" w:hAnsi="Times New Roman" w:cs="Times New Roman"/>
        </w:rPr>
        <w:t>consistent high number of divorces and the declining number of marriages within the U.S.</w:t>
      </w:r>
      <w:r w:rsidR="00A93AD9">
        <w:rPr>
          <w:rFonts w:ascii="Times New Roman" w:hAnsi="Times New Roman" w:cs="Times New Roman"/>
        </w:rPr>
        <w:t xml:space="preserve"> (</w:t>
      </w:r>
      <w:r w:rsidR="00D417F5">
        <w:rPr>
          <w:rFonts w:ascii="Times New Roman" w:hAnsi="Times New Roman" w:cs="Times New Roman"/>
        </w:rPr>
        <w:t>National Vital Statistics System</w:t>
      </w:r>
      <w:r w:rsidR="00F672A8">
        <w:rPr>
          <w:rFonts w:ascii="Times New Roman" w:hAnsi="Times New Roman" w:cs="Times New Roman"/>
        </w:rPr>
        <w:t>, 202</w:t>
      </w:r>
      <w:r w:rsidR="00234BA6">
        <w:rPr>
          <w:rFonts w:ascii="Times New Roman" w:hAnsi="Times New Roman" w:cs="Times New Roman"/>
        </w:rPr>
        <w:t>2)</w:t>
      </w:r>
      <w:r w:rsidR="006B7442">
        <w:rPr>
          <w:rFonts w:ascii="Times New Roman" w:hAnsi="Times New Roman" w:cs="Times New Roman"/>
        </w:rPr>
        <w:t xml:space="preserve">, with </w:t>
      </w:r>
      <w:r w:rsidR="006B7442" w:rsidRPr="006B7442">
        <w:rPr>
          <w:rFonts w:ascii="Times New Roman" w:hAnsi="Times New Roman" w:cs="Times New Roman"/>
          <w:i/>
          <w:iCs/>
        </w:rPr>
        <w:t xml:space="preserve">marital </w:t>
      </w:r>
      <w:r w:rsidR="006B7442">
        <w:rPr>
          <w:rFonts w:ascii="Times New Roman" w:hAnsi="Times New Roman" w:cs="Times New Roman"/>
        </w:rPr>
        <w:t>being a consisten</w:t>
      </w:r>
      <w:r w:rsidR="00095586">
        <w:rPr>
          <w:rFonts w:ascii="Times New Roman" w:hAnsi="Times New Roman" w:cs="Times New Roman"/>
        </w:rPr>
        <w:t xml:space="preserve">t </w:t>
      </w:r>
      <w:r w:rsidR="008F3798">
        <w:rPr>
          <w:rFonts w:ascii="Times New Roman" w:hAnsi="Times New Roman" w:cs="Times New Roman"/>
        </w:rPr>
        <w:t>variable</w:t>
      </w:r>
      <w:r w:rsidR="00456DF0">
        <w:rPr>
          <w:rFonts w:ascii="Times New Roman" w:hAnsi="Times New Roman" w:cs="Times New Roman"/>
        </w:rPr>
        <w:t xml:space="preserve"> in presence</w:t>
      </w:r>
      <w:r w:rsidR="008F3798">
        <w:rPr>
          <w:rFonts w:ascii="Times New Roman" w:hAnsi="Times New Roman" w:cs="Times New Roman"/>
        </w:rPr>
        <w:t xml:space="preserve"> across waves.</w:t>
      </w:r>
      <w:r w:rsidR="007B09F1">
        <w:rPr>
          <w:rFonts w:ascii="Times New Roman" w:hAnsi="Times New Roman" w:cs="Times New Roman"/>
        </w:rPr>
        <w:t xml:space="preserve"> </w:t>
      </w:r>
      <w:r w:rsidR="00242B31">
        <w:rPr>
          <w:rFonts w:ascii="Times New Roman" w:hAnsi="Times New Roman" w:cs="Times New Roman"/>
        </w:rPr>
        <w:t>Still, c</w:t>
      </w:r>
      <w:r w:rsidR="007B09F1">
        <w:rPr>
          <w:rFonts w:ascii="Times New Roman" w:hAnsi="Times New Roman" w:cs="Times New Roman"/>
        </w:rPr>
        <w:t>onsidering</w:t>
      </w:r>
      <w:r w:rsidR="00456DF0">
        <w:rPr>
          <w:rFonts w:ascii="Times New Roman" w:hAnsi="Times New Roman" w:cs="Times New Roman"/>
        </w:rPr>
        <w:t xml:space="preserve"> that</w:t>
      </w:r>
      <w:r w:rsidR="00242B31">
        <w:rPr>
          <w:rFonts w:ascii="Times New Roman" w:hAnsi="Times New Roman" w:cs="Times New Roman"/>
        </w:rPr>
        <w:t xml:space="preserve"> the</w:t>
      </w:r>
      <w:r w:rsidR="007B09F1">
        <w:rPr>
          <w:rFonts w:ascii="Times New Roman" w:hAnsi="Times New Roman" w:cs="Times New Roman"/>
        </w:rPr>
        <w:t xml:space="preserve"> physical presence of the partner itself</w:t>
      </w:r>
      <w:r w:rsidR="00456DF0">
        <w:rPr>
          <w:rFonts w:ascii="Times New Roman" w:hAnsi="Times New Roman" w:cs="Times New Roman"/>
        </w:rPr>
        <w:t xml:space="preserve"> is further</w:t>
      </w:r>
      <w:r w:rsidR="00242B31">
        <w:rPr>
          <w:rFonts w:ascii="Times New Roman" w:hAnsi="Times New Roman" w:cs="Times New Roman"/>
        </w:rPr>
        <w:t xml:space="preserve"> important to the overall effect </w:t>
      </w:r>
      <w:r w:rsidR="00B43BF2">
        <w:rPr>
          <w:rFonts w:ascii="Times New Roman" w:hAnsi="Times New Roman" w:cs="Times New Roman"/>
        </w:rPr>
        <w:t>of the intimate connection</w:t>
      </w:r>
      <w:r w:rsidR="000C0CAB">
        <w:rPr>
          <w:rFonts w:ascii="Times New Roman" w:hAnsi="Times New Roman" w:cs="Times New Roman"/>
        </w:rPr>
        <w:t xml:space="preserve">, </w:t>
      </w:r>
      <w:r w:rsidR="000C0CAB">
        <w:rPr>
          <w:rFonts w:ascii="Times New Roman" w:hAnsi="Times New Roman" w:cs="Times New Roman"/>
          <w:i/>
          <w:iCs/>
        </w:rPr>
        <w:t>marcohab</w:t>
      </w:r>
      <w:r w:rsidR="000C0CAB">
        <w:rPr>
          <w:rFonts w:ascii="Times New Roman" w:hAnsi="Times New Roman" w:cs="Times New Roman"/>
        </w:rPr>
        <w:t xml:space="preserve">, which tracks if a person is both married </w:t>
      </w:r>
      <w:r w:rsidR="000C0CAB">
        <w:rPr>
          <w:rFonts w:ascii="Times New Roman" w:hAnsi="Times New Roman" w:cs="Times New Roman"/>
          <w:i/>
          <w:iCs/>
        </w:rPr>
        <w:t>and</w:t>
      </w:r>
      <w:r w:rsidR="000C0CAB">
        <w:rPr>
          <w:rFonts w:ascii="Times New Roman" w:hAnsi="Times New Roman" w:cs="Times New Roman"/>
        </w:rPr>
        <w:t xml:space="preserve"> living with their spouse,</w:t>
      </w:r>
      <w:r w:rsidR="00421B8C">
        <w:rPr>
          <w:rFonts w:ascii="Times New Roman" w:hAnsi="Times New Roman" w:cs="Times New Roman"/>
        </w:rPr>
        <w:t xml:space="preserve"> will most likely be used as an alternative to </w:t>
      </w:r>
      <w:r w:rsidR="00421B8C">
        <w:rPr>
          <w:rFonts w:ascii="Times New Roman" w:hAnsi="Times New Roman" w:cs="Times New Roman"/>
          <w:i/>
          <w:iCs/>
        </w:rPr>
        <w:t>marital</w:t>
      </w:r>
      <w:r w:rsidR="00421B8C">
        <w:rPr>
          <w:rFonts w:ascii="Times New Roman" w:hAnsi="Times New Roman" w:cs="Times New Roman"/>
        </w:rPr>
        <w:t>.</w:t>
      </w:r>
      <w:r w:rsidR="00541FF0">
        <w:rPr>
          <w:rFonts w:ascii="Times New Roman" w:hAnsi="Times New Roman" w:cs="Times New Roman"/>
        </w:rPr>
        <w:t xml:space="preserve"> </w:t>
      </w:r>
    </w:p>
    <w:p w14:paraId="5B834149" w14:textId="2458EBF8" w:rsidR="00724795" w:rsidRDefault="00724795" w:rsidP="00056A43">
      <w:pPr>
        <w:spacing w:line="480" w:lineRule="auto"/>
        <w:rPr>
          <w:rFonts w:ascii="Times New Roman" w:hAnsi="Times New Roman" w:cs="Times New Roman"/>
        </w:rPr>
      </w:pPr>
      <w:r>
        <w:rPr>
          <w:rFonts w:ascii="Times New Roman" w:hAnsi="Times New Roman" w:cs="Times New Roman"/>
          <w:i/>
          <w:iCs/>
        </w:rPr>
        <w:t>Income</w:t>
      </w:r>
    </w:p>
    <w:p w14:paraId="0261621D" w14:textId="46914504" w:rsidR="00724795" w:rsidRPr="006469F7" w:rsidRDefault="00012F46" w:rsidP="00056A43">
      <w:pPr>
        <w:spacing w:line="480" w:lineRule="auto"/>
        <w:ind w:firstLine="720"/>
        <w:rPr>
          <w:rFonts w:ascii="Times New Roman" w:hAnsi="Times New Roman" w:cs="Times New Roman"/>
        </w:rPr>
      </w:pPr>
      <w:r>
        <w:rPr>
          <w:rFonts w:ascii="Times New Roman" w:hAnsi="Times New Roman" w:cs="Times New Roman"/>
        </w:rPr>
        <w:t xml:space="preserve">A person’s income can come to affect its daily internet use, as people in the poorer tracts might find it more difficult to sustain a </w:t>
      </w:r>
      <w:r w:rsidR="00285E10">
        <w:rPr>
          <w:rFonts w:ascii="Times New Roman" w:hAnsi="Times New Roman" w:cs="Times New Roman"/>
        </w:rPr>
        <w:t>good internet connection</w:t>
      </w:r>
      <w:r w:rsidR="00481BE9">
        <w:rPr>
          <w:rFonts w:ascii="Times New Roman" w:hAnsi="Times New Roman" w:cs="Times New Roman"/>
        </w:rPr>
        <w:t xml:space="preserve"> (Powell, Bryne, &amp; Dailey, 2010)</w:t>
      </w:r>
      <w:r w:rsidR="00285E10">
        <w:rPr>
          <w:rFonts w:ascii="Times New Roman" w:hAnsi="Times New Roman" w:cs="Times New Roman"/>
        </w:rPr>
        <w:t xml:space="preserve">. Apart from this basic distinction, </w:t>
      </w:r>
      <w:r w:rsidR="00514D25">
        <w:rPr>
          <w:rFonts w:ascii="Times New Roman" w:hAnsi="Times New Roman" w:cs="Times New Roman"/>
        </w:rPr>
        <w:t xml:space="preserve">analysis sustained on GSS data has already shown the relationship between lower happiness and </w:t>
      </w:r>
      <w:r w:rsidR="00A43CC3">
        <w:rPr>
          <w:rFonts w:ascii="Times New Roman" w:hAnsi="Times New Roman" w:cs="Times New Roman"/>
        </w:rPr>
        <w:t>less fortunate socio-economic groups (</w:t>
      </w:r>
      <w:r w:rsidR="006D587F">
        <w:rPr>
          <w:rFonts w:ascii="Times New Roman" w:hAnsi="Times New Roman" w:cs="Times New Roman"/>
        </w:rPr>
        <w:t>Hout, 2016)</w:t>
      </w:r>
      <w:r w:rsidR="007B6F73">
        <w:rPr>
          <w:rFonts w:ascii="Times New Roman" w:hAnsi="Times New Roman" w:cs="Times New Roman"/>
        </w:rPr>
        <w:t>, and Hastings (</w:t>
      </w:r>
      <w:r w:rsidR="00791052">
        <w:rPr>
          <w:rFonts w:ascii="Times New Roman" w:hAnsi="Times New Roman" w:cs="Times New Roman"/>
        </w:rPr>
        <w:t xml:space="preserve">2018) had also previously found that there is some degree of relationship between trust and </w:t>
      </w:r>
      <w:r w:rsidR="00891F5F">
        <w:rPr>
          <w:rFonts w:ascii="Times New Roman" w:hAnsi="Times New Roman" w:cs="Times New Roman"/>
        </w:rPr>
        <w:t xml:space="preserve">income inequality within </w:t>
      </w:r>
      <w:r w:rsidR="00891F5F">
        <w:rPr>
          <w:rFonts w:ascii="Times New Roman" w:hAnsi="Times New Roman" w:cs="Times New Roman"/>
        </w:rPr>
        <w:lastRenderedPageBreak/>
        <w:t>states</w:t>
      </w:r>
      <w:r w:rsidR="006D587F">
        <w:rPr>
          <w:rFonts w:ascii="Times New Roman" w:hAnsi="Times New Roman" w:cs="Times New Roman"/>
        </w:rPr>
        <w:t xml:space="preserve">. </w:t>
      </w:r>
      <w:r w:rsidR="00891F5F">
        <w:rPr>
          <w:rFonts w:ascii="Times New Roman" w:hAnsi="Times New Roman" w:cs="Times New Roman"/>
        </w:rPr>
        <w:t>Further, i</w:t>
      </w:r>
      <w:r w:rsidR="0096220B">
        <w:rPr>
          <w:rFonts w:ascii="Times New Roman" w:hAnsi="Times New Roman" w:cs="Times New Roman"/>
        </w:rPr>
        <w:t>t is common for other papers analyzing panel data to take the log transformation of income as a measure of control (</w:t>
      </w:r>
      <w:r w:rsidR="007A749A">
        <w:rPr>
          <w:rFonts w:ascii="Times New Roman" w:hAnsi="Times New Roman" w:cs="Times New Roman"/>
        </w:rPr>
        <w:t xml:space="preserve">Carl &amp; Billari, 2014; </w:t>
      </w:r>
      <w:r w:rsidR="00F7521A">
        <w:rPr>
          <w:rFonts w:ascii="Times New Roman" w:hAnsi="Times New Roman" w:cs="Times New Roman"/>
        </w:rPr>
        <w:t>Zhang &amp; Xiang, 2019)</w:t>
      </w:r>
      <w:r w:rsidR="009845DA">
        <w:rPr>
          <w:rFonts w:ascii="Times New Roman" w:hAnsi="Times New Roman" w:cs="Times New Roman"/>
        </w:rPr>
        <w:t xml:space="preserve">, </w:t>
      </w:r>
      <w:r w:rsidR="00A10756">
        <w:rPr>
          <w:rFonts w:ascii="Times New Roman" w:hAnsi="Times New Roman" w:cs="Times New Roman"/>
        </w:rPr>
        <w:t xml:space="preserve">and to use family income rather than </w:t>
      </w:r>
      <w:r w:rsidR="00A802BE">
        <w:rPr>
          <w:rFonts w:ascii="Times New Roman" w:hAnsi="Times New Roman" w:cs="Times New Roman"/>
        </w:rPr>
        <w:t xml:space="preserve">respondent income as it tracks occupational earnings rather than total earnings. </w:t>
      </w:r>
      <w:r w:rsidR="00A4576C">
        <w:rPr>
          <w:rFonts w:ascii="Times New Roman" w:hAnsi="Times New Roman" w:cs="Times New Roman"/>
        </w:rPr>
        <w:t xml:space="preserve">Mewes, Fairbrother, Giordano, Wu, and Wilkes (2021) further divided </w:t>
      </w:r>
      <w:r w:rsidR="007E73F7">
        <w:rPr>
          <w:rFonts w:ascii="Times New Roman" w:hAnsi="Times New Roman" w:cs="Times New Roman"/>
        </w:rPr>
        <w:t>inflation adjusted income (</w:t>
      </w:r>
      <w:r w:rsidR="007E73F7">
        <w:rPr>
          <w:rFonts w:ascii="Times New Roman" w:hAnsi="Times New Roman" w:cs="Times New Roman"/>
          <w:i/>
          <w:iCs/>
        </w:rPr>
        <w:t>realinc</w:t>
      </w:r>
      <w:r w:rsidR="007E73F7">
        <w:rPr>
          <w:rFonts w:ascii="Times New Roman" w:hAnsi="Times New Roman" w:cs="Times New Roman"/>
        </w:rPr>
        <w:t>) with the square root of the number of household members,</w:t>
      </w:r>
      <w:r w:rsidR="006469F7">
        <w:rPr>
          <w:rFonts w:ascii="Times New Roman" w:hAnsi="Times New Roman" w:cs="Times New Roman"/>
        </w:rPr>
        <w:t xml:space="preserve"> to account for individual disposable income. However, considering that </w:t>
      </w:r>
      <w:r w:rsidR="006469F7">
        <w:rPr>
          <w:rFonts w:ascii="Times New Roman" w:hAnsi="Times New Roman" w:cs="Times New Roman"/>
          <w:i/>
          <w:iCs/>
        </w:rPr>
        <w:t>hompop</w:t>
      </w:r>
      <w:r w:rsidR="006469F7">
        <w:rPr>
          <w:rFonts w:ascii="Times New Roman" w:hAnsi="Times New Roman" w:cs="Times New Roman"/>
        </w:rPr>
        <w:t xml:space="preserve"> (tracking number of persons in the household) does not have a corresponding 2020 counterpart</w:t>
      </w:r>
      <w:r w:rsidR="00320C87">
        <w:rPr>
          <w:rFonts w:ascii="Times New Roman" w:hAnsi="Times New Roman" w:cs="Times New Roman"/>
        </w:rPr>
        <w:t>, we would have to assume that household size did not change between waves.</w:t>
      </w:r>
    </w:p>
    <w:p w14:paraId="58A020BB" w14:textId="33AE25EF" w:rsidR="00724795" w:rsidRDefault="00724795" w:rsidP="00056A43">
      <w:pPr>
        <w:spacing w:line="480" w:lineRule="auto"/>
        <w:rPr>
          <w:rFonts w:ascii="Times New Roman" w:hAnsi="Times New Roman" w:cs="Times New Roman"/>
        </w:rPr>
      </w:pPr>
      <w:r>
        <w:rPr>
          <w:rFonts w:ascii="Times New Roman" w:hAnsi="Times New Roman" w:cs="Times New Roman"/>
          <w:i/>
          <w:iCs/>
        </w:rPr>
        <w:t>Religious Attendance</w:t>
      </w:r>
    </w:p>
    <w:p w14:paraId="3AF223C2" w14:textId="31211204" w:rsidR="00724795" w:rsidRPr="00487D2D" w:rsidRDefault="002654D6" w:rsidP="00056A43">
      <w:pPr>
        <w:spacing w:line="480" w:lineRule="auto"/>
        <w:ind w:firstLine="720"/>
        <w:rPr>
          <w:rFonts w:ascii="Times New Roman" w:hAnsi="Times New Roman" w:cs="Times New Roman"/>
        </w:rPr>
      </w:pPr>
      <w:r>
        <w:rPr>
          <w:rFonts w:ascii="Times New Roman" w:hAnsi="Times New Roman" w:cs="Times New Roman"/>
        </w:rPr>
        <w:t>A</w:t>
      </w:r>
      <w:r w:rsidR="009B7086">
        <w:rPr>
          <w:rFonts w:ascii="Times New Roman" w:hAnsi="Times New Roman" w:cs="Times New Roman"/>
        </w:rPr>
        <w:t>ttendance</w:t>
      </w:r>
      <w:r>
        <w:rPr>
          <w:rFonts w:ascii="Times New Roman" w:hAnsi="Times New Roman" w:cs="Times New Roman"/>
        </w:rPr>
        <w:t xml:space="preserve"> to religious events</w:t>
      </w:r>
      <w:r w:rsidR="009B7086">
        <w:rPr>
          <w:rFonts w:ascii="Times New Roman" w:hAnsi="Times New Roman" w:cs="Times New Roman"/>
        </w:rPr>
        <w:t xml:space="preserve"> allows people to feel more connected to one another and </w:t>
      </w:r>
      <w:r w:rsidR="004D4812">
        <w:rPr>
          <w:rFonts w:ascii="Times New Roman" w:hAnsi="Times New Roman" w:cs="Times New Roman"/>
        </w:rPr>
        <w:t xml:space="preserve">gives them </w:t>
      </w:r>
      <w:r w:rsidR="00EE70C1">
        <w:rPr>
          <w:rFonts w:ascii="Times New Roman" w:hAnsi="Times New Roman" w:cs="Times New Roman"/>
        </w:rPr>
        <w:t>additional</w:t>
      </w:r>
      <w:r w:rsidR="009B7086">
        <w:rPr>
          <w:rFonts w:ascii="Times New Roman" w:hAnsi="Times New Roman" w:cs="Times New Roman"/>
        </w:rPr>
        <w:t xml:space="preserve"> reasons to get together and avoid isolation</w:t>
      </w:r>
      <w:r w:rsidR="00C66BBE">
        <w:rPr>
          <w:rFonts w:ascii="Times New Roman" w:hAnsi="Times New Roman" w:cs="Times New Roman"/>
        </w:rPr>
        <w:t xml:space="preserve"> (Whitehead &amp; Stroope, 201</w:t>
      </w:r>
      <w:r w:rsidR="008E6473">
        <w:rPr>
          <w:rFonts w:ascii="Times New Roman" w:hAnsi="Times New Roman" w:cs="Times New Roman"/>
        </w:rPr>
        <w:t>5)</w:t>
      </w:r>
      <w:r w:rsidR="009B7086">
        <w:rPr>
          <w:rFonts w:ascii="Times New Roman" w:hAnsi="Times New Roman" w:cs="Times New Roman"/>
        </w:rPr>
        <w:t xml:space="preserve">. </w:t>
      </w:r>
      <w:r>
        <w:rPr>
          <w:rFonts w:ascii="Times New Roman" w:hAnsi="Times New Roman" w:cs="Times New Roman"/>
        </w:rPr>
        <w:t xml:space="preserve">Secular analysis by Hastings (2016) </w:t>
      </w:r>
      <w:r w:rsidR="00110ED8">
        <w:rPr>
          <w:rFonts w:ascii="Times New Roman" w:hAnsi="Times New Roman" w:cs="Times New Roman"/>
        </w:rPr>
        <w:t xml:space="preserve">further proves this point by </w:t>
      </w:r>
      <w:r w:rsidR="00214056">
        <w:rPr>
          <w:rFonts w:ascii="Times New Roman" w:hAnsi="Times New Roman" w:cs="Times New Roman"/>
        </w:rPr>
        <w:t xml:space="preserve">indicating that, while quality of friendship could not be verified, </w:t>
      </w:r>
      <w:r w:rsidR="00387214">
        <w:rPr>
          <w:rFonts w:ascii="Times New Roman" w:hAnsi="Times New Roman" w:cs="Times New Roman"/>
        </w:rPr>
        <w:t xml:space="preserve">both spiritual and non-spiritual persons benefit by engaging in religious activities. </w:t>
      </w:r>
      <w:r w:rsidR="00E5122E">
        <w:rPr>
          <w:rFonts w:ascii="Times New Roman" w:hAnsi="Times New Roman" w:cs="Times New Roman"/>
        </w:rPr>
        <w:t>Other papers further point at the role of religious participation on</w:t>
      </w:r>
      <w:r w:rsidR="007A7EAE">
        <w:rPr>
          <w:rFonts w:ascii="Times New Roman" w:hAnsi="Times New Roman" w:cs="Times New Roman"/>
        </w:rPr>
        <w:t xml:space="preserve"> an increased</w:t>
      </w:r>
      <w:r w:rsidR="00E5122E">
        <w:rPr>
          <w:rFonts w:ascii="Times New Roman" w:hAnsi="Times New Roman" w:cs="Times New Roman"/>
        </w:rPr>
        <w:t xml:space="preserve"> </w:t>
      </w:r>
      <w:r w:rsidR="004E09B7">
        <w:rPr>
          <w:rFonts w:ascii="Times New Roman" w:hAnsi="Times New Roman" w:cs="Times New Roman"/>
        </w:rPr>
        <w:t xml:space="preserve">sense of wellbeing, </w:t>
      </w:r>
      <w:proofErr w:type="gramStart"/>
      <w:r w:rsidR="004E09B7">
        <w:rPr>
          <w:rFonts w:ascii="Times New Roman" w:hAnsi="Times New Roman" w:cs="Times New Roman"/>
        </w:rPr>
        <w:t>connectedness</w:t>
      </w:r>
      <w:proofErr w:type="gramEnd"/>
      <w:r w:rsidR="004E09B7">
        <w:rPr>
          <w:rFonts w:ascii="Times New Roman" w:hAnsi="Times New Roman" w:cs="Times New Roman"/>
        </w:rPr>
        <w:t xml:space="preserve"> and social participation (</w:t>
      </w:r>
      <w:r w:rsidR="00915E03">
        <w:rPr>
          <w:rFonts w:ascii="Times New Roman" w:hAnsi="Times New Roman" w:cs="Times New Roman"/>
        </w:rPr>
        <w:t xml:space="preserve">Dunbar, 2021; </w:t>
      </w:r>
      <w:r w:rsidR="005F34B8">
        <w:rPr>
          <w:rFonts w:ascii="Times New Roman" w:hAnsi="Times New Roman" w:cs="Times New Roman"/>
        </w:rPr>
        <w:t>Lewis; MacGregor, &amp; Putnam, 2013</w:t>
      </w:r>
      <w:r w:rsidR="00915E03">
        <w:rPr>
          <w:rFonts w:ascii="Times New Roman" w:hAnsi="Times New Roman" w:cs="Times New Roman"/>
        </w:rPr>
        <w:t>)</w:t>
      </w:r>
      <w:r w:rsidR="005F34B8">
        <w:rPr>
          <w:rFonts w:ascii="Times New Roman" w:hAnsi="Times New Roman" w:cs="Times New Roman"/>
        </w:rPr>
        <w:t xml:space="preserve">, although </w:t>
      </w:r>
      <w:r w:rsidR="00074605">
        <w:rPr>
          <w:rFonts w:ascii="Times New Roman" w:hAnsi="Times New Roman" w:cs="Times New Roman"/>
        </w:rPr>
        <w:t>the relationship with life satisfaction requires a stronger spiritual connection with the group</w:t>
      </w:r>
      <w:r w:rsidR="000E5EC7">
        <w:rPr>
          <w:rFonts w:ascii="Times New Roman" w:hAnsi="Times New Roman" w:cs="Times New Roman"/>
        </w:rPr>
        <w:t xml:space="preserve"> (</w:t>
      </w:r>
      <w:r w:rsidR="00B207F6" w:rsidRPr="00B207F6">
        <w:rPr>
          <w:rFonts w:ascii="Times New Roman" w:hAnsi="Times New Roman" w:cs="Times New Roman"/>
        </w:rPr>
        <w:t>Lim</w:t>
      </w:r>
      <w:r w:rsidR="00B207F6">
        <w:rPr>
          <w:rFonts w:ascii="Times New Roman" w:hAnsi="Times New Roman" w:cs="Times New Roman"/>
        </w:rPr>
        <w:t xml:space="preserve"> </w:t>
      </w:r>
      <w:r w:rsidR="00B207F6" w:rsidRPr="00B207F6">
        <w:rPr>
          <w:rFonts w:ascii="Times New Roman" w:hAnsi="Times New Roman" w:cs="Times New Roman"/>
        </w:rPr>
        <w:t>&amp; Putnam,</w:t>
      </w:r>
      <w:r w:rsidR="00B207F6">
        <w:rPr>
          <w:rFonts w:ascii="Times New Roman" w:hAnsi="Times New Roman" w:cs="Times New Roman"/>
        </w:rPr>
        <w:t xml:space="preserve"> </w:t>
      </w:r>
      <w:r w:rsidR="00B207F6" w:rsidRPr="00B207F6">
        <w:rPr>
          <w:rFonts w:ascii="Times New Roman" w:hAnsi="Times New Roman" w:cs="Times New Roman"/>
        </w:rPr>
        <w:t>2010)</w:t>
      </w:r>
      <w:r w:rsidR="00896C7D">
        <w:rPr>
          <w:rFonts w:ascii="Times New Roman" w:hAnsi="Times New Roman" w:cs="Times New Roman"/>
        </w:rPr>
        <w:t>. We assume,</w:t>
      </w:r>
      <w:r w:rsidR="00074605">
        <w:rPr>
          <w:rFonts w:ascii="Times New Roman" w:hAnsi="Times New Roman" w:cs="Times New Roman"/>
        </w:rPr>
        <w:t xml:space="preserve"> </w:t>
      </w:r>
      <w:proofErr w:type="gramStart"/>
      <w:r w:rsidR="00074605">
        <w:rPr>
          <w:rFonts w:ascii="Times New Roman" w:hAnsi="Times New Roman" w:cs="Times New Roman"/>
        </w:rPr>
        <w:t xml:space="preserve">nevertheless </w:t>
      </w:r>
      <w:r w:rsidR="00896C7D">
        <w:rPr>
          <w:rFonts w:ascii="Times New Roman" w:hAnsi="Times New Roman" w:cs="Times New Roman"/>
        </w:rPr>
        <w:t>,</w:t>
      </w:r>
      <w:proofErr w:type="gramEnd"/>
      <w:r w:rsidR="00896C7D">
        <w:rPr>
          <w:rFonts w:ascii="Times New Roman" w:hAnsi="Times New Roman" w:cs="Times New Roman"/>
        </w:rPr>
        <w:t xml:space="preserve"> that religiosity is time-invariant within our sample selection, and we only</w:t>
      </w:r>
      <w:r w:rsidR="009A3CD7">
        <w:rPr>
          <w:rFonts w:ascii="Times New Roman" w:hAnsi="Times New Roman" w:cs="Times New Roman"/>
        </w:rPr>
        <w:t xml:space="preserve"> use</w:t>
      </w:r>
      <w:r w:rsidR="00896C7D">
        <w:rPr>
          <w:rFonts w:ascii="Times New Roman" w:hAnsi="Times New Roman" w:cs="Times New Roman"/>
        </w:rPr>
        <w:t xml:space="preserve"> </w:t>
      </w:r>
      <w:r w:rsidR="00487D2D">
        <w:rPr>
          <w:rFonts w:ascii="Times New Roman" w:hAnsi="Times New Roman" w:cs="Times New Roman"/>
          <w:i/>
          <w:iCs/>
        </w:rPr>
        <w:t>attend</w:t>
      </w:r>
      <w:r w:rsidR="00487D2D">
        <w:rPr>
          <w:rFonts w:ascii="Times New Roman" w:hAnsi="Times New Roman" w:cs="Times New Roman"/>
        </w:rPr>
        <w:t xml:space="preserve"> as a </w:t>
      </w:r>
      <w:r w:rsidR="00205F6F">
        <w:rPr>
          <w:rFonts w:ascii="Times New Roman" w:hAnsi="Times New Roman" w:cs="Times New Roman"/>
        </w:rPr>
        <w:t>tracker of religious service attendance (“</w:t>
      </w:r>
      <w:r w:rsidR="007B09F1" w:rsidRPr="007B09F1">
        <w:rPr>
          <w:rFonts w:ascii="Times New Roman" w:hAnsi="Times New Roman" w:cs="Times New Roman"/>
        </w:rPr>
        <w:t>How often do you attend religious services?</w:t>
      </w:r>
      <w:r w:rsidR="007B09F1">
        <w:rPr>
          <w:rFonts w:ascii="Times New Roman" w:hAnsi="Times New Roman" w:cs="Times New Roman"/>
        </w:rPr>
        <w:t>)</w:t>
      </w:r>
      <w:r w:rsidR="009A3CD7">
        <w:rPr>
          <w:rFonts w:ascii="Times New Roman" w:hAnsi="Times New Roman" w:cs="Times New Roman"/>
        </w:rPr>
        <w:t>.</w:t>
      </w:r>
    </w:p>
    <w:p w14:paraId="57E3738A" w14:textId="20DAA610" w:rsidR="00724795" w:rsidRDefault="00724795" w:rsidP="00056A43">
      <w:pPr>
        <w:spacing w:line="480" w:lineRule="auto"/>
        <w:rPr>
          <w:rFonts w:ascii="Times New Roman" w:hAnsi="Times New Roman" w:cs="Times New Roman"/>
          <w:i/>
          <w:iCs/>
        </w:rPr>
      </w:pPr>
      <w:r>
        <w:rPr>
          <w:rFonts w:ascii="Times New Roman" w:hAnsi="Times New Roman" w:cs="Times New Roman"/>
          <w:i/>
          <w:iCs/>
        </w:rPr>
        <w:t>Technology Use</w:t>
      </w:r>
    </w:p>
    <w:p w14:paraId="59E72259" w14:textId="5DAFFF1B" w:rsidR="004701A3" w:rsidRPr="00A52873" w:rsidRDefault="000F2C38" w:rsidP="00056A43">
      <w:pPr>
        <w:spacing w:line="480" w:lineRule="auto"/>
        <w:ind w:firstLine="720"/>
        <w:rPr>
          <w:rFonts w:ascii="Times New Roman" w:hAnsi="Times New Roman" w:cs="Times New Roman"/>
        </w:rPr>
      </w:pPr>
      <w:r>
        <w:rPr>
          <w:rFonts w:ascii="Times New Roman" w:hAnsi="Times New Roman" w:cs="Times New Roman"/>
        </w:rPr>
        <w:t xml:space="preserve">Inclusion of technology use in our model </w:t>
      </w:r>
      <w:proofErr w:type="gramStart"/>
      <w:r>
        <w:rPr>
          <w:rFonts w:ascii="Times New Roman" w:hAnsi="Times New Roman" w:cs="Times New Roman"/>
        </w:rPr>
        <w:t>has to</w:t>
      </w:r>
      <w:proofErr w:type="gramEnd"/>
      <w:r>
        <w:rPr>
          <w:rFonts w:ascii="Times New Roman" w:hAnsi="Times New Roman" w:cs="Times New Roman"/>
        </w:rPr>
        <w:t xml:space="preserve"> be twofold: firstly, we would need to take into account the </w:t>
      </w:r>
      <w:r w:rsidR="00540B1C">
        <w:rPr>
          <w:rFonts w:ascii="Times New Roman" w:hAnsi="Times New Roman" w:cs="Times New Roman"/>
        </w:rPr>
        <w:t xml:space="preserve">change </w:t>
      </w:r>
      <w:r w:rsidR="009E023A">
        <w:rPr>
          <w:rFonts w:ascii="Times New Roman" w:hAnsi="Times New Roman" w:cs="Times New Roman"/>
        </w:rPr>
        <w:t xml:space="preserve">in actual </w:t>
      </w:r>
      <w:r w:rsidR="00EE0F9A">
        <w:rPr>
          <w:rFonts w:ascii="Times New Roman" w:hAnsi="Times New Roman" w:cs="Times New Roman"/>
        </w:rPr>
        <w:t>hours spent on the internet; the timeframe including the advent and consequences of the pandemic</w:t>
      </w:r>
      <w:r w:rsidR="003E0B4D">
        <w:rPr>
          <w:rFonts w:ascii="Times New Roman" w:hAnsi="Times New Roman" w:cs="Times New Roman"/>
        </w:rPr>
        <w:t xml:space="preserve"> obliges a necessary understanding of the need for digital </w:t>
      </w:r>
      <w:r w:rsidR="009B6574">
        <w:rPr>
          <w:rFonts w:ascii="Times New Roman" w:hAnsi="Times New Roman" w:cs="Times New Roman"/>
        </w:rPr>
        <w:t xml:space="preserve">interactions within contexts of social isolation. Quite so, as discussed before, </w:t>
      </w:r>
      <w:r w:rsidR="003B22E6">
        <w:rPr>
          <w:rFonts w:ascii="Times New Roman" w:hAnsi="Times New Roman" w:cs="Times New Roman"/>
        </w:rPr>
        <w:t>private investigation</w:t>
      </w:r>
      <w:r w:rsidR="00D075C4">
        <w:rPr>
          <w:rFonts w:ascii="Times New Roman" w:hAnsi="Times New Roman" w:cs="Times New Roman"/>
        </w:rPr>
        <w:t>s</w:t>
      </w:r>
      <w:r w:rsidR="003B22E6">
        <w:rPr>
          <w:rFonts w:ascii="Times New Roman" w:hAnsi="Times New Roman" w:cs="Times New Roman"/>
        </w:rPr>
        <w:t xml:space="preserve"> in </w:t>
      </w:r>
      <w:r w:rsidR="002A2A15">
        <w:rPr>
          <w:rFonts w:ascii="Times New Roman" w:hAnsi="Times New Roman" w:cs="Times New Roman"/>
        </w:rPr>
        <w:t>the change in patterns of internet use revealed a consistent increase throughout 2020 and 2021 (</w:t>
      </w:r>
      <w:r w:rsidR="00B614CF" w:rsidRPr="00B614CF">
        <w:rPr>
          <w:rFonts w:ascii="Times New Roman" w:hAnsi="Times New Roman" w:cs="Times New Roman"/>
        </w:rPr>
        <w:t>McClain, Vogels, Perrin, Sechopoulos, &amp; Rainie, 2021</w:t>
      </w:r>
      <w:r w:rsidR="00B614CF">
        <w:rPr>
          <w:rFonts w:ascii="Times New Roman" w:hAnsi="Times New Roman" w:cs="Times New Roman"/>
        </w:rPr>
        <w:t xml:space="preserve">). To this point, a simple </w:t>
      </w:r>
      <w:r w:rsidR="00EE467D">
        <w:rPr>
          <w:rFonts w:ascii="Times New Roman" w:hAnsi="Times New Roman" w:cs="Times New Roman"/>
        </w:rPr>
        <w:t xml:space="preserve">inclusion of </w:t>
      </w:r>
      <w:r w:rsidR="00EE467D">
        <w:rPr>
          <w:rFonts w:ascii="Times New Roman" w:hAnsi="Times New Roman" w:cs="Times New Roman"/>
          <w:i/>
          <w:iCs/>
        </w:rPr>
        <w:t>wwwhr</w:t>
      </w:r>
      <w:r w:rsidR="00EE467D">
        <w:rPr>
          <w:rFonts w:ascii="Times New Roman" w:hAnsi="Times New Roman" w:cs="Times New Roman"/>
        </w:rPr>
        <w:t xml:space="preserve"> (“</w:t>
      </w:r>
      <w:r w:rsidR="00A31F5A" w:rsidRPr="00A31F5A">
        <w:rPr>
          <w:rFonts w:ascii="Times New Roman" w:hAnsi="Times New Roman" w:cs="Times New Roman"/>
        </w:rPr>
        <w:t xml:space="preserve">Not counting e-mail, </w:t>
      </w:r>
      <w:r w:rsidR="00A31F5A" w:rsidRPr="00A31F5A">
        <w:rPr>
          <w:rFonts w:ascii="Times New Roman" w:hAnsi="Times New Roman" w:cs="Times New Roman"/>
        </w:rPr>
        <w:lastRenderedPageBreak/>
        <w:t xml:space="preserve">about how many minutes or hours per week </w:t>
      </w:r>
      <w:r w:rsidR="00A31F5A">
        <w:rPr>
          <w:rFonts w:ascii="Times New Roman" w:hAnsi="Times New Roman" w:cs="Times New Roman"/>
        </w:rPr>
        <w:t>d</w:t>
      </w:r>
      <w:r w:rsidR="00A31F5A" w:rsidRPr="00A31F5A">
        <w:rPr>
          <w:rFonts w:ascii="Times New Roman" w:hAnsi="Times New Roman" w:cs="Times New Roman"/>
        </w:rPr>
        <w:t>o you use the Web? (Include time you spend visiting regular web sites and time spent using interactive Internet services like chat rooms, Usenet groups, discussion forums, bulletin boards, and the like</w:t>
      </w:r>
      <w:r w:rsidR="00A31F5A">
        <w:rPr>
          <w:rFonts w:ascii="Times New Roman" w:hAnsi="Times New Roman" w:cs="Times New Roman"/>
        </w:rPr>
        <w:t>.)”)</w:t>
      </w:r>
      <w:r w:rsidR="00A641E7">
        <w:rPr>
          <w:rFonts w:ascii="Times New Roman" w:hAnsi="Times New Roman" w:cs="Times New Roman"/>
        </w:rPr>
        <w:t xml:space="preserve">, would suffice to control for this change. However, we should also </w:t>
      </w:r>
      <w:proofErr w:type="gramStart"/>
      <w:r w:rsidR="00A641E7">
        <w:rPr>
          <w:rFonts w:ascii="Times New Roman" w:hAnsi="Times New Roman" w:cs="Times New Roman"/>
        </w:rPr>
        <w:t xml:space="preserve">take into </w:t>
      </w:r>
      <w:r w:rsidR="00A27387">
        <w:rPr>
          <w:rFonts w:ascii="Times New Roman" w:hAnsi="Times New Roman" w:cs="Times New Roman"/>
        </w:rPr>
        <w:t>account</w:t>
      </w:r>
      <w:proofErr w:type="gramEnd"/>
      <w:r w:rsidR="00A27387">
        <w:rPr>
          <w:rFonts w:ascii="Times New Roman" w:hAnsi="Times New Roman" w:cs="Times New Roman"/>
        </w:rPr>
        <w:t xml:space="preserve"> the role that the digital </w:t>
      </w:r>
      <w:r w:rsidR="00D075C4">
        <w:rPr>
          <w:rFonts w:ascii="Times New Roman" w:hAnsi="Times New Roman" w:cs="Times New Roman"/>
        </w:rPr>
        <w:t>world</w:t>
      </w:r>
      <w:r w:rsidR="00A27387">
        <w:rPr>
          <w:rFonts w:ascii="Times New Roman" w:hAnsi="Times New Roman" w:cs="Times New Roman"/>
        </w:rPr>
        <w:t xml:space="preserve"> has in the individual’s life, as</w:t>
      </w:r>
      <w:r w:rsidR="002E100E">
        <w:rPr>
          <w:rFonts w:ascii="Times New Roman" w:hAnsi="Times New Roman" w:cs="Times New Roman"/>
        </w:rPr>
        <w:t xml:space="preserve"> people whose work directly involves heavy internet use might skew simple tracking of </w:t>
      </w:r>
      <w:r w:rsidR="00EA31DF">
        <w:rPr>
          <w:rFonts w:ascii="Times New Roman" w:hAnsi="Times New Roman" w:cs="Times New Roman"/>
        </w:rPr>
        <w:t xml:space="preserve">hours spent on the web. As such, </w:t>
      </w:r>
      <w:r w:rsidR="00EA31DF">
        <w:rPr>
          <w:rFonts w:ascii="Times New Roman" w:hAnsi="Times New Roman" w:cs="Times New Roman"/>
          <w:i/>
          <w:iCs/>
        </w:rPr>
        <w:t>occ10</w:t>
      </w:r>
      <w:r w:rsidR="00A51D2D">
        <w:rPr>
          <w:rFonts w:ascii="Times New Roman" w:hAnsi="Times New Roman" w:cs="Times New Roman"/>
          <w:i/>
          <w:iCs/>
        </w:rPr>
        <w:t xml:space="preserve">, </w:t>
      </w:r>
      <w:r w:rsidR="00A51D2D">
        <w:rPr>
          <w:rFonts w:ascii="Times New Roman" w:hAnsi="Times New Roman" w:cs="Times New Roman"/>
        </w:rPr>
        <w:t>which uses the census’ occupational coding,</w:t>
      </w:r>
      <w:r w:rsidR="00EA31DF">
        <w:rPr>
          <w:rFonts w:ascii="Times New Roman" w:hAnsi="Times New Roman" w:cs="Times New Roman"/>
          <w:i/>
          <w:iCs/>
        </w:rPr>
        <w:t xml:space="preserve"> </w:t>
      </w:r>
      <w:r w:rsidR="00A52873">
        <w:rPr>
          <w:rFonts w:ascii="Times New Roman" w:hAnsi="Times New Roman" w:cs="Times New Roman"/>
        </w:rPr>
        <w:t xml:space="preserve">will be adapted into an </w:t>
      </w:r>
      <w:r w:rsidR="00A52873">
        <w:rPr>
          <w:rFonts w:ascii="Times New Roman" w:hAnsi="Times New Roman" w:cs="Times New Roman"/>
          <w:i/>
          <w:iCs/>
        </w:rPr>
        <w:t xml:space="preserve">occtech </w:t>
      </w:r>
      <w:r w:rsidR="00A52873">
        <w:rPr>
          <w:rFonts w:ascii="Times New Roman" w:hAnsi="Times New Roman" w:cs="Times New Roman"/>
        </w:rPr>
        <w:t xml:space="preserve">dummy </w:t>
      </w:r>
      <w:proofErr w:type="gramStart"/>
      <w:r w:rsidR="00CC00C3">
        <w:rPr>
          <w:rFonts w:ascii="Times New Roman" w:hAnsi="Times New Roman" w:cs="Times New Roman"/>
        </w:rPr>
        <w:t xml:space="preserve">that places </w:t>
      </w:r>
      <w:r w:rsidR="00647C20">
        <w:rPr>
          <w:rFonts w:ascii="Times New Roman" w:hAnsi="Times New Roman" w:cs="Times New Roman"/>
        </w:rPr>
        <w:t>individuals</w:t>
      </w:r>
      <w:proofErr w:type="gramEnd"/>
      <w:r w:rsidR="00A51D2D">
        <w:rPr>
          <w:rFonts w:ascii="Times New Roman" w:hAnsi="Times New Roman" w:cs="Times New Roman"/>
        </w:rPr>
        <w:t xml:space="preserve"> whose job revolves around the web at 1 and others at 0.</w:t>
      </w:r>
    </w:p>
    <w:p w14:paraId="6F8CA8AE" w14:textId="3E773038" w:rsidR="004701A3" w:rsidRPr="00B831A5" w:rsidRDefault="00046AEB" w:rsidP="00056A43">
      <w:pPr>
        <w:spacing w:line="480" w:lineRule="auto"/>
        <w:rPr>
          <w:rFonts w:ascii="Times New Roman" w:hAnsi="Times New Roman" w:cs="Times New Roman"/>
        </w:rPr>
      </w:pPr>
      <w:r>
        <w:rPr>
          <w:rFonts w:ascii="Times New Roman" w:hAnsi="Times New Roman" w:cs="Times New Roman"/>
          <w:i/>
          <w:iCs/>
        </w:rPr>
        <w:t>Age</w:t>
      </w:r>
    </w:p>
    <w:p w14:paraId="7F217273" w14:textId="2D76F615" w:rsidR="00682522" w:rsidRPr="00682522" w:rsidRDefault="002F1DBE" w:rsidP="00056A43">
      <w:pPr>
        <w:spacing w:line="480" w:lineRule="auto"/>
        <w:ind w:firstLine="720"/>
        <w:rPr>
          <w:rFonts w:ascii="Times New Roman" w:hAnsi="Times New Roman" w:cs="Times New Roman"/>
        </w:rPr>
      </w:pPr>
      <w:r>
        <w:rPr>
          <w:rFonts w:ascii="Times New Roman" w:hAnsi="Times New Roman" w:cs="Times New Roman"/>
        </w:rPr>
        <w:t xml:space="preserve">While it is true that a person’s age may affect </w:t>
      </w:r>
      <w:r w:rsidR="00647C20">
        <w:rPr>
          <w:rFonts w:ascii="Times New Roman" w:hAnsi="Times New Roman" w:cs="Times New Roman"/>
        </w:rPr>
        <w:t>their</w:t>
      </w:r>
      <w:r>
        <w:rPr>
          <w:rFonts w:ascii="Times New Roman" w:hAnsi="Times New Roman" w:cs="Times New Roman"/>
        </w:rPr>
        <w:t xml:space="preserve"> rate of technological use, the role of age in our analysis </w:t>
      </w:r>
      <w:r w:rsidR="00A35B0E">
        <w:rPr>
          <w:rFonts w:ascii="Times New Roman" w:hAnsi="Times New Roman" w:cs="Times New Roman"/>
        </w:rPr>
        <w:t xml:space="preserve">connects more with </w:t>
      </w:r>
      <w:r w:rsidR="00840199">
        <w:rPr>
          <w:rFonts w:ascii="Times New Roman" w:hAnsi="Times New Roman" w:cs="Times New Roman"/>
        </w:rPr>
        <w:t>its mediation</w:t>
      </w:r>
      <w:r w:rsidR="00A35B0E">
        <w:rPr>
          <w:rFonts w:ascii="Times New Roman" w:hAnsi="Times New Roman" w:cs="Times New Roman"/>
        </w:rPr>
        <w:t xml:space="preserve"> between technology use and loneliness. The GlobalWebIndex report</w:t>
      </w:r>
      <w:r w:rsidR="0048008A">
        <w:rPr>
          <w:rFonts w:ascii="Times New Roman" w:hAnsi="Times New Roman" w:cs="Times New Roman"/>
        </w:rPr>
        <w:t xml:space="preserve"> (Mander, Buckle, &amp; Moran, 2020)</w:t>
      </w:r>
      <w:r w:rsidR="00A35B0E">
        <w:rPr>
          <w:rFonts w:ascii="Times New Roman" w:hAnsi="Times New Roman" w:cs="Times New Roman"/>
        </w:rPr>
        <w:t xml:space="preserve"> indicates that baby boomers and </w:t>
      </w:r>
      <w:r w:rsidR="0048008A">
        <w:rPr>
          <w:rFonts w:ascii="Times New Roman" w:hAnsi="Times New Roman" w:cs="Times New Roman"/>
        </w:rPr>
        <w:t xml:space="preserve">older generations have begun to diversify their digital </w:t>
      </w:r>
      <w:proofErr w:type="gramStart"/>
      <w:r w:rsidR="0048008A">
        <w:rPr>
          <w:rFonts w:ascii="Times New Roman" w:hAnsi="Times New Roman" w:cs="Times New Roman"/>
        </w:rPr>
        <w:t xml:space="preserve">life, </w:t>
      </w:r>
      <w:r w:rsidR="00E85DEC">
        <w:rPr>
          <w:rFonts w:ascii="Times New Roman" w:hAnsi="Times New Roman" w:cs="Times New Roman"/>
        </w:rPr>
        <w:t>and</w:t>
      </w:r>
      <w:proofErr w:type="gramEnd"/>
      <w:r w:rsidR="00E85DEC">
        <w:rPr>
          <w:rFonts w:ascii="Times New Roman" w:hAnsi="Times New Roman" w:cs="Times New Roman"/>
        </w:rPr>
        <w:t xml:space="preserve"> increase their </w:t>
      </w:r>
      <w:r w:rsidR="00C81A10">
        <w:rPr>
          <w:rFonts w:ascii="Times New Roman" w:hAnsi="Times New Roman" w:cs="Times New Roman"/>
        </w:rPr>
        <w:t>non-face to face connectiveness with</w:t>
      </w:r>
      <w:r w:rsidR="000F5B54">
        <w:rPr>
          <w:rFonts w:ascii="Times New Roman" w:hAnsi="Times New Roman" w:cs="Times New Roman"/>
        </w:rPr>
        <w:t xml:space="preserve"> considerable reductions in measures of loneliness (</w:t>
      </w:r>
      <w:r w:rsidR="00733309">
        <w:rPr>
          <w:rFonts w:ascii="Times New Roman" w:hAnsi="Times New Roman" w:cs="Times New Roman"/>
        </w:rPr>
        <w:t>Luchetti</w:t>
      </w:r>
      <w:r w:rsidR="00AF2D74">
        <w:rPr>
          <w:rFonts w:ascii="Times New Roman" w:hAnsi="Times New Roman" w:cs="Times New Roman"/>
        </w:rPr>
        <w:t xml:space="preserve"> et al</w:t>
      </w:r>
      <w:r w:rsidR="004201AF">
        <w:rPr>
          <w:rFonts w:ascii="Times New Roman" w:hAnsi="Times New Roman" w:cs="Times New Roman"/>
        </w:rPr>
        <w:t>., 2020)</w:t>
      </w:r>
      <w:r w:rsidR="001216AF">
        <w:rPr>
          <w:rFonts w:ascii="Times New Roman" w:hAnsi="Times New Roman" w:cs="Times New Roman"/>
        </w:rPr>
        <w:t>. Within the GSS, age is a continuous variable</w:t>
      </w:r>
      <w:r w:rsidR="00267E79">
        <w:rPr>
          <w:rFonts w:ascii="Times New Roman" w:hAnsi="Times New Roman" w:cs="Times New Roman"/>
        </w:rPr>
        <w:t xml:space="preserve">, but, considering that we know this positive effect starts at the age of retirement, a transformation to a categorical variable, with a clearly defined “65 and over” level, will be enough to account for </w:t>
      </w:r>
      <w:r w:rsidR="008B00F4">
        <w:rPr>
          <w:rFonts w:ascii="Times New Roman" w:hAnsi="Times New Roman" w:cs="Times New Roman"/>
        </w:rPr>
        <w:t>it.</w:t>
      </w:r>
    </w:p>
    <w:p w14:paraId="4AC9C5CF" w14:textId="77777777" w:rsidR="00682522" w:rsidRDefault="00682522" w:rsidP="00056A43">
      <w:pPr>
        <w:spacing w:line="480" w:lineRule="auto"/>
        <w:rPr>
          <w:rFonts w:ascii="Times New Roman" w:hAnsi="Times New Roman" w:cs="Times New Roman"/>
        </w:rPr>
      </w:pPr>
      <w:r>
        <w:rPr>
          <w:rFonts w:ascii="Times New Roman" w:hAnsi="Times New Roman" w:cs="Times New Roman"/>
          <w:b/>
          <w:bCs/>
        </w:rPr>
        <w:t>Addressing Missingness</w:t>
      </w:r>
    </w:p>
    <w:p w14:paraId="39B66BB1" w14:textId="2C580094" w:rsidR="00682522" w:rsidRDefault="00682522" w:rsidP="00056A43">
      <w:pPr>
        <w:spacing w:line="480" w:lineRule="auto"/>
        <w:ind w:firstLine="720"/>
        <w:rPr>
          <w:rFonts w:ascii="Times New Roman" w:hAnsi="Times New Roman" w:cs="Times New Roman"/>
        </w:rPr>
      </w:pPr>
      <w:r>
        <w:rPr>
          <w:rFonts w:ascii="Times New Roman" w:hAnsi="Times New Roman" w:cs="Times New Roman"/>
        </w:rPr>
        <w:t xml:space="preserve">Panel data is unfortunately prone to missingness due to attrition or methodological changes across panel years. In fact, even in the 2016-2020 panel, though wording remains relatively identical across included variables, certain questions are either omitted or substituted from the 2016 and 2018 waves to the 2020 wave. In addition, non-response negatively affects the explanatory power of certain variables, and imputation is necessary to reestablish the usefulness of the data. The 2016-2020 panel was selected for its relative stability in questionnaire variation, and a previous analysis by Smith (2010) on the patterns of missingness within the 2006-2008 survey panel indicates that more complex questions tend to attract </w:t>
      </w:r>
      <w:r>
        <w:rPr>
          <w:rFonts w:ascii="Times New Roman" w:hAnsi="Times New Roman" w:cs="Times New Roman"/>
        </w:rPr>
        <w:lastRenderedPageBreak/>
        <w:t>higher percentages of missingness, confirmed by the completeness of demographic variables such as race (99.51%) and sex (</w:t>
      </w:r>
      <w:r w:rsidR="00C878FE">
        <w:rPr>
          <w:rFonts w:ascii="Times New Roman" w:hAnsi="Times New Roman" w:cs="Times New Roman"/>
        </w:rPr>
        <w:t>99.3</w:t>
      </w:r>
      <w:r w:rsidR="000B650B">
        <w:rPr>
          <w:rFonts w:ascii="Times New Roman" w:hAnsi="Times New Roman" w:cs="Times New Roman"/>
        </w:rPr>
        <w:t>1%)</w:t>
      </w:r>
      <w:r>
        <w:rPr>
          <w:rFonts w:ascii="Times New Roman" w:hAnsi="Times New Roman" w:cs="Times New Roman"/>
        </w:rPr>
        <w:t xml:space="preserve"> in our own dataset.</w:t>
      </w:r>
    </w:p>
    <w:p w14:paraId="264E48CF" w14:textId="3CD8F335" w:rsidR="00682522" w:rsidRDefault="00CC36F3" w:rsidP="00056A43">
      <w:pPr>
        <w:spacing w:line="480" w:lineRule="auto"/>
        <w:rPr>
          <w:rFonts w:ascii="Times New Roman" w:hAnsi="Times New Roman" w:cs="Times New Roman"/>
          <w:i/>
          <w:iCs/>
        </w:rPr>
      </w:pPr>
      <w:r>
        <w:rPr>
          <w:rFonts w:ascii="Times New Roman" w:hAnsi="Times New Roman" w:cs="Times New Roman"/>
          <w:i/>
          <w:iCs/>
        </w:rPr>
        <w:t>Full Information Maximum Likelihood</w:t>
      </w:r>
    </w:p>
    <w:p w14:paraId="22958B3E" w14:textId="33AA9142" w:rsidR="006217F7" w:rsidRDefault="00D848F4" w:rsidP="00056A43">
      <w:pPr>
        <w:spacing w:line="480" w:lineRule="auto"/>
        <w:ind w:firstLine="720"/>
        <w:rPr>
          <w:rFonts w:ascii="Times New Roman" w:hAnsi="Times New Roman" w:cs="Times New Roman"/>
        </w:rPr>
      </w:pPr>
      <w:r>
        <w:rPr>
          <w:rFonts w:ascii="Times New Roman" w:hAnsi="Times New Roman" w:cs="Times New Roman"/>
        </w:rPr>
        <w:t xml:space="preserve">As we come to examine </w:t>
      </w:r>
      <w:r w:rsidR="00393582">
        <w:rPr>
          <w:rFonts w:ascii="Times New Roman" w:hAnsi="Times New Roman" w:cs="Times New Roman"/>
        </w:rPr>
        <w:t>pattern distributions across waves, listwise deletion</w:t>
      </w:r>
      <w:r w:rsidR="003C6009">
        <w:rPr>
          <w:rFonts w:ascii="Times New Roman" w:hAnsi="Times New Roman" w:cs="Times New Roman"/>
        </w:rPr>
        <w:t xml:space="preserve"> or pairwise deletion</w:t>
      </w:r>
      <w:r w:rsidR="00393582">
        <w:rPr>
          <w:rFonts w:ascii="Times New Roman" w:hAnsi="Times New Roman" w:cs="Times New Roman"/>
        </w:rPr>
        <w:t xml:space="preserve"> of missing observations would reduce our sample number to </w:t>
      </w:r>
      <w:r w:rsidR="003C6009">
        <w:rPr>
          <w:rFonts w:ascii="Times New Roman" w:hAnsi="Times New Roman" w:cs="Times New Roman"/>
        </w:rPr>
        <w:t xml:space="preserve">unrepresentative levels, further necessitating the assumption of Missing Completely At Random and Missing At Random </w:t>
      </w:r>
      <w:r w:rsidR="00FD5B8E">
        <w:rPr>
          <w:rFonts w:ascii="Times New Roman" w:hAnsi="Times New Roman" w:cs="Times New Roman"/>
        </w:rPr>
        <w:t xml:space="preserve">to be </w:t>
      </w:r>
      <w:proofErr w:type="gramStart"/>
      <w:r w:rsidR="00FD5B8E">
        <w:rPr>
          <w:rFonts w:ascii="Times New Roman" w:hAnsi="Times New Roman" w:cs="Times New Roman"/>
        </w:rPr>
        <w:t>enacted</w:t>
      </w:r>
      <w:r w:rsidR="003C6009">
        <w:rPr>
          <w:rFonts w:ascii="Times New Roman" w:hAnsi="Times New Roman" w:cs="Times New Roman"/>
        </w:rPr>
        <w:t>(</w:t>
      </w:r>
      <w:proofErr w:type="gramEnd"/>
      <w:r w:rsidR="008E192F">
        <w:rPr>
          <w:rFonts w:ascii="Times New Roman" w:hAnsi="Times New Roman" w:cs="Times New Roman"/>
        </w:rPr>
        <w:t>Enders &amp; Bandalos, 2001)</w:t>
      </w:r>
      <w:r w:rsidR="0027106B">
        <w:rPr>
          <w:rFonts w:ascii="Times New Roman" w:hAnsi="Times New Roman" w:cs="Times New Roman"/>
        </w:rPr>
        <w:t xml:space="preserve">. </w:t>
      </w:r>
      <w:r w:rsidR="009642B2">
        <w:rPr>
          <w:rFonts w:ascii="Times New Roman" w:hAnsi="Times New Roman" w:cs="Times New Roman"/>
        </w:rPr>
        <w:t xml:space="preserve">This issue becomes more glaring if we consider that questions varied in presence rather than content across waves, and we might find that </w:t>
      </w:r>
      <w:r w:rsidR="00AA0B53">
        <w:rPr>
          <w:rFonts w:ascii="Times New Roman" w:hAnsi="Times New Roman" w:cs="Times New Roman"/>
        </w:rPr>
        <w:t>aggressive imputation might delete fundamental explanatory variables from the data</w:t>
      </w:r>
      <w:r w:rsidR="009A33E3">
        <w:rPr>
          <w:rFonts w:ascii="Times New Roman" w:hAnsi="Times New Roman" w:cs="Times New Roman"/>
        </w:rPr>
        <w:t xml:space="preserve">. As such, we utilize Full Information Maximum Likelihood </w:t>
      </w:r>
      <w:r w:rsidR="00B742A5">
        <w:rPr>
          <w:rFonts w:ascii="Times New Roman" w:hAnsi="Times New Roman" w:cs="Times New Roman"/>
        </w:rPr>
        <w:t>to estimate the likelihood function of each observation using the data available (</w:t>
      </w:r>
      <w:r w:rsidR="00260C81">
        <w:rPr>
          <w:rFonts w:ascii="Times New Roman" w:hAnsi="Times New Roman" w:cs="Times New Roman"/>
        </w:rPr>
        <w:t xml:space="preserve">Larsen, 2011; </w:t>
      </w:r>
      <w:r w:rsidR="007E3486" w:rsidRPr="007E3486">
        <w:rPr>
          <w:rFonts w:ascii="Times New Roman" w:hAnsi="Times New Roman" w:cs="Times New Roman"/>
        </w:rPr>
        <w:t>Cham, Reshetnyak</w:t>
      </w:r>
      <w:r w:rsidR="007E3486">
        <w:rPr>
          <w:rFonts w:ascii="Times New Roman" w:hAnsi="Times New Roman" w:cs="Times New Roman"/>
        </w:rPr>
        <w:t>,</w:t>
      </w:r>
      <w:r w:rsidR="007E3486" w:rsidRPr="007E3486">
        <w:rPr>
          <w:rFonts w:ascii="Times New Roman" w:hAnsi="Times New Roman" w:cs="Times New Roman"/>
        </w:rPr>
        <w:t xml:space="preserve"> Rosenfeld &amp; Breitbart</w:t>
      </w:r>
      <w:r w:rsidR="007E3486">
        <w:rPr>
          <w:rFonts w:ascii="Times New Roman" w:hAnsi="Times New Roman" w:cs="Times New Roman"/>
        </w:rPr>
        <w:t xml:space="preserve">, 2017). The </w:t>
      </w:r>
      <w:r w:rsidR="005B0CDD">
        <w:rPr>
          <w:rFonts w:ascii="Times New Roman" w:hAnsi="Times New Roman" w:cs="Times New Roman"/>
        </w:rPr>
        <w:t xml:space="preserve">method has </w:t>
      </w:r>
      <w:r w:rsidR="00163DA3">
        <w:rPr>
          <w:rFonts w:ascii="Times New Roman" w:hAnsi="Times New Roman" w:cs="Times New Roman"/>
        </w:rPr>
        <w:t xml:space="preserve">been proven to produce unbiased estimates through correct standard </w:t>
      </w:r>
      <w:proofErr w:type="gramStart"/>
      <w:r w:rsidR="00163DA3">
        <w:rPr>
          <w:rFonts w:ascii="Times New Roman" w:hAnsi="Times New Roman" w:cs="Times New Roman"/>
        </w:rPr>
        <w:t>errors, and</w:t>
      </w:r>
      <w:proofErr w:type="gramEnd"/>
      <w:r w:rsidR="00163DA3">
        <w:rPr>
          <w:rFonts w:ascii="Times New Roman" w:hAnsi="Times New Roman" w:cs="Times New Roman"/>
        </w:rPr>
        <w:t xml:space="preserve"> is particularly useful for lower N samples such as ours</w:t>
      </w:r>
      <w:r w:rsidR="00EB3EA4">
        <w:rPr>
          <w:rFonts w:ascii="Times New Roman" w:hAnsi="Times New Roman" w:cs="Times New Roman"/>
        </w:rPr>
        <w:t xml:space="preserve">, as demonstrated by </w:t>
      </w:r>
      <w:r w:rsidR="0096326E">
        <w:rPr>
          <w:rFonts w:ascii="Times New Roman" w:hAnsi="Times New Roman" w:cs="Times New Roman"/>
        </w:rPr>
        <w:t xml:space="preserve">Glanville et al. </w:t>
      </w:r>
      <w:r w:rsidR="003619A9">
        <w:rPr>
          <w:rFonts w:ascii="Times New Roman" w:hAnsi="Times New Roman" w:cs="Times New Roman"/>
        </w:rPr>
        <w:t>(2013)</w:t>
      </w:r>
      <w:r w:rsidR="00163DA3">
        <w:rPr>
          <w:rFonts w:ascii="Times New Roman" w:hAnsi="Times New Roman" w:cs="Times New Roman"/>
        </w:rPr>
        <w:t>.</w:t>
      </w:r>
      <w:r w:rsidR="00B62381">
        <w:rPr>
          <w:rStyle w:val="FootnoteReference"/>
          <w:rFonts w:ascii="Times New Roman" w:hAnsi="Times New Roman" w:cs="Times New Roman"/>
        </w:rPr>
        <w:footnoteReference w:id="4"/>
      </w:r>
    </w:p>
    <w:p w14:paraId="720B47D5" w14:textId="340341B2" w:rsidR="00EB1887" w:rsidRPr="005E1A6A" w:rsidRDefault="006217F7">
      <w:pPr>
        <w:rPr>
          <w:rFonts w:ascii="Times New Roman" w:hAnsi="Times New Roman" w:cs="Times New Roman"/>
        </w:rPr>
      </w:pPr>
      <w:r>
        <w:rPr>
          <w:rFonts w:ascii="Times New Roman" w:hAnsi="Times New Roman" w:cs="Times New Roman"/>
        </w:rPr>
        <w:br w:type="page"/>
      </w:r>
    </w:p>
    <w:p w14:paraId="4C8788AD" w14:textId="65669D42" w:rsidR="000279C5" w:rsidRDefault="00EB1887">
      <w:pPr>
        <w:rPr>
          <w:rFonts w:ascii="Times New Roman" w:hAnsi="Times New Roman" w:cs="Times New Roman"/>
          <w:b/>
          <w:bCs/>
        </w:rPr>
      </w:pPr>
      <w:r>
        <w:rPr>
          <w:rFonts w:ascii="Times New Roman" w:hAnsi="Times New Roman" w:cs="Times New Roman"/>
          <w:b/>
          <w:bCs/>
        </w:rPr>
        <w:lastRenderedPageBreak/>
        <w:t>First Findings and Descriptive Statistics</w:t>
      </w:r>
    </w:p>
    <w:p w14:paraId="3A41F5A1" w14:textId="28EA3A8C" w:rsidR="00FE3DEF" w:rsidRPr="00FE3DEF" w:rsidRDefault="00FE3DEF">
      <w:pPr>
        <w:rPr>
          <w:rFonts w:ascii="Times New Roman" w:hAnsi="Times New Roman" w:cs="Times New Roman"/>
          <w:b/>
          <w:bCs/>
          <w:i/>
          <w:iCs/>
          <w:u w:val="single"/>
        </w:rPr>
      </w:pPr>
      <w:r>
        <w:rPr>
          <w:rFonts w:ascii="Times New Roman" w:hAnsi="Times New Roman" w:cs="Times New Roman"/>
          <w:b/>
          <w:bCs/>
          <w:i/>
          <w:iCs/>
          <w:u w:val="single"/>
        </w:rPr>
        <w:t>2020</w:t>
      </w:r>
    </w:p>
    <w:p w14:paraId="278615FC" w14:textId="1031D9E8" w:rsidR="00FE3DEF" w:rsidRDefault="00293A31">
      <w:pPr>
        <w:rPr>
          <w:rFonts w:ascii="Times New Roman" w:hAnsi="Times New Roman" w:cs="Times New Roman"/>
          <w:noProof/>
        </w:rPr>
      </w:pPr>
      <w:r w:rsidRPr="000279C5">
        <w:rPr>
          <w:rFonts w:ascii="Times New Roman" w:hAnsi="Times New Roman" w:cs="Times New Roman"/>
          <w:noProof/>
        </w:rPr>
        <w:drawing>
          <wp:inline distT="0" distB="0" distL="0" distR="0" wp14:anchorId="106E0008" wp14:editId="7A1E5DC8">
            <wp:extent cx="5848709" cy="44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9173"/>
                    <a:stretch/>
                  </pic:blipFill>
                  <pic:spPr bwMode="auto">
                    <a:xfrm>
                      <a:off x="0" y="0"/>
                      <a:ext cx="5852522" cy="4408350"/>
                    </a:xfrm>
                    <a:prstGeom prst="rect">
                      <a:avLst/>
                    </a:prstGeom>
                    <a:noFill/>
                    <a:ln>
                      <a:noFill/>
                    </a:ln>
                    <a:extLst>
                      <a:ext uri="{53640926-AAD7-44D8-BBD7-CCE9431645EC}">
                        <a14:shadowObscured xmlns:a14="http://schemas.microsoft.com/office/drawing/2010/main"/>
                      </a:ext>
                    </a:extLst>
                  </pic:spPr>
                </pic:pic>
              </a:graphicData>
            </a:graphic>
          </wp:inline>
        </w:drawing>
      </w:r>
    </w:p>
    <w:p w14:paraId="2D7E790E" w14:textId="3A9828F1" w:rsidR="00EB1887" w:rsidRPr="00056A43" w:rsidRDefault="00FE3DEF">
      <w:pPr>
        <w:rPr>
          <w:rFonts w:ascii="Times New Roman" w:hAnsi="Times New Roman" w:cs="Times New Roman"/>
          <w:noProof/>
          <w:u w:val="single"/>
        </w:rPr>
      </w:pPr>
      <w:r>
        <w:rPr>
          <w:rFonts w:ascii="Times New Roman" w:hAnsi="Times New Roman" w:cs="Times New Roman"/>
          <w:b/>
          <w:bCs/>
          <w:i/>
          <w:iCs/>
          <w:noProof/>
          <w:u w:val="single"/>
        </w:rPr>
        <w:lastRenderedPageBreak/>
        <w:t>2018</w:t>
      </w:r>
      <w:r w:rsidR="00293A31" w:rsidRPr="00293A31">
        <w:rPr>
          <w:rFonts w:ascii="Times New Roman" w:hAnsi="Times New Roman" w:cs="Times New Roman"/>
          <w:noProof/>
        </w:rPr>
        <w:drawing>
          <wp:inline distT="0" distB="0" distL="0" distR="0" wp14:anchorId="6AC67EC2" wp14:editId="316A3E50">
            <wp:extent cx="5895792" cy="4636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28737"/>
                    <a:stretch/>
                  </pic:blipFill>
                  <pic:spPr bwMode="auto">
                    <a:xfrm>
                      <a:off x="0" y="0"/>
                      <a:ext cx="5941690" cy="4673046"/>
                    </a:xfrm>
                    <a:prstGeom prst="rect">
                      <a:avLst/>
                    </a:prstGeom>
                    <a:noFill/>
                    <a:ln>
                      <a:noFill/>
                    </a:ln>
                    <a:extLst>
                      <a:ext uri="{53640926-AAD7-44D8-BBD7-CCE9431645EC}">
                        <a14:shadowObscured xmlns:a14="http://schemas.microsoft.com/office/drawing/2010/main"/>
                      </a:ext>
                    </a:extLst>
                  </pic:spPr>
                </pic:pic>
              </a:graphicData>
            </a:graphic>
          </wp:inline>
        </w:drawing>
      </w:r>
    </w:p>
    <w:p w14:paraId="7D7677DE" w14:textId="35F8FC40" w:rsidR="00EB1887" w:rsidRDefault="00EF6965" w:rsidP="00056A43">
      <w:pPr>
        <w:spacing w:line="480" w:lineRule="auto"/>
        <w:ind w:firstLine="720"/>
        <w:rPr>
          <w:rFonts w:ascii="Times New Roman" w:hAnsi="Times New Roman" w:cs="Times New Roman"/>
        </w:rPr>
      </w:pPr>
      <w:r>
        <w:rPr>
          <w:rFonts w:ascii="Times New Roman" w:hAnsi="Times New Roman" w:cs="Times New Roman"/>
        </w:rPr>
        <w:t xml:space="preserve">The data shows that </w:t>
      </w:r>
      <w:r w:rsidR="006B69AC">
        <w:rPr>
          <w:rFonts w:ascii="Times New Roman" w:hAnsi="Times New Roman" w:cs="Times New Roman"/>
        </w:rPr>
        <w:t xml:space="preserve">perceived health was relatively stable throughout the two waves, although it tended to shift towards “poor” between the </w:t>
      </w:r>
      <w:r w:rsidR="00FE3DEF">
        <w:rPr>
          <w:rFonts w:ascii="Times New Roman" w:hAnsi="Times New Roman" w:cs="Times New Roman"/>
        </w:rPr>
        <w:t>46- to 64-year-old</w:t>
      </w:r>
      <w:r w:rsidR="00226B17">
        <w:rPr>
          <w:rFonts w:ascii="Times New Roman" w:hAnsi="Times New Roman" w:cs="Times New Roman"/>
        </w:rPr>
        <w:t xml:space="preserve"> individuals</w:t>
      </w:r>
      <w:r w:rsidR="006B69AC">
        <w:rPr>
          <w:rFonts w:ascii="Times New Roman" w:hAnsi="Times New Roman" w:cs="Times New Roman"/>
        </w:rPr>
        <w:t xml:space="preserve">, just before the </w:t>
      </w:r>
      <w:r w:rsidR="00226B17">
        <w:rPr>
          <w:rFonts w:ascii="Times New Roman" w:hAnsi="Times New Roman" w:cs="Times New Roman"/>
        </w:rPr>
        <w:t xml:space="preserve">retirement age. </w:t>
      </w:r>
      <w:r w:rsidR="00F6531A">
        <w:rPr>
          <w:rFonts w:ascii="Times New Roman" w:hAnsi="Times New Roman" w:cs="Times New Roman"/>
        </w:rPr>
        <w:t xml:space="preserve">On the other hand, happiness seems to have severely decreased </w:t>
      </w:r>
      <w:r w:rsidR="00CF52F8">
        <w:rPr>
          <w:rFonts w:ascii="Times New Roman" w:hAnsi="Times New Roman" w:cs="Times New Roman"/>
        </w:rPr>
        <w:t>across all ages</w:t>
      </w:r>
      <w:r w:rsidR="008F27E6">
        <w:rPr>
          <w:rFonts w:ascii="Times New Roman" w:hAnsi="Times New Roman" w:cs="Times New Roman"/>
        </w:rPr>
        <w:t xml:space="preserve"> (going from “very happy” to “not to happy”</w:t>
      </w:r>
      <w:r w:rsidR="00CF52F8">
        <w:rPr>
          <w:rFonts w:ascii="Times New Roman" w:hAnsi="Times New Roman" w:cs="Times New Roman"/>
        </w:rPr>
        <w:t xml:space="preserve">, although the number of those that claimed to be “pretty happy” seemed to remain </w:t>
      </w:r>
      <w:r w:rsidR="009A7C39">
        <w:rPr>
          <w:rFonts w:ascii="Times New Roman" w:hAnsi="Times New Roman" w:cs="Times New Roman"/>
        </w:rPr>
        <w:t>almost constant</w:t>
      </w:r>
      <w:r w:rsidR="00CF52F8">
        <w:rPr>
          <w:rFonts w:ascii="Times New Roman" w:hAnsi="Times New Roman" w:cs="Times New Roman"/>
        </w:rPr>
        <w:t>.</w:t>
      </w:r>
    </w:p>
    <w:p w14:paraId="5CC7F628" w14:textId="77777777" w:rsidR="008622D1" w:rsidRDefault="008622D1">
      <w:pPr>
        <w:rPr>
          <w:rFonts w:ascii="Times New Roman" w:hAnsi="Times New Roman" w:cs="Times New Roman"/>
          <w:b/>
          <w:bCs/>
          <w:i/>
          <w:iCs/>
          <w:u w:val="single"/>
        </w:rPr>
      </w:pPr>
      <w:r>
        <w:rPr>
          <w:rFonts w:ascii="Times New Roman" w:hAnsi="Times New Roman" w:cs="Times New Roman"/>
          <w:b/>
          <w:bCs/>
          <w:i/>
          <w:iCs/>
          <w:u w:val="single"/>
        </w:rPr>
        <w:br w:type="page"/>
      </w:r>
    </w:p>
    <w:p w14:paraId="639CB605" w14:textId="4ED50259" w:rsidR="00D04D82" w:rsidRDefault="00D04D82">
      <w:pPr>
        <w:rPr>
          <w:rFonts w:ascii="Times New Roman" w:hAnsi="Times New Roman" w:cs="Times New Roman"/>
          <w:b/>
          <w:bCs/>
          <w:i/>
          <w:iCs/>
          <w:u w:val="single"/>
        </w:rPr>
      </w:pPr>
      <w:r>
        <w:rPr>
          <w:rFonts w:ascii="Times New Roman" w:hAnsi="Times New Roman" w:cs="Times New Roman"/>
          <w:b/>
          <w:bCs/>
          <w:i/>
          <w:iCs/>
          <w:u w:val="single"/>
        </w:rPr>
        <w:lastRenderedPageBreak/>
        <w:t>2020</w:t>
      </w:r>
    </w:p>
    <w:p w14:paraId="3CC50C12" w14:textId="199AA4FC" w:rsidR="00D04D82" w:rsidRDefault="008622D1">
      <w:pPr>
        <w:rPr>
          <w:rFonts w:ascii="Times New Roman" w:hAnsi="Times New Roman" w:cs="Times New Roman"/>
        </w:rPr>
      </w:pPr>
      <w:r w:rsidRPr="008622D1">
        <w:rPr>
          <w:rFonts w:ascii="Times New Roman" w:hAnsi="Times New Roman" w:cs="Times New Roman"/>
          <w:noProof/>
        </w:rPr>
        <w:drawing>
          <wp:inline distT="0" distB="0" distL="0" distR="0" wp14:anchorId="70D59AB9" wp14:editId="0CDB2988">
            <wp:extent cx="594360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63D95A5F" w14:textId="53248D22" w:rsidR="00D04D82" w:rsidRDefault="00D04D82">
      <w:pPr>
        <w:rPr>
          <w:rFonts w:ascii="Times New Roman" w:hAnsi="Times New Roman" w:cs="Times New Roman"/>
          <w:b/>
          <w:bCs/>
          <w:i/>
          <w:iCs/>
          <w:u w:val="single"/>
        </w:rPr>
      </w:pPr>
      <w:r>
        <w:rPr>
          <w:rFonts w:ascii="Times New Roman" w:hAnsi="Times New Roman" w:cs="Times New Roman"/>
          <w:b/>
          <w:bCs/>
          <w:i/>
          <w:iCs/>
          <w:u w:val="single"/>
        </w:rPr>
        <w:t>2018</w:t>
      </w:r>
    </w:p>
    <w:p w14:paraId="11B28414" w14:textId="4CB07688" w:rsidR="00D04D82" w:rsidRDefault="002A3C87">
      <w:pPr>
        <w:rPr>
          <w:rFonts w:ascii="Times New Roman" w:hAnsi="Times New Roman" w:cs="Times New Roman"/>
        </w:rPr>
      </w:pPr>
      <w:r w:rsidRPr="002A3C87">
        <w:rPr>
          <w:rFonts w:ascii="Times New Roman" w:hAnsi="Times New Roman" w:cs="Times New Roman"/>
          <w:noProof/>
        </w:rPr>
        <w:drawing>
          <wp:inline distT="0" distB="0" distL="0" distR="0" wp14:anchorId="7CF69AAD" wp14:editId="0E4874C6">
            <wp:extent cx="5943600"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1140F5F3" w14:textId="6455FD03" w:rsidR="003D6389" w:rsidRDefault="003D6389" w:rsidP="00056A43">
      <w:pPr>
        <w:spacing w:line="480" w:lineRule="auto"/>
        <w:ind w:firstLine="720"/>
        <w:rPr>
          <w:rFonts w:ascii="Times New Roman" w:hAnsi="Times New Roman" w:cs="Times New Roman"/>
        </w:rPr>
      </w:pPr>
      <w:r>
        <w:rPr>
          <w:rFonts w:ascii="Times New Roman" w:hAnsi="Times New Roman" w:cs="Times New Roman"/>
        </w:rPr>
        <w:lastRenderedPageBreak/>
        <w:t xml:space="preserve">When it comes to social cohesion, </w:t>
      </w:r>
      <w:r w:rsidR="00C64E80">
        <w:rPr>
          <w:rFonts w:ascii="Times New Roman" w:hAnsi="Times New Roman" w:cs="Times New Roman"/>
        </w:rPr>
        <w:t>perception of fairness increased among younger people (23.56% to 33.33%</w:t>
      </w:r>
      <w:proofErr w:type="gramStart"/>
      <w:r w:rsidR="00C64E80">
        <w:rPr>
          <w:rFonts w:ascii="Times New Roman" w:hAnsi="Times New Roman" w:cs="Times New Roman"/>
        </w:rPr>
        <w:t>), but</w:t>
      </w:r>
      <w:proofErr w:type="gramEnd"/>
      <w:r w:rsidR="00C64E80">
        <w:rPr>
          <w:rFonts w:ascii="Times New Roman" w:hAnsi="Times New Roman" w:cs="Times New Roman"/>
        </w:rPr>
        <w:t xml:space="preserve"> decreased</w:t>
      </w:r>
      <w:r w:rsidR="00B34556">
        <w:rPr>
          <w:rFonts w:ascii="Times New Roman" w:hAnsi="Times New Roman" w:cs="Times New Roman"/>
        </w:rPr>
        <w:t xml:space="preserve"> across all the older generations. </w:t>
      </w:r>
      <w:r w:rsidR="004934C9">
        <w:rPr>
          <w:rFonts w:ascii="Times New Roman" w:hAnsi="Times New Roman" w:cs="Times New Roman"/>
        </w:rPr>
        <w:t xml:space="preserve">On the other hand, helpfulness perception saw greater change across </w:t>
      </w:r>
      <w:r w:rsidR="00F10945">
        <w:rPr>
          <w:rFonts w:ascii="Times New Roman" w:hAnsi="Times New Roman" w:cs="Times New Roman"/>
        </w:rPr>
        <w:t>people 46 and over (</w:t>
      </w:r>
      <w:r w:rsidR="00D4690F">
        <w:rPr>
          <w:rFonts w:ascii="Times New Roman" w:hAnsi="Times New Roman" w:cs="Times New Roman"/>
        </w:rPr>
        <w:t>51.83% to 60.65% and 61.78% to 74.14%)</w:t>
      </w:r>
      <w:r w:rsidR="009A7C39">
        <w:rPr>
          <w:rFonts w:ascii="Times New Roman" w:hAnsi="Times New Roman" w:cs="Times New Roman"/>
        </w:rPr>
        <w:t>. Finally</w:t>
      </w:r>
      <w:r w:rsidR="00720F4A">
        <w:rPr>
          <w:rFonts w:ascii="Times New Roman" w:hAnsi="Times New Roman" w:cs="Times New Roman"/>
        </w:rPr>
        <w:t xml:space="preserve">, levels of trust increased for all age groups, except for the 26 to 45 </w:t>
      </w:r>
      <w:proofErr w:type="gramStart"/>
      <w:r w:rsidR="00720F4A">
        <w:rPr>
          <w:rFonts w:ascii="Times New Roman" w:hAnsi="Times New Roman" w:cs="Times New Roman"/>
        </w:rPr>
        <w:t>category</w:t>
      </w:r>
      <w:proofErr w:type="gramEnd"/>
      <w:r w:rsidR="00720F4A">
        <w:rPr>
          <w:rFonts w:ascii="Times New Roman" w:hAnsi="Times New Roman" w:cs="Times New Roman"/>
        </w:rPr>
        <w:t xml:space="preserve">, which saw a decrease of </w:t>
      </w:r>
      <w:r w:rsidR="001D178C">
        <w:rPr>
          <w:rFonts w:ascii="Times New Roman" w:hAnsi="Times New Roman" w:cs="Times New Roman"/>
        </w:rPr>
        <w:t>almost 6%.</w:t>
      </w:r>
    </w:p>
    <w:p w14:paraId="6EEA3982" w14:textId="595A659C" w:rsidR="001D178C" w:rsidRDefault="001D178C">
      <w:pPr>
        <w:rPr>
          <w:rFonts w:ascii="Times New Roman" w:hAnsi="Times New Roman" w:cs="Times New Roman"/>
        </w:rPr>
      </w:pPr>
      <w:r>
        <w:rPr>
          <w:rFonts w:ascii="Times New Roman" w:hAnsi="Times New Roman" w:cs="Times New Roman"/>
          <w:b/>
          <w:bCs/>
          <w:i/>
          <w:iCs/>
          <w:u w:val="single"/>
        </w:rPr>
        <w:t>2020</w:t>
      </w:r>
    </w:p>
    <w:p w14:paraId="1AA8CD26" w14:textId="1137CCDE" w:rsidR="001D178C" w:rsidRDefault="002F19AF">
      <w:pPr>
        <w:rPr>
          <w:rFonts w:ascii="Times New Roman" w:hAnsi="Times New Roman" w:cs="Times New Roman"/>
        </w:rPr>
      </w:pPr>
      <w:r w:rsidRPr="002F19AF">
        <w:rPr>
          <w:rFonts w:ascii="Times New Roman" w:hAnsi="Times New Roman" w:cs="Times New Roman"/>
          <w:noProof/>
        </w:rPr>
        <w:drawing>
          <wp:inline distT="0" distB="0" distL="0" distR="0" wp14:anchorId="13644A21" wp14:editId="5A36EE4A">
            <wp:extent cx="5943600" cy="317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2460"/>
                    </a:xfrm>
                    <a:prstGeom prst="rect">
                      <a:avLst/>
                    </a:prstGeom>
                    <a:noFill/>
                    <a:ln>
                      <a:noFill/>
                    </a:ln>
                  </pic:spPr>
                </pic:pic>
              </a:graphicData>
            </a:graphic>
          </wp:inline>
        </w:drawing>
      </w:r>
    </w:p>
    <w:p w14:paraId="785C95D4" w14:textId="3CA3BFBE" w:rsidR="002F19AF" w:rsidRDefault="002F19AF">
      <w:pPr>
        <w:rPr>
          <w:rFonts w:ascii="Times New Roman" w:hAnsi="Times New Roman" w:cs="Times New Roman"/>
        </w:rPr>
      </w:pPr>
      <w:r>
        <w:rPr>
          <w:rFonts w:ascii="Times New Roman" w:hAnsi="Times New Roman" w:cs="Times New Roman"/>
          <w:b/>
          <w:bCs/>
          <w:i/>
          <w:iCs/>
          <w:u w:val="single"/>
        </w:rPr>
        <w:t>2018</w:t>
      </w:r>
    </w:p>
    <w:p w14:paraId="1D8EC9D9" w14:textId="2E9AFF10" w:rsidR="002F19AF" w:rsidRDefault="00123791">
      <w:pPr>
        <w:rPr>
          <w:rFonts w:ascii="Times New Roman" w:hAnsi="Times New Roman" w:cs="Times New Roman"/>
        </w:rPr>
      </w:pPr>
      <w:r w:rsidRPr="00123791">
        <w:rPr>
          <w:rFonts w:ascii="Times New Roman" w:hAnsi="Times New Roman" w:cs="Times New Roman"/>
          <w:noProof/>
        </w:rPr>
        <w:drawing>
          <wp:inline distT="0" distB="0" distL="0" distR="0" wp14:anchorId="48C416A1" wp14:editId="3319E64B">
            <wp:extent cx="5943600" cy="1903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03730"/>
                    </a:xfrm>
                    <a:prstGeom prst="rect">
                      <a:avLst/>
                    </a:prstGeom>
                    <a:noFill/>
                    <a:ln>
                      <a:noFill/>
                    </a:ln>
                  </pic:spPr>
                </pic:pic>
              </a:graphicData>
            </a:graphic>
          </wp:inline>
        </w:drawing>
      </w:r>
    </w:p>
    <w:p w14:paraId="5B4A7219" w14:textId="73F48157" w:rsidR="00123791" w:rsidRDefault="000F03B9" w:rsidP="00056A43">
      <w:pPr>
        <w:spacing w:line="480" w:lineRule="auto"/>
        <w:ind w:firstLine="720"/>
        <w:rPr>
          <w:rFonts w:ascii="Times New Roman" w:hAnsi="Times New Roman" w:cs="Times New Roman"/>
        </w:rPr>
      </w:pPr>
      <w:r>
        <w:rPr>
          <w:rFonts w:ascii="Times New Roman" w:hAnsi="Times New Roman" w:cs="Times New Roman"/>
        </w:rPr>
        <w:t xml:space="preserve">As far as measures of loneliness, although a direct comparison is not </w:t>
      </w:r>
      <w:r w:rsidR="008C0F7B">
        <w:rPr>
          <w:rFonts w:ascii="Times New Roman" w:hAnsi="Times New Roman" w:cs="Times New Roman"/>
        </w:rPr>
        <w:t xml:space="preserve">currently feasible due to a lack of transformation and model adaptation, we can see that </w:t>
      </w:r>
      <w:r w:rsidR="00461C12">
        <w:rPr>
          <w:rFonts w:ascii="Times New Roman" w:hAnsi="Times New Roman" w:cs="Times New Roman"/>
        </w:rPr>
        <w:t xml:space="preserve">loneliness did generally increase between </w:t>
      </w:r>
      <w:r w:rsidR="00461C12">
        <w:rPr>
          <w:rFonts w:ascii="Times New Roman" w:hAnsi="Times New Roman" w:cs="Times New Roman"/>
        </w:rPr>
        <w:lastRenderedPageBreak/>
        <w:t xml:space="preserve">2018 and 2020, </w:t>
      </w:r>
      <w:r w:rsidR="00615B74">
        <w:rPr>
          <w:rFonts w:ascii="Times New Roman" w:hAnsi="Times New Roman" w:cs="Times New Roman"/>
        </w:rPr>
        <w:t>with older individuals being hit the most in the context of companionship (emotional loneliness), while younger age groups suffered more on the social isolation aspect (physical loneliness).</w:t>
      </w:r>
    </w:p>
    <w:p w14:paraId="280284C7" w14:textId="5063B293" w:rsidR="00A37BA0" w:rsidRDefault="00A37BA0">
      <w:pPr>
        <w:rPr>
          <w:rFonts w:ascii="Times New Roman" w:hAnsi="Times New Roman" w:cs="Times New Roman"/>
        </w:rPr>
      </w:pPr>
      <w:r>
        <w:rPr>
          <w:rFonts w:ascii="Times New Roman" w:hAnsi="Times New Roman" w:cs="Times New Roman"/>
          <w:b/>
          <w:bCs/>
          <w:i/>
          <w:iCs/>
          <w:u w:val="single"/>
        </w:rPr>
        <w:t>2020</w:t>
      </w:r>
    </w:p>
    <w:p w14:paraId="4D411547" w14:textId="77777777" w:rsidR="00C97C3A" w:rsidRDefault="00C97C3A">
      <w:pPr>
        <w:rPr>
          <w:rFonts w:ascii="Times New Roman" w:hAnsi="Times New Roman" w:cs="Times New Roman"/>
          <w:noProof/>
        </w:rPr>
      </w:pPr>
    </w:p>
    <w:p w14:paraId="5AE3F25A" w14:textId="5A96261D" w:rsidR="00A37BA0" w:rsidRDefault="00C97C3A">
      <w:pPr>
        <w:rPr>
          <w:rFonts w:ascii="Times New Roman" w:hAnsi="Times New Roman" w:cs="Times New Roman"/>
        </w:rPr>
      </w:pPr>
      <w:r w:rsidRPr="00C97C3A">
        <w:rPr>
          <w:rFonts w:ascii="Times New Roman" w:hAnsi="Times New Roman" w:cs="Times New Roman"/>
          <w:noProof/>
        </w:rPr>
        <w:drawing>
          <wp:inline distT="0" distB="0" distL="0" distR="0" wp14:anchorId="1AFA0DFA" wp14:editId="767B20F7">
            <wp:extent cx="5895975" cy="35795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38462"/>
                    <a:stretch/>
                  </pic:blipFill>
                  <pic:spPr bwMode="auto">
                    <a:xfrm>
                      <a:off x="0" y="0"/>
                      <a:ext cx="5904463" cy="3584706"/>
                    </a:xfrm>
                    <a:prstGeom prst="rect">
                      <a:avLst/>
                    </a:prstGeom>
                    <a:noFill/>
                    <a:ln>
                      <a:noFill/>
                    </a:ln>
                    <a:extLst>
                      <a:ext uri="{53640926-AAD7-44D8-BBD7-CCE9431645EC}">
                        <a14:shadowObscured xmlns:a14="http://schemas.microsoft.com/office/drawing/2010/main"/>
                      </a:ext>
                    </a:extLst>
                  </pic:spPr>
                </pic:pic>
              </a:graphicData>
            </a:graphic>
          </wp:inline>
        </w:drawing>
      </w:r>
    </w:p>
    <w:p w14:paraId="124A4BBC" w14:textId="2FA303EC" w:rsidR="00A37BA0" w:rsidRDefault="00A37BA0">
      <w:pPr>
        <w:rPr>
          <w:rFonts w:ascii="Times New Roman" w:hAnsi="Times New Roman" w:cs="Times New Roman"/>
        </w:rPr>
      </w:pPr>
      <w:r>
        <w:rPr>
          <w:rFonts w:ascii="Times New Roman" w:hAnsi="Times New Roman" w:cs="Times New Roman"/>
          <w:b/>
          <w:bCs/>
          <w:i/>
          <w:iCs/>
          <w:u w:val="single"/>
        </w:rPr>
        <w:t>2018</w:t>
      </w:r>
    </w:p>
    <w:p w14:paraId="1D56597F" w14:textId="5B13882B" w:rsidR="00A37BA0" w:rsidRDefault="004A6BF0">
      <w:pPr>
        <w:rPr>
          <w:rFonts w:ascii="Times New Roman" w:hAnsi="Times New Roman" w:cs="Times New Roman"/>
        </w:rPr>
      </w:pPr>
      <w:r w:rsidRPr="004A6BF0">
        <w:rPr>
          <w:rFonts w:ascii="Times New Roman" w:hAnsi="Times New Roman" w:cs="Times New Roman"/>
          <w:noProof/>
        </w:rPr>
        <w:drawing>
          <wp:inline distT="0" distB="0" distL="0" distR="0" wp14:anchorId="0A9BE31E" wp14:editId="6035D15D">
            <wp:extent cx="5943600" cy="1604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04010"/>
                    </a:xfrm>
                    <a:prstGeom prst="rect">
                      <a:avLst/>
                    </a:prstGeom>
                    <a:noFill/>
                    <a:ln>
                      <a:noFill/>
                    </a:ln>
                  </pic:spPr>
                </pic:pic>
              </a:graphicData>
            </a:graphic>
          </wp:inline>
        </w:drawing>
      </w:r>
    </w:p>
    <w:p w14:paraId="4BA739D2" w14:textId="495DEFA0" w:rsidR="00C97C3A" w:rsidRDefault="00C97C3A" w:rsidP="00056A43">
      <w:pPr>
        <w:spacing w:line="480" w:lineRule="auto"/>
        <w:ind w:firstLine="720"/>
        <w:rPr>
          <w:rFonts w:ascii="Times New Roman" w:hAnsi="Times New Roman" w:cs="Times New Roman"/>
        </w:rPr>
      </w:pPr>
      <w:r>
        <w:rPr>
          <w:rFonts w:ascii="Times New Roman" w:hAnsi="Times New Roman" w:cs="Times New Roman"/>
        </w:rPr>
        <w:t xml:space="preserve">A more summary description </w:t>
      </w:r>
      <w:proofErr w:type="gramStart"/>
      <w:r>
        <w:rPr>
          <w:rFonts w:ascii="Times New Roman" w:hAnsi="Times New Roman" w:cs="Times New Roman"/>
        </w:rPr>
        <w:t>has to</w:t>
      </w:r>
      <w:proofErr w:type="gramEnd"/>
      <w:r>
        <w:rPr>
          <w:rFonts w:ascii="Times New Roman" w:hAnsi="Times New Roman" w:cs="Times New Roman"/>
        </w:rPr>
        <w:t xml:space="preserve"> be given on technology use, as per the limitations of the initial analysis</w:t>
      </w:r>
      <w:r w:rsidR="00C60A3E">
        <w:rPr>
          <w:rFonts w:ascii="Times New Roman" w:hAnsi="Times New Roman" w:cs="Times New Roman"/>
        </w:rPr>
        <w:t>. As expected, digital presence was higher among younger generations, but there</w:t>
      </w:r>
      <w:r w:rsidR="0039628B">
        <w:rPr>
          <w:rFonts w:ascii="Times New Roman" w:hAnsi="Times New Roman" w:cs="Times New Roman"/>
        </w:rPr>
        <w:t xml:space="preserve"> was still some degree of </w:t>
      </w:r>
      <w:r w:rsidR="002C582E">
        <w:rPr>
          <w:rFonts w:ascii="Times New Roman" w:hAnsi="Times New Roman" w:cs="Times New Roman"/>
        </w:rPr>
        <w:t>use among older people</w:t>
      </w:r>
      <w:r w:rsidR="00374BC9">
        <w:rPr>
          <w:rFonts w:ascii="Times New Roman" w:hAnsi="Times New Roman" w:cs="Times New Roman"/>
        </w:rPr>
        <w:t xml:space="preserve">, as they populated the “most of </w:t>
      </w:r>
      <w:proofErr w:type="gramStart"/>
      <w:r w:rsidR="00374BC9">
        <w:rPr>
          <w:rFonts w:ascii="Times New Roman" w:hAnsi="Times New Roman" w:cs="Times New Roman"/>
        </w:rPr>
        <w:t>it</w:t>
      </w:r>
      <w:proofErr w:type="gramEnd"/>
      <w:r w:rsidR="00374BC9">
        <w:rPr>
          <w:rFonts w:ascii="Times New Roman" w:hAnsi="Times New Roman" w:cs="Times New Roman"/>
        </w:rPr>
        <w:t xml:space="preserve"> category” (46.95% of 46 to 64, and 47.11% of </w:t>
      </w:r>
      <w:r w:rsidR="006A15D7">
        <w:rPr>
          <w:rFonts w:ascii="Times New Roman" w:hAnsi="Times New Roman" w:cs="Times New Roman"/>
        </w:rPr>
        <w:t>65+). The pattern remained similar in 2020 when analyzing social media use</w:t>
      </w:r>
      <w:r w:rsidR="00B975DC">
        <w:rPr>
          <w:rFonts w:ascii="Times New Roman" w:hAnsi="Times New Roman" w:cs="Times New Roman"/>
        </w:rPr>
        <w:t xml:space="preserve">, and we can </w:t>
      </w:r>
      <w:r w:rsidR="00B975DC">
        <w:rPr>
          <w:rFonts w:ascii="Times New Roman" w:hAnsi="Times New Roman" w:cs="Times New Roman"/>
        </w:rPr>
        <w:lastRenderedPageBreak/>
        <w:t>distinguish sites more popular with younger generations (</w:t>
      </w:r>
      <w:r w:rsidR="00CF0746">
        <w:rPr>
          <w:rFonts w:ascii="Times New Roman" w:hAnsi="Times New Roman" w:cs="Times New Roman"/>
        </w:rPr>
        <w:t>Reddit and Snapchat), with adults (</w:t>
      </w:r>
      <w:r w:rsidR="0076206C">
        <w:rPr>
          <w:rFonts w:ascii="Times New Roman" w:hAnsi="Times New Roman" w:cs="Times New Roman"/>
        </w:rPr>
        <w:t>Instagram), and with seniors (Facebook and Twitter)</w:t>
      </w:r>
      <w:r w:rsidR="0018180C">
        <w:rPr>
          <w:rFonts w:ascii="Times New Roman" w:hAnsi="Times New Roman" w:cs="Times New Roman"/>
        </w:rPr>
        <w:t>.</w:t>
      </w:r>
    </w:p>
    <w:p w14:paraId="77CD4BD3" w14:textId="77777777" w:rsidR="00A76103" w:rsidRDefault="00A76103" w:rsidP="00A76103">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t xml:space="preserve">Tabulation of conf2f_1b by intcntct_1b </w:t>
      </w:r>
    </w:p>
    <w:tbl>
      <w:tblPr>
        <w:tblW w:w="9767" w:type="dxa"/>
        <w:tblLayout w:type="fixed"/>
        <w:tblLook w:val="0000" w:firstRow="0" w:lastRow="0" w:firstColumn="0" w:lastColumn="0" w:noHBand="0" w:noVBand="0"/>
      </w:tblPr>
      <w:tblGrid>
        <w:gridCol w:w="4270"/>
        <w:gridCol w:w="1374"/>
        <w:gridCol w:w="1374"/>
        <w:gridCol w:w="1374"/>
        <w:gridCol w:w="1375"/>
      </w:tblGrid>
      <w:tr w:rsidR="00A76103" w14:paraId="729AE014" w14:textId="77777777" w:rsidTr="00A76103">
        <w:trPr>
          <w:trHeight w:val="463"/>
        </w:trPr>
        <w:tc>
          <w:tcPr>
            <w:tcW w:w="4270" w:type="dxa"/>
            <w:vMerge w:val="restart"/>
            <w:tcBorders>
              <w:top w:val="single" w:sz="4" w:space="0" w:color="auto"/>
              <w:left w:val="nil"/>
              <w:bottom w:val="single" w:sz="4" w:space="0" w:color="auto"/>
              <w:right w:val="single" w:sz="4" w:space="0" w:color="auto"/>
            </w:tcBorders>
            <w:vAlign w:val="bottom"/>
          </w:tcPr>
          <w:p w14:paraId="19E2CC8D" w14:textId="77777777" w:rsidR="00A76103" w:rsidRDefault="00A76103"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how many people r sees face to face</w:t>
            </w:r>
          </w:p>
        </w:tc>
        <w:tc>
          <w:tcPr>
            <w:tcW w:w="5496" w:type="dxa"/>
            <w:gridSpan w:val="4"/>
            <w:tcBorders>
              <w:top w:val="single" w:sz="4" w:space="0" w:color="auto"/>
              <w:left w:val="nil"/>
              <w:bottom w:val="single" w:sz="4" w:space="0" w:color="auto"/>
              <w:right w:val="nil"/>
            </w:tcBorders>
          </w:tcPr>
          <w:p w14:paraId="2CCDEA1B" w14:textId="77777777" w:rsidR="00A76103" w:rsidRDefault="00A76103" w:rsidP="00AE5F86">
            <w:pPr>
              <w:widowControl w:val="0"/>
              <w:autoSpaceDE w:val="0"/>
              <w:autoSpaceDN w:val="0"/>
              <w:adjustRightInd w:val="0"/>
              <w:spacing w:after="0" w:line="240" w:lineRule="auto"/>
              <w:jc w:val="center"/>
              <w:rPr>
                <w:rFonts w:ascii="Garamond" w:hAnsi="Garamond"/>
                <w:sz w:val="20"/>
                <w:szCs w:val="20"/>
              </w:rPr>
            </w:pPr>
            <w:r>
              <w:rPr>
                <w:rFonts w:ascii="Garamond" w:hAnsi="Garamond"/>
                <w:sz w:val="20"/>
                <w:szCs w:val="20"/>
              </w:rPr>
              <w:t>how much of r's communication is via text, mobile phone, or internet</w:t>
            </w:r>
          </w:p>
        </w:tc>
      </w:tr>
      <w:tr w:rsidR="00A76103" w14:paraId="51D99ABA" w14:textId="77777777" w:rsidTr="00A76103">
        <w:trPr>
          <w:trHeight w:val="694"/>
        </w:trPr>
        <w:tc>
          <w:tcPr>
            <w:tcW w:w="4270" w:type="dxa"/>
            <w:vMerge/>
            <w:tcBorders>
              <w:top w:val="nil"/>
              <w:left w:val="nil"/>
              <w:bottom w:val="nil"/>
              <w:right w:val="single" w:sz="4" w:space="0" w:color="auto"/>
            </w:tcBorders>
            <w:vAlign w:val="bottom"/>
          </w:tcPr>
          <w:p w14:paraId="3A934A0A" w14:textId="77777777" w:rsidR="00A76103" w:rsidRDefault="00A76103"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
        </w:tc>
        <w:tc>
          <w:tcPr>
            <w:tcW w:w="1374" w:type="dxa"/>
            <w:tcBorders>
              <w:top w:val="nil"/>
              <w:left w:val="nil"/>
              <w:bottom w:val="nil"/>
              <w:right w:val="nil"/>
            </w:tcBorders>
          </w:tcPr>
          <w:p w14:paraId="3F8C3554"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all or almost all of it</w:t>
            </w:r>
          </w:p>
        </w:tc>
        <w:tc>
          <w:tcPr>
            <w:tcW w:w="1374" w:type="dxa"/>
            <w:tcBorders>
              <w:top w:val="nil"/>
              <w:left w:val="nil"/>
              <w:bottom w:val="nil"/>
              <w:right w:val="nil"/>
            </w:tcBorders>
          </w:tcPr>
          <w:p w14:paraId="00E6AD3D"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most of it</w:t>
            </w:r>
          </w:p>
        </w:tc>
        <w:tc>
          <w:tcPr>
            <w:tcW w:w="1374" w:type="dxa"/>
            <w:tcBorders>
              <w:top w:val="nil"/>
              <w:left w:val="nil"/>
              <w:bottom w:val="nil"/>
              <w:right w:val="nil"/>
            </w:tcBorders>
          </w:tcPr>
          <w:p w14:paraId="2C90A8D8"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about half of it</w:t>
            </w:r>
          </w:p>
        </w:tc>
        <w:tc>
          <w:tcPr>
            <w:tcW w:w="1374" w:type="dxa"/>
            <w:tcBorders>
              <w:top w:val="nil"/>
              <w:left w:val="nil"/>
              <w:bottom w:val="nil"/>
              <w:right w:val="nil"/>
            </w:tcBorders>
          </w:tcPr>
          <w:p w14:paraId="44AA3C56"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Total</w:t>
            </w:r>
          </w:p>
        </w:tc>
      </w:tr>
      <w:tr w:rsidR="00A76103" w14:paraId="3B256120" w14:textId="77777777" w:rsidTr="00A76103">
        <w:trPr>
          <w:trHeight w:val="231"/>
        </w:trPr>
        <w:tc>
          <w:tcPr>
            <w:tcW w:w="4270" w:type="dxa"/>
            <w:tcBorders>
              <w:top w:val="single" w:sz="10" w:space="0" w:color="auto"/>
              <w:left w:val="nil"/>
              <w:bottom w:val="nil"/>
              <w:right w:val="single" w:sz="4" w:space="0" w:color="auto"/>
            </w:tcBorders>
          </w:tcPr>
          <w:p w14:paraId="2411ADE2" w14:textId="77777777" w:rsidR="00A76103" w:rsidRDefault="00A76103"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all or almost all of them</w:t>
            </w:r>
          </w:p>
        </w:tc>
        <w:tc>
          <w:tcPr>
            <w:tcW w:w="1374" w:type="dxa"/>
            <w:tcBorders>
              <w:top w:val="single" w:sz="10" w:space="0" w:color="auto"/>
              <w:left w:val="nil"/>
              <w:bottom w:val="nil"/>
              <w:right w:val="nil"/>
            </w:tcBorders>
          </w:tcPr>
          <w:p w14:paraId="5548888C"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33</w:t>
            </w:r>
          </w:p>
        </w:tc>
        <w:tc>
          <w:tcPr>
            <w:tcW w:w="1374" w:type="dxa"/>
            <w:tcBorders>
              <w:top w:val="single" w:sz="10" w:space="0" w:color="auto"/>
              <w:left w:val="nil"/>
              <w:bottom w:val="nil"/>
              <w:right w:val="nil"/>
            </w:tcBorders>
          </w:tcPr>
          <w:p w14:paraId="5AAB4DB5"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34</w:t>
            </w:r>
          </w:p>
        </w:tc>
        <w:tc>
          <w:tcPr>
            <w:tcW w:w="1374" w:type="dxa"/>
            <w:tcBorders>
              <w:top w:val="single" w:sz="10" w:space="0" w:color="auto"/>
              <w:left w:val="nil"/>
              <w:bottom w:val="nil"/>
              <w:right w:val="nil"/>
            </w:tcBorders>
          </w:tcPr>
          <w:p w14:paraId="78D0F357"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w:t>
            </w:r>
          </w:p>
        </w:tc>
        <w:tc>
          <w:tcPr>
            <w:tcW w:w="1374" w:type="dxa"/>
            <w:tcBorders>
              <w:top w:val="single" w:sz="10" w:space="0" w:color="auto"/>
              <w:left w:val="nil"/>
              <w:bottom w:val="nil"/>
              <w:right w:val="nil"/>
            </w:tcBorders>
          </w:tcPr>
          <w:p w14:paraId="0314419A"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76</w:t>
            </w:r>
          </w:p>
        </w:tc>
      </w:tr>
      <w:tr w:rsidR="00A76103" w14:paraId="49C8201D" w14:textId="77777777" w:rsidTr="00A76103">
        <w:trPr>
          <w:trHeight w:val="231"/>
        </w:trPr>
        <w:tc>
          <w:tcPr>
            <w:tcW w:w="4270" w:type="dxa"/>
            <w:tcBorders>
              <w:top w:val="nil"/>
              <w:left w:val="nil"/>
              <w:bottom w:val="nil"/>
              <w:right w:val="single" w:sz="4" w:space="0" w:color="auto"/>
            </w:tcBorders>
          </w:tcPr>
          <w:p w14:paraId="240BDA9A" w14:textId="77777777" w:rsidR="00A76103" w:rsidRDefault="00A76103" w:rsidP="00AE5F86">
            <w:pPr>
              <w:widowControl w:val="0"/>
              <w:autoSpaceDE w:val="0"/>
              <w:autoSpaceDN w:val="0"/>
              <w:adjustRightInd w:val="0"/>
              <w:spacing w:after="0" w:line="240" w:lineRule="auto"/>
              <w:rPr>
                <w:rFonts w:ascii="Garamond" w:hAnsi="Garamond"/>
                <w:sz w:val="20"/>
                <w:szCs w:val="20"/>
              </w:rPr>
            </w:pPr>
          </w:p>
        </w:tc>
        <w:tc>
          <w:tcPr>
            <w:tcW w:w="1374" w:type="dxa"/>
            <w:tcBorders>
              <w:top w:val="nil"/>
              <w:left w:val="nil"/>
              <w:bottom w:val="nil"/>
              <w:right w:val="nil"/>
            </w:tcBorders>
          </w:tcPr>
          <w:p w14:paraId="75CE057B"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43.42</w:t>
            </w:r>
          </w:p>
        </w:tc>
        <w:tc>
          <w:tcPr>
            <w:tcW w:w="1374" w:type="dxa"/>
            <w:tcBorders>
              <w:top w:val="nil"/>
              <w:left w:val="nil"/>
              <w:bottom w:val="nil"/>
              <w:right w:val="nil"/>
            </w:tcBorders>
          </w:tcPr>
          <w:p w14:paraId="7BB54115"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44.74</w:t>
            </w:r>
          </w:p>
        </w:tc>
        <w:tc>
          <w:tcPr>
            <w:tcW w:w="1374" w:type="dxa"/>
            <w:tcBorders>
              <w:top w:val="nil"/>
              <w:left w:val="nil"/>
              <w:bottom w:val="nil"/>
              <w:right w:val="nil"/>
            </w:tcBorders>
          </w:tcPr>
          <w:p w14:paraId="738EB724"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11.84</w:t>
            </w:r>
          </w:p>
        </w:tc>
        <w:tc>
          <w:tcPr>
            <w:tcW w:w="1374" w:type="dxa"/>
            <w:tcBorders>
              <w:top w:val="nil"/>
              <w:left w:val="nil"/>
              <w:bottom w:val="nil"/>
              <w:right w:val="nil"/>
            </w:tcBorders>
          </w:tcPr>
          <w:p w14:paraId="4514CB4D"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A76103" w14:paraId="03CC6900" w14:textId="77777777" w:rsidTr="00A76103">
        <w:trPr>
          <w:trHeight w:val="231"/>
        </w:trPr>
        <w:tc>
          <w:tcPr>
            <w:tcW w:w="4270" w:type="dxa"/>
            <w:tcBorders>
              <w:top w:val="nil"/>
              <w:left w:val="nil"/>
              <w:bottom w:val="nil"/>
              <w:right w:val="single" w:sz="4" w:space="0" w:color="auto"/>
            </w:tcBorders>
          </w:tcPr>
          <w:p w14:paraId="1D84DBE4" w14:textId="77777777" w:rsidR="00A76103" w:rsidRDefault="00A76103"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most of them</w:t>
            </w:r>
          </w:p>
        </w:tc>
        <w:tc>
          <w:tcPr>
            <w:tcW w:w="1374" w:type="dxa"/>
            <w:tcBorders>
              <w:top w:val="nil"/>
              <w:left w:val="nil"/>
              <w:bottom w:val="nil"/>
              <w:right w:val="nil"/>
            </w:tcBorders>
          </w:tcPr>
          <w:p w14:paraId="0CF48E20"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86</w:t>
            </w:r>
          </w:p>
        </w:tc>
        <w:tc>
          <w:tcPr>
            <w:tcW w:w="1374" w:type="dxa"/>
            <w:tcBorders>
              <w:top w:val="nil"/>
              <w:left w:val="nil"/>
              <w:bottom w:val="nil"/>
              <w:right w:val="nil"/>
            </w:tcBorders>
          </w:tcPr>
          <w:p w14:paraId="1CFD225E"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47</w:t>
            </w:r>
          </w:p>
        </w:tc>
        <w:tc>
          <w:tcPr>
            <w:tcW w:w="1374" w:type="dxa"/>
            <w:tcBorders>
              <w:top w:val="nil"/>
              <w:left w:val="nil"/>
              <w:bottom w:val="nil"/>
              <w:right w:val="nil"/>
            </w:tcBorders>
          </w:tcPr>
          <w:p w14:paraId="361C213A"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8</w:t>
            </w:r>
          </w:p>
        </w:tc>
        <w:tc>
          <w:tcPr>
            <w:tcW w:w="1374" w:type="dxa"/>
            <w:tcBorders>
              <w:top w:val="nil"/>
              <w:left w:val="nil"/>
              <w:bottom w:val="nil"/>
              <w:right w:val="nil"/>
            </w:tcBorders>
          </w:tcPr>
          <w:p w14:paraId="703386EF"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141</w:t>
            </w:r>
          </w:p>
        </w:tc>
      </w:tr>
      <w:tr w:rsidR="00A76103" w14:paraId="3335B580" w14:textId="77777777" w:rsidTr="00A76103">
        <w:trPr>
          <w:trHeight w:val="231"/>
        </w:trPr>
        <w:tc>
          <w:tcPr>
            <w:tcW w:w="4270" w:type="dxa"/>
            <w:tcBorders>
              <w:top w:val="nil"/>
              <w:left w:val="nil"/>
              <w:bottom w:val="nil"/>
              <w:right w:val="single" w:sz="4" w:space="0" w:color="auto"/>
            </w:tcBorders>
          </w:tcPr>
          <w:p w14:paraId="53E4E750" w14:textId="77777777" w:rsidR="00A76103" w:rsidRDefault="00A76103" w:rsidP="00AE5F86">
            <w:pPr>
              <w:widowControl w:val="0"/>
              <w:autoSpaceDE w:val="0"/>
              <w:autoSpaceDN w:val="0"/>
              <w:adjustRightInd w:val="0"/>
              <w:spacing w:after="0" w:line="240" w:lineRule="auto"/>
              <w:rPr>
                <w:rFonts w:ascii="Garamond" w:hAnsi="Garamond"/>
                <w:sz w:val="20"/>
                <w:szCs w:val="20"/>
              </w:rPr>
            </w:pPr>
          </w:p>
        </w:tc>
        <w:tc>
          <w:tcPr>
            <w:tcW w:w="1374" w:type="dxa"/>
            <w:tcBorders>
              <w:top w:val="nil"/>
              <w:left w:val="nil"/>
              <w:bottom w:val="nil"/>
              <w:right w:val="nil"/>
            </w:tcBorders>
          </w:tcPr>
          <w:p w14:paraId="0F8AB864"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60.99</w:t>
            </w:r>
          </w:p>
        </w:tc>
        <w:tc>
          <w:tcPr>
            <w:tcW w:w="1374" w:type="dxa"/>
            <w:tcBorders>
              <w:top w:val="nil"/>
              <w:left w:val="nil"/>
              <w:bottom w:val="nil"/>
              <w:right w:val="nil"/>
            </w:tcBorders>
          </w:tcPr>
          <w:p w14:paraId="57D07D03"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33.33</w:t>
            </w:r>
          </w:p>
        </w:tc>
        <w:tc>
          <w:tcPr>
            <w:tcW w:w="1374" w:type="dxa"/>
            <w:tcBorders>
              <w:top w:val="nil"/>
              <w:left w:val="nil"/>
              <w:bottom w:val="nil"/>
              <w:right w:val="nil"/>
            </w:tcBorders>
          </w:tcPr>
          <w:p w14:paraId="7458CE21"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5.67</w:t>
            </w:r>
          </w:p>
        </w:tc>
        <w:tc>
          <w:tcPr>
            <w:tcW w:w="1374" w:type="dxa"/>
            <w:tcBorders>
              <w:top w:val="nil"/>
              <w:left w:val="nil"/>
              <w:bottom w:val="nil"/>
              <w:right w:val="nil"/>
            </w:tcBorders>
          </w:tcPr>
          <w:p w14:paraId="0DE8B35D"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A76103" w14:paraId="3D5EAFF5" w14:textId="77777777" w:rsidTr="00A76103">
        <w:trPr>
          <w:trHeight w:val="231"/>
        </w:trPr>
        <w:tc>
          <w:tcPr>
            <w:tcW w:w="4270" w:type="dxa"/>
            <w:tcBorders>
              <w:top w:val="nil"/>
              <w:left w:val="nil"/>
              <w:bottom w:val="nil"/>
              <w:right w:val="single" w:sz="4" w:space="0" w:color="auto"/>
            </w:tcBorders>
          </w:tcPr>
          <w:p w14:paraId="2E80CA9D" w14:textId="77777777" w:rsidR="00A76103" w:rsidRDefault="00A76103"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about half of them</w:t>
            </w:r>
          </w:p>
        </w:tc>
        <w:tc>
          <w:tcPr>
            <w:tcW w:w="1374" w:type="dxa"/>
            <w:tcBorders>
              <w:top w:val="nil"/>
              <w:left w:val="nil"/>
              <w:bottom w:val="nil"/>
              <w:right w:val="nil"/>
            </w:tcBorders>
          </w:tcPr>
          <w:p w14:paraId="1DE9BE15"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57</w:t>
            </w:r>
          </w:p>
        </w:tc>
        <w:tc>
          <w:tcPr>
            <w:tcW w:w="1374" w:type="dxa"/>
            <w:tcBorders>
              <w:top w:val="nil"/>
              <w:left w:val="nil"/>
              <w:bottom w:val="nil"/>
              <w:right w:val="nil"/>
            </w:tcBorders>
          </w:tcPr>
          <w:p w14:paraId="2B2DE553"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46</w:t>
            </w:r>
          </w:p>
        </w:tc>
        <w:tc>
          <w:tcPr>
            <w:tcW w:w="1374" w:type="dxa"/>
            <w:tcBorders>
              <w:top w:val="nil"/>
              <w:left w:val="nil"/>
              <w:bottom w:val="nil"/>
              <w:right w:val="nil"/>
            </w:tcBorders>
          </w:tcPr>
          <w:p w14:paraId="1AC375C0"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w:t>
            </w:r>
          </w:p>
        </w:tc>
        <w:tc>
          <w:tcPr>
            <w:tcW w:w="1374" w:type="dxa"/>
            <w:tcBorders>
              <w:top w:val="nil"/>
              <w:left w:val="nil"/>
              <w:bottom w:val="nil"/>
              <w:right w:val="nil"/>
            </w:tcBorders>
          </w:tcPr>
          <w:p w14:paraId="5788FCFF"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106</w:t>
            </w:r>
          </w:p>
        </w:tc>
      </w:tr>
      <w:tr w:rsidR="00A76103" w14:paraId="7F3E3247" w14:textId="77777777" w:rsidTr="00A76103">
        <w:trPr>
          <w:trHeight w:val="231"/>
        </w:trPr>
        <w:tc>
          <w:tcPr>
            <w:tcW w:w="4270" w:type="dxa"/>
            <w:tcBorders>
              <w:top w:val="nil"/>
              <w:left w:val="nil"/>
              <w:bottom w:val="nil"/>
              <w:right w:val="single" w:sz="4" w:space="0" w:color="auto"/>
            </w:tcBorders>
          </w:tcPr>
          <w:p w14:paraId="7491245D" w14:textId="77777777" w:rsidR="00A76103" w:rsidRDefault="00A76103" w:rsidP="00AE5F86">
            <w:pPr>
              <w:widowControl w:val="0"/>
              <w:autoSpaceDE w:val="0"/>
              <w:autoSpaceDN w:val="0"/>
              <w:adjustRightInd w:val="0"/>
              <w:spacing w:after="0" w:line="240" w:lineRule="auto"/>
              <w:rPr>
                <w:rFonts w:ascii="Garamond" w:hAnsi="Garamond"/>
                <w:sz w:val="20"/>
                <w:szCs w:val="20"/>
              </w:rPr>
            </w:pPr>
          </w:p>
        </w:tc>
        <w:tc>
          <w:tcPr>
            <w:tcW w:w="1374" w:type="dxa"/>
            <w:tcBorders>
              <w:top w:val="nil"/>
              <w:left w:val="nil"/>
              <w:bottom w:val="nil"/>
              <w:right w:val="nil"/>
            </w:tcBorders>
          </w:tcPr>
          <w:p w14:paraId="7F2D063B"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53.77</w:t>
            </w:r>
          </w:p>
        </w:tc>
        <w:tc>
          <w:tcPr>
            <w:tcW w:w="1374" w:type="dxa"/>
            <w:tcBorders>
              <w:top w:val="nil"/>
              <w:left w:val="nil"/>
              <w:bottom w:val="nil"/>
              <w:right w:val="nil"/>
            </w:tcBorders>
          </w:tcPr>
          <w:p w14:paraId="7D550EC6"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43.40</w:t>
            </w:r>
          </w:p>
        </w:tc>
        <w:tc>
          <w:tcPr>
            <w:tcW w:w="1374" w:type="dxa"/>
            <w:tcBorders>
              <w:top w:val="nil"/>
              <w:left w:val="nil"/>
              <w:bottom w:val="nil"/>
              <w:right w:val="nil"/>
            </w:tcBorders>
          </w:tcPr>
          <w:p w14:paraId="4324C02F"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2.83</w:t>
            </w:r>
          </w:p>
        </w:tc>
        <w:tc>
          <w:tcPr>
            <w:tcW w:w="1374" w:type="dxa"/>
            <w:tcBorders>
              <w:top w:val="nil"/>
              <w:left w:val="nil"/>
              <w:bottom w:val="nil"/>
              <w:right w:val="nil"/>
            </w:tcBorders>
          </w:tcPr>
          <w:p w14:paraId="73EDA775"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A76103" w14:paraId="2008B95C" w14:textId="77777777" w:rsidTr="00A76103">
        <w:trPr>
          <w:trHeight w:val="231"/>
        </w:trPr>
        <w:tc>
          <w:tcPr>
            <w:tcW w:w="4270" w:type="dxa"/>
            <w:tcBorders>
              <w:top w:val="nil"/>
              <w:left w:val="nil"/>
              <w:bottom w:val="nil"/>
              <w:right w:val="single" w:sz="4" w:space="0" w:color="auto"/>
            </w:tcBorders>
          </w:tcPr>
          <w:p w14:paraId="101BDAE3" w14:textId="77777777" w:rsidR="00A76103" w:rsidRDefault="00A76103"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some of them</w:t>
            </w:r>
          </w:p>
        </w:tc>
        <w:tc>
          <w:tcPr>
            <w:tcW w:w="1374" w:type="dxa"/>
            <w:tcBorders>
              <w:top w:val="nil"/>
              <w:left w:val="nil"/>
              <w:bottom w:val="nil"/>
              <w:right w:val="nil"/>
            </w:tcBorders>
          </w:tcPr>
          <w:p w14:paraId="17A8EB24"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76</w:t>
            </w:r>
          </w:p>
        </w:tc>
        <w:tc>
          <w:tcPr>
            <w:tcW w:w="1374" w:type="dxa"/>
            <w:tcBorders>
              <w:top w:val="nil"/>
              <w:left w:val="nil"/>
              <w:bottom w:val="nil"/>
              <w:right w:val="nil"/>
            </w:tcBorders>
          </w:tcPr>
          <w:p w14:paraId="46519227"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57</w:t>
            </w:r>
          </w:p>
        </w:tc>
        <w:tc>
          <w:tcPr>
            <w:tcW w:w="1374" w:type="dxa"/>
            <w:tcBorders>
              <w:top w:val="nil"/>
              <w:left w:val="nil"/>
              <w:bottom w:val="nil"/>
              <w:right w:val="nil"/>
            </w:tcBorders>
          </w:tcPr>
          <w:p w14:paraId="4260C659"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12</w:t>
            </w:r>
          </w:p>
        </w:tc>
        <w:tc>
          <w:tcPr>
            <w:tcW w:w="1374" w:type="dxa"/>
            <w:tcBorders>
              <w:top w:val="nil"/>
              <w:left w:val="nil"/>
              <w:bottom w:val="nil"/>
              <w:right w:val="nil"/>
            </w:tcBorders>
          </w:tcPr>
          <w:p w14:paraId="15A6188E"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145</w:t>
            </w:r>
          </w:p>
        </w:tc>
      </w:tr>
      <w:tr w:rsidR="00A76103" w14:paraId="0A01CDE6" w14:textId="77777777" w:rsidTr="00A76103">
        <w:trPr>
          <w:trHeight w:val="231"/>
        </w:trPr>
        <w:tc>
          <w:tcPr>
            <w:tcW w:w="4270" w:type="dxa"/>
            <w:tcBorders>
              <w:top w:val="nil"/>
              <w:left w:val="nil"/>
              <w:bottom w:val="nil"/>
              <w:right w:val="single" w:sz="4" w:space="0" w:color="auto"/>
            </w:tcBorders>
          </w:tcPr>
          <w:p w14:paraId="09BBB3A0" w14:textId="77777777" w:rsidR="00A76103" w:rsidRDefault="00A76103" w:rsidP="00AE5F86">
            <w:pPr>
              <w:widowControl w:val="0"/>
              <w:autoSpaceDE w:val="0"/>
              <w:autoSpaceDN w:val="0"/>
              <w:adjustRightInd w:val="0"/>
              <w:spacing w:after="0" w:line="240" w:lineRule="auto"/>
              <w:rPr>
                <w:rFonts w:ascii="Garamond" w:hAnsi="Garamond"/>
                <w:sz w:val="20"/>
                <w:szCs w:val="20"/>
              </w:rPr>
            </w:pPr>
          </w:p>
        </w:tc>
        <w:tc>
          <w:tcPr>
            <w:tcW w:w="1374" w:type="dxa"/>
            <w:tcBorders>
              <w:top w:val="nil"/>
              <w:left w:val="nil"/>
              <w:bottom w:val="nil"/>
              <w:right w:val="nil"/>
            </w:tcBorders>
          </w:tcPr>
          <w:p w14:paraId="00E6B342"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52.41</w:t>
            </w:r>
          </w:p>
        </w:tc>
        <w:tc>
          <w:tcPr>
            <w:tcW w:w="1374" w:type="dxa"/>
            <w:tcBorders>
              <w:top w:val="nil"/>
              <w:left w:val="nil"/>
              <w:bottom w:val="nil"/>
              <w:right w:val="nil"/>
            </w:tcBorders>
          </w:tcPr>
          <w:p w14:paraId="2D778BF2"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39.31</w:t>
            </w:r>
          </w:p>
        </w:tc>
        <w:tc>
          <w:tcPr>
            <w:tcW w:w="1374" w:type="dxa"/>
            <w:tcBorders>
              <w:top w:val="nil"/>
              <w:left w:val="nil"/>
              <w:bottom w:val="nil"/>
              <w:right w:val="nil"/>
            </w:tcBorders>
          </w:tcPr>
          <w:p w14:paraId="5E4099C1"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8.28</w:t>
            </w:r>
          </w:p>
        </w:tc>
        <w:tc>
          <w:tcPr>
            <w:tcW w:w="1374" w:type="dxa"/>
            <w:tcBorders>
              <w:top w:val="nil"/>
              <w:left w:val="nil"/>
              <w:bottom w:val="nil"/>
              <w:right w:val="nil"/>
            </w:tcBorders>
          </w:tcPr>
          <w:p w14:paraId="6F577A75"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A76103" w14:paraId="0B5215F2" w14:textId="77777777" w:rsidTr="00A76103">
        <w:trPr>
          <w:trHeight w:val="231"/>
        </w:trPr>
        <w:tc>
          <w:tcPr>
            <w:tcW w:w="4270" w:type="dxa"/>
            <w:tcBorders>
              <w:top w:val="nil"/>
              <w:left w:val="nil"/>
              <w:bottom w:val="nil"/>
              <w:right w:val="single" w:sz="4" w:space="0" w:color="auto"/>
            </w:tcBorders>
          </w:tcPr>
          <w:p w14:paraId="0244998B" w14:textId="77777777" w:rsidR="00A76103" w:rsidRDefault="00A76103"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none or almost none of them</w:t>
            </w:r>
          </w:p>
        </w:tc>
        <w:tc>
          <w:tcPr>
            <w:tcW w:w="1374" w:type="dxa"/>
            <w:tcBorders>
              <w:top w:val="nil"/>
              <w:left w:val="nil"/>
              <w:bottom w:val="nil"/>
              <w:right w:val="nil"/>
            </w:tcBorders>
          </w:tcPr>
          <w:p w14:paraId="1CC32AB0"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23</w:t>
            </w:r>
          </w:p>
        </w:tc>
        <w:tc>
          <w:tcPr>
            <w:tcW w:w="1374" w:type="dxa"/>
            <w:tcBorders>
              <w:top w:val="nil"/>
              <w:left w:val="nil"/>
              <w:bottom w:val="nil"/>
              <w:right w:val="nil"/>
            </w:tcBorders>
          </w:tcPr>
          <w:p w14:paraId="06495678"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w:t>
            </w:r>
          </w:p>
        </w:tc>
        <w:tc>
          <w:tcPr>
            <w:tcW w:w="1374" w:type="dxa"/>
            <w:tcBorders>
              <w:top w:val="nil"/>
              <w:left w:val="nil"/>
              <w:bottom w:val="nil"/>
              <w:right w:val="nil"/>
            </w:tcBorders>
          </w:tcPr>
          <w:p w14:paraId="4686EA5F"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8</w:t>
            </w:r>
          </w:p>
        </w:tc>
        <w:tc>
          <w:tcPr>
            <w:tcW w:w="1374" w:type="dxa"/>
            <w:tcBorders>
              <w:top w:val="nil"/>
              <w:left w:val="nil"/>
              <w:bottom w:val="nil"/>
              <w:right w:val="nil"/>
            </w:tcBorders>
          </w:tcPr>
          <w:p w14:paraId="40DA21DE"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40</w:t>
            </w:r>
          </w:p>
        </w:tc>
      </w:tr>
      <w:tr w:rsidR="00A76103" w14:paraId="4D1EBC06" w14:textId="77777777" w:rsidTr="00A76103">
        <w:trPr>
          <w:trHeight w:val="231"/>
        </w:trPr>
        <w:tc>
          <w:tcPr>
            <w:tcW w:w="4270" w:type="dxa"/>
            <w:tcBorders>
              <w:top w:val="nil"/>
              <w:left w:val="nil"/>
              <w:bottom w:val="nil"/>
              <w:right w:val="single" w:sz="4" w:space="0" w:color="auto"/>
            </w:tcBorders>
          </w:tcPr>
          <w:p w14:paraId="6720A5A6" w14:textId="77777777" w:rsidR="00A76103" w:rsidRDefault="00A76103" w:rsidP="00AE5F86">
            <w:pPr>
              <w:widowControl w:val="0"/>
              <w:autoSpaceDE w:val="0"/>
              <w:autoSpaceDN w:val="0"/>
              <w:adjustRightInd w:val="0"/>
              <w:spacing w:after="0" w:line="240" w:lineRule="auto"/>
              <w:rPr>
                <w:rFonts w:ascii="Garamond" w:hAnsi="Garamond"/>
                <w:sz w:val="20"/>
                <w:szCs w:val="20"/>
              </w:rPr>
            </w:pPr>
          </w:p>
        </w:tc>
        <w:tc>
          <w:tcPr>
            <w:tcW w:w="1374" w:type="dxa"/>
            <w:tcBorders>
              <w:top w:val="nil"/>
              <w:left w:val="nil"/>
              <w:bottom w:val="nil"/>
              <w:right w:val="nil"/>
            </w:tcBorders>
          </w:tcPr>
          <w:p w14:paraId="6A7FCF1B"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57.50</w:t>
            </w:r>
          </w:p>
        </w:tc>
        <w:tc>
          <w:tcPr>
            <w:tcW w:w="1374" w:type="dxa"/>
            <w:tcBorders>
              <w:top w:val="nil"/>
              <w:left w:val="nil"/>
              <w:bottom w:val="nil"/>
              <w:right w:val="nil"/>
            </w:tcBorders>
          </w:tcPr>
          <w:p w14:paraId="44393E09"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22.50</w:t>
            </w:r>
          </w:p>
        </w:tc>
        <w:tc>
          <w:tcPr>
            <w:tcW w:w="1374" w:type="dxa"/>
            <w:tcBorders>
              <w:top w:val="nil"/>
              <w:left w:val="nil"/>
              <w:bottom w:val="nil"/>
              <w:right w:val="nil"/>
            </w:tcBorders>
          </w:tcPr>
          <w:p w14:paraId="630DC971"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20.00</w:t>
            </w:r>
          </w:p>
        </w:tc>
        <w:tc>
          <w:tcPr>
            <w:tcW w:w="1374" w:type="dxa"/>
            <w:tcBorders>
              <w:top w:val="nil"/>
              <w:left w:val="nil"/>
              <w:bottom w:val="nil"/>
              <w:right w:val="nil"/>
            </w:tcBorders>
          </w:tcPr>
          <w:p w14:paraId="22F5DCA7"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A76103" w14:paraId="4BB37EF6" w14:textId="77777777" w:rsidTr="00A76103">
        <w:trPr>
          <w:trHeight w:val="231"/>
        </w:trPr>
        <w:tc>
          <w:tcPr>
            <w:tcW w:w="4270" w:type="dxa"/>
            <w:tcBorders>
              <w:top w:val="single" w:sz="4" w:space="0" w:color="auto"/>
              <w:left w:val="nil"/>
              <w:bottom w:val="nil"/>
              <w:right w:val="single" w:sz="4" w:space="0" w:color="auto"/>
            </w:tcBorders>
          </w:tcPr>
          <w:p w14:paraId="2F20055A" w14:textId="77777777" w:rsidR="00A76103" w:rsidRDefault="00A76103"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Total</w:t>
            </w:r>
          </w:p>
        </w:tc>
        <w:tc>
          <w:tcPr>
            <w:tcW w:w="1374" w:type="dxa"/>
            <w:tcBorders>
              <w:top w:val="single" w:sz="4" w:space="0" w:color="auto"/>
              <w:left w:val="nil"/>
              <w:bottom w:val="nil"/>
              <w:right w:val="nil"/>
            </w:tcBorders>
          </w:tcPr>
          <w:p w14:paraId="7A7A18FF"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275</w:t>
            </w:r>
          </w:p>
        </w:tc>
        <w:tc>
          <w:tcPr>
            <w:tcW w:w="1374" w:type="dxa"/>
            <w:tcBorders>
              <w:top w:val="single" w:sz="4" w:space="0" w:color="auto"/>
              <w:left w:val="nil"/>
              <w:bottom w:val="nil"/>
              <w:right w:val="nil"/>
            </w:tcBorders>
          </w:tcPr>
          <w:p w14:paraId="391DDD88"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193</w:t>
            </w:r>
          </w:p>
        </w:tc>
        <w:tc>
          <w:tcPr>
            <w:tcW w:w="1374" w:type="dxa"/>
            <w:tcBorders>
              <w:top w:val="single" w:sz="4" w:space="0" w:color="auto"/>
              <w:left w:val="nil"/>
              <w:bottom w:val="nil"/>
              <w:right w:val="nil"/>
            </w:tcBorders>
          </w:tcPr>
          <w:p w14:paraId="49C87DA7"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40</w:t>
            </w:r>
          </w:p>
        </w:tc>
        <w:tc>
          <w:tcPr>
            <w:tcW w:w="1374" w:type="dxa"/>
            <w:tcBorders>
              <w:top w:val="single" w:sz="4" w:space="0" w:color="auto"/>
              <w:left w:val="nil"/>
              <w:bottom w:val="nil"/>
              <w:right w:val="nil"/>
            </w:tcBorders>
          </w:tcPr>
          <w:p w14:paraId="2B8941F1"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508</w:t>
            </w:r>
          </w:p>
        </w:tc>
      </w:tr>
      <w:tr w:rsidR="00A76103" w14:paraId="3FB5F9B5" w14:textId="77777777" w:rsidTr="00A76103">
        <w:trPr>
          <w:trHeight w:val="231"/>
        </w:trPr>
        <w:tc>
          <w:tcPr>
            <w:tcW w:w="4270" w:type="dxa"/>
            <w:tcBorders>
              <w:top w:val="nil"/>
              <w:left w:val="nil"/>
              <w:bottom w:val="nil"/>
              <w:right w:val="single" w:sz="4" w:space="0" w:color="auto"/>
            </w:tcBorders>
          </w:tcPr>
          <w:p w14:paraId="401A76FD" w14:textId="77777777" w:rsidR="00A76103" w:rsidRDefault="00A76103" w:rsidP="00AE5F86">
            <w:pPr>
              <w:widowControl w:val="0"/>
              <w:autoSpaceDE w:val="0"/>
              <w:autoSpaceDN w:val="0"/>
              <w:adjustRightInd w:val="0"/>
              <w:spacing w:after="0" w:line="240" w:lineRule="auto"/>
              <w:rPr>
                <w:rFonts w:ascii="Garamond" w:hAnsi="Garamond"/>
                <w:sz w:val="20"/>
                <w:szCs w:val="20"/>
              </w:rPr>
            </w:pPr>
          </w:p>
        </w:tc>
        <w:tc>
          <w:tcPr>
            <w:tcW w:w="1374" w:type="dxa"/>
            <w:tcBorders>
              <w:top w:val="nil"/>
              <w:left w:val="nil"/>
              <w:bottom w:val="nil"/>
              <w:right w:val="nil"/>
            </w:tcBorders>
          </w:tcPr>
          <w:p w14:paraId="525396A9"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54.13</w:t>
            </w:r>
          </w:p>
        </w:tc>
        <w:tc>
          <w:tcPr>
            <w:tcW w:w="1374" w:type="dxa"/>
            <w:tcBorders>
              <w:top w:val="nil"/>
              <w:left w:val="nil"/>
              <w:bottom w:val="nil"/>
              <w:right w:val="nil"/>
            </w:tcBorders>
          </w:tcPr>
          <w:p w14:paraId="6BC7A78F"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37.99</w:t>
            </w:r>
          </w:p>
        </w:tc>
        <w:tc>
          <w:tcPr>
            <w:tcW w:w="1374" w:type="dxa"/>
            <w:tcBorders>
              <w:top w:val="nil"/>
              <w:left w:val="nil"/>
              <w:bottom w:val="nil"/>
              <w:right w:val="nil"/>
            </w:tcBorders>
          </w:tcPr>
          <w:p w14:paraId="657414CE"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7.87</w:t>
            </w:r>
          </w:p>
        </w:tc>
        <w:tc>
          <w:tcPr>
            <w:tcW w:w="1374" w:type="dxa"/>
            <w:tcBorders>
              <w:top w:val="nil"/>
              <w:left w:val="nil"/>
              <w:bottom w:val="nil"/>
              <w:right w:val="nil"/>
            </w:tcBorders>
          </w:tcPr>
          <w:p w14:paraId="314F066B" w14:textId="77777777" w:rsidR="00A76103" w:rsidRDefault="00A76103" w:rsidP="00AE5F86">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w:t>
            </w:r>
          </w:p>
        </w:tc>
      </w:tr>
      <w:tr w:rsidR="00A76103" w14:paraId="0D770D58" w14:textId="77777777" w:rsidTr="00A76103">
        <w:trPr>
          <w:trHeight w:val="216"/>
        </w:trPr>
        <w:tc>
          <w:tcPr>
            <w:tcW w:w="9767" w:type="dxa"/>
            <w:gridSpan w:val="5"/>
            <w:tcBorders>
              <w:top w:val="single" w:sz="10" w:space="0" w:color="auto"/>
              <w:left w:val="nil"/>
              <w:bottom w:val="nil"/>
              <w:right w:val="nil"/>
            </w:tcBorders>
          </w:tcPr>
          <w:p w14:paraId="43396F7E" w14:textId="77777777" w:rsidR="00A76103" w:rsidRDefault="00A76103" w:rsidP="00AE5F86">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Pearson Chi2 = </w:t>
            </w:r>
            <w:proofErr w:type="gramStart"/>
            <w:r>
              <w:rPr>
                <w:rFonts w:ascii="Garamond" w:hAnsi="Garamond"/>
                <w:sz w:val="20"/>
                <w:szCs w:val="20"/>
              </w:rPr>
              <w:t>21.44  Prob</w:t>
            </w:r>
            <w:proofErr w:type="gramEnd"/>
            <w:r>
              <w:rPr>
                <w:rFonts w:ascii="Garamond" w:hAnsi="Garamond"/>
                <w:sz w:val="20"/>
                <w:szCs w:val="20"/>
              </w:rPr>
              <w:t xml:space="preserve"> = 0.0061</w:t>
            </w:r>
          </w:p>
        </w:tc>
      </w:tr>
    </w:tbl>
    <w:p w14:paraId="0EDDAC30" w14:textId="3E6AAFF7" w:rsidR="00E82879" w:rsidRDefault="00A76103" w:rsidP="001E7CB5">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First row has </w:t>
      </w:r>
      <w:proofErr w:type="gramStart"/>
      <w:r>
        <w:rPr>
          <w:rFonts w:ascii="Garamond" w:hAnsi="Garamond"/>
          <w:i/>
          <w:iCs/>
          <w:sz w:val="20"/>
          <w:szCs w:val="20"/>
        </w:rPr>
        <w:t>frequencies</w:t>
      </w:r>
      <w:proofErr w:type="gramEnd"/>
      <w:r>
        <w:rPr>
          <w:rFonts w:ascii="Garamond" w:hAnsi="Garamond"/>
          <w:sz w:val="20"/>
          <w:szCs w:val="20"/>
        </w:rPr>
        <w:t xml:space="preserve"> and second row has </w:t>
      </w:r>
      <w:r>
        <w:rPr>
          <w:rFonts w:ascii="Garamond" w:hAnsi="Garamond"/>
          <w:i/>
          <w:iCs/>
          <w:sz w:val="20"/>
          <w:szCs w:val="20"/>
        </w:rPr>
        <w:t>row percentages</w:t>
      </w:r>
    </w:p>
    <w:p w14:paraId="3743F6E3" w14:textId="77777777" w:rsidR="001E7CB5" w:rsidRPr="001E7CB5" w:rsidRDefault="001E7CB5" w:rsidP="001E7CB5">
      <w:pPr>
        <w:widowControl w:val="0"/>
        <w:autoSpaceDE w:val="0"/>
        <w:autoSpaceDN w:val="0"/>
        <w:adjustRightInd w:val="0"/>
        <w:spacing w:after="0" w:line="240" w:lineRule="auto"/>
        <w:rPr>
          <w:rFonts w:ascii="Garamond" w:hAnsi="Garamond"/>
          <w:sz w:val="20"/>
          <w:szCs w:val="20"/>
        </w:rPr>
      </w:pPr>
    </w:p>
    <w:p w14:paraId="11C06A8D" w14:textId="7AB19820" w:rsidR="00E82879" w:rsidRDefault="003007D8" w:rsidP="00056A43">
      <w:pPr>
        <w:spacing w:line="480" w:lineRule="auto"/>
        <w:ind w:firstLine="720"/>
        <w:rPr>
          <w:rFonts w:ascii="Times New Roman" w:hAnsi="Times New Roman" w:cs="Times New Roman"/>
        </w:rPr>
      </w:pPr>
      <w:r>
        <w:rPr>
          <w:rFonts w:ascii="Times New Roman" w:hAnsi="Times New Roman" w:cs="Times New Roman"/>
        </w:rPr>
        <w:t xml:space="preserve">Delving deeper in the 2018 patterns of technology use, </w:t>
      </w:r>
      <w:r w:rsidR="00F00922">
        <w:rPr>
          <w:rFonts w:ascii="Times New Roman" w:hAnsi="Times New Roman" w:cs="Times New Roman"/>
        </w:rPr>
        <w:t xml:space="preserve">it can be inferred that </w:t>
      </w:r>
      <w:r w:rsidR="00D01A1E">
        <w:rPr>
          <w:rFonts w:ascii="Times New Roman" w:hAnsi="Times New Roman" w:cs="Times New Roman"/>
        </w:rPr>
        <w:t>face-to-face</w:t>
      </w:r>
      <w:r w:rsidR="00B633AB">
        <w:rPr>
          <w:rFonts w:ascii="Times New Roman" w:hAnsi="Times New Roman" w:cs="Times New Roman"/>
        </w:rPr>
        <w:t xml:space="preserve"> communication behaviors are evenly distributed across </w:t>
      </w:r>
      <w:r w:rsidR="001A48D5">
        <w:rPr>
          <w:rFonts w:ascii="Times New Roman" w:hAnsi="Times New Roman" w:cs="Times New Roman"/>
        </w:rPr>
        <w:t>the mean, while internet communication</w:t>
      </w:r>
      <w:r w:rsidR="00D01A1E">
        <w:rPr>
          <w:rFonts w:ascii="Times New Roman" w:hAnsi="Times New Roman" w:cs="Times New Roman"/>
        </w:rPr>
        <w:t xml:space="preserve"> </w:t>
      </w:r>
      <w:r w:rsidR="001B02C4">
        <w:rPr>
          <w:rFonts w:ascii="Times New Roman" w:hAnsi="Times New Roman" w:cs="Times New Roman"/>
        </w:rPr>
        <w:t xml:space="preserve">was highest with people who did not engage in many </w:t>
      </w:r>
      <w:r w:rsidR="00477B8C">
        <w:rPr>
          <w:rFonts w:ascii="Times New Roman" w:hAnsi="Times New Roman" w:cs="Times New Roman"/>
        </w:rPr>
        <w:t xml:space="preserve">social interactions (“Most of them” </w:t>
      </w:r>
      <w:r w:rsidR="001741BA">
        <w:rPr>
          <w:rFonts w:ascii="Times New Roman" w:hAnsi="Times New Roman" w:cs="Times New Roman"/>
        </w:rPr>
        <w:t xml:space="preserve">60.99% and “None or almost none of them” 57.50%), while it was </w:t>
      </w:r>
      <w:r w:rsidR="00F86408">
        <w:rPr>
          <w:rFonts w:ascii="Times New Roman" w:hAnsi="Times New Roman" w:cs="Times New Roman"/>
        </w:rPr>
        <w:t>lower at both extremes than among people who had adequate levels of social interaction (“About half of them” and “Some of them”). From the simple Pearson’s chi2 correlation test, we can see that the relationship between the two is highly significant (</w:t>
      </w:r>
      <w:r w:rsidR="00D859D1">
        <w:rPr>
          <w:rFonts w:ascii="Times New Roman" w:hAnsi="Times New Roman" w:cs="Times New Roman"/>
        </w:rPr>
        <w:t>Chi2 = 21.44, p = .0061).</w:t>
      </w:r>
    </w:p>
    <w:p w14:paraId="6C9F0E17" w14:textId="617051C8" w:rsidR="00056A43" w:rsidRDefault="001E7CB5" w:rsidP="00056A43">
      <w:pPr>
        <w:spacing w:line="480" w:lineRule="auto"/>
        <w:ind w:firstLine="720"/>
        <w:rPr>
          <w:rFonts w:ascii="Times New Roman" w:hAnsi="Times New Roman" w:cs="Times New Roman"/>
        </w:rPr>
      </w:pPr>
      <w:r>
        <w:rPr>
          <w:rFonts w:ascii="Times New Roman" w:hAnsi="Times New Roman" w:cs="Times New Roman"/>
        </w:rPr>
        <w:t>A final analysis was done on the simple correlations be</w:t>
      </w:r>
      <w:r w:rsidR="006217F7">
        <w:rPr>
          <w:rFonts w:ascii="Times New Roman" w:hAnsi="Times New Roman" w:cs="Times New Roman"/>
        </w:rPr>
        <w:t xml:space="preserve">tween </w:t>
      </w:r>
      <w:r w:rsidR="00DC18F5">
        <w:rPr>
          <w:rFonts w:ascii="Times New Roman" w:hAnsi="Times New Roman" w:cs="Times New Roman"/>
        </w:rPr>
        <w:t>the three independent variables across both waves, and the loneliness variables. The results indicated that all</w:t>
      </w:r>
      <w:r w:rsidR="00A934F7">
        <w:rPr>
          <w:rFonts w:ascii="Times New Roman" w:hAnsi="Times New Roman" w:cs="Times New Roman"/>
        </w:rPr>
        <w:t xml:space="preserve"> relationships were statistically significant at the 5% level of significance, but the trust and helpful </w:t>
      </w:r>
      <w:r w:rsidR="00F03517">
        <w:rPr>
          <w:rFonts w:ascii="Times New Roman" w:hAnsi="Times New Roman" w:cs="Times New Roman"/>
        </w:rPr>
        <w:t xml:space="preserve">sub variables of social cohesion did not hold a statistically significant relationship with either </w:t>
      </w:r>
      <w:r w:rsidR="002D6BB6">
        <w:rPr>
          <w:rFonts w:ascii="Times New Roman" w:hAnsi="Times New Roman" w:cs="Times New Roman"/>
          <w:i/>
          <w:iCs/>
        </w:rPr>
        <w:t xml:space="preserve">lonely1, lonely2 </w:t>
      </w:r>
      <w:r w:rsidR="007E55DD">
        <w:rPr>
          <w:rFonts w:ascii="Times New Roman" w:hAnsi="Times New Roman" w:cs="Times New Roman"/>
        </w:rPr>
        <w:t>in 2020</w:t>
      </w:r>
      <w:r w:rsidR="00362C4F">
        <w:rPr>
          <w:rFonts w:ascii="Times New Roman" w:hAnsi="Times New Roman" w:cs="Times New Roman"/>
        </w:rPr>
        <w:t xml:space="preserve">, while the </w:t>
      </w:r>
      <w:r w:rsidR="00362C4F">
        <w:rPr>
          <w:rFonts w:ascii="Times New Roman" w:hAnsi="Times New Roman" w:cs="Times New Roman"/>
          <w:i/>
          <w:iCs/>
        </w:rPr>
        <w:t xml:space="preserve">fair </w:t>
      </w:r>
      <w:r w:rsidR="00362C4F">
        <w:rPr>
          <w:rFonts w:ascii="Times New Roman" w:hAnsi="Times New Roman" w:cs="Times New Roman"/>
        </w:rPr>
        <w:t>sub variable</w:t>
      </w:r>
      <w:r w:rsidR="00B82B95">
        <w:rPr>
          <w:rFonts w:ascii="Times New Roman" w:hAnsi="Times New Roman" w:cs="Times New Roman"/>
        </w:rPr>
        <w:t>’s relationship with</w:t>
      </w:r>
      <w:r w:rsidR="005B47B6">
        <w:rPr>
          <w:rFonts w:ascii="Times New Roman" w:hAnsi="Times New Roman" w:cs="Times New Roman"/>
        </w:rPr>
        <w:t xml:space="preserve"> loneliness was significantly in both years.</w:t>
      </w:r>
    </w:p>
    <w:p w14:paraId="2CFE49E9" w14:textId="77777777" w:rsidR="00056A43" w:rsidRDefault="00056A43">
      <w:pPr>
        <w:rPr>
          <w:rFonts w:ascii="Times New Roman" w:hAnsi="Times New Roman" w:cs="Times New Roman"/>
        </w:rPr>
      </w:pPr>
      <w:r>
        <w:rPr>
          <w:rFonts w:ascii="Times New Roman" w:hAnsi="Times New Roman" w:cs="Times New Roman"/>
        </w:rPr>
        <w:br w:type="page"/>
      </w:r>
    </w:p>
    <w:p w14:paraId="5A2F3E27" w14:textId="77777777" w:rsidR="001E7CB5" w:rsidRDefault="001E7CB5">
      <w:pPr>
        <w:rPr>
          <w:rFonts w:ascii="Times New Roman" w:hAnsi="Times New Roman" w:cs="Times New Roman"/>
        </w:rPr>
      </w:pPr>
    </w:p>
    <w:tbl>
      <w:tblPr>
        <w:tblW w:w="9032" w:type="dxa"/>
        <w:tblInd w:w="108" w:type="dxa"/>
        <w:tblLook w:val="04A0" w:firstRow="1" w:lastRow="0" w:firstColumn="1" w:lastColumn="0" w:noHBand="0" w:noVBand="1"/>
      </w:tblPr>
      <w:tblGrid>
        <w:gridCol w:w="2298"/>
        <w:gridCol w:w="2392"/>
        <w:gridCol w:w="2171"/>
        <w:gridCol w:w="2171"/>
      </w:tblGrid>
      <w:tr w:rsidR="00056A43" w:rsidRPr="00056A43" w14:paraId="7734AE26" w14:textId="77777777" w:rsidTr="00056A43">
        <w:trPr>
          <w:trHeight w:val="278"/>
        </w:trPr>
        <w:tc>
          <w:tcPr>
            <w:tcW w:w="2298" w:type="dxa"/>
            <w:tcBorders>
              <w:top w:val="nil"/>
              <w:left w:val="nil"/>
              <w:bottom w:val="nil"/>
              <w:right w:val="nil"/>
            </w:tcBorders>
            <w:shd w:val="clear" w:color="auto" w:fill="auto"/>
            <w:noWrap/>
            <w:vAlign w:val="bottom"/>
            <w:hideMark/>
          </w:tcPr>
          <w:p w14:paraId="7547B464" w14:textId="77777777" w:rsidR="00056A43" w:rsidRPr="00056A43" w:rsidRDefault="00056A43" w:rsidP="00056A43">
            <w:pPr>
              <w:spacing w:after="0" w:line="240" w:lineRule="auto"/>
              <w:rPr>
                <w:rFonts w:ascii="Times New Roman" w:eastAsia="Times New Roman" w:hAnsi="Times New Roman" w:cs="Times New Roman"/>
                <w:sz w:val="24"/>
                <w:szCs w:val="24"/>
              </w:rPr>
            </w:pPr>
          </w:p>
        </w:tc>
        <w:tc>
          <w:tcPr>
            <w:tcW w:w="2392" w:type="dxa"/>
            <w:tcBorders>
              <w:top w:val="nil"/>
              <w:left w:val="single" w:sz="4" w:space="0" w:color="auto"/>
              <w:bottom w:val="double" w:sz="6" w:space="0" w:color="auto"/>
              <w:right w:val="single" w:sz="4" w:space="0" w:color="auto"/>
            </w:tcBorders>
            <w:shd w:val="clear" w:color="auto" w:fill="auto"/>
            <w:noWrap/>
            <w:vAlign w:val="bottom"/>
            <w:hideMark/>
          </w:tcPr>
          <w:p w14:paraId="5AE064F3"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Lonely3_1b</w:t>
            </w:r>
          </w:p>
        </w:tc>
        <w:tc>
          <w:tcPr>
            <w:tcW w:w="2171" w:type="dxa"/>
            <w:tcBorders>
              <w:top w:val="nil"/>
              <w:left w:val="nil"/>
              <w:bottom w:val="double" w:sz="6" w:space="0" w:color="auto"/>
              <w:right w:val="single" w:sz="4" w:space="0" w:color="auto"/>
            </w:tcBorders>
            <w:shd w:val="clear" w:color="auto" w:fill="auto"/>
            <w:noWrap/>
            <w:vAlign w:val="bottom"/>
            <w:hideMark/>
          </w:tcPr>
          <w:p w14:paraId="6D8DAB98"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Lonely1_2</w:t>
            </w:r>
          </w:p>
        </w:tc>
        <w:tc>
          <w:tcPr>
            <w:tcW w:w="2171" w:type="dxa"/>
            <w:tcBorders>
              <w:top w:val="nil"/>
              <w:left w:val="nil"/>
              <w:bottom w:val="double" w:sz="6" w:space="0" w:color="auto"/>
              <w:right w:val="single" w:sz="4" w:space="0" w:color="auto"/>
            </w:tcBorders>
            <w:shd w:val="clear" w:color="auto" w:fill="auto"/>
            <w:noWrap/>
            <w:vAlign w:val="bottom"/>
            <w:hideMark/>
          </w:tcPr>
          <w:p w14:paraId="6EFCE6F1"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Lonely2_2</w:t>
            </w:r>
          </w:p>
        </w:tc>
      </w:tr>
      <w:tr w:rsidR="00056A43" w:rsidRPr="00056A43" w14:paraId="3C243742" w14:textId="77777777" w:rsidTr="00056A43">
        <w:trPr>
          <w:trHeight w:val="278"/>
        </w:trPr>
        <w:tc>
          <w:tcPr>
            <w:tcW w:w="2298" w:type="dxa"/>
            <w:vMerge w:val="restart"/>
            <w:tcBorders>
              <w:top w:val="single" w:sz="4" w:space="0" w:color="auto"/>
              <w:left w:val="nil"/>
              <w:bottom w:val="nil"/>
              <w:right w:val="single" w:sz="4" w:space="0" w:color="auto"/>
            </w:tcBorders>
            <w:shd w:val="clear" w:color="auto" w:fill="auto"/>
            <w:noWrap/>
            <w:vAlign w:val="bottom"/>
            <w:hideMark/>
          </w:tcPr>
          <w:p w14:paraId="3B09D8B9" w14:textId="77777777" w:rsidR="00056A43" w:rsidRPr="00056A43" w:rsidRDefault="00056A43" w:rsidP="00056A43">
            <w:pPr>
              <w:spacing w:after="0" w:line="240" w:lineRule="auto"/>
              <w:jc w:val="center"/>
              <w:rPr>
                <w:rFonts w:ascii="Calibri" w:eastAsia="Times New Roman" w:hAnsi="Calibri" w:cs="Calibri"/>
                <w:color w:val="000000"/>
              </w:rPr>
            </w:pPr>
            <w:r w:rsidRPr="00056A43">
              <w:rPr>
                <w:rFonts w:ascii="Calibri" w:eastAsia="Times New Roman" w:hAnsi="Calibri" w:cs="Calibri"/>
                <w:color w:val="000000"/>
              </w:rPr>
              <w:t>Happy_1b</w:t>
            </w:r>
          </w:p>
        </w:tc>
        <w:tc>
          <w:tcPr>
            <w:tcW w:w="2392" w:type="dxa"/>
            <w:tcBorders>
              <w:top w:val="nil"/>
              <w:left w:val="nil"/>
              <w:bottom w:val="nil"/>
              <w:right w:val="single" w:sz="4" w:space="0" w:color="auto"/>
            </w:tcBorders>
            <w:shd w:val="clear" w:color="auto" w:fill="auto"/>
            <w:noWrap/>
            <w:vAlign w:val="bottom"/>
            <w:hideMark/>
          </w:tcPr>
          <w:p w14:paraId="03CC00DC"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55.38658</w:t>
            </w:r>
          </w:p>
        </w:tc>
        <w:tc>
          <w:tcPr>
            <w:tcW w:w="2171" w:type="dxa"/>
            <w:tcBorders>
              <w:top w:val="nil"/>
              <w:left w:val="nil"/>
              <w:bottom w:val="nil"/>
              <w:right w:val="single" w:sz="4" w:space="0" w:color="auto"/>
            </w:tcBorders>
            <w:shd w:val="clear" w:color="auto" w:fill="auto"/>
            <w:noWrap/>
            <w:vAlign w:val="bottom"/>
            <w:hideMark/>
          </w:tcPr>
          <w:p w14:paraId="4449AE9F"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nil"/>
              <w:right w:val="single" w:sz="4" w:space="0" w:color="auto"/>
            </w:tcBorders>
            <w:shd w:val="clear" w:color="auto" w:fill="auto"/>
            <w:noWrap/>
            <w:vAlign w:val="bottom"/>
            <w:hideMark/>
          </w:tcPr>
          <w:p w14:paraId="59BCD42A"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r>
      <w:tr w:rsidR="00056A43" w:rsidRPr="00056A43" w14:paraId="5481C277" w14:textId="77777777" w:rsidTr="00056A43">
        <w:trPr>
          <w:trHeight w:val="278"/>
        </w:trPr>
        <w:tc>
          <w:tcPr>
            <w:tcW w:w="2298" w:type="dxa"/>
            <w:vMerge/>
            <w:tcBorders>
              <w:top w:val="single" w:sz="4" w:space="0" w:color="auto"/>
              <w:left w:val="nil"/>
              <w:bottom w:val="nil"/>
              <w:right w:val="single" w:sz="4" w:space="0" w:color="auto"/>
            </w:tcBorders>
            <w:vAlign w:val="center"/>
            <w:hideMark/>
          </w:tcPr>
          <w:p w14:paraId="5468BD4F" w14:textId="77777777" w:rsidR="00056A43" w:rsidRPr="00056A43" w:rsidRDefault="00056A43" w:rsidP="00056A43">
            <w:pPr>
              <w:spacing w:after="0" w:line="240" w:lineRule="auto"/>
              <w:rPr>
                <w:rFonts w:ascii="Calibri" w:eastAsia="Times New Roman" w:hAnsi="Calibri" w:cs="Calibri"/>
                <w:color w:val="000000"/>
              </w:rPr>
            </w:pPr>
          </w:p>
        </w:tc>
        <w:tc>
          <w:tcPr>
            <w:tcW w:w="2392" w:type="dxa"/>
            <w:tcBorders>
              <w:top w:val="nil"/>
              <w:left w:val="nil"/>
              <w:bottom w:val="single" w:sz="8" w:space="0" w:color="auto"/>
              <w:right w:val="single" w:sz="4" w:space="0" w:color="auto"/>
            </w:tcBorders>
            <w:shd w:val="clear" w:color="auto" w:fill="auto"/>
            <w:noWrap/>
            <w:vAlign w:val="bottom"/>
            <w:hideMark/>
          </w:tcPr>
          <w:p w14:paraId="513373D6"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&lt; .001</w:t>
            </w:r>
          </w:p>
        </w:tc>
        <w:tc>
          <w:tcPr>
            <w:tcW w:w="2171" w:type="dxa"/>
            <w:tcBorders>
              <w:top w:val="nil"/>
              <w:left w:val="nil"/>
              <w:bottom w:val="single" w:sz="8" w:space="0" w:color="auto"/>
              <w:right w:val="single" w:sz="4" w:space="0" w:color="auto"/>
            </w:tcBorders>
            <w:shd w:val="clear" w:color="auto" w:fill="auto"/>
            <w:noWrap/>
            <w:vAlign w:val="bottom"/>
            <w:hideMark/>
          </w:tcPr>
          <w:p w14:paraId="3DEFC769"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single" w:sz="8" w:space="0" w:color="auto"/>
              <w:right w:val="single" w:sz="4" w:space="0" w:color="auto"/>
            </w:tcBorders>
            <w:shd w:val="clear" w:color="auto" w:fill="auto"/>
            <w:noWrap/>
            <w:vAlign w:val="bottom"/>
            <w:hideMark/>
          </w:tcPr>
          <w:p w14:paraId="32C1EBD9"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r>
      <w:tr w:rsidR="00056A43" w:rsidRPr="00056A43" w14:paraId="113B9741" w14:textId="77777777" w:rsidTr="00056A43">
        <w:trPr>
          <w:trHeight w:val="265"/>
        </w:trPr>
        <w:tc>
          <w:tcPr>
            <w:tcW w:w="2298" w:type="dxa"/>
            <w:vMerge w:val="restart"/>
            <w:tcBorders>
              <w:top w:val="nil"/>
              <w:left w:val="nil"/>
              <w:bottom w:val="nil"/>
              <w:right w:val="single" w:sz="4" w:space="0" w:color="auto"/>
            </w:tcBorders>
            <w:shd w:val="clear" w:color="auto" w:fill="auto"/>
            <w:noWrap/>
            <w:vAlign w:val="bottom"/>
            <w:hideMark/>
          </w:tcPr>
          <w:p w14:paraId="110E38E2" w14:textId="77777777" w:rsidR="00056A43" w:rsidRPr="00056A43" w:rsidRDefault="00056A43" w:rsidP="00056A43">
            <w:pPr>
              <w:spacing w:after="0" w:line="240" w:lineRule="auto"/>
              <w:jc w:val="center"/>
              <w:rPr>
                <w:rFonts w:ascii="Calibri" w:eastAsia="Times New Roman" w:hAnsi="Calibri" w:cs="Calibri"/>
                <w:color w:val="000000"/>
              </w:rPr>
            </w:pPr>
            <w:r w:rsidRPr="00056A43">
              <w:rPr>
                <w:rFonts w:ascii="Calibri" w:eastAsia="Times New Roman" w:hAnsi="Calibri" w:cs="Calibri"/>
                <w:color w:val="000000"/>
              </w:rPr>
              <w:t>Happy_2</w:t>
            </w:r>
          </w:p>
        </w:tc>
        <w:tc>
          <w:tcPr>
            <w:tcW w:w="2392" w:type="dxa"/>
            <w:tcBorders>
              <w:top w:val="nil"/>
              <w:left w:val="nil"/>
              <w:bottom w:val="nil"/>
              <w:right w:val="single" w:sz="4" w:space="0" w:color="auto"/>
            </w:tcBorders>
            <w:shd w:val="clear" w:color="auto" w:fill="auto"/>
            <w:noWrap/>
            <w:vAlign w:val="bottom"/>
            <w:hideMark/>
          </w:tcPr>
          <w:p w14:paraId="69A8EDEC"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nil"/>
              <w:right w:val="single" w:sz="4" w:space="0" w:color="auto"/>
            </w:tcBorders>
            <w:shd w:val="clear" w:color="auto" w:fill="auto"/>
            <w:noWrap/>
            <w:vAlign w:val="bottom"/>
            <w:hideMark/>
          </w:tcPr>
          <w:p w14:paraId="10BC5CF1"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121.7336</w:t>
            </w:r>
          </w:p>
        </w:tc>
        <w:tc>
          <w:tcPr>
            <w:tcW w:w="2171" w:type="dxa"/>
            <w:tcBorders>
              <w:top w:val="nil"/>
              <w:left w:val="nil"/>
              <w:bottom w:val="nil"/>
              <w:right w:val="single" w:sz="4" w:space="0" w:color="auto"/>
            </w:tcBorders>
            <w:shd w:val="clear" w:color="auto" w:fill="auto"/>
            <w:noWrap/>
            <w:vAlign w:val="bottom"/>
            <w:hideMark/>
          </w:tcPr>
          <w:p w14:paraId="254633BD"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103.5526</w:t>
            </w:r>
          </w:p>
        </w:tc>
      </w:tr>
      <w:tr w:rsidR="00056A43" w:rsidRPr="00056A43" w14:paraId="0BDD7AA7" w14:textId="77777777" w:rsidTr="00056A43">
        <w:trPr>
          <w:trHeight w:val="278"/>
        </w:trPr>
        <w:tc>
          <w:tcPr>
            <w:tcW w:w="2298" w:type="dxa"/>
            <w:vMerge/>
            <w:tcBorders>
              <w:top w:val="nil"/>
              <w:left w:val="nil"/>
              <w:bottom w:val="nil"/>
              <w:right w:val="single" w:sz="4" w:space="0" w:color="auto"/>
            </w:tcBorders>
            <w:vAlign w:val="center"/>
            <w:hideMark/>
          </w:tcPr>
          <w:p w14:paraId="362657EE" w14:textId="77777777" w:rsidR="00056A43" w:rsidRPr="00056A43" w:rsidRDefault="00056A43" w:rsidP="00056A43">
            <w:pPr>
              <w:spacing w:after="0" w:line="240" w:lineRule="auto"/>
              <w:rPr>
                <w:rFonts w:ascii="Calibri" w:eastAsia="Times New Roman" w:hAnsi="Calibri" w:cs="Calibri"/>
                <w:color w:val="000000"/>
              </w:rPr>
            </w:pPr>
          </w:p>
        </w:tc>
        <w:tc>
          <w:tcPr>
            <w:tcW w:w="2392" w:type="dxa"/>
            <w:tcBorders>
              <w:top w:val="nil"/>
              <w:left w:val="nil"/>
              <w:bottom w:val="single" w:sz="8" w:space="0" w:color="auto"/>
              <w:right w:val="single" w:sz="4" w:space="0" w:color="auto"/>
            </w:tcBorders>
            <w:shd w:val="clear" w:color="auto" w:fill="auto"/>
            <w:noWrap/>
            <w:vAlign w:val="bottom"/>
            <w:hideMark/>
          </w:tcPr>
          <w:p w14:paraId="78080B97"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single" w:sz="8" w:space="0" w:color="auto"/>
              <w:right w:val="single" w:sz="4" w:space="0" w:color="auto"/>
            </w:tcBorders>
            <w:shd w:val="clear" w:color="auto" w:fill="auto"/>
            <w:noWrap/>
            <w:vAlign w:val="bottom"/>
            <w:hideMark/>
          </w:tcPr>
          <w:p w14:paraId="67B1A0A8"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&lt; .001</w:t>
            </w:r>
          </w:p>
        </w:tc>
        <w:tc>
          <w:tcPr>
            <w:tcW w:w="2171" w:type="dxa"/>
            <w:tcBorders>
              <w:top w:val="nil"/>
              <w:left w:val="nil"/>
              <w:bottom w:val="single" w:sz="8" w:space="0" w:color="auto"/>
              <w:right w:val="single" w:sz="4" w:space="0" w:color="auto"/>
            </w:tcBorders>
            <w:shd w:val="clear" w:color="auto" w:fill="auto"/>
            <w:noWrap/>
            <w:vAlign w:val="bottom"/>
            <w:hideMark/>
          </w:tcPr>
          <w:p w14:paraId="246D302A"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&lt; .001</w:t>
            </w:r>
          </w:p>
        </w:tc>
      </w:tr>
      <w:tr w:rsidR="00056A43" w:rsidRPr="00056A43" w14:paraId="6DF9172C" w14:textId="77777777" w:rsidTr="00056A43">
        <w:trPr>
          <w:trHeight w:val="265"/>
        </w:trPr>
        <w:tc>
          <w:tcPr>
            <w:tcW w:w="2298" w:type="dxa"/>
            <w:vMerge w:val="restart"/>
            <w:tcBorders>
              <w:top w:val="nil"/>
              <w:left w:val="nil"/>
              <w:bottom w:val="nil"/>
              <w:right w:val="single" w:sz="4" w:space="0" w:color="auto"/>
            </w:tcBorders>
            <w:shd w:val="clear" w:color="auto" w:fill="auto"/>
            <w:noWrap/>
            <w:vAlign w:val="bottom"/>
            <w:hideMark/>
          </w:tcPr>
          <w:p w14:paraId="4AB6FF68" w14:textId="77777777" w:rsidR="00056A43" w:rsidRPr="00056A43" w:rsidRDefault="00056A43" w:rsidP="00056A43">
            <w:pPr>
              <w:spacing w:after="0" w:line="240" w:lineRule="auto"/>
              <w:jc w:val="center"/>
              <w:rPr>
                <w:rFonts w:ascii="Calibri" w:eastAsia="Times New Roman" w:hAnsi="Calibri" w:cs="Calibri"/>
                <w:color w:val="000000"/>
              </w:rPr>
            </w:pPr>
            <w:r w:rsidRPr="00056A43">
              <w:rPr>
                <w:rFonts w:ascii="Calibri" w:eastAsia="Times New Roman" w:hAnsi="Calibri" w:cs="Calibri"/>
                <w:color w:val="000000"/>
              </w:rPr>
              <w:t>Health_1b</w:t>
            </w:r>
          </w:p>
        </w:tc>
        <w:tc>
          <w:tcPr>
            <w:tcW w:w="2392" w:type="dxa"/>
            <w:tcBorders>
              <w:top w:val="nil"/>
              <w:left w:val="nil"/>
              <w:bottom w:val="nil"/>
              <w:right w:val="single" w:sz="4" w:space="0" w:color="auto"/>
            </w:tcBorders>
            <w:shd w:val="clear" w:color="auto" w:fill="auto"/>
            <w:noWrap/>
            <w:vAlign w:val="bottom"/>
            <w:hideMark/>
          </w:tcPr>
          <w:p w14:paraId="69710F19"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10.269</w:t>
            </w:r>
          </w:p>
        </w:tc>
        <w:tc>
          <w:tcPr>
            <w:tcW w:w="2171" w:type="dxa"/>
            <w:tcBorders>
              <w:top w:val="nil"/>
              <w:left w:val="nil"/>
              <w:bottom w:val="nil"/>
              <w:right w:val="single" w:sz="4" w:space="0" w:color="auto"/>
            </w:tcBorders>
            <w:shd w:val="clear" w:color="auto" w:fill="auto"/>
            <w:noWrap/>
            <w:vAlign w:val="bottom"/>
            <w:hideMark/>
          </w:tcPr>
          <w:p w14:paraId="315D1583"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nil"/>
              <w:right w:val="single" w:sz="4" w:space="0" w:color="auto"/>
            </w:tcBorders>
            <w:shd w:val="clear" w:color="auto" w:fill="auto"/>
            <w:noWrap/>
            <w:vAlign w:val="bottom"/>
            <w:hideMark/>
          </w:tcPr>
          <w:p w14:paraId="5B0F1DDA"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r>
      <w:tr w:rsidR="00056A43" w:rsidRPr="00056A43" w14:paraId="671671EC" w14:textId="77777777" w:rsidTr="00056A43">
        <w:trPr>
          <w:trHeight w:val="278"/>
        </w:trPr>
        <w:tc>
          <w:tcPr>
            <w:tcW w:w="2298" w:type="dxa"/>
            <w:vMerge/>
            <w:tcBorders>
              <w:top w:val="nil"/>
              <w:left w:val="nil"/>
              <w:bottom w:val="nil"/>
              <w:right w:val="single" w:sz="4" w:space="0" w:color="auto"/>
            </w:tcBorders>
            <w:vAlign w:val="center"/>
            <w:hideMark/>
          </w:tcPr>
          <w:p w14:paraId="07FAF12B" w14:textId="77777777" w:rsidR="00056A43" w:rsidRPr="00056A43" w:rsidRDefault="00056A43" w:rsidP="00056A43">
            <w:pPr>
              <w:spacing w:after="0" w:line="240" w:lineRule="auto"/>
              <w:rPr>
                <w:rFonts w:ascii="Calibri" w:eastAsia="Times New Roman" w:hAnsi="Calibri" w:cs="Calibri"/>
                <w:color w:val="000000"/>
              </w:rPr>
            </w:pPr>
          </w:p>
        </w:tc>
        <w:tc>
          <w:tcPr>
            <w:tcW w:w="2392" w:type="dxa"/>
            <w:tcBorders>
              <w:top w:val="nil"/>
              <w:left w:val="nil"/>
              <w:bottom w:val="single" w:sz="8" w:space="0" w:color="auto"/>
              <w:right w:val="single" w:sz="4" w:space="0" w:color="auto"/>
            </w:tcBorders>
            <w:shd w:val="clear" w:color="auto" w:fill="auto"/>
            <w:noWrap/>
            <w:vAlign w:val="bottom"/>
            <w:hideMark/>
          </w:tcPr>
          <w:p w14:paraId="4102AD9A"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 .036</w:t>
            </w:r>
          </w:p>
        </w:tc>
        <w:tc>
          <w:tcPr>
            <w:tcW w:w="2171" w:type="dxa"/>
            <w:tcBorders>
              <w:top w:val="nil"/>
              <w:left w:val="nil"/>
              <w:bottom w:val="single" w:sz="8" w:space="0" w:color="auto"/>
              <w:right w:val="single" w:sz="4" w:space="0" w:color="auto"/>
            </w:tcBorders>
            <w:shd w:val="clear" w:color="auto" w:fill="auto"/>
            <w:noWrap/>
            <w:vAlign w:val="bottom"/>
            <w:hideMark/>
          </w:tcPr>
          <w:p w14:paraId="1ECAC284"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single" w:sz="8" w:space="0" w:color="auto"/>
              <w:right w:val="single" w:sz="4" w:space="0" w:color="auto"/>
            </w:tcBorders>
            <w:shd w:val="clear" w:color="auto" w:fill="auto"/>
            <w:noWrap/>
            <w:vAlign w:val="bottom"/>
            <w:hideMark/>
          </w:tcPr>
          <w:p w14:paraId="63950610"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r>
      <w:tr w:rsidR="00056A43" w:rsidRPr="00056A43" w14:paraId="52EFE226" w14:textId="77777777" w:rsidTr="00056A43">
        <w:trPr>
          <w:trHeight w:val="265"/>
        </w:trPr>
        <w:tc>
          <w:tcPr>
            <w:tcW w:w="2298" w:type="dxa"/>
            <w:vMerge w:val="restart"/>
            <w:tcBorders>
              <w:top w:val="nil"/>
              <w:left w:val="nil"/>
              <w:bottom w:val="nil"/>
              <w:right w:val="single" w:sz="4" w:space="0" w:color="auto"/>
            </w:tcBorders>
            <w:shd w:val="clear" w:color="auto" w:fill="auto"/>
            <w:noWrap/>
            <w:vAlign w:val="bottom"/>
            <w:hideMark/>
          </w:tcPr>
          <w:p w14:paraId="631D49F7" w14:textId="77777777" w:rsidR="00056A43" w:rsidRPr="00056A43" w:rsidRDefault="00056A43" w:rsidP="00056A43">
            <w:pPr>
              <w:spacing w:after="0" w:line="240" w:lineRule="auto"/>
              <w:jc w:val="center"/>
              <w:rPr>
                <w:rFonts w:ascii="Calibri" w:eastAsia="Times New Roman" w:hAnsi="Calibri" w:cs="Calibri"/>
                <w:color w:val="000000"/>
              </w:rPr>
            </w:pPr>
            <w:r w:rsidRPr="00056A43">
              <w:rPr>
                <w:rFonts w:ascii="Calibri" w:eastAsia="Times New Roman" w:hAnsi="Calibri" w:cs="Calibri"/>
                <w:color w:val="000000"/>
              </w:rPr>
              <w:t>Health_2</w:t>
            </w:r>
          </w:p>
        </w:tc>
        <w:tc>
          <w:tcPr>
            <w:tcW w:w="2392" w:type="dxa"/>
            <w:tcBorders>
              <w:top w:val="nil"/>
              <w:left w:val="nil"/>
              <w:bottom w:val="nil"/>
              <w:right w:val="single" w:sz="4" w:space="0" w:color="auto"/>
            </w:tcBorders>
            <w:shd w:val="clear" w:color="auto" w:fill="auto"/>
            <w:noWrap/>
            <w:vAlign w:val="bottom"/>
            <w:hideMark/>
          </w:tcPr>
          <w:p w14:paraId="75AB83C3"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nil"/>
              <w:right w:val="single" w:sz="4" w:space="0" w:color="auto"/>
            </w:tcBorders>
            <w:shd w:val="clear" w:color="auto" w:fill="auto"/>
            <w:noWrap/>
            <w:vAlign w:val="bottom"/>
            <w:hideMark/>
          </w:tcPr>
          <w:p w14:paraId="4FEAB36B"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35.629</w:t>
            </w:r>
          </w:p>
        </w:tc>
        <w:tc>
          <w:tcPr>
            <w:tcW w:w="2171" w:type="dxa"/>
            <w:tcBorders>
              <w:top w:val="nil"/>
              <w:left w:val="nil"/>
              <w:bottom w:val="nil"/>
              <w:right w:val="single" w:sz="4" w:space="0" w:color="auto"/>
            </w:tcBorders>
            <w:shd w:val="clear" w:color="auto" w:fill="auto"/>
            <w:noWrap/>
            <w:vAlign w:val="bottom"/>
            <w:hideMark/>
          </w:tcPr>
          <w:p w14:paraId="79F1F924"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27.3782</w:t>
            </w:r>
          </w:p>
        </w:tc>
      </w:tr>
      <w:tr w:rsidR="00056A43" w:rsidRPr="00056A43" w14:paraId="20975AD7" w14:textId="77777777" w:rsidTr="00056A43">
        <w:trPr>
          <w:trHeight w:val="278"/>
        </w:trPr>
        <w:tc>
          <w:tcPr>
            <w:tcW w:w="2298" w:type="dxa"/>
            <w:vMerge/>
            <w:tcBorders>
              <w:top w:val="nil"/>
              <w:left w:val="nil"/>
              <w:bottom w:val="nil"/>
              <w:right w:val="single" w:sz="4" w:space="0" w:color="auto"/>
            </w:tcBorders>
            <w:vAlign w:val="center"/>
            <w:hideMark/>
          </w:tcPr>
          <w:p w14:paraId="57C3A03F" w14:textId="77777777" w:rsidR="00056A43" w:rsidRPr="00056A43" w:rsidRDefault="00056A43" w:rsidP="00056A43">
            <w:pPr>
              <w:spacing w:after="0" w:line="240" w:lineRule="auto"/>
              <w:rPr>
                <w:rFonts w:ascii="Calibri" w:eastAsia="Times New Roman" w:hAnsi="Calibri" w:cs="Calibri"/>
                <w:color w:val="000000"/>
              </w:rPr>
            </w:pPr>
          </w:p>
        </w:tc>
        <w:tc>
          <w:tcPr>
            <w:tcW w:w="2392" w:type="dxa"/>
            <w:tcBorders>
              <w:top w:val="nil"/>
              <w:left w:val="nil"/>
              <w:bottom w:val="single" w:sz="8" w:space="0" w:color="auto"/>
              <w:right w:val="single" w:sz="4" w:space="0" w:color="auto"/>
            </w:tcBorders>
            <w:shd w:val="clear" w:color="auto" w:fill="auto"/>
            <w:noWrap/>
            <w:vAlign w:val="bottom"/>
            <w:hideMark/>
          </w:tcPr>
          <w:p w14:paraId="06E785EE"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single" w:sz="8" w:space="0" w:color="auto"/>
              <w:right w:val="single" w:sz="4" w:space="0" w:color="auto"/>
            </w:tcBorders>
            <w:shd w:val="clear" w:color="auto" w:fill="auto"/>
            <w:noWrap/>
            <w:vAlign w:val="bottom"/>
            <w:hideMark/>
          </w:tcPr>
          <w:p w14:paraId="7B09A44B"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&lt; .001</w:t>
            </w:r>
          </w:p>
        </w:tc>
        <w:tc>
          <w:tcPr>
            <w:tcW w:w="2171" w:type="dxa"/>
            <w:tcBorders>
              <w:top w:val="nil"/>
              <w:left w:val="nil"/>
              <w:bottom w:val="single" w:sz="8" w:space="0" w:color="auto"/>
              <w:right w:val="single" w:sz="4" w:space="0" w:color="auto"/>
            </w:tcBorders>
            <w:shd w:val="clear" w:color="auto" w:fill="auto"/>
            <w:noWrap/>
            <w:vAlign w:val="bottom"/>
            <w:hideMark/>
          </w:tcPr>
          <w:p w14:paraId="3BF0D139"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&lt; .001</w:t>
            </w:r>
          </w:p>
        </w:tc>
      </w:tr>
      <w:tr w:rsidR="00056A43" w:rsidRPr="00056A43" w14:paraId="3405AC04" w14:textId="77777777" w:rsidTr="00056A43">
        <w:trPr>
          <w:trHeight w:val="265"/>
        </w:trPr>
        <w:tc>
          <w:tcPr>
            <w:tcW w:w="2298" w:type="dxa"/>
            <w:vMerge w:val="restart"/>
            <w:tcBorders>
              <w:top w:val="nil"/>
              <w:left w:val="nil"/>
              <w:bottom w:val="nil"/>
              <w:right w:val="single" w:sz="4" w:space="0" w:color="auto"/>
            </w:tcBorders>
            <w:shd w:val="clear" w:color="auto" w:fill="auto"/>
            <w:noWrap/>
            <w:vAlign w:val="bottom"/>
            <w:hideMark/>
          </w:tcPr>
          <w:p w14:paraId="6984A97E" w14:textId="77777777" w:rsidR="00056A43" w:rsidRPr="00056A43" w:rsidRDefault="00056A43" w:rsidP="00056A43">
            <w:pPr>
              <w:spacing w:after="0" w:line="240" w:lineRule="auto"/>
              <w:jc w:val="center"/>
              <w:rPr>
                <w:rFonts w:ascii="Calibri" w:eastAsia="Times New Roman" w:hAnsi="Calibri" w:cs="Calibri"/>
                <w:color w:val="000000"/>
              </w:rPr>
            </w:pPr>
            <w:r w:rsidRPr="00056A43">
              <w:rPr>
                <w:rFonts w:ascii="Calibri" w:eastAsia="Times New Roman" w:hAnsi="Calibri" w:cs="Calibri"/>
                <w:color w:val="000000"/>
              </w:rPr>
              <w:t>Fair_1b</w:t>
            </w:r>
          </w:p>
        </w:tc>
        <w:tc>
          <w:tcPr>
            <w:tcW w:w="2392" w:type="dxa"/>
            <w:tcBorders>
              <w:top w:val="nil"/>
              <w:left w:val="nil"/>
              <w:bottom w:val="nil"/>
              <w:right w:val="single" w:sz="4" w:space="0" w:color="auto"/>
            </w:tcBorders>
            <w:shd w:val="clear" w:color="auto" w:fill="auto"/>
            <w:noWrap/>
            <w:vAlign w:val="bottom"/>
            <w:hideMark/>
          </w:tcPr>
          <w:p w14:paraId="21673A3D"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18.9323</w:t>
            </w:r>
          </w:p>
        </w:tc>
        <w:tc>
          <w:tcPr>
            <w:tcW w:w="2171" w:type="dxa"/>
            <w:tcBorders>
              <w:top w:val="nil"/>
              <w:left w:val="nil"/>
              <w:bottom w:val="nil"/>
              <w:right w:val="single" w:sz="4" w:space="0" w:color="auto"/>
            </w:tcBorders>
            <w:shd w:val="clear" w:color="auto" w:fill="auto"/>
            <w:noWrap/>
            <w:vAlign w:val="bottom"/>
            <w:hideMark/>
          </w:tcPr>
          <w:p w14:paraId="10320C7B"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nil"/>
              <w:right w:val="single" w:sz="4" w:space="0" w:color="auto"/>
            </w:tcBorders>
            <w:shd w:val="clear" w:color="auto" w:fill="auto"/>
            <w:noWrap/>
            <w:vAlign w:val="bottom"/>
            <w:hideMark/>
          </w:tcPr>
          <w:p w14:paraId="6B1587BF"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r>
      <w:tr w:rsidR="00056A43" w:rsidRPr="00056A43" w14:paraId="665C6CC2" w14:textId="77777777" w:rsidTr="00056A43">
        <w:trPr>
          <w:trHeight w:val="278"/>
        </w:trPr>
        <w:tc>
          <w:tcPr>
            <w:tcW w:w="2298" w:type="dxa"/>
            <w:vMerge/>
            <w:tcBorders>
              <w:top w:val="nil"/>
              <w:left w:val="nil"/>
              <w:bottom w:val="nil"/>
              <w:right w:val="single" w:sz="4" w:space="0" w:color="auto"/>
            </w:tcBorders>
            <w:vAlign w:val="center"/>
            <w:hideMark/>
          </w:tcPr>
          <w:p w14:paraId="58A4D238" w14:textId="77777777" w:rsidR="00056A43" w:rsidRPr="00056A43" w:rsidRDefault="00056A43" w:rsidP="00056A43">
            <w:pPr>
              <w:spacing w:after="0" w:line="240" w:lineRule="auto"/>
              <w:rPr>
                <w:rFonts w:ascii="Calibri" w:eastAsia="Times New Roman" w:hAnsi="Calibri" w:cs="Calibri"/>
                <w:color w:val="000000"/>
              </w:rPr>
            </w:pPr>
          </w:p>
        </w:tc>
        <w:tc>
          <w:tcPr>
            <w:tcW w:w="2392" w:type="dxa"/>
            <w:tcBorders>
              <w:top w:val="nil"/>
              <w:left w:val="nil"/>
              <w:bottom w:val="single" w:sz="8" w:space="0" w:color="auto"/>
              <w:right w:val="single" w:sz="4" w:space="0" w:color="auto"/>
            </w:tcBorders>
            <w:shd w:val="clear" w:color="auto" w:fill="auto"/>
            <w:noWrap/>
            <w:vAlign w:val="bottom"/>
            <w:hideMark/>
          </w:tcPr>
          <w:p w14:paraId="46219419"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&lt; .001</w:t>
            </w:r>
          </w:p>
        </w:tc>
        <w:tc>
          <w:tcPr>
            <w:tcW w:w="2171" w:type="dxa"/>
            <w:tcBorders>
              <w:top w:val="nil"/>
              <w:left w:val="nil"/>
              <w:bottom w:val="single" w:sz="8" w:space="0" w:color="auto"/>
              <w:right w:val="single" w:sz="4" w:space="0" w:color="auto"/>
            </w:tcBorders>
            <w:shd w:val="clear" w:color="auto" w:fill="auto"/>
            <w:noWrap/>
            <w:vAlign w:val="bottom"/>
            <w:hideMark/>
          </w:tcPr>
          <w:p w14:paraId="113B5030"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single" w:sz="8" w:space="0" w:color="auto"/>
              <w:right w:val="single" w:sz="4" w:space="0" w:color="auto"/>
            </w:tcBorders>
            <w:shd w:val="clear" w:color="auto" w:fill="auto"/>
            <w:noWrap/>
            <w:vAlign w:val="bottom"/>
            <w:hideMark/>
          </w:tcPr>
          <w:p w14:paraId="2B7FF165"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r>
      <w:tr w:rsidR="00056A43" w:rsidRPr="00056A43" w14:paraId="02854424" w14:textId="77777777" w:rsidTr="00056A43">
        <w:trPr>
          <w:trHeight w:val="265"/>
        </w:trPr>
        <w:tc>
          <w:tcPr>
            <w:tcW w:w="2298" w:type="dxa"/>
            <w:vMerge w:val="restart"/>
            <w:tcBorders>
              <w:top w:val="nil"/>
              <w:left w:val="nil"/>
              <w:bottom w:val="nil"/>
              <w:right w:val="single" w:sz="4" w:space="0" w:color="auto"/>
            </w:tcBorders>
            <w:shd w:val="clear" w:color="auto" w:fill="auto"/>
            <w:noWrap/>
            <w:vAlign w:val="bottom"/>
            <w:hideMark/>
          </w:tcPr>
          <w:p w14:paraId="02C529BE" w14:textId="77777777" w:rsidR="00056A43" w:rsidRPr="00056A43" w:rsidRDefault="00056A43" w:rsidP="00056A43">
            <w:pPr>
              <w:spacing w:after="0" w:line="240" w:lineRule="auto"/>
              <w:jc w:val="center"/>
              <w:rPr>
                <w:rFonts w:ascii="Calibri" w:eastAsia="Times New Roman" w:hAnsi="Calibri" w:cs="Calibri"/>
                <w:color w:val="000000"/>
              </w:rPr>
            </w:pPr>
            <w:r w:rsidRPr="00056A43">
              <w:rPr>
                <w:rFonts w:ascii="Calibri" w:eastAsia="Times New Roman" w:hAnsi="Calibri" w:cs="Calibri"/>
                <w:color w:val="000000"/>
              </w:rPr>
              <w:t>Fair_2</w:t>
            </w:r>
          </w:p>
        </w:tc>
        <w:tc>
          <w:tcPr>
            <w:tcW w:w="2392" w:type="dxa"/>
            <w:tcBorders>
              <w:top w:val="nil"/>
              <w:left w:val="nil"/>
              <w:bottom w:val="nil"/>
              <w:right w:val="single" w:sz="4" w:space="0" w:color="auto"/>
            </w:tcBorders>
            <w:shd w:val="clear" w:color="auto" w:fill="auto"/>
            <w:noWrap/>
            <w:vAlign w:val="bottom"/>
            <w:hideMark/>
          </w:tcPr>
          <w:p w14:paraId="60DF1AA4"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nil"/>
              <w:right w:val="single" w:sz="4" w:space="0" w:color="auto"/>
            </w:tcBorders>
            <w:shd w:val="clear" w:color="auto" w:fill="auto"/>
            <w:noWrap/>
            <w:vAlign w:val="bottom"/>
            <w:hideMark/>
          </w:tcPr>
          <w:p w14:paraId="6A0DDD65"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6.4127</w:t>
            </w:r>
          </w:p>
        </w:tc>
        <w:tc>
          <w:tcPr>
            <w:tcW w:w="2171" w:type="dxa"/>
            <w:tcBorders>
              <w:top w:val="nil"/>
              <w:left w:val="nil"/>
              <w:bottom w:val="nil"/>
              <w:right w:val="single" w:sz="4" w:space="0" w:color="auto"/>
            </w:tcBorders>
            <w:shd w:val="clear" w:color="auto" w:fill="auto"/>
            <w:noWrap/>
            <w:vAlign w:val="bottom"/>
            <w:hideMark/>
          </w:tcPr>
          <w:p w14:paraId="30F3580A"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8.7698</w:t>
            </w:r>
          </w:p>
        </w:tc>
      </w:tr>
      <w:tr w:rsidR="00056A43" w:rsidRPr="00056A43" w14:paraId="1B31B51D" w14:textId="77777777" w:rsidTr="00056A43">
        <w:trPr>
          <w:trHeight w:val="278"/>
        </w:trPr>
        <w:tc>
          <w:tcPr>
            <w:tcW w:w="2298" w:type="dxa"/>
            <w:vMerge/>
            <w:tcBorders>
              <w:top w:val="nil"/>
              <w:left w:val="nil"/>
              <w:bottom w:val="nil"/>
              <w:right w:val="single" w:sz="4" w:space="0" w:color="auto"/>
            </w:tcBorders>
            <w:vAlign w:val="center"/>
            <w:hideMark/>
          </w:tcPr>
          <w:p w14:paraId="4D93B7A6" w14:textId="77777777" w:rsidR="00056A43" w:rsidRPr="00056A43" w:rsidRDefault="00056A43" w:rsidP="00056A43">
            <w:pPr>
              <w:spacing w:after="0" w:line="240" w:lineRule="auto"/>
              <w:rPr>
                <w:rFonts w:ascii="Calibri" w:eastAsia="Times New Roman" w:hAnsi="Calibri" w:cs="Calibri"/>
                <w:color w:val="000000"/>
              </w:rPr>
            </w:pPr>
          </w:p>
        </w:tc>
        <w:tc>
          <w:tcPr>
            <w:tcW w:w="2392" w:type="dxa"/>
            <w:tcBorders>
              <w:top w:val="nil"/>
              <w:left w:val="nil"/>
              <w:bottom w:val="single" w:sz="8" w:space="0" w:color="auto"/>
              <w:right w:val="single" w:sz="4" w:space="0" w:color="auto"/>
            </w:tcBorders>
            <w:shd w:val="clear" w:color="auto" w:fill="auto"/>
            <w:noWrap/>
            <w:vAlign w:val="bottom"/>
            <w:hideMark/>
          </w:tcPr>
          <w:p w14:paraId="36F93958"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single" w:sz="8" w:space="0" w:color="auto"/>
              <w:right w:val="single" w:sz="4" w:space="0" w:color="auto"/>
            </w:tcBorders>
            <w:shd w:val="clear" w:color="auto" w:fill="auto"/>
            <w:noWrap/>
            <w:vAlign w:val="bottom"/>
            <w:hideMark/>
          </w:tcPr>
          <w:p w14:paraId="1219ADE1"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&lt; .041</w:t>
            </w:r>
          </w:p>
        </w:tc>
        <w:tc>
          <w:tcPr>
            <w:tcW w:w="2171" w:type="dxa"/>
            <w:tcBorders>
              <w:top w:val="nil"/>
              <w:left w:val="nil"/>
              <w:bottom w:val="single" w:sz="8" w:space="0" w:color="auto"/>
              <w:right w:val="single" w:sz="4" w:space="0" w:color="auto"/>
            </w:tcBorders>
            <w:shd w:val="clear" w:color="auto" w:fill="auto"/>
            <w:noWrap/>
            <w:vAlign w:val="bottom"/>
            <w:hideMark/>
          </w:tcPr>
          <w:p w14:paraId="7E303A18"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&lt; .012</w:t>
            </w:r>
          </w:p>
        </w:tc>
      </w:tr>
      <w:tr w:rsidR="00056A43" w:rsidRPr="00056A43" w14:paraId="1938E423" w14:textId="77777777" w:rsidTr="00056A43">
        <w:trPr>
          <w:trHeight w:val="265"/>
        </w:trPr>
        <w:tc>
          <w:tcPr>
            <w:tcW w:w="2298" w:type="dxa"/>
            <w:vMerge w:val="restart"/>
            <w:tcBorders>
              <w:top w:val="nil"/>
              <w:left w:val="nil"/>
              <w:bottom w:val="nil"/>
              <w:right w:val="single" w:sz="4" w:space="0" w:color="auto"/>
            </w:tcBorders>
            <w:shd w:val="clear" w:color="auto" w:fill="auto"/>
            <w:noWrap/>
            <w:vAlign w:val="bottom"/>
            <w:hideMark/>
          </w:tcPr>
          <w:p w14:paraId="5CFDDFE4" w14:textId="77777777" w:rsidR="00056A43" w:rsidRPr="00056A43" w:rsidRDefault="00056A43" w:rsidP="00056A43">
            <w:pPr>
              <w:spacing w:after="0" w:line="240" w:lineRule="auto"/>
              <w:jc w:val="center"/>
              <w:rPr>
                <w:rFonts w:ascii="Calibri" w:eastAsia="Times New Roman" w:hAnsi="Calibri" w:cs="Calibri"/>
                <w:color w:val="000000"/>
              </w:rPr>
            </w:pPr>
            <w:r w:rsidRPr="00056A43">
              <w:rPr>
                <w:rFonts w:ascii="Calibri" w:eastAsia="Times New Roman" w:hAnsi="Calibri" w:cs="Calibri"/>
                <w:color w:val="000000"/>
              </w:rPr>
              <w:t>Trust_1b</w:t>
            </w:r>
          </w:p>
        </w:tc>
        <w:tc>
          <w:tcPr>
            <w:tcW w:w="2392" w:type="dxa"/>
            <w:tcBorders>
              <w:top w:val="nil"/>
              <w:left w:val="nil"/>
              <w:bottom w:val="nil"/>
              <w:right w:val="single" w:sz="4" w:space="0" w:color="auto"/>
            </w:tcBorders>
            <w:shd w:val="clear" w:color="auto" w:fill="auto"/>
            <w:noWrap/>
            <w:vAlign w:val="bottom"/>
            <w:hideMark/>
          </w:tcPr>
          <w:p w14:paraId="12831D2D"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9.2255</w:t>
            </w:r>
          </w:p>
        </w:tc>
        <w:tc>
          <w:tcPr>
            <w:tcW w:w="2171" w:type="dxa"/>
            <w:tcBorders>
              <w:top w:val="nil"/>
              <w:left w:val="nil"/>
              <w:bottom w:val="nil"/>
              <w:right w:val="single" w:sz="4" w:space="0" w:color="auto"/>
            </w:tcBorders>
            <w:shd w:val="clear" w:color="auto" w:fill="auto"/>
            <w:noWrap/>
            <w:vAlign w:val="bottom"/>
            <w:hideMark/>
          </w:tcPr>
          <w:p w14:paraId="4B02F7AD"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nil"/>
              <w:right w:val="single" w:sz="4" w:space="0" w:color="auto"/>
            </w:tcBorders>
            <w:shd w:val="clear" w:color="auto" w:fill="auto"/>
            <w:noWrap/>
            <w:vAlign w:val="bottom"/>
            <w:hideMark/>
          </w:tcPr>
          <w:p w14:paraId="4BE487C1"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r>
      <w:tr w:rsidR="00056A43" w:rsidRPr="00056A43" w14:paraId="50837EF2" w14:textId="77777777" w:rsidTr="00056A43">
        <w:trPr>
          <w:trHeight w:val="278"/>
        </w:trPr>
        <w:tc>
          <w:tcPr>
            <w:tcW w:w="2298" w:type="dxa"/>
            <w:vMerge/>
            <w:tcBorders>
              <w:top w:val="nil"/>
              <w:left w:val="nil"/>
              <w:bottom w:val="nil"/>
              <w:right w:val="single" w:sz="4" w:space="0" w:color="auto"/>
            </w:tcBorders>
            <w:vAlign w:val="center"/>
            <w:hideMark/>
          </w:tcPr>
          <w:p w14:paraId="3694D135" w14:textId="77777777" w:rsidR="00056A43" w:rsidRPr="00056A43" w:rsidRDefault="00056A43" w:rsidP="00056A43">
            <w:pPr>
              <w:spacing w:after="0" w:line="240" w:lineRule="auto"/>
              <w:rPr>
                <w:rFonts w:ascii="Calibri" w:eastAsia="Times New Roman" w:hAnsi="Calibri" w:cs="Calibri"/>
                <w:color w:val="000000"/>
              </w:rPr>
            </w:pPr>
          </w:p>
        </w:tc>
        <w:tc>
          <w:tcPr>
            <w:tcW w:w="2392" w:type="dxa"/>
            <w:tcBorders>
              <w:top w:val="nil"/>
              <w:left w:val="nil"/>
              <w:bottom w:val="single" w:sz="8" w:space="0" w:color="auto"/>
              <w:right w:val="single" w:sz="4" w:space="0" w:color="auto"/>
            </w:tcBorders>
            <w:shd w:val="clear" w:color="auto" w:fill="auto"/>
            <w:noWrap/>
            <w:vAlign w:val="bottom"/>
            <w:hideMark/>
          </w:tcPr>
          <w:p w14:paraId="062AA477"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 .010</w:t>
            </w:r>
          </w:p>
        </w:tc>
        <w:tc>
          <w:tcPr>
            <w:tcW w:w="2171" w:type="dxa"/>
            <w:tcBorders>
              <w:top w:val="nil"/>
              <w:left w:val="nil"/>
              <w:bottom w:val="single" w:sz="8" w:space="0" w:color="auto"/>
              <w:right w:val="single" w:sz="4" w:space="0" w:color="auto"/>
            </w:tcBorders>
            <w:shd w:val="clear" w:color="auto" w:fill="auto"/>
            <w:noWrap/>
            <w:vAlign w:val="bottom"/>
            <w:hideMark/>
          </w:tcPr>
          <w:p w14:paraId="2CF42447"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single" w:sz="8" w:space="0" w:color="auto"/>
              <w:right w:val="single" w:sz="4" w:space="0" w:color="auto"/>
            </w:tcBorders>
            <w:shd w:val="clear" w:color="auto" w:fill="auto"/>
            <w:noWrap/>
            <w:vAlign w:val="bottom"/>
            <w:hideMark/>
          </w:tcPr>
          <w:p w14:paraId="2D20705E"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r>
      <w:tr w:rsidR="00056A43" w:rsidRPr="00056A43" w14:paraId="53819C7C" w14:textId="77777777" w:rsidTr="00056A43">
        <w:trPr>
          <w:trHeight w:val="265"/>
        </w:trPr>
        <w:tc>
          <w:tcPr>
            <w:tcW w:w="2298" w:type="dxa"/>
            <w:vMerge w:val="restart"/>
            <w:tcBorders>
              <w:top w:val="nil"/>
              <w:left w:val="nil"/>
              <w:bottom w:val="nil"/>
              <w:right w:val="single" w:sz="4" w:space="0" w:color="auto"/>
            </w:tcBorders>
            <w:shd w:val="clear" w:color="auto" w:fill="auto"/>
            <w:noWrap/>
            <w:vAlign w:val="bottom"/>
            <w:hideMark/>
          </w:tcPr>
          <w:p w14:paraId="5FA9D79D" w14:textId="77777777" w:rsidR="00056A43" w:rsidRPr="00056A43" w:rsidRDefault="00056A43" w:rsidP="00056A43">
            <w:pPr>
              <w:spacing w:after="0" w:line="240" w:lineRule="auto"/>
              <w:jc w:val="center"/>
              <w:rPr>
                <w:rFonts w:ascii="Calibri" w:eastAsia="Times New Roman" w:hAnsi="Calibri" w:cs="Calibri"/>
                <w:color w:val="000000"/>
              </w:rPr>
            </w:pPr>
            <w:r w:rsidRPr="00056A43">
              <w:rPr>
                <w:rFonts w:ascii="Calibri" w:eastAsia="Times New Roman" w:hAnsi="Calibri" w:cs="Calibri"/>
                <w:color w:val="000000"/>
              </w:rPr>
              <w:t>Trust_2</w:t>
            </w:r>
          </w:p>
        </w:tc>
        <w:tc>
          <w:tcPr>
            <w:tcW w:w="2392" w:type="dxa"/>
            <w:tcBorders>
              <w:top w:val="nil"/>
              <w:left w:val="nil"/>
              <w:bottom w:val="nil"/>
              <w:right w:val="single" w:sz="4" w:space="0" w:color="auto"/>
            </w:tcBorders>
            <w:shd w:val="clear" w:color="auto" w:fill="auto"/>
            <w:noWrap/>
            <w:vAlign w:val="bottom"/>
            <w:hideMark/>
          </w:tcPr>
          <w:p w14:paraId="11C189BD"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nil"/>
              <w:right w:val="single" w:sz="4" w:space="0" w:color="auto"/>
            </w:tcBorders>
            <w:shd w:val="clear" w:color="auto" w:fill="auto"/>
            <w:noWrap/>
            <w:vAlign w:val="bottom"/>
            <w:hideMark/>
          </w:tcPr>
          <w:p w14:paraId="48CDDA1F"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1.283</w:t>
            </w:r>
          </w:p>
        </w:tc>
        <w:tc>
          <w:tcPr>
            <w:tcW w:w="2171" w:type="dxa"/>
            <w:tcBorders>
              <w:top w:val="nil"/>
              <w:left w:val="nil"/>
              <w:bottom w:val="nil"/>
              <w:right w:val="single" w:sz="4" w:space="0" w:color="auto"/>
            </w:tcBorders>
            <w:shd w:val="clear" w:color="auto" w:fill="auto"/>
            <w:noWrap/>
            <w:vAlign w:val="bottom"/>
            <w:hideMark/>
          </w:tcPr>
          <w:p w14:paraId="1C35B586"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3.0774</w:t>
            </w:r>
          </w:p>
        </w:tc>
      </w:tr>
      <w:tr w:rsidR="00056A43" w:rsidRPr="00056A43" w14:paraId="2540BCE6" w14:textId="77777777" w:rsidTr="00056A43">
        <w:trPr>
          <w:trHeight w:val="278"/>
        </w:trPr>
        <w:tc>
          <w:tcPr>
            <w:tcW w:w="2298" w:type="dxa"/>
            <w:vMerge/>
            <w:tcBorders>
              <w:top w:val="nil"/>
              <w:left w:val="nil"/>
              <w:bottom w:val="nil"/>
              <w:right w:val="single" w:sz="4" w:space="0" w:color="auto"/>
            </w:tcBorders>
            <w:vAlign w:val="center"/>
            <w:hideMark/>
          </w:tcPr>
          <w:p w14:paraId="2E5D33D7" w14:textId="77777777" w:rsidR="00056A43" w:rsidRPr="00056A43" w:rsidRDefault="00056A43" w:rsidP="00056A43">
            <w:pPr>
              <w:spacing w:after="0" w:line="240" w:lineRule="auto"/>
              <w:rPr>
                <w:rFonts w:ascii="Calibri" w:eastAsia="Times New Roman" w:hAnsi="Calibri" w:cs="Calibri"/>
                <w:color w:val="000000"/>
              </w:rPr>
            </w:pPr>
          </w:p>
        </w:tc>
        <w:tc>
          <w:tcPr>
            <w:tcW w:w="2392" w:type="dxa"/>
            <w:tcBorders>
              <w:top w:val="nil"/>
              <w:left w:val="nil"/>
              <w:bottom w:val="single" w:sz="8" w:space="0" w:color="auto"/>
              <w:right w:val="single" w:sz="4" w:space="0" w:color="auto"/>
            </w:tcBorders>
            <w:shd w:val="clear" w:color="auto" w:fill="auto"/>
            <w:noWrap/>
            <w:vAlign w:val="bottom"/>
            <w:hideMark/>
          </w:tcPr>
          <w:p w14:paraId="489A7D12"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single" w:sz="8" w:space="0" w:color="auto"/>
              <w:right w:val="single" w:sz="4" w:space="0" w:color="auto"/>
            </w:tcBorders>
            <w:shd w:val="clear" w:color="auto" w:fill="auto"/>
            <w:noWrap/>
            <w:vAlign w:val="bottom"/>
            <w:hideMark/>
          </w:tcPr>
          <w:p w14:paraId="69BCFDB1"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&lt; .526</w:t>
            </w:r>
          </w:p>
        </w:tc>
        <w:tc>
          <w:tcPr>
            <w:tcW w:w="2171" w:type="dxa"/>
            <w:tcBorders>
              <w:top w:val="nil"/>
              <w:left w:val="nil"/>
              <w:bottom w:val="single" w:sz="8" w:space="0" w:color="auto"/>
              <w:right w:val="single" w:sz="4" w:space="0" w:color="auto"/>
            </w:tcBorders>
            <w:shd w:val="clear" w:color="auto" w:fill="auto"/>
            <w:noWrap/>
            <w:vAlign w:val="bottom"/>
            <w:hideMark/>
          </w:tcPr>
          <w:p w14:paraId="125D6D8F"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&lt; .215</w:t>
            </w:r>
          </w:p>
        </w:tc>
      </w:tr>
      <w:tr w:rsidR="00056A43" w:rsidRPr="00056A43" w14:paraId="1B7537D4" w14:textId="77777777" w:rsidTr="00056A43">
        <w:trPr>
          <w:trHeight w:val="265"/>
        </w:trPr>
        <w:tc>
          <w:tcPr>
            <w:tcW w:w="2298" w:type="dxa"/>
            <w:vMerge w:val="restart"/>
            <w:tcBorders>
              <w:top w:val="nil"/>
              <w:left w:val="nil"/>
              <w:bottom w:val="nil"/>
              <w:right w:val="single" w:sz="4" w:space="0" w:color="auto"/>
            </w:tcBorders>
            <w:shd w:val="clear" w:color="auto" w:fill="auto"/>
            <w:noWrap/>
            <w:vAlign w:val="bottom"/>
            <w:hideMark/>
          </w:tcPr>
          <w:p w14:paraId="3F9B9501" w14:textId="77777777" w:rsidR="00056A43" w:rsidRPr="00056A43" w:rsidRDefault="00056A43" w:rsidP="00056A43">
            <w:pPr>
              <w:spacing w:after="0" w:line="240" w:lineRule="auto"/>
              <w:jc w:val="center"/>
              <w:rPr>
                <w:rFonts w:ascii="Calibri" w:eastAsia="Times New Roman" w:hAnsi="Calibri" w:cs="Calibri"/>
                <w:color w:val="000000"/>
              </w:rPr>
            </w:pPr>
            <w:r w:rsidRPr="00056A43">
              <w:rPr>
                <w:rFonts w:ascii="Calibri" w:eastAsia="Times New Roman" w:hAnsi="Calibri" w:cs="Calibri"/>
                <w:color w:val="000000"/>
              </w:rPr>
              <w:t>Helpful_1b</w:t>
            </w:r>
          </w:p>
        </w:tc>
        <w:tc>
          <w:tcPr>
            <w:tcW w:w="2392" w:type="dxa"/>
            <w:tcBorders>
              <w:top w:val="nil"/>
              <w:left w:val="nil"/>
              <w:bottom w:val="nil"/>
              <w:right w:val="single" w:sz="4" w:space="0" w:color="auto"/>
            </w:tcBorders>
            <w:shd w:val="clear" w:color="auto" w:fill="auto"/>
            <w:noWrap/>
            <w:vAlign w:val="bottom"/>
            <w:hideMark/>
          </w:tcPr>
          <w:p w14:paraId="4EB00BD9"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12.6275</w:t>
            </w:r>
          </w:p>
        </w:tc>
        <w:tc>
          <w:tcPr>
            <w:tcW w:w="2171" w:type="dxa"/>
            <w:tcBorders>
              <w:top w:val="nil"/>
              <w:left w:val="nil"/>
              <w:bottom w:val="nil"/>
              <w:right w:val="single" w:sz="4" w:space="0" w:color="auto"/>
            </w:tcBorders>
            <w:shd w:val="clear" w:color="auto" w:fill="auto"/>
            <w:noWrap/>
            <w:vAlign w:val="bottom"/>
            <w:hideMark/>
          </w:tcPr>
          <w:p w14:paraId="52C35E6B"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nil"/>
              <w:right w:val="single" w:sz="4" w:space="0" w:color="auto"/>
            </w:tcBorders>
            <w:shd w:val="clear" w:color="auto" w:fill="auto"/>
            <w:noWrap/>
            <w:vAlign w:val="bottom"/>
            <w:hideMark/>
          </w:tcPr>
          <w:p w14:paraId="2C0A1FDD"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r>
      <w:tr w:rsidR="00056A43" w:rsidRPr="00056A43" w14:paraId="2CC21BA3" w14:textId="77777777" w:rsidTr="00056A43">
        <w:trPr>
          <w:trHeight w:val="278"/>
        </w:trPr>
        <w:tc>
          <w:tcPr>
            <w:tcW w:w="2298" w:type="dxa"/>
            <w:vMerge/>
            <w:tcBorders>
              <w:top w:val="nil"/>
              <w:left w:val="nil"/>
              <w:bottom w:val="nil"/>
              <w:right w:val="single" w:sz="4" w:space="0" w:color="auto"/>
            </w:tcBorders>
            <w:vAlign w:val="center"/>
            <w:hideMark/>
          </w:tcPr>
          <w:p w14:paraId="7AEB91FC" w14:textId="77777777" w:rsidR="00056A43" w:rsidRPr="00056A43" w:rsidRDefault="00056A43" w:rsidP="00056A43">
            <w:pPr>
              <w:spacing w:after="0" w:line="240" w:lineRule="auto"/>
              <w:rPr>
                <w:rFonts w:ascii="Calibri" w:eastAsia="Times New Roman" w:hAnsi="Calibri" w:cs="Calibri"/>
                <w:color w:val="000000"/>
              </w:rPr>
            </w:pPr>
          </w:p>
        </w:tc>
        <w:tc>
          <w:tcPr>
            <w:tcW w:w="2392" w:type="dxa"/>
            <w:tcBorders>
              <w:top w:val="nil"/>
              <w:left w:val="nil"/>
              <w:bottom w:val="single" w:sz="8" w:space="0" w:color="auto"/>
              <w:right w:val="single" w:sz="4" w:space="0" w:color="auto"/>
            </w:tcBorders>
            <w:shd w:val="clear" w:color="auto" w:fill="auto"/>
            <w:noWrap/>
            <w:vAlign w:val="bottom"/>
            <w:hideMark/>
          </w:tcPr>
          <w:p w14:paraId="3A4C65CF"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 .002</w:t>
            </w:r>
          </w:p>
        </w:tc>
        <w:tc>
          <w:tcPr>
            <w:tcW w:w="2171" w:type="dxa"/>
            <w:tcBorders>
              <w:top w:val="nil"/>
              <w:left w:val="nil"/>
              <w:bottom w:val="single" w:sz="8" w:space="0" w:color="auto"/>
              <w:right w:val="single" w:sz="4" w:space="0" w:color="auto"/>
            </w:tcBorders>
            <w:shd w:val="clear" w:color="auto" w:fill="auto"/>
            <w:noWrap/>
            <w:vAlign w:val="bottom"/>
            <w:hideMark/>
          </w:tcPr>
          <w:p w14:paraId="1FEA9A61"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single" w:sz="8" w:space="0" w:color="auto"/>
              <w:right w:val="single" w:sz="4" w:space="0" w:color="auto"/>
            </w:tcBorders>
            <w:shd w:val="clear" w:color="auto" w:fill="auto"/>
            <w:noWrap/>
            <w:vAlign w:val="bottom"/>
            <w:hideMark/>
          </w:tcPr>
          <w:p w14:paraId="06314F76"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r>
      <w:tr w:rsidR="00056A43" w:rsidRPr="00056A43" w14:paraId="70144B9D" w14:textId="77777777" w:rsidTr="00056A43">
        <w:trPr>
          <w:trHeight w:val="265"/>
        </w:trPr>
        <w:tc>
          <w:tcPr>
            <w:tcW w:w="2298" w:type="dxa"/>
            <w:vMerge w:val="restart"/>
            <w:tcBorders>
              <w:top w:val="nil"/>
              <w:left w:val="nil"/>
              <w:bottom w:val="single" w:sz="4" w:space="0" w:color="000000"/>
              <w:right w:val="single" w:sz="4" w:space="0" w:color="auto"/>
            </w:tcBorders>
            <w:shd w:val="clear" w:color="auto" w:fill="auto"/>
            <w:noWrap/>
            <w:vAlign w:val="bottom"/>
            <w:hideMark/>
          </w:tcPr>
          <w:p w14:paraId="2DAB17C7" w14:textId="77777777" w:rsidR="00056A43" w:rsidRPr="00056A43" w:rsidRDefault="00056A43" w:rsidP="00056A43">
            <w:pPr>
              <w:spacing w:after="0" w:line="240" w:lineRule="auto"/>
              <w:jc w:val="center"/>
              <w:rPr>
                <w:rFonts w:ascii="Calibri" w:eastAsia="Times New Roman" w:hAnsi="Calibri" w:cs="Calibri"/>
                <w:color w:val="000000"/>
              </w:rPr>
            </w:pPr>
            <w:r w:rsidRPr="00056A43">
              <w:rPr>
                <w:rFonts w:ascii="Calibri" w:eastAsia="Times New Roman" w:hAnsi="Calibri" w:cs="Calibri"/>
                <w:color w:val="000000"/>
              </w:rPr>
              <w:t>Helpful_2</w:t>
            </w:r>
          </w:p>
        </w:tc>
        <w:tc>
          <w:tcPr>
            <w:tcW w:w="2392" w:type="dxa"/>
            <w:tcBorders>
              <w:top w:val="nil"/>
              <w:left w:val="nil"/>
              <w:bottom w:val="nil"/>
              <w:right w:val="single" w:sz="4" w:space="0" w:color="auto"/>
            </w:tcBorders>
            <w:shd w:val="clear" w:color="auto" w:fill="auto"/>
            <w:noWrap/>
            <w:vAlign w:val="bottom"/>
            <w:hideMark/>
          </w:tcPr>
          <w:p w14:paraId="17BC05C9"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nil"/>
              <w:right w:val="single" w:sz="4" w:space="0" w:color="auto"/>
            </w:tcBorders>
            <w:shd w:val="clear" w:color="auto" w:fill="auto"/>
            <w:noWrap/>
            <w:vAlign w:val="bottom"/>
            <w:hideMark/>
          </w:tcPr>
          <w:p w14:paraId="2336B75A"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0.8464</w:t>
            </w:r>
          </w:p>
        </w:tc>
        <w:tc>
          <w:tcPr>
            <w:tcW w:w="2171" w:type="dxa"/>
            <w:tcBorders>
              <w:top w:val="nil"/>
              <w:left w:val="nil"/>
              <w:bottom w:val="nil"/>
              <w:right w:val="single" w:sz="4" w:space="0" w:color="auto"/>
            </w:tcBorders>
            <w:shd w:val="clear" w:color="auto" w:fill="auto"/>
            <w:noWrap/>
            <w:vAlign w:val="bottom"/>
            <w:hideMark/>
          </w:tcPr>
          <w:p w14:paraId="0524CE8B" w14:textId="77777777" w:rsidR="00056A43" w:rsidRPr="00056A43" w:rsidRDefault="00056A43" w:rsidP="00056A43">
            <w:pPr>
              <w:spacing w:after="0" w:line="240" w:lineRule="auto"/>
              <w:jc w:val="right"/>
              <w:rPr>
                <w:rFonts w:ascii="Calibri" w:eastAsia="Times New Roman" w:hAnsi="Calibri" w:cs="Calibri"/>
                <w:color w:val="000000"/>
              </w:rPr>
            </w:pPr>
            <w:r w:rsidRPr="00056A43">
              <w:rPr>
                <w:rFonts w:ascii="Calibri" w:eastAsia="Times New Roman" w:hAnsi="Calibri" w:cs="Calibri"/>
                <w:color w:val="000000"/>
              </w:rPr>
              <w:t>3.5434</w:t>
            </w:r>
          </w:p>
        </w:tc>
      </w:tr>
      <w:tr w:rsidR="00056A43" w:rsidRPr="00056A43" w14:paraId="66E618A6" w14:textId="77777777" w:rsidTr="00056A43">
        <w:trPr>
          <w:trHeight w:val="265"/>
        </w:trPr>
        <w:tc>
          <w:tcPr>
            <w:tcW w:w="2298" w:type="dxa"/>
            <w:vMerge/>
            <w:tcBorders>
              <w:top w:val="nil"/>
              <w:left w:val="nil"/>
              <w:bottom w:val="single" w:sz="4" w:space="0" w:color="000000"/>
              <w:right w:val="single" w:sz="4" w:space="0" w:color="auto"/>
            </w:tcBorders>
            <w:vAlign w:val="center"/>
            <w:hideMark/>
          </w:tcPr>
          <w:p w14:paraId="55A5AAD0" w14:textId="77777777" w:rsidR="00056A43" w:rsidRPr="00056A43" w:rsidRDefault="00056A43" w:rsidP="00056A43">
            <w:pPr>
              <w:spacing w:after="0" w:line="240" w:lineRule="auto"/>
              <w:rPr>
                <w:rFonts w:ascii="Calibri" w:eastAsia="Times New Roman" w:hAnsi="Calibri" w:cs="Calibri"/>
                <w:color w:val="000000"/>
              </w:rPr>
            </w:pPr>
          </w:p>
        </w:tc>
        <w:tc>
          <w:tcPr>
            <w:tcW w:w="2392" w:type="dxa"/>
            <w:tcBorders>
              <w:top w:val="nil"/>
              <w:left w:val="nil"/>
              <w:bottom w:val="single" w:sz="4" w:space="0" w:color="auto"/>
              <w:right w:val="single" w:sz="4" w:space="0" w:color="auto"/>
            </w:tcBorders>
            <w:shd w:val="clear" w:color="auto" w:fill="auto"/>
            <w:noWrap/>
            <w:vAlign w:val="bottom"/>
            <w:hideMark/>
          </w:tcPr>
          <w:p w14:paraId="4F96D33D"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 </w:t>
            </w:r>
          </w:p>
        </w:tc>
        <w:tc>
          <w:tcPr>
            <w:tcW w:w="2171" w:type="dxa"/>
            <w:tcBorders>
              <w:top w:val="nil"/>
              <w:left w:val="nil"/>
              <w:bottom w:val="single" w:sz="4" w:space="0" w:color="auto"/>
              <w:right w:val="single" w:sz="4" w:space="0" w:color="auto"/>
            </w:tcBorders>
            <w:shd w:val="clear" w:color="auto" w:fill="auto"/>
            <w:noWrap/>
            <w:vAlign w:val="bottom"/>
            <w:hideMark/>
          </w:tcPr>
          <w:p w14:paraId="6832B7A7"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&lt; .655</w:t>
            </w:r>
          </w:p>
        </w:tc>
        <w:tc>
          <w:tcPr>
            <w:tcW w:w="2171" w:type="dxa"/>
            <w:tcBorders>
              <w:top w:val="nil"/>
              <w:left w:val="nil"/>
              <w:bottom w:val="single" w:sz="4" w:space="0" w:color="auto"/>
              <w:right w:val="single" w:sz="4" w:space="0" w:color="auto"/>
            </w:tcBorders>
            <w:shd w:val="clear" w:color="auto" w:fill="auto"/>
            <w:noWrap/>
            <w:vAlign w:val="bottom"/>
            <w:hideMark/>
          </w:tcPr>
          <w:p w14:paraId="7CBC8277" w14:textId="77777777" w:rsidR="00056A43" w:rsidRPr="00056A43" w:rsidRDefault="00056A43" w:rsidP="00056A43">
            <w:pPr>
              <w:spacing w:after="0" w:line="240" w:lineRule="auto"/>
              <w:rPr>
                <w:rFonts w:ascii="Calibri" w:eastAsia="Times New Roman" w:hAnsi="Calibri" w:cs="Calibri"/>
                <w:color w:val="000000"/>
              </w:rPr>
            </w:pPr>
            <w:r w:rsidRPr="00056A43">
              <w:rPr>
                <w:rFonts w:ascii="Calibri" w:eastAsia="Times New Roman" w:hAnsi="Calibri" w:cs="Calibri"/>
                <w:color w:val="000000"/>
              </w:rPr>
              <w:t>p &lt; .170</w:t>
            </w:r>
          </w:p>
        </w:tc>
      </w:tr>
    </w:tbl>
    <w:p w14:paraId="3FFE2132" w14:textId="77777777" w:rsidR="00056A43" w:rsidRPr="00362C4F" w:rsidRDefault="00056A43">
      <w:pPr>
        <w:rPr>
          <w:rFonts w:ascii="Times New Roman" w:hAnsi="Times New Roman" w:cs="Times New Roman"/>
        </w:rPr>
      </w:pPr>
    </w:p>
    <w:p w14:paraId="1951A965" w14:textId="77777777" w:rsidR="00056A43" w:rsidRDefault="00056A43">
      <w:pPr>
        <w:rPr>
          <w:rFonts w:ascii="Times New Roman" w:hAnsi="Times New Roman" w:cs="Times New Roman"/>
          <w:b/>
          <w:bCs/>
        </w:rPr>
      </w:pPr>
      <w:r>
        <w:rPr>
          <w:rFonts w:ascii="Times New Roman" w:hAnsi="Times New Roman" w:cs="Times New Roman"/>
          <w:b/>
          <w:bCs/>
        </w:rPr>
        <w:br w:type="page"/>
      </w:r>
    </w:p>
    <w:p w14:paraId="29BFAB6D" w14:textId="32664AD5" w:rsidR="00B7482B" w:rsidRPr="00B7482B" w:rsidRDefault="00B7482B" w:rsidP="00056A43">
      <w:pPr>
        <w:spacing w:line="480" w:lineRule="auto"/>
        <w:rPr>
          <w:rFonts w:ascii="Times New Roman" w:hAnsi="Times New Roman" w:cs="Times New Roman"/>
        </w:rPr>
      </w:pPr>
      <w:r>
        <w:rPr>
          <w:rFonts w:ascii="Times New Roman" w:hAnsi="Times New Roman" w:cs="Times New Roman"/>
          <w:b/>
          <w:bCs/>
        </w:rPr>
        <w:lastRenderedPageBreak/>
        <w:t>References</w:t>
      </w:r>
    </w:p>
    <w:p w14:paraId="6C0733B6" w14:textId="77777777" w:rsidR="00056A43" w:rsidRDefault="00056A43" w:rsidP="00056A43">
      <w:pPr>
        <w:spacing w:line="480" w:lineRule="auto"/>
        <w:ind w:left="720" w:hanging="720"/>
        <w:rPr>
          <w:rFonts w:ascii="Times New Roman" w:hAnsi="Times New Roman" w:cs="Times New Roman"/>
        </w:rPr>
      </w:pPr>
      <w:r w:rsidRPr="008076C1">
        <w:rPr>
          <w:rFonts w:ascii="Times New Roman" w:hAnsi="Times New Roman" w:cs="Times New Roman"/>
        </w:rPr>
        <w:t xml:space="preserve">American National Election Studies. </w:t>
      </w:r>
      <w:r>
        <w:rPr>
          <w:rFonts w:ascii="Times New Roman" w:hAnsi="Times New Roman" w:cs="Times New Roman"/>
        </w:rPr>
        <w:t>(</w:t>
      </w:r>
      <w:r w:rsidRPr="008076C1">
        <w:rPr>
          <w:rFonts w:ascii="Times New Roman" w:hAnsi="Times New Roman" w:cs="Times New Roman"/>
        </w:rPr>
        <w:t>2022</w:t>
      </w:r>
      <w:r>
        <w:rPr>
          <w:rFonts w:ascii="Times New Roman" w:hAnsi="Times New Roman" w:cs="Times New Roman"/>
        </w:rPr>
        <w:t>)</w:t>
      </w:r>
      <w:r w:rsidRPr="008076C1">
        <w:rPr>
          <w:rFonts w:ascii="Times New Roman" w:hAnsi="Times New Roman" w:cs="Times New Roman"/>
        </w:rPr>
        <w:t>. </w:t>
      </w:r>
      <w:r w:rsidRPr="008076C1">
        <w:rPr>
          <w:rFonts w:ascii="Times New Roman" w:hAnsi="Times New Roman" w:cs="Times New Roman"/>
          <w:i/>
          <w:iCs/>
        </w:rPr>
        <w:t>ANES-GSS 2020 Joint Study </w:t>
      </w:r>
      <w:r w:rsidRPr="008076C1">
        <w:rPr>
          <w:rFonts w:ascii="Times New Roman" w:hAnsi="Times New Roman" w:cs="Times New Roman"/>
        </w:rPr>
        <w:t>[dataset and documentation]. April 8, 2022 version. </w:t>
      </w:r>
      <w:hyperlink r:id="rId16" w:history="1">
        <w:r w:rsidRPr="008076C1">
          <w:rPr>
            <w:rStyle w:val="Hyperlink"/>
            <w:rFonts w:ascii="Times New Roman" w:hAnsi="Times New Roman" w:cs="Times New Roman"/>
          </w:rPr>
          <w:t>www.electionstudies.org</w:t>
        </w:r>
      </w:hyperlink>
    </w:p>
    <w:p w14:paraId="6B57BD35" w14:textId="77777777" w:rsidR="00056A43" w:rsidRDefault="00056A43" w:rsidP="00056A43">
      <w:pPr>
        <w:spacing w:line="480" w:lineRule="auto"/>
        <w:ind w:left="720" w:hanging="720"/>
        <w:rPr>
          <w:rFonts w:ascii="Times New Roman" w:hAnsi="Times New Roman" w:cs="Times New Roman"/>
        </w:rPr>
      </w:pPr>
      <w:r w:rsidRPr="00D72347">
        <w:rPr>
          <w:rFonts w:ascii="Times New Roman" w:hAnsi="Times New Roman" w:cs="Times New Roman"/>
        </w:rPr>
        <w:t xml:space="preserve">Baetschmann, G., Ballantyne, A., Staub, K. E., &amp; Winkelmann, R. (2020). feologit: A new command for fitting </w:t>
      </w:r>
      <w:proofErr w:type="gramStart"/>
      <w:r w:rsidRPr="00D72347">
        <w:rPr>
          <w:rFonts w:ascii="Times New Roman" w:hAnsi="Times New Roman" w:cs="Times New Roman"/>
        </w:rPr>
        <w:t>fixed-effects</w:t>
      </w:r>
      <w:proofErr w:type="gramEnd"/>
      <w:r w:rsidRPr="00D72347">
        <w:rPr>
          <w:rFonts w:ascii="Times New Roman" w:hAnsi="Times New Roman" w:cs="Times New Roman"/>
        </w:rPr>
        <w:t xml:space="preserve"> ordered logit models. </w:t>
      </w:r>
      <w:r w:rsidRPr="00D72347">
        <w:rPr>
          <w:rFonts w:ascii="Times New Roman" w:hAnsi="Times New Roman" w:cs="Times New Roman"/>
          <w:i/>
          <w:iCs/>
        </w:rPr>
        <w:t>The Stata Journal</w:t>
      </w:r>
      <w:r w:rsidRPr="00D72347">
        <w:rPr>
          <w:rFonts w:ascii="Times New Roman" w:hAnsi="Times New Roman" w:cs="Times New Roman"/>
        </w:rPr>
        <w:t>, </w:t>
      </w:r>
      <w:r w:rsidRPr="00D72347">
        <w:rPr>
          <w:rFonts w:ascii="Times New Roman" w:hAnsi="Times New Roman" w:cs="Times New Roman"/>
          <w:i/>
          <w:iCs/>
        </w:rPr>
        <w:t>20</w:t>
      </w:r>
      <w:r w:rsidRPr="00D72347">
        <w:rPr>
          <w:rFonts w:ascii="Times New Roman" w:hAnsi="Times New Roman" w:cs="Times New Roman"/>
        </w:rPr>
        <w:t>(2), 253-275.</w:t>
      </w:r>
    </w:p>
    <w:p w14:paraId="20029045" w14:textId="77777777" w:rsidR="00056A43" w:rsidRDefault="00056A43" w:rsidP="00056A43">
      <w:pPr>
        <w:spacing w:line="480" w:lineRule="auto"/>
        <w:ind w:left="720" w:hanging="720"/>
        <w:rPr>
          <w:rFonts w:ascii="Times New Roman" w:hAnsi="Times New Roman" w:cs="Times New Roman"/>
        </w:rPr>
      </w:pPr>
      <w:r w:rsidRPr="00743C92">
        <w:rPr>
          <w:rFonts w:ascii="Times New Roman" w:hAnsi="Times New Roman" w:cs="Times New Roman"/>
        </w:rPr>
        <w:t>Baetschmann, G., Staub, K. E., &amp; Winkelmann, R. (2015). Consistent estimation of the fixed effects ordered logit model. </w:t>
      </w:r>
      <w:r w:rsidRPr="00743C92">
        <w:rPr>
          <w:rFonts w:ascii="Times New Roman" w:hAnsi="Times New Roman" w:cs="Times New Roman"/>
          <w:i/>
          <w:iCs/>
        </w:rPr>
        <w:t>Journal of the Royal Statistical Society: Series A (Statistics in Society)</w:t>
      </w:r>
      <w:r w:rsidRPr="00743C92">
        <w:rPr>
          <w:rFonts w:ascii="Times New Roman" w:hAnsi="Times New Roman" w:cs="Times New Roman"/>
        </w:rPr>
        <w:t>, </w:t>
      </w:r>
      <w:r w:rsidRPr="00743C92">
        <w:rPr>
          <w:rFonts w:ascii="Times New Roman" w:hAnsi="Times New Roman" w:cs="Times New Roman"/>
          <w:i/>
          <w:iCs/>
        </w:rPr>
        <w:t>178</w:t>
      </w:r>
      <w:r w:rsidRPr="00743C92">
        <w:rPr>
          <w:rFonts w:ascii="Times New Roman" w:hAnsi="Times New Roman" w:cs="Times New Roman"/>
        </w:rPr>
        <w:t>(3), 685-703.</w:t>
      </w:r>
    </w:p>
    <w:p w14:paraId="1D655DD7" w14:textId="77777777" w:rsidR="00056A43" w:rsidRDefault="00056A43" w:rsidP="00056A43">
      <w:pPr>
        <w:spacing w:line="480" w:lineRule="auto"/>
        <w:ind w:left="720" w:hanging="720"/>
        <w:rPr>
          <w:rFonts w:ascii="Times New Roman" w:hAnsi="Times New Roman" w:cs="Times New Roman"/>
        </w:rPr>
      </w:pPr>
      <w:r w:rsidRPr="0011648B">
        <w:rPr>
          <w:rFonts w:ascii="Times New Roman" w:hAnsi="Times New Roman" w:cs="Times New Roman"/>
          <w:lang w:val="it-IT"/>
        </w:rPr>
        <w:t xml:space="preserve">Bianchi, E. C., &amp; Vohs, K. D. (2016). </w:t>
      </w:r>
      <w:r w:rsidRPr="0011648B">
        <w:rPr>
          <w:rFonts w:ascii="Times New Roman" w:hAnsi="Times New Roman" w:cs="Times New Roman"/>
        </w:rPr>
        <w:t>Social class and social worlds: Income predicts the frequency and nature of social contact. </w:t>
      </w:r>
      <w:r w:rsidRPr="0011648B">
        <w:rPr>
          <w:rFonts w:ascii="Times New Roman" w:hAnsi="Times New Roman" w:cs="Times New Roman"/>
          <w:i/>
          <w:iCs/>
        </w:rPr>
        <w:t>Social Psychological and Personality Science</w:t>
      </w:r>
      <w:r w:rsidRPr="0011648B">
        <w:rPr>
          <w:rFonts w:ascii="Times New Roman" w:hAnsi="Times New Roman" w:cs="Times New Roman"/>
        </w:rPr>
        <w:t>, </w:t>
      </w:r>
      <w:r w:rsidRPr="0011648B">
        <w:rPr>
          <w:rFonts w:ascii="Times New Roman" w:hAnsi="Times New Roman" w:cs="Times New Roman"/>
          <w:i/>
          <w:iCs/>
        </w:rPr>
        <w:t>7</w:t>
      </w:r>
      <w:r w:rsidRPr="0011648B">
        <w:rPr>
          <w:rFonts w:ascii="Times New Roman" w:hAnsi="Times New Roman" w:cs="Times New Roman"/>
        </w:rPr>
        <w:t>(5), 479-486.</w:t>
      </w:r>
    </w:p>
    <w:p w14:paraId="54CDD27A" w14:textId="77777777" w:rsidR="00056A43" w:rsidRDefault="00056A43" w:rsidP="00056A43">
      <w:pPr>
        <w:spacing w:line="480" w:lineRule="auto"/>
        <w:ind w:left="720" w:hanging="720"/>
        <w:rPr>
          <w:rFonts w:ascii="Times New Roman" w:hAnsi="Times New Roman" w:cs="Times New Roman"/>
        </w:rPr>
      </w:pPr>
      <w:r w:rsidRPr="00B0638F">
        <w:rPr>
          <w:rFonts w:ascii="Times New Roman" w:hAnsi="Times New Roman" w:cs="Times New Roman"/>
        </w:rPr>
        <w:t xml:space="preserve">Carl, N., &amp; Billari, F. C. (2014). </w:t>
      </w:r>
      <w:r w:rsidRPr="009E03C5">
        <w:rPr>
          <w:rFonts w:ascii="Times New Roman" w:hAnsi="Times New Roman" w:cs="Times New Roman"/>
        </w:rPr>
        <w:t>Generalized trust and intelligence in the United States. </w:t>
      </w:r>
      <w:r w:rsidRPr="009E03C5">
        <w:rPr>
          <w:rFonts w:ascii="Times New Roman" w:hAnsi="Times New Roman" w:cs="Times New Roman"/>
          <w:i/>
          <w:iCs/>
        </w:rPr>
        <w:t>PloS one</w:t>
      </w:r>
      <w:r w:rsidRPr="009E03C5">
        <w:rPr>
          <w:rFonts w:ascii="Times New Roman" w:hAnsi="Times New Roman" w:cs="Times New Roman"/>
        </w:rPr>
        <w:t>, </w:t>
      </w:r>
      <w:r w:rsidRPr="009E03C5">
        <w:rPr>
          <w:rFonts w:ascii="Times New Roman" w:hAnsi="Times New Roman" w:cs="Times New Roman"/>
          <w:i/>
          <w:iCs/>
        </w:rPr>
        <w:t>9</w:t>
      </w:r>
      <w:r w:rsidRPr="009E03C5">
        <w:rPr>
          <w:rFonts w:ascii="Times New Roman" w:hAnsi="Times New Roman" w:cs="Times New Roman"/>
        </w:rPr>
        <w:t>(3), e91786.</w:t>
      </w:r>
    </w:p>
    <w:p w14:paraId="77107632" w14:textId="77777777" w:rsidR="00056A43" w:rsidRDefault="00056A43" w:rsidP="00056A43">
      <w:pPr>
        <w:spacing w:line="480" w:lineRule="auto"/>
        <w:ind w:left="720" w:hanging="720"/>
        <w:rPr>
          <w:rFonts w:ascii="Times New Roman" w:hAnsi="Times New Roman" w:cs="Times New Roman"/>
        </w:rPr>
      </w:pPr>
      <w:r w:rsidRPr="007E3486">
        <w:rPr>
          <w:rFonts w:ascii="Times New Roman" w:hAnsi="Times New Roman" w:cs="Times New Roman"/>
        </w:rPr>
        <w:t>Cham, H., Reshetnyak, E., Rosenfeld, B., &amp; Breitbart, W. (2017). Full information maximum likelihood estimation for latent variable interactions with incomplete indicators. </w:t>
      </w:r>
      <w:r w:rsidRPr="007E3486">
        <w:rPr>
          <w:rFonts w:ascii="Times New Roman" w:hAnsi="Times New Roman" w:cs="Times New Roman"/>
          <w:i/>
          <w:iCs/>
        </w:rPr>
        <w:t>Multivariate behavioral research</w:t>
      </w:r>
      <w:r w:rsidRPr="007E3486">
        <w:rPr>
          <w:rFonts w:ascii="Times New Roman" w:hAnsi="Times New Roman" w:cs="Times New Roman"/>
        </w:rPr>
        <w:t>, </w:t>
      </w:r>
      <w:r w:rsidRPr="007E3486">
        <w:rPr>
          <w:rFonts w:ascii="Times New Roman" w:hAnsi="Times New Roman" w:cs="Times New Roman"/>
          <w:i/>
          <w:iCs/>
        </w:rPr>
        <w:t>52</w:t>
      </w:r>
      <w:r w:rsidRPr="007E3486">
        <w:rPr>
          <w:rFonts w:ascii="Times New Roman" w:hAnsi="Times New Roman" w:cs="Times New Roman"/>
        </w:rPr>
        <w:t>(1), 12-30.</w:t>
      </w:r>
    </w:p>
    <w:p w14:paraId="4D93613C" w14:textId="77777777" w:rsidR="00056A43" w:rsidRPr="009152EA" w:rsidRDefault="00056A43" w:rsidP="00056A43">
      <w:pPr>
        <w:spacing w:line="480" w:lineRule="auto"/>
        <w:ind w:left="720" w:hanging="720"/>
        <w:rPr>
          <w:rFonts w:ascii="Times New Roman" w:hAnsi="Times New Roman" w:cs="Times New Roman"/>
        </w:rPr>
      </w:pPr>
      <w:r w:rsidRPr="009152EA">
        <w:rPr>
          <w:rFonts w:ascii="Times New Roman" w:hAnsi="Times New Roman" w:cs="Times New Roman"/>
        </w:rPr>
        <w:t>Chopik, W. J. (2016). The benefits of social technology use among older adults are mediated by reduced loneliness. </w:t>
      </w:r>
      <w:r w:rsidRPr="009152EA">
        <w:rPr>
          <w:rFonts w:ascii="Times New Roman" w:hAnsi="Times New Roman" w:cs="Times New Roman"/>
          <w:i/>
          <w:iCs/>
        </w:rPr>
        <w:t>Cyberpsychology, Behavior, and Social Networking</w:t>
      </w:r>
      <w:r w:rsidRPr="009152EA">
        <w:rPr>
          <w:rFonts w:ascii="Times New Roman" w:hAnsi="Times New Roman" w:cs="Times New Roman"/>
        </w:rPr>
        <w:t>, </w:t>
      </w:r>
      <w:r w:rsidRPr="009152EA">
        <w:rPr>
          <w:rFonts w:ascii="Times New Roman" w:hAnsi="Times New Roman" w:cs="Times New Roman"/>
          <w:i/>
          <w:iCs/>
        </w:rPr>
        <w:t>19</w:t>
      </w:r>
      <w:r w:rsidRPr="009152EA">
        <w:rPr>
          <w:rFonts w:ascii="Times New Roman" w:hAnsi="Times New Roman" w:cs="Times New Roman"/>
        </w:rPr>
        <w:t>(9), 551-556.</w:t>
      </w:r>
    </w:p>
    <w:p w14:paraId="2A062B6A" w14:textId="77777777" w:rsidR="00056A43" w:rsidRDefault="00056A43" w:rsidP="00056A43">
      <w:pPr>
        <w:spacing w:line="480" w:lineRule="auto"/>
        <w:ind w:left="720" w:hanging="720"/>
        <w:rPr>
          <w:rFonts w:ascii="Times New Roman" w:hAnsi="Times New Roman" w:cs="Times New Roman"/>
        </w:rPr>
      </w:pPr>
      <w:r w:rsidRPr="008076C1">
        <w:rPr>
          <w:rFonts w:ascii="Times New Roman" w:hAnsi="Times New Roman" w:cs="Times New Roman"/>
        </w:rPr>
        <w:t>Davern, M., Bautista, R., Freese, J., Morgan, S. L., &amp; Smith, T. W. (</w:t>
      </w:r>
      <w:r>
        <w:rPr>
          <w:rFonts w:ascii="Times New Roman" w:hAnsi="Times New Roman" w:cs="Times New Roman"/>
        </w:rPr>
        <w:t xml:space="preserve">Release 1a, </w:t>
      </w:r>
      <w:r w:rsidRPr="008076C1">
        <w:rPr>
          <w:rFonts w:ascii="Times New Roman" w:hAnsi="Times New Roman" w:cs="Times New Roman"/>
        </w:rPr>
        <w:t>2022,</w:t>
      </w:r>
      <w:r>
        <w:rPr>
          <w:rFonts w:ascii="Times New Roman" w:hAnsi="Times New Roman" w:cs="Times New Roman"/>
        </w:rPr>
        <w:t xml:space="preserve"> April</w:t>
      </w:r>
      <w:r w:rsidRPr="008076C1">
        <w:rPr>
          <w:rFonts w:ascii="Times New Roman" w:hAnsi="Times New Roman" w:cs="Times New Roman"/>
        </w:rPr>
        <w:t xml:space="preserve">). General Social Survey Panel Data (2016-2020). </w:t>
      </w:r>
      <w:hyperlink r:id="rId17" w:history="1">
        <w:r w:rsidRPr="003D1287">
          <w:rPr>
            <w:rStyle w:val="Hyperlink"/>
            <w:rFonts w:ascii="Times New Roman" w:hAnsi="Times New Roman" w:cs="Times New Roman"/>
          </w:rPr>
          <w:t>https://doi.org/10.17605/OSF.IO/HACZV</w:t>
        </w:r>
      </w:hyperlink>
    </w:p>
    <w:p w14:paraId="49BC5B92" w14:textId="77777777" w:rsidR="00056A43" w:rsidRDefault="00056A43" w:rsidP="00056A43">
      <w:pPr>
        <w:spacing w:line="480" w:lineRule="auto"/>
        <w:ind w:left="720" w:hanging="720"/>
        <w:rPr>
          <w:rFonts w:ascii="Times New Roman" w:hAnsi="Times New Roman" w:cs="Times New Roman"/>
        </w:rPr>
      </w:pPr>
      <w:r w:rsidRPr="00915E03">
        <w:rPr>
          <w:rFonts w:ascii="Times New Roman" w:hAnsi="Times New Roman" w:cs="Times New Roman"/>
        </w:rPr>
        <w:t>Dunbar, R. I. (2021). Religiosity and religious attendance as factors in wellbeing and social engagement. </w:t>
      </w:r>
      <w:r w:rsidRPr="00915E03">
        <w:rPr>
          <w:rFonts w:ascii="Times New Roman" w:hAnsi="Times New Roman" w:cs="Times New Roman"/>
          <w:i/>
          <w:iCs/>
        </w:rPr>
        <w:t>Religion, Brain &amp; Behavior</w:t>
      </w:r>
      <w:r w:rsidRPr="00915E03">
        <w:rPr>
          <w:rFonts w:ascii="Times New Roman" w:hAnsi="Times New Roman" w:cs="Times New Roman"/>
        </w:rPr>
        <w:t>, </w:t>
      </w:r>
      <w:r w:rsidRPr="00915E03">
        <w:rPr>
          <w:rFonts w:ascii="Times New Roman" w:hAnsi="Times New Roman" w:cs="Times New Roman"/>
          <w:i/>
          <w:iCs/>
        </w:rPr>
        <w:t>11</w:t>
      </w:r>
      <w:r w:rsidRPr="00915E03">
        <w:rPr>
          <w:rFonts w:ascii="Times New Roman" w:hAnsi="Times New Roman" w:cs="Times New Roman"/>
        </w:rPr>
        <w:t>(1), 17-26.</w:t>
      </w:r>
    </w:p>
    <w:p w14:paraId="5A11D69D" w14:textId="77777777" w:rsidR="00056A43" w:rsidRDefault="00056A43" w:rsidP="00056A43">
      <w:pPr>
        <w:spacing w:line="480" w:lineRule="auto"/>
        <w:ind w:left="720" w:hanging="720"/>
        <w:rPr>
          <w:rFonts w:ascii="Times New Roman" w:hAnsi="Times New Roman" w:cs="Times New Roman"/>
        </w:rPr>
      </w:pPr>
      <w:r w:rsidRPr="008E192F">
        <w:rPr>
          <w:rFonts w:ascii="Times New Roman" w:hAnsi="Times New Roman" w:cs="Times New Roman"/>
        </w:rPr>
        <w:lastRenderedPageBreak/>
        <w:t>Enders, C. K., &amp; Bandalos, D. L. (2001). The relative performance of full information maximum likelihood estimation for missing data in structural equation models. </w:t>
      </w:r>
      <w:r w:rsidRPr="008E192F">
        <w:rPr>
          <w:rFonts w:ascii="Times New Roman" w:hAnsi="Times New Roman" w:cs="Times New Roman"/>
          <w:i/>
          <w:iCs/>
        </w:rPr>
        <w:t>Structural equation modeling</w:t>
      </w:r>
      <w:r w:rsidRPr="008E192F">
        <w:rPr>
          <w:rFonts w:ascii="Times New Roman" w:hAnsi="Times New Roman" w:cs="Times New Roman"/>
        </w:rPr>
        <w:t>, </w:t>
      </w:r>
      <w:r w:rsidRPr="008E192F">
        <w:rPr>
          <w:rFonts w:ascii="Times New Roman" w:hAnsi="Times New Roman" w:cs="Times New Roman"/>
          <w:i/>
          <w:iCs/>
        </w:rPr>
        <w:t>8</w:t>
      </w:r>
      <w:r w:rsidRPr="008E192F">
        <w:rPr>
          <w:rFonts w:ascii="Times New Roman" w:hAnsi="Times New Roman" w:cs="Times New Roman"/>
        </w:rPr>
        <w:t>(3), 430-457.</w:t>
      </w:r>
    </w:p>
    <w:p w14:paraId="7963386C" w14:textId="77777777" w:rsidR="00056A43" w:rsidRPr="0047020D" w:rsidRDefault="00056A43" w:rsidP="00056A43">
      <w:pPr>
        <w:spacing w:line="480" w:lineRule="auto"/>
        <w:ind w:left="720" w:hanging="720"/>
        <w:rPr>
          <w:rFonts w:ascii="Times New Roman" w:hAnsi="Times New Roman" w:cs="Times New Roman"/>
        </w:rPr>
      </w:pPr>
      <w:r w:rsidRPr="0047020D">
        <w:rPr>
          <w:rFonts w:ascii="Times New Roman" w:hAnsi="Times New Roman" w:cs="Times New Roman"/>
        </w:rPr>
        <w:t xml:space="preserve">Fawcett, B., &amp; Karastoyanova, K. (2022). Older people, loneliness, social </w:t>
      </w:r>
      <w:proofErr w:type="gramStart"/>
      <w:r w:rsidRPr="0047020D">
        <w:rPr>
          <w:rFonts w:ascii="Times New Roman" w:hAnsi="Times New Roman" w:cs="Times New Roman"/>
        </w:rPr>
        <w:t>isolation</w:t>
      </w:r>
      <w:proofErr w:type="gramEnd"/>
      <w:r w:rsidRPr="0047020D">
        <w:rPr>
          <w:rFonts w:ascii="Times New Roman" w:hAnsi="Times New Roman" w:cs="Times New Roman"/>
        </w:rPr>
        <w:t xml:space="preserve"> and technological mitigations: utilising experiences of the Covid-19 pandemic as we move forward. </w:t>
      </w:r>
      <w:r w:rsidRPr="0047020D">
        <w:rPr>
          <w:rFonts w:ascii="Times New Roman" w:hAnsi="Times New Roman" w:cs="Times New Roman"/>
          <w:i/>
          <w:iCs/>
        </w:rPr>
        <w:t>The British Journal of Social Work</w:t>
      </w:r>
      <w:r w:rsidRPr="0047020D">
        <w:rPr>
          <w:rFonts w:ascii="Times New Roman" w:hAnsi="Times New Roman" w:cs="Times New Roman"/>
        </w:rPr>
        <w:t>.</w:t>
      </w:r>
    </w:p>
    <w:p w14:paraId="6E787CF2" w14:textId="77777777" w:rsidR="00056A43" w:rsidRPr="00110CFA" w:rsidRDefault="00056A43" w:rsidP="00056A43">
      <w:pPr>
        <w:spacing w:line="480" w:lineRule="auto"/>
        <w:ind w:left="720" w:hanging="720"/>
        <w:rPr>
          <w:rFonts w:ascii="Times New Roman" w:hAnsi="Times New Roman" w:cs="Times New Roman"/>
        </w:rPr>
      </w:pPr>
      <w:r w:rsidRPr="00B0638F">
        <w:rPr>
          <w:rFonts w:ascii="Times New Roman" w:hAnsi="Times New Roman" w:cs="Times New Roman"/>
        </w:rPr>
        <w:t xml:space="preserve">Filiposka, S., Gajduk, A., Dimitrova, T., &amp; Kocarev, L. (2017). </w:t>
      </w:r>
      <w:r w:rsidRPr="00110CFA">
        <w:rPr>
          <w:rFonts w:ascii="Times New Roman" w:hAnsi="Times New Roman" w:cs="Times New Roman"/>
        </w:rPr>
        <w:t>Bridging online and offline social networks: Multiplex analysis. </w:t>
      </w:r>
      <w:r w:rsidRPr="00110CFA">
        <w:rPr>
          <w:rFonts w:ascii="Times New Roman" w:hAnsi="Times New Roman" w:cs="Times New Roman"/>
          <w:i/>
          <w:iCs/>
        </w:rPr>
        <w:t>Physica A: Statistical Mechanics and its Applications</w:t>
      </w:r>
      <w:r w:rsidRPr="00110CFA">
        <w:rPr>
          <w:rFonts w:ascii="Times New Roman" w:hAnsi="Times New Roman" w:cs="Times New Roman"/>
        </w:rPr>
        <w:t>, </w:t>
      </w:r>
      <w:r w:rsidRPr="00110CFA">
        <w:rPr>
          <w:rFonts w:ascii="Times New Roman" w:hAnsi="Times New Roman" w:cs="Times New Roman"/>
          <w:i/>
          <w:iCs/>
        </w:rPr>
        <w:t>471</w:t>
      </w:r>
      <w:r w:rsidRPr="00110CFA">
        <w:rPr>
          <w:rFonts w:ascii="Times New Roman" w:hAnsi="Times New Roman" w:cs="Times New Roman"/>
        </w:rPr>
        <w:t>, 825-836.</w:t>
      </w:r>
    </w:p>
    <w:p w14:paraId="1F5E378B" w14:textId="77777777" w:rsidR="00056A43" w:rsidRDefault="00056A43" w:rsidP="00056A43">
      <w:pPr>
        <w:spacing w:line="480" w:lineRule="auto"/>
        <w:ind w:left="720" w:hanging="720"/>
        <w:rPr>
          <w:rFonts w:ascii="Times New Roman" w:hAnsi="Times New Roman" w:cs="Times New Roman"/>
        </w:rPr>
      </w:pPr>
      <w:r w:rsidRPr="00D367B2">
        <w:rPr>
          <w:rFonts w:ascii="Times New Roman" w:hAnsi="Times New Roman" w:cs="Times New Roman"/>
        </w:rPr>
        <w:t>Glanville, J. L., Andersson, M. A., &amp; Paxton, P. (2013). Do social connections create trust? An examination using new longitudinal data. </w:t>
      </w:r>
      <w:r w:rsidRPr="00D367B2">
        <w:rPr>
          <w:rFonts w:ascii="Times New Roman" w:hAnsi="Times New Roman" w:cs="Times New Roman"/>
          <w:i/>
          <w:iCs/>
        </w:rPr>
        <w:t>Social Forces</w:t>
      </w:r>
      <w:r w:rsidRPr="00D367B2">
        <w:rPr>
          <w:rFonts w:ascii="Times New Roman" w:hAnsi="Times New Roman" w:cs="Times New Roman"/>
        </w:rPr>
        <w:t>, </w:t>
      </w:r>
      <w:r w:rsidRPr="00D367B2">
        <w:rPr>
          <w:rFonts w:ascii="Times New Roman" w:hAnsi="Times New Roman" w:cs="Times New Roman"/>
          <w:i/>
          <w:iCs/>
        </w:rPr>
        <w:t>92</w:t>
      </w:r>
      <w:r w:rsidRPr="00D367B2">
        <w:rPr>
          <w:rFonts w:ascii="Times New Roman" w:hAnsi="Times New Roman" w:cs="Times New Roman"/>
        </w:rPr>
        <w:t>(2), 545-562.</w:t>
      </w:r>
    </w:p>
    <w:p w14:paraId="7C858B10" w14:textId="77777777" w:rsidR="00056A43" w:rsidRDefault="00056A43" w:rsidP="00056A43">
      <w:pPr>
        <w:spacing w:line="480" w:lineRule="auto"/>
        <w:ind w:left="720" w:hanging="720"/>
        <w:rPr>
          <w:rFonts w:ascii="Times New Roman" w:hAnsi="Times New Roman" w:cs="Times New Roman"/>
        </w:rPr>
      </w:pPr>
      <w:r w:rsidRPr="00520E95">
        <w:rPr>
          <w:rFonts w:ascii="Times New Roman" w:hAnsi="Times New Roman" w:cs="Times New Roman"/>
        </w:rPr>
        <w:t>Hastings, O. P. (2018). Less equal, less trusting? Longitudinal and cross-sectional effects of income inequality on trust in US States, 1973–2012. </w:t>
      </w:r>
      <w:r w:rsidRPr="00520E95">
        <w:rPr>
          <w:rFonts w:ascii="Times New Roman" w:hAnsi="Times New Roman" w:cs="Times New Roman"/>
          <w:i/>
          <w:iCs/>
        </w:rPr>
        <w:t>Social Science Research</w:t>
      </w:r>
      <w:r w:rsidRPr="00520E95">
        <w:rPr>
          <w:rFonts w:ascii="Times New Roman" w:hAnsi="Times New Roman" w:cs="Times New Roman"/>
        </w:rPr>
        <w:t>, </w:t>
      </w:r>
      <w:r w:rsidRPr="00520E95">
        <w:rPr>
          <w:rFonts w:ascii="Times New Roman" w:hAnsi="Times New Roman" w:cs="Times New Roman"/>
          <w:i/>
          <w:iCs/>
        </w:rPr>
        <w:t>74</w:t>
      </w:r>
      <w:r w:rsidRPr="00520E95">
        <w:rPr>
          <w:rFonts w:ascii="Times New Roman" w:hAnsi="Times New Roman" w:cs="Times New Roman"/>
        </w:rPr>
        <w:t>, 77-95.</w:t>
      </w:r>
    </w:p>
    <w:p w14:paraId="2A34CE2A" w14:textId="77777777" w:rsidR="00056A43" w:rsidRPr="000D1189" w:rsidRDefault="00056A43" w:rsidP="00056A43">
      <w:pPr>
        <w:spacing w:line="480" w:lineRule="auto"/>
        <w:ind w:left="720" w:hanging="720"/>
        <w:rPr>
          <w:rFonts w:ascii="Times New Roman" w:hAnsi="Times New Roman" w:cs="Times New Roman"/>
        </w:rPr>
      </w:pPr>
      <w:r w:rsidRPr="000D1189">
        <w:rPr>
          <w:rFonts w:ascii="Times New Roman" w:hAnsi="Times New Roman" w:cs="Times New Roman"/>
        </w:rPr>
        <w:t>Holt-Lunstad, J., &amp; Steptoe, A. (2022). Social isolation: An underappreciated determinant of physical health. </w:t>
      </w:r>
      <w:r w:rsidRPr="000D1189">
        <w:rPr>
          <w:rFonts w:ascii="Times New Roman" w:hAnsi="Times New Roman" w:cs="Times New Roman"/>
          <w:i/>
          <w:iCs/>
        </w:rPr>
        <w:t>Current Opinion in Psychology</w:t>
      </w:r>
      <w:r w:rsidRPr="000D1189">
        <w:rPr>
          <w:rFonts w:ascii="Times New Roman" w:hAnsi="Times New Roman" w:cs="Times New Roman"/>
        </w:rPr>
        <w:t>, </w:t>
      </w:r>
      <w:r w:rsidRPr="000D1189">
        <w:rPr>
          <w:rFonts w:ascii="Times New Roman" w:hAnsi="Times New Roman" w:cs="Times New Roman"/>
          <w:i/>
          <w:iCs/>
        </w:rPr>
        <w:t>43</w:t>
      </w:r>
      <w:r w:rsidRPr="000D1189">
        <w:rPr>
          <w:rFonts w:ascii="Times New Roman" w:hAnsi="Times New Roman" w:cs="Times New Roman"/>
        </w:rPr>
        <w:t>, 232-237.</w:t>
      </w:r>
    </w:p>
    <w:p w14:paraId="46D5E3B8" w14:textId="77777777" w:rsidR="00056A43" w:rsidRDefault="00056A43" w:rsidP="00056A43">
      <w:pPr>
        <w:spacing w:line="480" w:lineRule="auto"/>
        <w:ind w:left="720" w:hanging="720"/>
        <w:rPr>
          <w:rFonts w:ascii="Times New Roman" w:hAnsi="Times New Roman" w:cs="Times New Roman"/>
        </w:rPr>
      </w:pPr>
      <w:r w:rsidRPr="006D587F">
        <w:rPr>
          <w:rFonts w:ascii="Times New Roman" w:hAnsi="Times New Roman" w:cs="Times New Roman"/>
        </w:rPr>
        <w:t>Hout, M. (2016). Money and morale: Growing inequality affects how Americans view themselves and others. </w:t>
      </w:r>
      <w:r w:rsidRPr="006D587F">
        <w:rPr>
          <w:rFonts w:ascii="Times New Roman" w:hAnsi="Times New Roman" w:cs="Times New Roman"/>
          <w:i/>
          <w:iCs/>
        </w:rPr>
        <w:t>The ANNALS of the American Academy of Political and Social Science</w:t>
      </w:r>
      <w:r w:rsidRPr="006D587F">
        <w:rPr>
          <w:rFonts w:ascii="Times New Roman" w:hAnsi="Times New Roman" w:cs="Times New Roman"/>
        </w:rPr>
        <w:t>, </w:t>
      </w:r>
      <w:r w:rsidRPr="006D587F">
        <w:rPr>
          <w:rFonts w:ascii="Times New Roman" w:hAnsi="Times New Roman" w:cs="Times New Roman"/>
          <w:i/>
          <w:iCs/>
        </w:rPr>
        <w:t>663</w:t>
      </w:r>
      <w:r w:rsidRPr="006D587F">
        <w:rPr>
          <w:rFonts w:ascii="Times New Roman" w:hAnsi="Times New Roman" w:cs="Times New Roman"/>
        </w:rPr>
        <w:t>(1), 204-228.</w:t>
      </w:r>
    </w:p>
    <w:p w14:paraId="168DE81B" w14:textId="77777777" w:rsidR="00056A43" w:rsidRDefault="00056A43" w:rsidP="00056A43">
      <w:pPr>
        <w:spacing w:line="480" w:lineRule="auto"/>
        <w:ind w:left="720" w:hanging="720"/>
        <w:rPr>
          <w:rFonts w:ascii="Times New Roman" w:hAnsi="Times New Roman" w:cs="Times New Roman"/>
        </w:rPr>
      </w:pPr>
      <w:r>
        <w:rPr>
          <w:rFonts w:ascii="Times New Roman" w:hAnsi="Times New Roman" w:cs="Times New Roman"/>
        </w:rPr>
        <w:t xml:space="preserve">Howell, D. (July 14, 2022). </w:t>
      </w:r>
      <w:r w:rsidRPr="00C378E6">
        <w:rPr>
          <w:rFonts w:ascii="Times New Roman" w:hAnsi="Times New Roman" w:cs="Times New Roman"/>
        </w:rPr>
        <w:t>The American National Election Studies (ANES) awarded $14 million to study 2024 elections</w:t>
      </w:r>
      <w:r>
        <w:rPr>
          <w:rFonts w:ascii="Times New Roman" w:hAnsi="Times New Roman" w:cs="Times New Roman"/>
        </w:rPr>
        <w:t xml:space="preserve">. </w:t>
      </w:r>
      <w:r>
        <w:rPr>
          <w:rFonts w:ascii="Times New Roman" w:hAnsi="Times New Roman" w:cs="Times New Roman"/>
          <w:i/>
          <w:iCs/>
        </w:rPr>
        <w:t>ANES</w:t>
      </w:r>
      <w:r>
        <w:rPr>
          <w:rFonts w:ascii="Times New Roman" w:hAnsi="Times New Roman" w:cs="Times New Roman"/>
        </w:rPr>
        <w:t xml:space="preserve"> [Press Release]. Accessed on November 17, 2022. </w:t>
      </w:r>
      <w:hyperlink r:id="rId18" w:history="1">
        <w:r w:rsidRPr="003D1287">
          <w:rPr>
            <w:rStyle w:val="Hyperlink"/>
            <w:rFonts w:ascii="Times New Roman" w:hAnsi="Times New Roman" w:cs="Times New Roman"/>
          </w:rPr>
          <w:t>https://electionstudies.org/anes-2024-award/</w:t>
        </w:r>
      </w:hyperlink>
      <w:r>
        <w:rPr>
          <w:rFonts w:ascii="Times New Roman" w:hAnsi="Times New Roman" w:cs="Times New Roman"/>
        </w:rPr>
        <w:t xml:space="preserve"> </w:t>
      </w:r>
    </w:p>
    <w:p w14:paraId="5D0E1A9D" w14:textId="77777777" w:rsidR="00056A43" w:rsidRPr="00C716FB" w:rsidRDefault="00056A43" w:rsidP="00056A43">
      <w:pPr>
        <w:spacing w:line="480" w:lineRule="auto"/>
        <w:ind w:left="720" w:hanging="720"/>
        <w:rPr>
          <w:rFonts w:ascii="Times New Roman" w:hAnsi="Times New Roman" w:cs="Times New Roman"/>
        </w:rPr>
      </w:pPr>
      <w:r w:rsidRPr="00C716FB">
        <w:rPr>
          <w:rFonts w:ascii="Times New Roman" w:hAnsi="Times New Roman" w:cs="Times New Roman"/>
        </w:rPr>
        <w:t>Kim, J. H. (2017). Smartphone-mediated communication vs. face-to-face interaction: Two routes to social support and problematic use of smartphone. </w:t>
      </w:r>
      <w:r w:rsidRPr="00C716FB">
        <w:rPr>
          <w:rFonts w:ascii="Times New Roman" w:hAnsi="Times New Roman" w:cs="Times New Roman"/>
          <w:i/>
          <w:iCs/>
        </w:rPr>
        <w:t>Computers in Human Behavior</w:t>
      </w:r>
      <w:r w:rsidRPr="00C716FB">
        <w:rPr>
          <w:rFonts w:ascii="Times New Roman" w:hAnsi="Times New Roman" w:cs="Times New Roman"/>
        </w:rPr>
        <w:t>, </w:t>
      </w:r>
      <w:r w:rsidRPr="00C716FB">
        <w:rPr>
          <w:rFonts w:ascii="Times New Roman" w:hAnsi="Times New Roman" w:cs="Times New Roman"/>
          <w:i/>
          <w:iCs/>
        </w:rPr>
        <w:t>67</w:t>
      </w:r>
      <w:r w:rsidRPr="00C716FB">
        <w:rPr>
          <w:rFonts w:ascii="Times New Roman" w:hAnsi="Times New Roman" w:cs="Times New Roman"/>
        </w:rPr>
        <w:t>, 282-291.</w:t>
      </w:r>
    </w:p>
    <w:p w14:paraId="011FEBD4" w14:textId="77777777" w:rsidR="00056A43" w:rsidRDefault="00056A43" w:rsidP="00056A43">
      <w:pPr>
        <w:spacing w:line="480" w:lineRule="auto"/>
        <w:ind w:left="720" w:hanging="720"/>
        <w:rPr>
          <w:rFonts w:ascii="Times New Roman" w:hAnsi="Times New Roman" w:cs="Times New Roman"/>
        </w:rPr>
      </w:pPr>
      <w:r w:rsidRPr="00260C81">
        <w:rPr>
          <w:rFonts w:ascii="Times New Roman" w:hAnsi="Times New Roman" w:cs="Times New Roman"/>
        </w:rPr>
        <w:lastRenderedPageBreak/>
        <w:t>Larsen, R. (2011). Missing data imputation versus full information maximum likelihood with second-level dependencies. </w:t>
      </w:r>
      <w:r w:rsidRPr="00260C81">
        <w:rPr>
          <w:rFonts w:ascii="Times New Roman" w:hAnsi="Times New Roman" w:cs="Times New Roman"/>
          <w:i/>
          <w:iCs/>
        </w:rPr>
        <w:t>Structural Equation Modeling: A Multidisciplinary Journal</w:t>
      </w:r>
      <w:r w:rsidRPr="00260C81">
        <w:rPr>
          <w:rFonts w:ascii="Times New Roman" w:hAnsi="Times New Roman" w:cs="Times New Roman"/>
        </w:rPr>
        <w:t>, </w:t>
      </w:r>
      <w:r w:rsidRPr="00260C81">
        <w:rPr>
          <w:rFonts w:ascii="Times New Roman" w:hAnsi="Times New Roman" w:cs="Times New Roman"/>
          <w:i/>
          <w:iCs/>
        </w:rPr>
        <w:t>18</w:t>
      </w:r>
      <w:r w:rsidRPr="00260C81">
        <w:rPr>
          <w:rFonts w:ascii="Times New Roman" w:hAnsi="Times New Roman" w:cs="Times New Roman"/>
        </w:rPr>
        <w:t>(4), 649-662.</w:t>
      </w:r>
    </w:p>
    <w:p w14:paraId="40A6E1FB" w14:textId="77777777" w:rsidR="00056A43" w:rsidRPr="000F66D5" w:rsidRDefault="00056A43" w:rsidP="00056A43">
      <w:pPr>
        <w:pBdr>
          <w:top w:val="nil"/>
          <w:left w:val="nil"/>
          <w:bottom w:val="nil"/>
          <w:right w:val="nil"/>
          <w:between w:val="nil"/>
        </w:pBdr>
        <w:spacing w:line="48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Lee, J., &amp; Lee, H. (2010). The computer-mediated communication network: Exploring the linkage between the online community and social capital. </w:t>
      </w:r>
      <w:r w:rsidRPr="000F66D5">
        <w:rPr>
          <w:rFonts w:ascii="Times New Roman" w:eastAsia="Times New Roman" w:hAnsi="Times New Roman" w:cs="Times New Roman"/>
          <w:i/>
          <w:iCs/>
          <w:color w:val="000000"/>
        </w:rPr>
        <w:t>new media &amp; society</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12</w:t>
      </w:r>
      <w:r w:rsidRPr="000F66D5">
        <w:rPr>
          <w:rFonts w:ascii="Times New Roman" w:eastAsia="Times New Roman" w:hAnsi="Times New Roman" w:cs="Times New Roman"/>
          <w:color w:val="000000"/>
        </w:rPr>
        <w:t>(5), 711-727.</w:t>
      </w:r>
    </w:p>
    <w:p w14:paraId="5D383C57" w14:textId="77777777" w:rsidR="00056A43" w:rsidRDefault="00056A43" w:rsidP="00056A43">
      <w:pPr>
        <w:spacing w:line="480" w:lineRule="auto"/>
        <w:ind w:left="720" w:hanging="720"/>
        <w:rPr>
          <w:rFonts w:ascii="Times New Roman" w:hAnsi="Times New Roman" w:cs="Times New Roman"/>
        </w:rPr>
      </w:pPr>
      <w:r w:rsidRPr="005F34B8">
        <w:rPr>
          <w:rFonts w:ascii="Times New Roman" w:hAnsi="Times New Roman" w:cs="Times New Roman"/>
        </w:rPr>
        <w:t>Lewis, V. A., MacGregor, C. A., &amp; Putnam, R. D. (2013). Religion, networks, and neighborliness: The impact of religious social networks on civic engagement. </w:t>
      </w:r>
      <w:r w:rsidRPr="005F34B8">
        <w:rPr>
          <w:rFonts w:ascii="Times New Roman" w:hAnsi="Times New Roman" w:cs="Times New Roman"/>
          <w:i/>
          <w:iCs/>
        </w:rPr>
        <w:t>Social science research</w:t>
      </w:r>
      <w:r w:rsidRPr="005F34B8">
        <w:rPr>
          <w:rFonts w:ascii="Times New Roman" w:hAnsi="Times New Roman" w:cs="Times New Roman"/>
        </w:rPr>
        <w:t>, </w:t>
      </w:r>
      <w:r w:rsidRPr="005F34B8">
        <w:rPr>
          <w:rFonts w:ascii="Times New Roman" w:hAnsi="Times New Roman" w:cs="Times New Roman"/>
          <w:i/>
          <w:iCs/>
        </w:rPr>
        <w:t>42</w:t>
      </w:r>
      <w:r w:rsidRPr="005F34B8">
        <w:rPr>
          <w:rFonts w:ascii="Times New Roman" w:hAnsi="Times New Roman" w:cs="Times New Roman"/>
        </w:rPr>
        <w:t>(2), 331-346.</w:t>
      </w:r>
    </w:p>
    <w:p w14:paraId="516FB8F6" w14:textId="77777777" w:rsidR="00056A43" w:rsidRDefault="00056A43" w:rsidP="00056A43">
      <w:pPr>
        <w:spacing w:line="480" w:lineRule="auto"/>
        <w:ind w:left="720" w:hanging="720"/>
        <w:rPr>
          <w:rFonts w:ascii="Times New Roman" w:hAnsi="Times New Roman" w:cs="Times New Roman"/>
        </w:rPr>
      </w:pPr>
      <w:r w:rsidRPr="00B207F6">
        <w:rPr>
          <w:rFonts w:ascii="Times New Roman" w:hAnsi="Times New Roman" w:cs="Times New Roman"/>
        </w:rPr>
        <w:t>Lim, C., &amp; Putnam, R. D. (2010). Religion, social networks, and life satisfaction. </w:t>
      </w:r>
      <w:r w:rsidRPr="00B207F6">
        <w:rPr>
          <w:rFonts w:ascii="Times New Roman" w:hAnsi="Times New Roman" w:cs="Times New Roman"/>
          <w:i/>
          <w:iCs/>
        </w:rPr>
        <w:t>American sociological review</w:t>
      </w:r>
      <w:r w:rsidRPr="00B207F6">
        <w:rPr>
          <w:rFonts w:ascii="Times New Roman" w:hAnsi="Times New Roman" w:cs="Times New Roman"/>
        </w:rPr>
        <w:t>, </w:t>
      </w:r>
      <w:r w:rsidRPr="00B207F6">
        <w:rPr>
          <w:rFonts w:ascii="Times New Roman" w:hAnsi="Times New Roman" w:cs="Times New Roman"/>
          <w:i/>
          <w:iCs/>
        </w:rPr>
        <w:t>75</w:t>
      </w:r>
      <w:r w:rsidRPr="00B207F6">
        <w:rPr>
          <w:rFonts w:ascii="Times New Roman" w:hAnsi="Times New Roman" w:cs="Times New Roman"/>
        </w:rPr>
        <w:t>(6), 914-933.</w:t>
      </w:r>
    </w:p>
    <w:p w14:paraId="461789A9" w14:textId="77777777" w:rsidR="00056A43" w:rsidRPr="003E47D0" w:rsidRDefault="00056A43" w:rsidP="00056A43">
      <w:pPr>
        <w:spacing w:line="480" w:lineRule="auto"/>
        <w:ind w:left="720" w:hanging="720"/>
        <w:rPr>
          <w:rFonts w:ascii="Times New Roman" w:hAnsi="Times New Roman" w:cs="Times New Roman"/>
        </w:rPr>
      </w:pPr>
      <w:r w:rsidRPr="003E47D0">
        <w:rPr>
          <w:rFonts w:ascii="Times New Roman" w:hAnsi="Times New Roman" w:cs="Times New Roman"/>
        </w:rPr>
        <w:t xml:space="preserve">Mander J., Buckle C., &amp; Moran S. (2020). Social: GlobalWebIndex’s flagship report on the latest trends in social media. </w:t>
      </w:r>
      <w:r w:rsidRPr="003E47D0">
        <w:rPr>
          <w:rFonts w:ascii="Times New Roman" w:hAnsi="Times New Roman" w:cs="Times New Roman"/>
          <w:i/>
          <w:iCs/>
        </w:rPr>
        <w:t>GlobalWebIndex</w:t>
      </w:r>
      <w:r w:rsidRPr="003E47D0">
        <w:rPr>
          <w:rFonts w:ascii="Times New Roman" w:hAnsi="Times New Roman" w:cs="Times New Roman"/>
        </w:rPr>
        <w:t xml:space="preserve">. Retrieved from </w:t>
      </w:r>
      <w:hyperlink r:id="rId19" w:history="1">
        <w:r w:rsidRPr="003E47D0">
          <w:rPr>
            <w:rStyle w:val="Hyperlink"/>
            <w:rFonts w:ascii="Times New Roman" w:hAnsi="Times New Roman" w:cs="Times New Roman"/>
          </w:rPr>
          <w:t>https://amai.org/covid19/descargas/SocialGlobalWebIndex.pdf</w:t>
        </w:r>
      </w:hyperlink>
      <w:r w:rsidRPr="003E47D0">
        <w:rPr>
          <w:rFonts w:ascii="Times New Roman" w:hAnsi="Times New Roman" w:cs="Times New Roman"/>
        </w:rPr>
        <w:t> </w:t>
      </w:r>
    </w:p>
    <w:p w14:paraId="1008FF80" w14:textId="77777777" w:rsidR="00056A43" w:rsidRDefault="00056A43" w:rsidP="00056A43">
      <w:pPr>
        <w:spacing w:line="480" w:lineRule="auto"/>
        <w:ind w:left="720" w:hanging="720"/>
        <w:rPr>
          <w:rFonts w:ascii="Times New Roman" w:hAnsi="Times New Roman" w:cs="Times New Roman"/>
        </w:rPr>
      </w:pPr>
      <w:r w:rsidRPr="00C16709">
        <w:rPr>
          <w:rFonts w:ascii="Times New Roman" w:hAnsi="Times New Roman" w:cs="Times New Roman"/>
        </w:rPr>
        <w:t xml:space="preserve">McClain, C., Vogels, E. A., Perrin, A., Sechopoulos, S., &amp; Rainie, L. (2021). The Internet and the pandemic. </w:t>
      </w:r>
      <w:r w:rsidRPr="00C16709">
        <w:rPr>
          <w:rFonts w:ascii="Times New Roman" w:hAnsi="Times New Roman" w:cs="Times New Roman"/>
          <w:i/>
        </w:rPr>
        <w:t>Pew Research Center</w:t>
      </w:r>
      <w:r w:rsidRPr="00C16709">
        <w:rPr>
          <w:rFonts w:ascii="Times New Roman" w:hAnsi="Times New Roman" w:cs="Times New Roman"/>
        </w:rPr>
        <w:t xml:space="preserve">. Retrieved from </w:t>
      </w:r>
      <w:hyperlink r:id="rId20" w:history="1">
        <w:r w:rsidRPr="00C16709">
          <w:rPr>
            <w:rStyle w:val="Hyperlink"/>
            <w:rFonts w:ascii="Times New Roman" w:hAnsi="Times New Roman" w:cs="Times New Roman"/>
          </w:rPr>
          <w:t>https://www.pewresearch.org/internet/2021/09/01/the-internet-and-the-pandemic/</w:t>
        </w:r>
      </w:hyperlink>
      <w:r w:rsidRPr="00C16709">
        <w:rPr>
          <w:rFonts w:ascii="Times New Roman" w:hAnsi="Times New Roman" w:cs="Times New Roman"/>
        </w:rPr>
        <w:t xml:space="preserve"> </w:t>
      </w:r>
    </w:p>
    <w:p w14:paraId="443E8294" w14:textId="77777777" w:rsidR="00056A43" w:rsidRDefault="00056A43" w:rsidP="00056A43">
      <w:pPr>
        <w:spacing w:line="480" w:lineRule="auto"/>
        <w:ind w:left="720" w:hanging="720"/>
        <w:rPr>
          <w:rFonts w:ascii="Times New Roman" w:hAnsi="Times New Roman" w:cs="Times New Roman"/>
        </w:rPr>
      </w:pPr>
      <w:r w:rsidRPr="00443AD5">
        <w:rPr>
          <w:rFonts w:ascii="Times New Roman" w:hAnsi="Times New Roman" w:cs="Times New Roman"/>
        </w:rPr>
        <w:t>Mewes, J., Fairbrother, M., Giordano, G. N., Wu, C., &amp; Wilkes, R. (2021). Experiences matter: A longitudinal study of individual-level sources of declining social trust in the United States. </w:t>
      </w:r>
      <w:r w:rsidRPr="00443AD5">
        <w:rPr>
          <w:rFonts w:ascii="Times New Roman" w:hAnsi="Times New Roman" w:cs="Times New Roman"/>
          <w:i/>
          <w:iCs/>
        </w:rPr>
        <w:t>Social Science Research</w:t>
      </w:r>
      <w:r w:rsidRPr="00443AD5">
        <w:rPr>
          <w:rFonts w:ascii="Times New Roman" w:hAnsi="Times New Roman" w:cs="Times New Roman"/>
        </w:rPr>
        <w:t>, </w:t>
      </w:r>
      <w:r w:rsidRPr="00443AD5">
        <w:rPr>
          <w:rFonts w:ascii="Times New Roman" w:hAnsi="Times New Roman" w:cs="Times New Roman"/>
          <w:i/>
          <w:iCs/>
        </w:rPr>
        <w:t>95</w:t>
      </w:r>
      <w:r w:rsidRPr="00443AD5">
        <w:rPr>
          <w:rFonts w:ascii="Times New Roman" w:hAnsi="Times New Roman" w:cs="Times New Roman"/>
        </w:rPr>
        <w:t>, 102537.</w:t>
      </w:r>
    </w:p>
    <w:p w14:paraId="2D2440A2" w14:textId="77777777" w:rsidR="00056A43" w:rsidRPr="00444258" w:rsidRDefault="00056A43" w:rsidP="00056A43">
      <w:pPr>
        <w:spacing w:line="480" w:lineRule="auto"/>
        <w:ind w:left="720" w:hanging="720"/>
        <w:rPr>
          <w:rFonts w:ascii="Times New Roman" w:hAnsi="Times New Roman" w:cs="Times New Roman"/>
        </w:rPr>
      </w:pPr>
      <w:r w:rsidRPr="00444258">
        <w:rPr>
          <w:rFonts w:ascii="Times New Roman" w:hAnsi="Times New Roman" w:cs="Times New Roman"/>
        </w:rPr>
        <w:t>Moy, P., Manosevitch, E., Stamm, K., &amp; Dunsmore, K. (2005). Linking dimensions of Internet use and civic engagement. </w:t>
      </w:r>
      <w:r w:rsidRPr="00444258">
        <w:rPr>
          <w:rFonts w:ascii="Times New Roman" w:hAnsi="Times New Roman" w:cs="Times New Roman"/>
          <w:i/>
          <w:iCs/>
        </w:rPr>
        <w:t>Journalism &amp; Mass Communication Quarterly</w:t>
      </w:r>
      <w:r w:rsidRPr="00444258">
        <w:rPr>
          <w:rFonts w:ascii="Times New Roman" w:hAnsi="Times New Roman" w:cs="Times New Roman"/>
        </w:rPr>
        <w:t>, </w:t>
      </w:r>
      <w:r w:rsidRPr="00444258">
        <w:rPr>
          <w:rFonts w:ascii="Times New Roman" w:hAnsi="Times New Roman" w:cs="Times New Roman"/>
          <w:i/>
          <w:iCs/>
        </w:rPr>
        <w:t>82</w:t>
      </w:r>
      <w:r w:rsidRPr="00444258">
        <w:rPr>
          <w:rFonts w:ascii="Times New Roman" w:hAnsi="Times New Roman" w:cs="Times New Roman"/>
        </w:rPr>
        <w:t>(3), 571-586.</w:t>
      </w:r>
    </w:p>
    <w:p w14:paraId="62D04AA9" w14:textId="77777777" w:rsidR="00056A43" w:rsidRDefault="00056A43" w:rsidP="00056A43">
      <w:pPr>
        <w:spacing w:line="480" w:lineRule="auto"/>
        <w:ind w:left="720" w:hanging="720"/>
        <w:rPr>
          <w:rFonts w:ascii="Times New Roman" w:hAnsi="Times New Roman" w:cs="Times New Roman"/>
        </w:rPr>
      </w:pPr>
      <w:r>
        <w:rPr>
          <w:rFonts w:ascii="Times New Roman" w:hAnsi="Times New Roman" w:cs="Times New Roman"/>
        </w:rPr>
        <w:t xml:space="preserve">National Vital Statistics System. (February 7, 2022). National marriage and divorce rate trends for 2000 – 2020. </w:t>
      </w:r>
      <w:r>
        <w:rPr>
          <w:rFonts w:ascii="Times New Roman" w:hAnsi="Times New Roman" w:cs="Times New Roman"/>
          <w:i/>
          <w:iCs/>
        </w:rPr>
        <w:t>National Center for Health Statistics (CDC)</w:t>
      </w:r>
      <w:r>
        <w:rPr>
          <w:rFonts w:ascii="Times New Roman" w:hAnsi="Times New Roman" w:cs="Times New Roman"/>
        </w:rPr>
        <w:t xml:space="preserve">. Accessed on November 18, 2022. </w:t>
      </w:r>
      <w:hyperlink r:id="rId21" w:history="1">
        <w:r w:rsidRPr="000A2384">
          <w:rPr>
            <w:rStyle w:val="Hyperlink"/>
            <w:rFonts w:ascii="Times New Roman" w:hAnsi="Times New Roman" w:cs="Times New Roman"/>
          </w:rPr>
          <w:t>https://www.cdc.gov/nchs/data/dvs/national-marriage-divorce-rates-00-20.pdf</w:t>
        </w:r>
      </w:hyperlink>
      <w:r>
        <w:rPr>
          <w:rFonts w:ascii="Times New Roman" w:hAnsi="Times New Roman" w:cs="Times New Roman"/>
        </w:rPr>
        <w:t xml:space="preserve"> </w:t>
      </w:r>
    </w:p>
    <w:p w14:paraId="6BCD1DFE" w14:textId="77777777" w:rsidR="00056A43" w:rsidRDefault="00056A43" w:rsidP="00056A43">
      <w:pPr>
        <w:spacing w:line="480" w:lineRule="auto"/>
        <w:ind w:left="720" w:hanging="720"/>
        <w:rPr>
          <w:rFonts w:ascii="Times New Roman" w:hAnsi="Times New Roman" w:cs="Times New Roman"/>
        </w:rPr>
      </w:pPr>
      <w:r w:rsidRPr="007364A5">
        <w:rPr>
          <w:rFonts w:ascii="Times New Roman" w:hAnsi="Times New Roman" w:cs="Times New Roman"/>
        </w:rPr>
        <w:lastRenderedPageBreak/>
        <w:t>Park, H. M. (2011). Practical guides to panel data modeling: a step-by-step analysis using stata. </w:t>
      </w:r>
      <w:r w:rsidRPr="007364A5">
        <w:rPr>
          <w:rFonts w:ascii="Times New Roman" w:hAnsi="Times New Roman" w:cs="Times New Roman"/>
          <w:i/>
          <w:iCs/>
        </w:rPr>
        <w:t>Public Management and Policy Analysis Program, Graduate School of International Relations, International University of Japan</w:t>
      </w:r>
      <w:r w:rsidRPr="007364A5">
        <w:rPr>
          <w:rFonts w:ascii="Times New Roman" w:hAnsi="Times New Roman" w:cs="Times New Roman"/>
        </w:rPr>
        <w:t>, </w:t>
      </w:r>
      <w:r w:rsidRPr="007364A5">
        <w:rPr>
          <w:rFonts w:ascii="Times New Roman" w:hAnsi="Times New Roman" w:cs="Times New Roman"/>
          <w:i/>
          <w:iCs/>
        </w:rPr>
        <w:t>12</w:t>
      </w:r>
      <w:r w:rsidRPr="007364A5">
        <w:rPr>
          <w:rFonts w:ascii="Times New Roman" w:hAnsi="Times New Roman" w:cs="Times New Roman"/>
        </w:rPr>
        <w:t>, 1-52.</w:t>
      </w:r>
    </w:p>
    <w:p w14:paraId="370488FE" w14:textId="77777777" w:rsidR="00056A43" w:rsidRDefault="00056A43" w:rsidP="00056A43">
      <w:pPr>
        <w:spacing w:line="480" w:lineRule="auto"/>
        <w:ind w:left="720" w:hanging="720"/>
        <w:rPr>
          <w:rFonts w:ascii="Times New Roman" w:hAnsi="Times New Roman" w:cs="Times New Roman"/>
        </w:rPr>
      </w:pPr>
      <w:r w:rsidRPr="004D7BBE">
        <w:rPr>
          <w:rFonts w:ascii="Times New Roman" w:hAnsi="Times New Roman" w:cs="Times New Roman"/>
        </w:rPr>
        <w:t>Park, H. M. (2015). Linear regression models for panel data using SAS, Stata, LIMDEP, and SPSS.</w:t>
      </w:r>
    </w:p>
    <w:p w14:paraId="44084B85" w14:textId="77777777" w:rsidR="00056A43" w:rsidRDefault="00056A43" w:rsidP="00056A43">
      <w:pPr>
        <w:spacing w:line="480" w:lineRule="auto"/>
        <w:ind w:left="720" w:hanging="720"/>
        <w:rPr>
          <w:rFonts w:ascii="Times New Roman" w:hAnsi="Times New Roman" w:cs="Times New Roman"/>
        </w:rPr>
      </w:pPr>
      <w:r w:rsidRPr="006D0A3C">
        <w:rPr>
          <w:rFonts w:ascii="Times New Roman" w:hAnsi="Times New Roman" w:cs="Times New Roman"/>
        </w:rPr>
        <w:t>Paxton, P. (1999). Is social capital declining in the United States? A multiple indicator assessment. </w:t>
      </w:r>
      <w:r w:rsidRPr="006D0A3C">
        <w:rPr>
          <w:rFonts w:ascii="Times New Roman" w:hAnsi="Times New Roman" w:cs="Times New Roman"/>
          <w:i/>
          <w:iCs/>
        </w:rPr>
        <w:t>American Journal of sociology</w:t>
      </w:r>
      <w:r w:rsidRPr="006D0A3C">
        <w:rPr>
          <w:rFonts w:ascii="Times New Roman" w:hAnsi="Times New Roman" w:cs="Times New Roman"/>
        </w:rPr>
        <w:t>, </w:t>
      </w:r>
      <w:r w:rsidRPr="006D0A3C">
        <w:rPr>
          <w:rFonts w:ascii="Times New Roman" w:hAnsi="Times New Roman" w:cs="Times New Roman"/>
          <w:i/>
          <w:iCs/>
        </w:rPr>
        <w:t>105</w:t>
      </w:r>
      <w:r w:rsidRPr="006D0A3C">
        <w:rPr>
          <w:rFonts w:ascii="Times New Roman" w:hAnsi="Times New Roman" w:cs="Times New Roman"/>
        </w:rPr>
        <w:t>(1), 88-127.</w:t>
      </w:r>
    </w:p>
    <w:p w14:paraId="0D45FF97" w14:textId="77777777" w:rsidR="00056A43" w:rsidRPr="0095084A" w:rsidRDefault="00056A43" w:rsidP="00056A43">
      <w:pPr>
        <w:spacing w:line="480" w:lineRule="auto"/>
        <w:ind w:left="720" w:hanging="720"/>
        <w:rPr>
          <w:rFonts w:ascii="Times New Roman" w:hAnsi="Times New Roman" w:cs="Times New Roman"/>
        </w:rPr>
      </w:pPr>
      <w:r w:rsidRPr="0095084A">
        <w:rPr>
          <w:rFonts w:ascii="Times New Roman" w:hAnsi="Times New Roman" w:cs="Times New Roman"/>
        </w:rPr>
        <w:t>Pittman, M. (2018). Happiness, loneliness, and social media: perceived intimacy mediates the emotional benefits of platform use. </w:t>
      </w:r>
      <w:r w:rsidRPr="0095084A">
        <w:rPr>
          <w:rFonts w:ascii="Times New Roman" w:hAnsi="Times New Roman" w:cs="Times New Roman"/>
          <w:i/>
          <w:iCs/>
        </w:rPr>
        <w:t xml:space="preserve">The Journal of </w:t>
      </w:r>
      <w:proofErr w:type="gramStart"/>
      <w:r w:rsidRPr="0095084A">
        <w:rPr>
          <w:rFonts w:ascii="Times New Roman" w:hAnsi="Times New Roman" w:cs="Times New Roman"/>
          <w:i/>
          <w:iCs/>
        </w:rPr>
        <w:t>Social Media</w:t>
      </w:r>
      <w:proofErr w:type="gramEnd"/>
      <w:r w:rsidRPr="0095084A">
        <w:rPr>
          <w:rFonts w:ascii="Times New Roman" w:hAnsi="Times New Roman" w:cs="Times New Roman"/>
          <w:i/>
          <w:iCs/>
        </w:rPr>
        <w:t xml:space="preserve"> in Society</w:t>
      </w:r>
      <w:r w:rsidRPr="0095084A">
        <w:rPr>
          <w:rFonts w:ascii="Times New Roman" w:hAnsi="Times New Roman" w:cs="Times New Roman"/>
        </w:rPr>
        <w:t>, </w:t>
      </w:r>
      <w:r w:rsidRPr="0095084A">
        <w:rPr>
          <w:rFonts w:ascii="Times New Roman" w:hAnsi="Times New Roman" w:cs="Times New Roman"/>
          <w:i/>
          <w:iCs/>
        </w:rPr>
        <w:t>7</w:t>
      </w:r>
      <w:r w:rsidRPr="0095084A">
        <w:rPr>
          <w:rFonts w:ascii="Times New Roman" w:hAnsi="Times New Roman" w:cs="Times New Roman"/>
        </w:rPr>
        <w:t>(2), 164-176.</w:t>
      </w:r>
    </w:p>
    <w:p w14:paraId="516B0844" w14:textId="77777777" w:rsidR="00056A43" w:rsidRDefault="00056A43" w:rsidP="00056A43">
      <w:pPr>
        <w:spacing w:line="480" w:lineRule="auto"/>
        <w:ind w:left="720" w:hanging="720"/>
        <w:rPr>
          <w:rFonts w:ascii="Times New Roman" w:hAnsi="Times New Roman" w:cs="Times New Roman"/>
        </w:rPr>
      </w:pPr>
      <w:r w:rsidRPr="00C43376">
        <w:rPr>
          <w:rFonts w:ascii="Times New Roman" w:hAnsi="Times New Roman" w:cs="Times New Roman"/>
        </w:rPr>
        <w:t>Powell, A., Bryne, A., &amp; Dailey, D. (2010). The essential Internet: Digital exclusion in low‐income American communities. </w:t>
      </w:r>
      <w:r w:rsidRPr="00C43376">
        <w:rPr>
          <w:rFonts w:ascii="Times New Roman" w:hAnsi="Times New Roman" w:cs="Times New Roman"/>
          <w:i/>
          <w:iCs/>
        </w:rPr>
        <w:t>Policy &amp; Internet</w:t>
      </w:r>
      <w:r w:rsidRPr="00C43376">
        <w:rPr>
          <w:rFonts w:ascii="Times New Roman" w:hAnsi="Times New Roman" w:cs="Times New Roman"/>
        </w:rPr>
        <w:t>, </w:t>
      </w:r>
      <w:r w:rsidRPr="00C43376">
        <w:rPr>
          <w:rFonts w:ascii="Times New Roman" w:hAnsi="Times New Roman" w:cs="Times New Roman"/>
          <w:i/>
          <w:iCs/>
        </w:rPr>
        <w:t>2</w:t>
      </w:r>
      <w:r w:rsidRPr="00C43376">
        <w:rPr>
          <w:rFonts w:ascii="Times New Roman" w:hAnsi="Times New Roman" w:cs="Times New Roman"/>
        </w:rPr>
        <w:t>(2), 161-192.</w:t>
      </w:r>
    </w:p>
    <w:p w14:paraId="1228EC54" w14:textId="77777777" w:rsidR="00056A43" w:rsidRPr="00757513" w:rsidRDefault="00056A43" w:rsidP="00056A43">
      <w:pPr>
        <w:spacing w:line="480" w:lineRule="auto"/>
        <w:ind w:left="720" w:hanging="720"/>
        <w:rPr>
          <w:rFonts w:ascii="Times New Roman" w:hAnsi="Times New Roman" w:cs="Times New Roman"/>
        </w:rPr>
      </w:pPr>
      <w:r w:rsidRPr="00757513">
        <w:rPr>
          <w:rFonts w:ascii="Times New Roman" w:hAnsi="Times New Roman" w:cs="Times New Roman"/>
        </w:rPr>
        <w:t xml:space="preserve">Prohaska, T., Burholt, V., Burns, A., Golden, J., Hawkley, L., Lawlor, B., ... &amp; Fried, L. (2020). Consensus statement: loneliness in older adults, the 21st century social determinant of </w:t>
      </w:r>
      <w:proofErr w:type="gramStart"/>
      <w:r w:rsidRPr="00757513">
        <w:rPr>
          <w:rFonts w:ascii="Times New Roman" w:hAnsi="Times New Roman" w:cs="Times New Roman"/>
        </w:rPr>
        <w:t>health?.</w:t>
      </w:r>
      <w:proofErr w:type="gramEnd"/>
      <w:r w:rsidRPr="00757513">
        <w:rPr>
          <w:rFonts w:ascii="Times New Roman" w:hAnsi="Times New Roman" w:cs="Times New Roman"/>
        </w:rPr>
        <w:t> </w:t>
      </w:r>
      <w:r w:rsidRPr="00757513">
        <w:rPr>
          <w:rFonts w:ascii="Times New Roman" w:hAnsi="Times New Roman" w:cs="Times New Roman"/>
          <w:i/>
          <w:iCs/>
        </w:rPr>
        <w:t>BMJ open</w:t>
      </w:r>
      <w:r w:rsidRPr="00757513">
        <w:rPr>
          <w:rFonts w:ascii="Times New Roman" w:hAnsi="Times New Roman" w:cs="Times New Roman"/>
        </w:rPr>
        <w:t>, </w:t>
      </w:r>
      <w:r w:rsidRPr="00757513">
        <w:rPr>
          <w:rFonts w:ascii="Times New Roman" w:hAnsi="Times New Roman" w:cs="Times New Roman"/>
          <w:i/>
          <w:iCs/>
        </w:rPr>
        <w:t>10</w:t>
      </w:r>
      <w:r w:rsidRPr="00757513">
        <w:rPr>
          <w:rFonts w:ascii="Times New Roman" w:hAnsi="Times New Roman" w:cs="Times New Roman"/>
        </w:rPr>
        <w:t>(8), e034967.</w:t>
      </w:r>
    </w:p>
    <w:p w14:paraId="46FEFAE7" w14:textId="77777777" w:rsidR="00056A43" w:rsidRDefault="00056A43" w:rsidP="00056A43">
      <w:pPr>
        <w:spacing w:line="480" w:lineRule="auto"/>
        <w:ind w:left="720" w:hanging="720"/>
        <w:rPr>
          <w:rFonts w:ascii="Times New Roman" w:hAnsi="Times New Roman" w:cs="Times New Roman"/>
        </w:rPr>
      </w:pPr>
      <w:bookmarkStart w:id="0" w:name="_Hlk119602448"/>
      <w:r w:rsidRPr="00137091">
        <w:rPr>
          <w:rFonts w:ascii="Times New Roman" w:hAnsi="Times New Roman" w:cs="Times New Roman"/>
        </w:rPr>
        <w:t>Riedl, M., &amp; Geishecker</w:t>
      </w:r>
      <w:bookmarkEnd w:id="0"/>
      <w:r w:rsidRPr="00137091">
        <w:rPr>
          <w:rFonts w:ascii="Times New Roman" w:hAnsi="Times New Roman" w:cs="Times New Roman"/>
        </w:rPr>
        <w:t>, I. (2014). Keep it simple: estimation strategies for ordered response models with fixed effects. </w:t>
      </w:r>
      <w:r w:rsidRPr="00137091">
        <w:rPr>
          <w:rFonts w:ascii="Times New Roman" w:hAnsi="Times New Roman" w:cs="Times New Roman"/>
          <w:i/>
          <w:iCs/>
        </w:rPr>
        <w:t>Journal of Applied Statistics</w:t>
      </w:r>
      <w:r w:rsidRPr="00137091">
        <w:rPr>
          <w:rFonts w:ascii="Times New Roman" w:hAnsi="Times New Roman" w:cs="Times New Roman"/>
        </w:rPr>
        <w:t>, </w:t>
      </w:r>
      <w:r w:rsidRPr="00137091">
        <w:rPr>
          <w:rFonts w:ascii="Times New Roman" w:hAnsi="Times New Roman" w:cs="Times New Roman"/>
          <w:i/>
          <w:iCs/>
        </w:rPr>
        <w:t>41</w:t>
      </w:r>
      <w:r w:rsidRPr="00137091">
        <w:rPr>
          <w:rFonts w:ascii="Times New Roman" w:hAnsi="Times New Roman" w:cs="Times New Roman"/>
        </w:rPr>
        <w:t>(11), 2358-2374.</w:t>
      </w:r>
    </w:p>
    <w:p w14:paraId="3EEC4616" w14:textId="77777777" w:rsidR="00056A43" w:rsidRDefault="00056A43" w:rsidP="00056A43">
      <w:pPr>
        <w:spacing w:line="480" w:lineRule="auto"/>
        <w:ind w:left="720" w:hanging="720"/>
        <w:rPr>
          <w:rFonts w:ascii="Times New Roman" w:hAnsi="Times New Roman" w:cs="Times New Roman"/>
        </w:rPr>
      </w:pPr>
      <w:r w:rsidRPr="00682522">
        <w:rPr>
          <w:rFonts w:ascii="Times New Roman" w:hAnsi="Times New Roman" w:cs="Times New Roman"/>
        </w:rPr>
        <w:t>Smith, T. W., &amp; Son, J. (2010). </w:t>
      </w:r>
      <w:r w:rsidRPr="00682522">
        <w:rPr>
          <w:rFonts w:ascii="Times New Roman" w:hAnsi="Times New Roman" w:cs="Times New Roman"/>
          <w:i/>
          <w:iCs/>
        </w:rPr>
        <w:t>An analysis of panel attrition and panel change on the 2006-2008 General Social Survey Panel</w:t>
      </w:r>
      <w:r w:rsidRPr="00682522">
        <w:rPr>
          <w:rFonts w:ascii="Times New Roman" w:hAnsi="Times New Roman" w:cs="Times New Roman"/>
        </w:rPr>
        <w:t>. NORC/University of Chicago.</w:t>
      </w:r>
    </w:p>
    <w:p w14:paraId="09498F7D" w14:textId="77777777" w:rsidR="00056A43" w:rsidRPr="003A1F94" w:rsidRDefault="00056A43" w:rsidP="00056A43">
      <w:pPr>
        <w:spacing w:line="480" w:lineRule="auto"/>
        <w:ind w:left="720" w:hanging="720"/>
        <w:rPr>
          <w:rFonts w:ascii="Times New Roman" w:hAnsi="Times New Roman" w:cs="Times New Roman"/>
        </w:rPr>
      </w:pPr>
      <w:r w:rsidRPr="003A1F94">
        <w:rPr>
          <w:rFonts w:ascii="Times New Roman" w:hAnsi="Times New Roman" w:cs="Times New Roman"/>
        </w:rPr>
        <w:t>Steafnone, M. A., Huang, Y. C., &amp; Lackaff, D. (2011, January). Negotiating social belonging: Online, offline, and in-between. In </w:t>
      </w:r>
      <w:r w:rsidRPr="003A1F94">
        <w:rPr>
          <w:rFonts w:ascii="Times New Roman" w:hAnsi="Times New Roman" w:cs="Times New Roman"/>
          <w:i/>
        </w:rPr>
        <w:t>2011 44th Hawaii International Conference on System Sciences</w:t>
      </w:r>
      <w:r w:rsidRPr="003A1F94">
        <w:rPr>
          <w:rFonts w:ascii="Times New Roman" w:hAnsi="Times New Roman" w:cs="Times New Roman"/>
        </w:rPr>
        <w:t> (pp. 1-10). IEEE.</w:t>
      </w:r>
    </w:p>
    <w:p w14:paraId="66126B8D" w14:textId="77777777" w:rsidR="00056A43" w:rsidRDefault="00056A43" w:rsidP="00056A43">
      <w:pPr>
        <w:spacing w:line="480" w:lineRule="auto"/>
        <w:ind w:left="720" w:hanging="720"/>
        <w:rPr>
          <w:rFonts w:ascii="Times New Roman" w:hAnsi="Times New Roman" w:cs="Times New Roman"/>
        </w:rPr>
      </w:pPr>
      <w:r w:rsidRPr="00C5321E">
        <w:rPr>
          <w:rFonts w:ascii="Times New Roman" w:hAnsi="Times New Roman" w:cs="Times New Roman"/>
        </w:rPr>
        <w:t xml:space="preserve">Vacchiano, M., &amp; Bolano, D. (2021). Online and offline leisure, </w:t>
      </w:r>
      <w:proofErr w:type="gramStart"/>
      <w:r w:rsidRPr="00C5321E">
        <w:rPr>
          <w:rFonts w:ascii="Times New Roman" w:hAnsi="Times New Roman" w:cs="Times New Roman"/>
        </w:rPr>
        <w:t>relatedness</w:t>
      </w:r>
      <w:proofErr w:type="gramEnd"/>
      <w:r w:rsidRPr="00C5321E">
        <w:rPr>
          <w:rFonts w:ascii="Times New Roman" w:hAnsi="Times New Roman" w:cs="Times New Roman"/>
        </w:rPr>
        <w:t xml:space="preserve"> and psychological distress: A study of young people in Switzerland. </w:t>
      </w:r>
      <w:r w:rsidRPr="00C5321E">
        <w:rPr>
          <w:rFonts w:ascii="Times New Roman" w:hAnsi="Times New Roman" w:cs="Times New Roman"/>
          <w:i/>
          <w:iCs/>
        </w:rPr>
        <w:t>Leisure Studies</w:t>
      </w:r>
      <w:r w:rsidRPr="00C5321E">
        <w:rPr>
          <w:rFonts w:ascii="Times New Roman" w:hAnsi="Times New Roman" w:cs="Times New Roman"/>
        </w:rPr>
        <w:t>, </w:t>
      </w:r>
      <w:r w:rsidRPr="00C5321E">
        <w:rPr>
          <w:rFonts w:ascii="Times New Roman" w:hAnsi="Times New Roman" w:cs="Times New Roman"/>
          <w:i/>
          <w:iCs/>
        </w:rPr>
        <w:t>40</w:t>
      </w:r>
      <w:r w:rsidRPr="00C5321E">
        <w:rPr>
          <w:rFonts w:ascii="Times New Roman" w:hAnsi="Times New Roman" w:cs="Times New Roman"/>
        </w:rPr>
        <w:t>(3), 338-351.</w:t>
      </w:r>
    </w:p>
    <w:p w14:paraId="6BB4E274" w14:textId="77777777" w:rsidR="00056A43" w:rsidRDefault="00056A43" w:rsidP="00056A43">
      <w:pPr>
        <w:spacing w:line="480" w:lineRule="auto"/>
        <w:ind w:left="720" w:hanging="720"/>
        <w:rPr>
          <w:rFonts w:ascii="Times New Roman" w:hAnsi="Times New Roman" w:cs="Times New Roman"/>
        </w:rPr>
      </w:pPr>
      <w:r w:rsidRPr="00656564">
        <w:rPr>
          <w:rFonts w:ascii="Times New Roman" w:hAnsi="Times New Roman" w:cs="Times New Roman"/>
        </w:rPr>
        <w:lastRenderedPageBreak/>
        <w:t>Vaisey, S., &amp; Miles, A. (2017). What you can—and can’t—do with three-wave panel data. </w:t>
      </w:r>
      <w:r w:rsidRPr="00656564">
        <w:rPr>
          <w:rFonts w:ascii="Times New Roman" w:hAnsi="Times New Roman" w:cs="Times New Roman"/>
          <w:i/>
          <w:iCs/>
        </w:rPr>
        <w:t>Sociological Methods &amp; Research</w:t>
      </w:r>
      <w:r w:rsidRPr="00656564">
        <w:rPr>
          <w:rFonts w:ascii="Times New Roman" w:hAnsi="Times New Roman" w:cs="Times New Roman"/>
        </w:rPr>
        <w:t>, </w:t>
      </w:r>
      <w:r w:rsidRPr="00656564">
        <w:rPr>
          <w:rFonts w:ascii="Times New Roman" w:hAnsi="Times New Roman" w:cs="Times New Roman"/>
          <w:i/>
          <w:iCs/>
        </w:rPr>
        <w:t>46</w:t>
      </w:r>
      <w:r w:rsidRPr="00656564">
        <w:rPr>
          <w:rFonts w:ascii="Times New Roman" w:hAnsi="Times New Roman" w:cs="Times New Roman"/>
        </w:rPr>
        <w:t>(1), 44-67.</w:t>
      </w:r>
    </w:p>
    <w:p w14:paraId="15605B01" w14:textId="77777777" w:rsidR="00056A43" w:rsidRPr="00AF4220" w:rsidRDefault="00056A43" w:rsidP="00056A43">
      <w:pPr>
        <w:spacing w:line="480" w:lineRule="auto"/>
        <w:ind w:left="720" w:hanging="720"/>
        <w:rPr>
          <w:rFonts w:ascii="Times New Roman" w:hAnsi="Times New Roman" w:cs="Times New Roman"/>
        </w:rPr>
      </w:pPr>
      <w:r w:rsidRPr="00AF4220">
        <w:rPr>
          <w:rFonts w:ascii="Times New Roman" w:hAnsi="Times New Roman" w:cs="Times New Roman"/>
        </w:rPr>
        <w:t>Whitehead, A. L., &amp; Stroope, S. (2015). Small groups, contexts, and civic engagement: A multilevel analysis of United States Congregational Life Survey data. </w:t>
      </w:r>
      <w:r w:rsidRPr="00AF4220">
        <w:rPr>
          <w:rFonts w:ascii="Times New Roman" w:hAnsi="Times New Roman" w:cs="Times New Roman"/>
          <w:i/>
          <w:iCs/>
        </w:rPr>
        <w:t>Social Science Research</w:t>
      </w:r>
      <w:r w:rsidRPr="00AF4220">
        <w:rPr>
          <w:rFonts w:ascii="Times New Roman" w:hAnsi="Times New Roman" w:cs="Times New Roman"/>
        </w:rPr>
        <w:t>, </w:t>
      </w:r>
      <w:r w:rsidRPr="00AF4220">
        <w:rPr>
          <w:rFonts w:ascii="Times New Roman" w:hAnsi="Times New Roman" w:cs="Times New Roman"/>
          <w:i/>
          <w:iCs/>
        </w:rPr>
        <w:t>52</w:t>
      </w:r>
      <w:r w:rsidRPr="00AF4220">
        <w:rPr>
          <w:rFonts w:ascii="Times New Roman" w:hAnsi="Times New Roman" w:cs="Times New Roman"/>
        </w:rPr>
        <w:t>, 659-670.</w:t>
      </w:r>
    </w:p>
    <w:p w14:paraId="2C8FE758" w14:textId="77777777" w:rsidR="00056A43" w:rsidRDefault="00056A43" w:rsidP="00056A43">
      <w:pPr>
        <w:spacing w:line="480" w:lineRule="auto"/>
        <w:ind w:left="720" w:hanging="720"/>
        <w:rPr>
          <w:rFonts w:ascii="Times New Roman" w:hAnsi="Times New Roman" w:cs="Times New Roman"/>
        </w:rPr>
      </w:pPr>
      <w:r w:rsidRPr="003337AB">
        <w:rPr>
          <w:rFonts w:ascii="Times New Roman" w:hAnsi="Times New Roman" w:cs="Times New Roman"/>
        </w:rPr>
        <w:t>Williams, R., Allison, P. D., &amp; Moral-Benito, E. (2018). Linear dynamic panel-data estimation using maximum likelihood and structural equation modeling. </w:t>
      </w:r>
      <w:r w:rsidRPr="003337AB">
        <w:rPr>
          <w:rFonts w:ascii="Times New Roman" w:hAnsi="Times New Roman" w:cs="Times New Roman"/>
          <w:i/>
          <w:iCs/>
        </w:rPr>
        <w:t>The Stata Journal</w:t>
      </w:r>
      <w:r w:rsidRPr="003337AB">
        <w:rPr>
          <w:rFonts w:ascii="Times New Roman" w:hAnsi="Times New Roman" w:cs="Times New Roman"/>
        </w:rPr>
        <w:t>, </w:t>
      </w:r>
      <w:r w:rsidRPr="003337AB">
        <w:rPr>
          <w:rFonts w:ascii="Times New Roman" w:hAnsi="Times New Roman" w:cs="Times New Roman"/>
          <w:i/>
          <w:iCs/>
        </w:rPr>
        <w:t>18</w:t>
      </w:r>
      <w:r w:rsidRPr="003337AB">
        <w:rPr>
          <w:rFonts w:ascii="Times New Roman" w:hAnsi="Times New Roman" w:cs="Times New Roman"/>
        </w:rPr>
        <w:t>(2), 293-326.</w:t>
      </w:r>
    </w:p>
    <w:p w14:paraId="27AAD45E" w14:textId="77777777" w:rsidR="00056A43" w:rsidRDefault="00056A43" w:rsidP="00056A43">
      <w:pPr>
        <w:spacing w:line="480" w:lineRule="auto"/>
        <w:ind w:left="720" w:hanging="720"/>
        <w:rPr>
          <w:rFonts w:ascii="Times New Roman" w:hAnsi="Times New Roman" w:cs="Times New Roman"/>
        </w:rPr>
      </w:pPr>
      <w:r w:rsidRPr="008757B9">
        <w:rPr>
          <w:rFonts w:ascii="Times New Roman" w:hAnsi="Times New Roman" w:cs="Times New Roman"/>
        </w:rPr>
        <w:t xml:space="preserve">Yang, Y., &amp; Land, K. C. (2008). Age–period–cohort analysis of repeated cross-section surveys: fixed or random </w:t>
      </w:r>
      <w:proofErr w:type="gramStart"/>
      <w:r w:rsidRPr="008757B9">
        <w:rPr>
          <w:rFonts w:ascii="Times New Roman" w:hAnsi="Times New Roman" w:cs="Times New Roman"/>
        </w:rPr>
        <w:t>effects?.</w:t>
      </w:r>
      <w:proofErr w:type="gramEnd"/>
      <w:r w:rsidRPr="008757B9">
        <w:rPr>
          <w:rFonts w:ascii="Times New Roman" w:hAnsi="Times New Roman" w:cs="Times New Roman"/>
        </w:rPr>
        <w:t> </w:t>
      </w:r>
      <w:r w:rsidRPr="008757B9">
        <w:rPr>
          <w:rFonts w:ascii="Times New Roman" w:hAnsi="Times New Roman" w:cs="Times New Roman"/>
          <w:i/>
          <w:iCs/>
        </w:rPr>
        <w:t>Sociological methods &amp; research</w:t>
      </w:r>
      <w:r w:rsidRPr="008757B9">
        <w:rPr>
          <w:rFonts w:ascii="Times New Roman" w:hAnsi="Times New Roman" w:cs="Times New Roman"/>
        </w:rPr>
        <w:t>, </w:t>
      </w:r>
      <w:r w:rsidRPr="008757B9">
        <w:rPr>
          <w:rFonts w:ascii="Times New Roman" w:hAnsi="Times New Roman" w:cs="Times New Roman"/>
          <w:i/>
          <w:iCs/>
        </w:rPr>
        <w:t>36</w:t>
      </w:r>
      <w:r w:rsidRPr="008757B9">
        <w:rPr>
          <w:rFonts w:ascii="Times New Roman" w:hAnsi="Times New Roman" w:cs="Times New Roman"/>
        </w:rPr>
        <w:t>(3), 297-326.</w:t>
      </w:r>
    </w:p>
    <w:p w14:paraId="5FA1D2DE" w14:textId="77777777" w:rsidR="00056A43" w:rsidRDefault="00056A43" w:rsidP="00056A43">
      <w:pPr>
        <w:spacing w:line="480" w:lineRule="auto"/>
        <w:ind w:left="720" w:hanging="720"/>
        <w:rPr>
          <w:rFonts w:ascii="Times New Roman" w:hAnsi="Times New Roman" w:cs="Times New Roman"/>
        </w:rPr>
      </w:pPr>
      <w:r w:rsidRPr="007C5CC1">
        <w:rPr>
          <w:rFonts w:ascii="Times New Roman" w:hAnsi="Times New Roman" w:cs="Times New Roman"/>
        </w:rPr>
        <w:t>Zhang, S., &amp; Xiang, W. (2019). Income gradient in health-related quality of life—The role of social networking time. </w:t>
      </w:r>
      <w:r w:rsidRPr="007C5CC1">
        <w:rPr>
          <w:rFonts w:ascii="Times New Roman" w:hAnsi="Times New Roman" w:cs="Times New Roman"/>
          <w:i/>
          <w:iCs/>
        </w:rPr>
        <w:t>International journal for equity in health</w:t>
      </w:r>
      <w:r w:rsidRPr="007C5CC1">
        <w:rPr>
          <w:rFonts w:ascii="Times New Roman" w:hAnsi="Times New Roman" w:cs="Times New Roman"/>
        </w:rPr>
        <w:t>, </w:t>
      </w:r>
      <w:r w:rsidRPr="007C5CC1">
        <w:rPr>
          <w:rFonts w:ascii="Times New Roman" w:hAnsi="Times New Roman" w:cs="Times New Roman"/>
          <w:i/>
          <w:iCs/>
        </w:rPr>
        <w:t>18</w:t>
      </w:r>
      <w:r w:rsidRPr="007C5CC1">
        <w:rPr>
          <w:rFonts w:ascii="Times New Roman" w:hAnsi="Times New Roman" w:cs="Times New Roman"/>
        </w:rPr>
        <w:t>(1), 1-10.</w:t>
      </w:r>
    </w:p>
    <w:p w14:paraId="5DEB0A6A" w14:textId="77777777" w:rsidR="003E47D0" w:rsidRPr="00C16709" w:rsidRDefault="003E47D0" w:rsidP="00C16709">
      <w:pPr>
        <w:rPr>
          <w:rFonts w:ascii="Times New Roman" w:hAnsi="Times New Roman" w:cs="Times New Roman"/>
        </w:rPr>
      </w:pPr>
    </w:p>
    <w:p w14:paraId="38A36B9C" w14:textId="77777777" w:rsidR="00C16709" w:rsidRPr="00D417F5" w:rsidRDefault="00C16709">
      <w:pPr>
        <w:rPr>
          <w:rFonts w:ascii="Times New Roman" w:hAnsi="Times New Roman" w:cs="Times New Roman"/>
        </w:rPr>
      </w:pPr>
    </w:p>
    <w:sectPr w:rsidR="00C16709" w:rsidRPr="00D41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60A3E" w14:textId="77777777" w:rsidR="00F00784" w:rsidRDefault="00F00784" w:rsidP="00A9201F">
      <w:pPr>
        <w:spacing w:after="0" w:line="240" w:lineRule="auto"/>
      </w:pPr>
      <w:r>
        <w:separator/>
      </w:r>
    </w:p>
  </w:endnote>
  <w:endnote w:type="continuationSeparator" w:id="0">
    <w:p w14:paraId="4C239AB5" w14:textId="77777777" w:rsidR="00F00784" w:rsidRDefault="00F00784" w:rsidP="00A92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305F7" w14:textId="77777777" w:rsidR="00F00784" w:rsidRDefault="00F00784" w:rsidP="00A9201F">
      <w:pPr>
        <w:spacing w:after="0" w:line="240" w:lineRule="auto"/>
      </w:pPr>
      <w:r>
        <w:separator/>
      </w:r>
    </w:p>
  </w:footnote>
  <w:footnote w:type="continuationSeparator" w:id="0">
    <w:p w14:paraId="0311D80C" w14:textId="77777777" w:rsidR="00F00784" w:rsidRDefault="00F00784" w:rsidP="00A9201F">
      <w:pPr>
        <w:spacing w:after="0" w:line="240" w:lineRule="auto"/>
      </w:pPr>
      <w:r>
        <w:continuationSeparator/>
      </w:r>
    </w:p>
  </w:footnote>
  <w:footnote w:id="1">
    <w:p w14:paraId="0848D826" w14:textId="5EA0DED8" w:rsidR="00C378E6" w:rsidRPr="00CB63DB" w:rsidRDefault="00C378E6">
      <w:pPr>
        <w:pStyle w:val="FootnoteText"/>
        <w:rPr>
          <w:rFonts w:ascii="Times New Roman" w:hAnsi="Times New Roman" w:cs="Times New Roman"/>
        </w:rPr>
      </w:pPr>
      <w:r w:rsidRPr="00CB63DB">
        <w:rPr>
          <w:rStyle w:val="FootnoteReference"/>
          <w:rFonts w:ascii="Times New Roman" w:hAnsi="Times New Roman" w:cs="Times New Roman"/>
        </w:rPr>
        <w:footnoteRef/>
      </w:r>
      <w:r w:rsidRPr="00CB63DB">
        <w:rPr>
          <w:rFonts w:ascii="Times New Roman" w:hAnsi="Times New Roman" w:cs="Times New Roman"/>
        </w:rPr>
        <w:t xml:space="preserve"> Information obtained from the GSS website: </w:t>
      </w:r>
      <w:hyperlink r:id="rId1" w:history="1">
        <w:r w:rsidRPr="00CB63DB">
          <w:rPr>
            <w:rStyle w:val="Hyperlink"/>
            <w:rFonts w:ascii="Times New Roman" w:hAnsi="Times New Roman" w:cs="Times New Roman"/>
          </w:rPr>
          <w:t>https://gss.norc.org/About-The-GSS</w:t>
        </w:r>
      </w:hyperlink>
      <w:r w:rsidRPr="00CB63DB">
        <w:rPr>
          <w:rFonts w:ascii="Times New Roman" w:hAnsi="Times New Roman" w:cs="Times New Roman"/>
        </w:rPr>
        <w:t xml:space="preserve"> </w:t>
      </w:r>
    </w:p>
  </w:footnote>
  <w:footnote w:id="2">
    <w:p w14:paraId="25887D1C" w14:textId="67133EBA" w:rsidR="00A9201F" w:rsidRDefault="00A9201F">
      <w:pPr>
        <w:pStyle w:val="FootnoteText"/>
      </w:pPr>
      <w:r w:rsidRPr="00CB63DB">
        <w:rPr>
          <w:rStyle w:val="FootnoteReference"/>
          <w:rFonts w:ascii="Times New Roman" w:hAnsi="Times New Roman" w:cs="Times New Roman"/>
        </w:rPr>
        <w:footnoteRef/>
      </w:r>
      <w:r w:rsidRPr="00CB63DB">
        <w:rPr>
          <w:rFonts w:ascii="Times New Roman" w:hAnsi="Times New Roman" w:cs="Times New Roman"/>
        </w:rPr>
        <w:t xml:space="preserve"> Panstat tracks whether a respondent was selected and reinterviewed (1 = Selected, Eligible, and Re-Interviewed, 2 = Not Selected, 3 = Selected, but not re-interviewed, 4 = Selected, but not eligible and not re-interviewed because R was deceased, 5 = Selected, but not eligible and not re-interviewed because R was permanently incapacitated, outside the U.S., or otherwise out of scope)</w:t>
      </w:r>
    </w:p>
  </w:footnote>
  <w:footnote w:id="3">
    <w:p w14:paraId="0BE7DBFD" w14:textId="687ADD81" w:rsidR="00662623" w:rsidRPr="00E67866" w:rsidRDefault="00662623">
      <w:pPr>
        <w:pStyle w:val="FootnoteText"/>
        <w:rPr>
          <w:rFonts w:ascii="Times New Roman" w:hAnsi="Times New Roman" w:cs="Times New Roman"/>
        </w:rPr>
      </w:pPr>
      <w:r w:rsidRPr="00E67866">
        <w:rPr>
          <w:rStyle w:val="FootnoteReference"/>
          <w:rFonts w:ascii="Times New Roman" w:hAnsi="Times New Roman" w:cs="Times New Roman"/>
        </w:rPr>
        <w:footnoteRef/>
      </w:r>
      <w:r w:rsidRPr="00E67866">
        <w:rPr>
          <w:rFonts w:ascii="Times New Roman" w:hAnsi="Times New Roman" w:cs="Times New Roman"/>
        </w:rPr>
        <w:t xml:space="preserve"> Paxton’s research also </w:t>
      </w:r>
      <w:proofErr w:type="gramStart"/>
      <w:r w:rsidRPr="00E67866">
        <w:rPr>
          <w:rFonts w:ascii="Times New Roman" w:hAnsi="Times New Roman" w:cs="Times New Roman"/>
        </w:rPr>
        <w:t>looked into</w:t>
      </w:r>
      <w:proofErr w:type="gramEnd"/>
      <w:r w:rsidRPr="00E67866">
        <w:rPr>
          <w:rFonts w:ascii="Times New Roman" w:hAnsi="Times New Roman" w:cs="Times New Roman"/>
        </w:rPr>
        <w:t xml:space="preserve"> elements of trust in institutions and of social connections, which </w:t>
      </w:r>
      <w:r w:rsidR="00721927" w:rsidRPr="00E67866">
        <w:rPr>
          <w:rFonts w:ascii="Times New Roman" w:hAnsi="Times New Roman" w:cs="Times New Roman"/>
        </w:rPr>
        <w:t xml:space="preserve">relates back to the use of </w:t>
      </w:r>
      <w:r w:rsidR="00713305" w:rsidRPr="00E67866">
        <w:rPr>
          <w:rFonts w:ascii="Times New Roman" w:hAnsi="Times New Roman" w:cs="Times New Roman"/>
        </w:rPr>
        <w:t>social participation as an independent variable (Figure 1 and Figure 2)</w:t>
      </w:r>
    </w:p>
  </w:footnote>
  <w:footnote w:id="4">
    <w:p w14:paraId="688096C8" w14:textId="30DB74A2" w:rsidR="00B62381" w:rsidRPr="00B831A5" w:rsidRDefault="00B62381">
      <w:pPr>
        <w:pStyle w:val="FootnoteText"/>
        <w:rPr>
          <w:rFonts w:ascii="Times New Roman" w:hAnsi="Times New Roman" w:cs="Times New Roman"/>
        </w:rPr>
      </w:pPr>
      <w:r w:rsidRPr="00B831A5">
        <w:rPr>
          <w:rStyle w:val="FootnoteReference"/>
          <w:rFonts w:ascii="Times New Roman" w:hAnsi="Times New Roman" w:cs="Times New Roman"/>
        </w:rPr>
        <w:footnoteRef/>
      </w:r>
      <w:r w:rsidRPr="00B831A5">
        <w:rPr>
          <w:rFonts w:ascii="Times New Roman" w:hAnsi="Times New Roman" w:cs="Times New Roman"/>
        </w:rPr>
        <w:t xml:space="preserve"> Two STATA commands exist to</w:t>
      </w:r>
      <w:r w:rsidR="00B645C0" w:rsidRPr="00B831A5">
        <w:rPr>
          <w:rFonts w:ascii="Times New Roman" w:hAnsi="Times New Roman" w:cs="Times New Roman"/>
        </w:rPr>
        <w:t xml:space="preserve"> produce this method: xtdpdml by Williams, </w:t>
      </w:r>
      <w:proofErr w:type="gramStart"/>
      <w:r w:rsidR="00B645C0" w:rsidRPr="00B831A5">
        <w:rPr>
          <w:rFonts w:ascii="Times New Roman" w:hAnsi="Times New Roman" w:cs="Times New Roman"/>
        </w:rPr>
        <w:t>Allison</w:t>
      </w:r>
      <w:proofErr w:type="gramEnd"/>
      <w:r w:rsidR="00B645C0" w:rsidRPr="00B831A5">
        <w:rPr>
          <w:rFonts w:ascii="Times New Roman" w:hAnsi="Times New Roman" w:cs="Times New Roman"/>
        </w:rPr>
        <w:t xml:space="preserve"> and Moral-Benito (2018) and xtdpdqml by </w:t>
      </w:r>
      <w:r w:rsidR="006B1C8E" w:rsidRPr="00B831A5">
        <w:rPr>
          <w:rFonts w:ascii="Times New Roman" w:hAnsi="Times New Roman" w:cs="Times New Roman"/>
        </w:rPr>
        <w:t>Kripfganz (2016), which instead uses quasi-maximum likelihood estimation for shorter T panels.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D6B64"/>
    <w:multiLevelType w:val="multilevel"/>
    <w:tmpl w:val="49FA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91963"/>
    <w:multiLevelType w:val="multilevel"/>
    <w:tmpl w:val="4B2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970415">
    <w:abstractNumId w:val="0"/>
  </w:num>
  <w:num w:numId="2" w16cid:durableId="906887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1887"/>
    <w:rsid w:val="00001491"/>
    <w:rsid w:val="00007F11"/>
    <w:rsid w:val="00012F46"/>
    <w:rsid w:val="00025379"/>
    <w:rsid w:val="00025754"/>
    <w:rsid w:val="000279C5"/>
    <w:rsid w:val="00034D7E"/>
    <w:rsid w:val="00044484"/>
    <w:rsid w:val="000464B3"/>
    <w:rsid w:val="00046AEB"/>
    <w:rsid w:val="0005209F"/>
    <w:rsid w:val="00056A43"/>
    <w:rsid w:val="00074605"/>
    <w:rsid w:val="00085422"/>
    <w:rsid w:val="000862FA"/>
    <w:rsid w:val="00095586"/>
    <w:rsid w:val="000B3DCF"/>
    <w:rsid w:val="000B650B"/>
    <w:rsid w:val="000C0CAB"/>
    <w:rsid w:val="000D1189"/>
    <w:rsid w:val="000D1F9F"/>
    <w:rsid w:val="000D4AC3"/>
    <w:rsid w:val="000D7528"/>
    <w:rsid w:val="000E5EC7"/>
    <w:rsid w:val="000E7216"/>
    <w:rsid w:val="000F03B9"/>
    <w:rsid w:val="000F2C38"/>
    <w:rsid w:val="000F5AF3"/>
    <w:rsid w:val="000F5B54"/>
    <w:rsid w:val="00110CFA"/>
    <w:rsid w:val="00110ED8"/>
    <w:rsid w:val="0011648B"/>
    <w:rsid w:val="001216AF"/>
    <w:rsid w:val="00123791"/>
    <w:rsid w:val="001344F9"/>
    <w:rsid w:val="00137091"/>
    <w:rsid w:val="0014202A"/>
    <w:rsid w:val="0014463B"/>
    <w:rsid w:val="001503B0"/>
    <w:rsid w:val="0015611B"/>
    <w:rsid w:val="00162947"/>
    <w:rsid w:val="00163DA3"/>
    <w:rsid w:val="001741BA"/>
    <w:rsid w:val="0018180C"/>
    <w:rsid w:val="001A1D12"/>
    <w:rsid w:val="001A341C"/>
    <w:rsid w:val="001A48D5"/>
    <w:rsid w:val="001B02C4"/>
    <w:rsid w:val="001B0C34"/>
    <w:rsid w:val="001D178C"/>
    <w:rsid w:val="001E0223"/>
    <w:rsid w:val="001E0372"/>
    <w:rsid w:val="001E3116"/>
    <w:rsid w:val="001E6C43"/>
    <w:rsid w:val="001E7CB5"/>
    <w:rsid w:val="001F46A0"/>
    <w:rsid w:val="00201521"/>
    <w:rsid w:val="00202465"/>
    <w:rsid w:val="0020456D"/>
    <w:rsid w:val="0020488A"/>
    <w:rsid w:val="00205F6F"/>
    <w:rsid w:val="00214056"/>
    <w:rsid w:val="002172DA"/>
    <w:rsid w:val="00226B17"/>
    <w:rsid w:val="00227A14"/>
    <w:rsid w:val="00234BA6"/>
    <w:rsid w:val="00242B31"/>
    <w:rsid w:val="0024354E"/>
    <w:rsid w:val="00257FE4"/>
    <w:rsid w:val="00260C81"/>
    <w:rsid w:val="002654D6"/>
    <w:rsid w:val="00267E79"/>
    <w:rsid w:val="00270798"/>
    <w:rsid w:val="0027106B"/>
    <w:rsid w:val="00271F61"/>
    <w:rsid w:val="00276010"/>
    <w:rsid w:val="00285E10"/>
    <w:rsid w:val="00293A31"/>
    <w:rsid w:val="00296E80"/>
    <w:rsid w:val="002A2A15"/>
    <w:rsid w:val="002A3C87"/>
    <w:rsid w:val="002B4940"/>
    <w:rsid w:val="002C002A"/>
    <w:rsid w:val="002C582E"/>
    <w:rsid w:val="002C715E"/>
    <w:rsid w:val="002D6BB6"/>
    <w:rsid w:val="002E100E"/>
    <w:rsid w:val="002E520A"/>
    <w:rsid w:val="002F19AF"/>
    <w:rsid w:val="002F1DBE"/>
    <w:rsid w:val="002F49DF"/>
    <w:rsid w:val="003007D8"/>
    <w:rsid w:val="0030340E"/>
    <w:rsid w:val="00306A7C"/>
    <w:rsid w:val="00314599"/>
    <w:rsid w:val="00316C06"/>
    <w:rsid w:val="00317A22"/>
    <w:rsid w:val="00320C87"/>
    <w:rsid w:val="0032585A"/>
    <w:rsid w:val="003337AB"/>
    <w:rsid w:val="00340ED3"/>
    <w:rsid w:val="00346D2B"/>
    <w:rsid w:val="00355570"/>
    <w:rsid w:val="00355DB8"/>
    <w:rsid w:val="003619A9"/>
    <w:rsid w:val="00362C4F"/>
    <w:rsid w:val="00365608"/>
    <w:rsid w:val="00373F0F"/>
    <w:rsid w:val="00374BC9"/>
    <w:rsid w:val="00377656"/>
    <w:rsid w:val="00382619"/>
    <w:rsid w:val="00387214"/>
    <w:rsid w:val="00390A6D"/>
    <w:rsid w:val="003910BF"/>
    <w:rsid w:val="00393582"/>
    <w:rsid w:val="0039628B"/>
    <w:rsid w:val="00397531"/>
    <w:rsid w:val="003A1F94"/>
    <w:rsid w:val="003B22E6"/>
    <w:rsid w:val="003C6009"/>
    <w:rsid w:val="003D6389"/>
    <w:rsid w:val="003E039A"/>
    <w:rsid w:val="003E0728"/>
    <w:rsid w:val="003E0B4D"/>
    <w:rsid w:val="003E4785"/>
    <w:rsid w:val="003E47D0"/>
    <w:rsid w:val="003F3B38"/>
    <w:rsid w:val="003F6813"/>
    <w:rsid w:val="003F7139"/>
    <w:rsid w:val="004142E3"/>
    <w:rsid w:val="004201AF"/>
    <w:rsid w:val="00420A5E"/>
    <w:rsid w:val="00421B8C"/>
    <w:rsid w:val="00426A49"/>
    <w:rsid w:val="00443AD5"/>
    <w:rsid w:val="00444258"/>
    <w:rsid w:val="004472E6"/>
    <w:rsid w:val="00453A4D"/>
    <w:rsid w:val="00456DF0"/>
    <w:rsid w:val="00461C12"/>
    <w:rsid w:val="00463BFF"/>
    <w:rsid w:val="004701A3"/>
    <w:rsid w:val="0047020D"/>
    <w:rsid w:val="00470D71"/>
    <w:rsid w:val="00477B8C"/>
    <w:rsid w:val="0048008A"/>
    <w:rsid w:val="00481BE9"/>
    <w:rsid w:val="00487D2D"/>
    <w:rsid w:val="00491641"/>
    <w:rsid w:val="004934C9"/>
    <w:rsid w:val="004A546A"/>
    <w:rsid w:val="004A6BF0"/>
    <w:rsid w:val="004A726E"/>
    <w:rsid w:val="004A74AE"/>
    <w:rsid w:val="004C1F53"/>
    <w:rsid w:val="004C3058"/>
    <w:rsid w:val="004C6B3B"/>
    <w:rsid w:val="004D35F9"/>
    <w:rsid w:val="004D4812"/>
    <w:rsid w:val="004D7BBE"/>
    <w:rsid w:val="004E09B7"/>
    <w:rsid w:val="004E4430"/>
    <w:rsid w:val="004E6A02"/>
    <w:rsid w:val="004E7442"/>
    <w:rsid w:val="004F2612"/>
    <w:rsid w:val="0050078B"/>
    <w:rsid w:val="00510C39"/>
    <w:rsid w:val="00514D25"/>
    <w:rsid w:val="00520E95"/>
    <w:rsid w:val="0053340E"/>
    <w:rsid w:val="00540B1C"/>
    <w:rsid w:val="00541FF0"/>
    <w:rsid w:val="00543AC6"/>
    <w:rsid w:val="00545AFA"/>
    <w:rsid w:val="005537FB"/>
    <w:rsid w:val="005614D4"/>
    <w:rsid w:val="005754DE"/>
    <w:rsid w:val="00584E97"/>
    <w:rsid w:val="00593DED"/>
    <w:rsid w:val="005B0CDD"/>
    <w:rsid w:val="005B47B6"/>
    <w:rsid w:val="005B7CB8"/>
    <w:rsid w:val="005C0FB1"/>
    <w:rsid w:val="005C562C"/>
    <w:rsid w:val="005E1A6A"/>
    <w:rsid w:val="005F34B8"/>
    <w:rsid w:val="0060205E"/>
    <w:rsid w:val="00602C1C"/>
    <w:rsid w:val="006050E5"/>
    <w:rsid w:val="00615B74"/>
    <w:rsid w:val="00620D9E"/>
    <w:rsid w:val="006217F7"/>
    <w:rsid w:val="006229A9"/>
    <w:rsid w:val="00632149"/>
    <w:rsid w:val="006353FD"/>
    <w:rsid w:val="0063576B"/>
    <w:rsid w:val="006469F7"/>
    <w:rsid w:val="00647C20"/>
    <w:rsid w:val="006508C8"/>
    <w:rsid w:val="00656564"/>
    <w:rsid w:val="00662623"/>
    <w:rsid w:val="00664059"/>
    <w:rsid w:val="00682522"/>
    <w:rsid w:val="006967E6"/>
    <w:rsid w:val="006A15D7"/>
    <w:rsid w:val="006A5223"/>
    <w:rsid w:val="006B106C"/>
    <w:rsid w:val="006B1C8E"/>
    <w:rsid w:val="006B6091"/>
    <w:rsid w:val="006B69AC"/>
    <w:rsid w:val="006B7442"/>
    <w:rsid w:val="006C3842"/>
    <w:rsid w:val="006C6C45"/>
    <w:rsid w:val="006D0A3C"/>
    <w:rsid w:val="006D3229"/>
    <w:rsid w:val="006D587F"/>
    <w:rsid w:val="006D74C7"/>
    <w:rsid w:val="006F120A"/>
    <w:rsid w:val="007060EE"/>
    <w:rsid w:val="00713305"/>
    <w:rsid w:val="00720F4A"/>
    <w:rsid w:val="00721927"/>
    <w:rsid w:val="00724795"/>
    <w:rsid w:val="00724CBF"/>
    <w:rsid w:val="00733309"/>
    <w:rsid w:val="00736078"/>
    <w:rsid w:val="007364A5"/>
    <w:rsid w:val="007373FF"/>
    <w:rsid w:val="00737638"/>
    <w:rsid w:val="00743C92"/>
    <w:rsid w:val="00744414"/>
    <w:rsid w:val="00752716"/>
    <w:rsid w:val="00752C4A"/>
    <w:rsid w:val="007545B8"/>
    <w:rsid w:val="00757513"/>
    <w:rsid w:val="0076206C"/>
    <w:rsid w:val="00764453"/>
    <w:rsid w:val="007703FB"/>
    <w:rsid w:val="0077043B"/>
    <w:rsid w:val="007905EB"/>
    <w:rsid w:val="00791052"/>
    <w:rsid w:val="007910F1"/>
    <w:rsid w:val="007967B9"/>
    <w:rsid w:val="007A7069"/>
    <w:rsid w:val="007A749A"/>
    <w:rsid w:val="007A7EAE"/>
    <w:rsid w:val="007B09F1"/>
    <w:rsid w:val="007B6C53"/>
    <w:rsid w:val="007B6F73"/>
    <w:rsid w:val="007C5CC1"/>
    <w:rsid w:val="007C79B5"/>
    <w:rsid w:val="007D15EF"/>
    <w:rsid w:val="007D477B"/>
    <w:rsid w:val="007E3486"/>
    <w:rsid w:val="007E55DD"/>
    <w:rsid w:val="007E72CF"/>
    <w:rsid w:val="007E73F7"/>
    <w:rsid w:val="007F00C9"/>
    <w:rsid w:val="008076C1"/>
    <w:rsid w:val="00813946"/>
    <w:rsid w:val="008179CE"/>
    <w:rsid w:val="00822EC1"/>
    <w:rsid w:val="008314F8"/>
    <w:rsid w:val="00834690"/>
    <w:rsid w:val="00840199"/>
    <w:rsid w:val="008520B7"/>
    <w:rsid w:val="0085610F"/>
    <w:rsid w:val="008622D1"/>
    <w:rsid w:val="0086296B"/>
    <w:rsid w:val="00866FC3"/>
    <w:rsid w:val="00873970"/>
    <w:rsid w:val="008757B9"/>
    <w:rsid w:val="00875DE7"/>
    <w:rsid w:val="008773B6"/>
    <w:rsid w:val="00887405"/>
    <w:rsid w:val="008908B4"/>
    <w:rsid w:val="00891F5F"/>
    <w:rsid w:val="008945F5"/>
    <w:rsid w:val="00896C7D"/>
    <w:rsid w:val="00897234"/>
    <w:rsid w:val="008A7577"/>
    <w:rsid w:val="008B00F4"/>
    <w:rsid w:val="008B16BC"/>
    <w:rsid w:val="008C0F7B"/>
    <w:rsid w:val="008E192F"/>
    <w:rsid w:val="008E20D2"/>
    <w:rsid w:val="008E6473"/>
    <w:rsid w:val="008F14AE"/>
    <w:rsid w:val="008F27E6"/>
    <w:rsid w:val="008F3798"/>
    <w:rsid w:val="008F4D6A"/>
    <w:rsid w:val="009041EE"/>
    <w:rsid w:val="009152EA"/>
    <w:rsid w:val="00915E03"/>
    <w:rsid w:val="0092158D"/>
    <w:rsid w:val="0093010D"/>
    <w:rsid w:val="00944CDD"/>
    <w:rsid w:val="0095084A"/>
    <w:rsid w:val="00953813"/>
    <w:rsid w:val="0096220B"/>
    <w:rsid w:val="0096326E"/>
    <w:rsid w:val="0096362E"/>
    <w:rsid w:val="009642B2"/>
    <w:rsid w:val="0096713A"/>
    <w:rsid w:val="00967D4D"/>
    <w:rsid w:val="00980AB8"/>
    <w:rsid w:val="009845DA"/>
    <w:rsid w:val="009866B6"/>
    <w:rsid w:val="00987BDA"/>
    <w:rsid w:val="009A33E3"/>
    <w:rsid w:val="009A3CD7"/>
    <w:rsid w:val="009A5E5E"/>
    <w:rsid w:val="009A790C"/>
    <w:rsid w:val="009A7C39"/>
    <w:rsid w:val="009B6574"/>
    <w:rsid w:val="009B7086"/>
    <w:rsid w:val="009C52E6"/>
    <w:rsid w:val="009D48AB"/>
    <w:rsid w:val="009E023A"/>
    <w:rsid w:val="009E03C5"/>
    <w:rsid w:val="009F056A"/>
    <w:rsid w:val="009F66E4"/>
    <w:rsid w:val="00A02C72"/>
    <w:rsid w:val="00A10756"/>
    <w:rsid w:val="00A27387"/>
    <w:rsid w:val="00A31F5A"/>
    <w:rsid w:val="00A335C7"/>
    <w:rsid w:val="00A35B0E"/>
    <w:rsid w:val="00A37BA0"/>
    <w:rsid w:val="00A37FAC"/>
    <w:rsid w:val="00A43CC3"/>
    <w:rsid w:val="00A4576C"/>
    <w:rsid w:val="00A51D2D"/>
    <w:rsid w:val="00A52873"/>
    <w:rsid w:val="00A5542F"/>
    <w:rsid w:val="00A641E7"/>
    <w:rsid w:val="00A71C5E"/>
    <w:rsid w:val="00A76103"/>
    <w:rsid w:val="00A77D00"/>
    <w:rsid w:val="00A802BE"/>
    <w:rsid w:val="00A81621"/>
    <w:rsid w:val="00A9201F"/>
    <w:rsid w:val="00A934F7"/>
    <w:rsid w:val="00A93590"/>
    <w:rsid w:val="00A93787"/>
    <w:rsid w:val="00A93AD9"/>
    <w:rsid w:val="00A97C70"/>
    <w:rsid w:val="00AA0B53"/>
    <w:rsid w:val="00AA406B"/>
    <w:rsid w:val="00AC2D01"/>
    <w:rsid w:val="00AD198D"/>
    <w:rsid w:val="00AD2756"/>
    <w:rsid w:val="00AD71D3"/>
    <w:rsid w:val="00AE0DB2"/>
    <w:rsid w:val="00AF2D74"/>
    <w:rsid w:val="00AF4220"/>
    <w:rsid w:val="00B02CFA"/>
    <w:rsid w:val="00B05428"/>
    <w:rsid w:val="00B0638F"/>
    <w:rsid w:val="00B100E8"/>
    <w:rsid w:val="00B15FD1"/>
    <w:rsid w:val="00B207F6"/>
    <w:rsid w:val="00B32280"/>
    <w:rsid w:val="00B33BB8"/>
    <w:rsid w:val="00B33FF4"/>
    <w:rsid w:val="00B34556"/>
    <w:rsid w:val="00B43BF2"/>
    <w:rsid w:val="00B614CF"/>
    <w:rsid w:val="00B62381"/>
    <w:rsid w:val="00B633AB"/>
    <w:rsid w:val="00B645C0"/>
    <w:rsid w:val="00B672CB"/>
    <w:rsid w:val="00B73365"/>
    <w:rsid w:val="00B742A5"/>
    <w:rsid w:val="00B7482B"/>
    <w:rsid w:val="00B76419"/>
    <w:rsid w:val="00B82B95"/>
    <w:rsid w:val="00B831A5"/>
    <w:rsid w:val="00B869A6"/>
    <w:rsid w:val="00B95FD8"/>
    <w:rsid w:val="00B975DC"/>
    <w:rsid w:val="00B97903"/>
    <w:rsid w:val="00BA2C53"/>
    <w:rsid w:val="00BA7D5A"/>
    <w:rsid w:val="00BB5B2E"/>
    <w:rsid w:val="00BC027C"/>
    <w:rsid w:val="00BC5D9B"/>
    <w:rsid w:val="00BD4FB6"/>
    <w:rsid w:val="00BD5E8A"/>
    <w:rsid w:val="00BD5E9B"/>
    <w:rsid w:val="00BE13B9"/>
    <w:rsid w:val="00BE20BE"/>
    <w:rsid w:val="00BE458B"/>
    <w:rsid w:val="00BE607D"/>
    <w:rsid w:val="00BF484B"/>
    <w:rsid w:val="00C017EF"/>
    <w:rsid w:val="00C105D1"/>
    <w:rsid w:val="00C16709"/>
    <w:rsid w:val="00C37123"/>
    <w:rsid w:val="00C378E6"/>
    <w:rsid w:val="00C43376"/>
    <w:rsid w:val="00C5321E"/>
    <w:rsid w:val="00C60A3E"/>
    <w:rsid w:val="00C6427D"/>
    <w:rsid w:val="00C64E80"/>
    <w:rsid w:val="00C66BBE"/>
    <w:rsid w:val="00C716FB"/>
    <w:rsid w:val="00C734F9"/>
    <w:rsid w:val="00C81A10"/>
    <w:rsid w:val="00C8203B"/>
    <w:rsid w:val="00C83CB7"/>
    <w:rsid w:val="00C878FE"/>
    <w:rsid w:val="00C93C1D"/>
    <w:rsid w:val="00C97C3A"/>
    <w:rsid w:val="00CA0C54"/>
    <w:rsid w:val="00CA460A"/>
    <w:rsid w:val="00CB132D"/>
    <w:rsid w:val="00CB4BCA"/>
    <w:rsid w:val="00CB63DB"/>
    <w:rsid w:val="00CC00C3"/>
    <w:rsid w:val="00CC36F3"/>
    <w:rsid w:val="00CC405E"/>
    <w:rsid w:val="00CC60A9"/>
    <w:rsid w:val="00CD5479"/>
    <w:rsid w:val="00CD68AB"/>
    <w:rsid w:val="00CE3FD4"/>
    <w:rsid w:val="00CE4BBB"/>
    <w:rsid w:val="00CE65D2"/>
    <w:rsid w:val="00CE78E1"/>
    <w:rsid w:val="00CF0746"/>
    <w:rsid w:val="00CF52F8"/>
    <w:rsid w:val="00D01A1E"/>
    <w:rsid w:val="00D04D82"/>
    <w:rsid w:val="00D075C4"/>
    <w:rsid w:val="00D11A26"/>
    <w:rsid w:val="00D21EC3"/>
    <w:rsid w:val="00D25A79"/>
    <w:rsid w:val="00D367B2"/>
    <w:rsid w:val="00D417F5"/>
    <w:rsid w:val="00D4690F"/>
    <w:rsid w:val="00D52D7F"/>
    <w:rsid w:val="00D53E7D"/>
    <w:rsid w:val="00D72347"/>
    <w:rsid w:val="00D770B4"/>
    <w:rsid w:val="00D770FE"/>
    <w:rsid w:val="00D77DAF"/>
    <w:rsid w:val="00D848F4"/>
    <w:rsid w:val="00D859D1"/>
    <w:rsid w:val="00D939F7"/>
    <w:rsid w:val="00DA27BD"/>
    <w:rsid w:val="00DB599F"/>
    <w:rsid w:val="00DC18F5"/>
    <w:rsid w:val="00DE10E6"/>
    <w:rsid w:val="00DE2D6E"/>
    <w:rsid w:val="00DE4F2E"/>
    <w:rsid w:val="00DF1A78"/>
    <w:rsid w:val="00E269B0"/>
    <w:rsid w:val="00E32B6A"/>
    <w:rsid w:val="00E351E1"/>
    <w:rsid w:val="00E43243"/>
    <w:rsid w:val="00E43B65"/>
    <w:rsid w:val="00E4767A"/>
    <w:rsid w:val="00E5122E"/>
    <w:rsid w:val="00E662DE"/>
    <w:rsid w:val="00E67866"/>
    <w:rsid w:val="00E80A0B"/>
    <w:rsid w:val="00E82879"/>
    <w:rsid w:val="00E85DEC"/>
    <w:rsid w:val="00E90C09"/>
    <w:rsid w:val="00E930C7"/>
    <w:rsid w:val="00E955BF"/>
    <w:rsid w:val="00E97069"/>
    <w:rsid w:val="00EA1468"/>
    <w:rsid w:val="00EA31DF"/>
    <w:rsid w:val="00EB1887"/>
    <w:rsid w:val="00EB2C07"/>
    <w:rsid w:val="00EB32A1"/>
    <w:rsid w:val="00EB3EA4"/>
    <w:rsid w:val="00EB5194"/>
    <w:rsid w:val="00EB6BD4"/>
    <w:rsid w:val="00EE0F9A"/>
    <w:rsid w:val="00EE467D"/>
    <w:rsid w:val="00EE553F"/>
    <w:rsid w:val="00EE70C1"/>
    <w:rsid w:val="00EF1602"/>
    <w:rsid w:val="00EF4FBC"/>
    <w:rsid w:val="00EF6965"/>
    <w:rsid w:val="00F00784"/>
    <w:rsid w:val="00F00922"/>
    <w:rsid w:val="00F03517"/>
    <w:rsid w:val="00F037CA"/>
    <w:rsid w:val="00F058EF"/>
    <w:rsid w:val="00F05F5D"/>
    <w:rsid w:val="00F06A56"/>
    <w:rsid w:val="00F10945"/>
    <w:rsid w:val="00F23760"/>
    <w:rsid w:val="00F4088D"/>
    <w:rsid w:val="00F507A4"/>
    <w:rsid w:val="00F50E53"/>
    <w:rsid w:val="00F529B6"/>
    <w:rsid w:val="00F55350"/>
    <w:rsid w:val="00F56CB5"/>
    <w:rsid w:val="00F5791D"/>
    <w:rsid w:val="00F6531A"/>
    <w:rsid w:val="00F672A8"/>
    <w:rsid w:val="00F73603"/>
    <w:rsid w:val="00F7521A"/>
    <w:rsid w:val="00F75779"/>
    <w:rsid w:val="00F75A95"/>
    <w:rsid w:val="00F86408"/>
    <w:rsid w:val="00F8660E"/>
    <w:rsid w:val="00F92B67"/>
    <w:rsid w:val="00F94751"/>
    <w:rsid w:val="00F948D6"/>
    <w:rsid w:val="00F955DB"/>
    <w:rsid w:val="00F97E56"/>
    <w:rsid w:val="00FA3975"/>
    <w:rsid w:val="00FD30F5"/>
    <w:rsid w:val="00FD5B8E"/>
    <w:rsid w:val="00FD710D"/>
    <w:rsid w:val="00FD7340"/>
    <w:rsid w:val="00FE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DEEE"/>
  <w15:docId w15:val="{694B5CAC-A6F9-4B7D-ABC5-622EE372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6C1"/>
    <w:rPr>
      <w:color w:val="0563C1" w:themeColor="hyperlink"/>
      <w:u w:val="single"/>
    </w:rPr>
  </w:style>
  <w:style w:type="character" w:styleId="UnresolvedMention">
    <w:name w:val="Unresolved Mention"/>
    <w:basedOn w:val="DefaultParagraphFont"/>
    <w:uiPriority w:val="99"/>
    <w:semiHidden/>
    <w:unhideWhenUsed/>
    <w:rsid w:val="008076C1"/>
    <w:rPr>
      <w:color w:val="605E5C"/>
      <w:shd w:val="clear" w:color="auto" w:fill="E1DFDD"/>
    </w:rPr>
  </w:style>
  <w:style w:type="paragraph" w:styleId="FootnoteText">
    <w:name w:val="footnote text"/>
    <w:basedOn w:val="Normal"/>
    <w:link w:val="FootnoteTextChar"/>
    <w:uiPriority w:val="99"/>
    <w:semiHidden/>
    <w:unhideWhenUsed/>
    <w:rsid w:val="00A920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201F"/>
    <w:rPr>
      <w:sz w:val="20"/>
      <w:szCs w:val="20"/>
    </w:rPr>
  </w:style>
  <w:style w:type="character" w:styleId="FootnoteReference">
    <w:name w:val="footnote reference"/>
    <w:basedOn w:val="DefaultParagraphFont"/>
    <w:uiPriority w:val="99"/>
    <w:semiHidden/>
    <w:unhideWhenUsed/>
    <w:rsid w:val="00A9201F"/>
    <w:rPr>
      <w:vertAlign w:val="superscript"/>
    </w:rPr>
  </w:style>
  <w:style w:type="character" w:styleId="PlaceholderText">
    <w:name w:val="Placeholder Text"/>
    <w:basedOn w:val="DefaultParagraphFont"/>
    <w:uiPriority w:val="99"/>
    <w:semiHidden/>
    <w:rsid w:val="00EB2C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51305">
      <w:bodyDiv w:val="1"/>
      <w:marLeft w:val="0"/>
      <w:marRight w:val="0"/>
      <w:marTop w:val="0"/>
      <w:marBottom w:val="0"/>
      <w:divBdr>
        <w:top w:val="none" w:sz="0" w:space="0" w:color="auto"/>
        <w:left w:val="none" w:sz="0" w:space="0" w:color="auto"/>
        <w:bottom w:val="none" w:sz="0" w:space="0" w:color="auto"/>
        <w:right w:val="none" w:sz="0" w:space="0" w:color="auto"/>
      </w:divBdr>
    </w:div>
    <w:div w:id="744184799">
      <w:bodyDiv w:val="1"/>
      <w:marLeft w:val="0"/>
      <w:marRight w:val="0"/>
      <w:marTop w:val="0"/>
      <w:marBottom w:val="0"/>
      <w:divBdr>
        <w:top w:val="none" w:sz="0" w:space="0" w:color="auto"/>
        <w:left w:val="none" w:sz="0" w:space="0" w:color="auto"/>
        <w:bottom w:val="none" w:sz="0" w:space="0" w:color="auto"/>
        <w:right w:val="none" w:sz="0" w:space="0" w:color="auto"/>
      </w:divBdr>
    </w:div>
    <w:div w:id="878132857">
      <w:bodyDiv w:val="1"/>
      <w:marLeft w:val="0"/>
      <w:marRight w:val="0"/>
      <w:marTop w:val="0"/>
      <w:marBottom w:val="0"/>
      <w:divBdr>
        <w:top w:val="none" w:sz="0" w:space="0" w:color="auto"/>
        <w:left w:val="none" w:sz="0" w:space="0" w:color="auto"/>
        <w:bottom w:val="none" w:sz="0" w:space="0" w:color="auto"/>
        <w:right w:val="none" w:sz="0" w:space="0" w:color="auto"/>
      </w:divBdr>
    </w:div>
    <w:div w:id="881208180">
      <w:bodyDiv w:val="1"/>
      <w:marLeft w:val="0"/>
      <w:marRight w:val="0"/>
      <w:marTop w:val="0"/>
      <w:marBottom w:val="0"/>
      <w:divBdr>
        <w:top w:val="none" w:sz="0" w:space="0" w:color="auto"/>
        <w:left w:val="none" w:sz="0" w:space="0" w:color="auto"/>
        <w:bottom w:val="none" w:sz="0" w:space="0" w:color="auto"/>
        <w:right w:val="none" w:sz="0" w:space="0" w:color="auto"/>
      </w:divBdr>
    </w:div>
    <w:div w:id="1491171050">
      <w:bodyDiv w:val="1"/>
      <w:marLeft w:val="0"/>
      <w:marRight w:val="0"/>
      <w:marTop w:val="0"/>
      <w:marBottom w:val="0"/>
      <w:divBdr>
        <w:top w:val="none" w:sz="0" w:space="0" w:color="auto"/>
        <w:left w:val="none" w:sz="0" w:space="0" w:color="auto"/>
        <w:bottom w:val="none" w:sz="0" w:space="0" w:color="auto"/>
        <w:right w:val="none" w:sz="0" w:space="0" w:color="auto"/>
      </w:divBdr>
    </w:div>
    <w:div w:id="1730035172">
      <w:bodyDiv w:val="1"/>
      <w:marLeft w:val="0"/>
      <w:marRight w:val="0"/>
      <w:marTop w:val="0"/>
      <w:marBottom w:val="0"/>
      <w:divBdr>
        <w:top w:val="none" w:sz="0" w:space="0" w:color="auto"/>
        <w:left w:val="none" w:sz="0" w:space="0" w:color="auto"/>
        <w:bottom w:val="none" w:sz="0" w:space="0" w:color="auto"/>
        <w:right w:val="none" w:sz="0" w:space="0" w:color="auto"/>
      </w:divBdr>
    </w:div>
    <w:div w:id="1960136606">
      <w:bodyDiv w:val="1"/>
      <w:marLeft w:val="0"/>
      <w:marRight w:val="0"/>
      <w:marTop w:val="0"/>
      <w:marBottom w:val="0"/>
      <w:divBdr>
        <w:top w:val="none" w:sz="0" w:space="0" w:color="auto"/>
        <w:left w:val="none" w:sz="0" w:space="0" w:color="auto"/>
        <w:bottom w:val="none" w:sz="0" w:space="0" w:color="auto"/>
        <w:right w:val="none" w:sz="0" w:space="0" w:color="auto"/>
      </w:divBdr>
    </w:div>
    <w:div w:id="2107800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electionstudies.org/anes-2024-award/" TargetMode="External"/><Relationship Id="rId3" Type="http://schemas.openxmlformats.org/officeDocument/2006/relationships/styles" Target="styles.xml"/><Relationship Id="rId21" Type="http://schemas.openxmlformats.org/officeDocument/2006/relationships/hyperlink" Target="https://www.cdc.gov/nchs/data/dvs/national-marriage-divorce-rates-00-20.pdf"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doi.org/10.17605/OSF.IO/HACZV" TargetMode="External"/><Relationship Id="rId2" Type="http://schemas.openxmlformats.org/officeDocument/2006/relationships/numbering" Target="numbering.xml"/><Relationship Id="rId16" Type="http://schemas.openxmlformats.org/officeDocument/2006/relationships/hyperlink" Target="http://www.electionstudies.org/" TargetMode="External"/><Relationship Id="rId20" Type="http://schemas.openxmlformats.org/officeDocument/2006/relationships/hyperlink" Target="https://www.pewresearch.org/internet/2021/09/01/the-internet-and-the-pandem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s://amai.org/covid19/descargas/SocialGlobalWebIndex.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ss.norc.org/About-The-G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F6DB9-9CC3-4A73-806F-297997C6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4925</TotalTime>
  <Pages>26</Pages>
  <Words>5783</Words>
  <Characters>32967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Michele Giunti</cp:lastModifiedBy>
  <cp:revision>507</cp:revision>
  <dcterms:created xsi:type="dcterms:W3CDTF">2022-11-17T14:35:00Z</dcterms:created>
  <dcterms:modified xsi:type="dcterms:W3CDTF">2022-11-21T20:22:00Z</dcterms:modified>
</cp:coreProperties>
</file>