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600200" cy="16002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00200" cy="1600200"/>
                    </a:xfrm>
                    <a:prstGeom prst="rect"/>
                  </pic:spPr>
                </pic:pic>
              </a:graphicData>
            </a:graphic>
          </wp:inline>
        </w:drawing>
      </w:r>
    </w:p>
    <w:p>
      <w:pPr>
        <w:pStyle w:val="DOHeading1"/>
      </w:pPr>
      <w:r>
        <w:t>Angry Dolphin -- D&amp;O Underwriting Worksheet</w:t>
      </w:r>
    </w:p>
    <w:p>
      <w:pPr>
        <w:pStyle w:val="DOHeading2"/>
      </w:pPr>
      <w:r>
        <w:t>CATERPILLAR INC (CAT)</w:t>
      </w:r>
    </w:p>
    <w:p>
      <w:pPr>
        <w:pStyle w:val="DOBody"/>
      </w:pPr>
      <w:r>
        <w:rPr>
          <w:color w:val="666666"/>
          <w:sz w:val="20"/>
        </w:rPr>
        <w:t>Generated: April 03, 2026</w:t>
      </w:r>
    </w:p>
    <w:p>
      <w:r>
        <w:fldChar w:fldCharType="begin"/>
        <w:instrText xml:space="preserve"> TOC \o "1-3" \h \z \u </w:instrText>
        <w:fldChar w:fldCharType="separate"/>
      </w:r>
      <w:r>
        <w:rPr>
          <w:color w:val="999999"/>
          <w:sz w:val="18"/>
        </w:rPr>
        <w:t>[Table of Contents -- Update in Word]</w:t>
      </w:r>
      <w:r>
        <w:fldChar w:fldCharType="end"/>
      </w:r>
    </w:p>
    <w:p>
      <w:pPr>
        <w:spacing w:before="120" w:after="40"/>
        <w:pBdr>
          <w:bottom w:val="single" w:sz="6" w:space="1" w:color="FFD000"/>
        </w:pBdr>
      </w:pPr>
    </w:p>
    <w:p>
      <w:pPr>
        <w:pStyle w:val="DOBody"/>
        <w:spacing w:before="40" w:after="120"/>
      </w:pPr>
      <w:r>
        <w:rPr>
          <w:color w:val="333333"/>
          <w:sz w:val="20"/>
        </w:rPr>
        <w:t>CATERPILLAR INC.’s D&amp;O risk profile is bifurcated, with a strong operational and financial base undermined by acute, high-severity legal threats. The company’s inherent risk score of 8.72% and a composite score of 88.2 place it in the "WALK" tier, necessitating a restrictive underwriting stance of "Excess/Side A only, with a high attachment point." This positioning is directly driven by two critical red flags: an active DOJ criminal investigation, which imposes a 30-point scoring ceiling, and whistleblower language referencing "retaliation" in SEC filings, indicating potential FCA or SEC actions and imposing a 100-point ceiling. These governance failures are compounded by a significant prior litigation deduction of 3.19 points from 70 identified signals and a 3.13-point deduction for M&amp;A activity. The resulting claim probability band of 4.17% to 5.95% is MODERATE but skewed toward high-severity events that would trigger Side A coverage. Mitigants include a clean SEC enforcement pipeline, an Altman Z-Score showing no financial distress, and stable C-suite tenure over the last 18 months. However, the DOJ probe and whistleblower evidence create a binary litigation risk that outweighs CAT’s $335.6B market cap and positive free cash flow. Consequently, primary layers are unwritable; capacity should be directed solely to excess layers protecting individual director assets.</w:t>
      </w:r>
    </w:p>
    <w:p>
      <w:pPr>
        <w:pStyle w:val="DOHeading1"/>
      </w:pPr>
      <w:r>
        <w:t>Executive Summary</w:t>
      </w:r>
    </w:p>
    <w:p>
      <w:pPr>
        <w:pStyle w:val="DOHeading2"/>
      </w:pPr>
      <w:r>
        <w:t>Underwriting Thesis</w:t>
      </w:r>
    </w:p>
    <w:p>
      <w:pPr>
        <w:pStyle w:val="DOBody"/>
      </w:pPr>
      <w:r>
        <w:rPr>
          <w:color w:val="1A1446"/>
        </w:rPr>
        <w:t>CATERPILLAR INC is a $335.6B (Decile 1 of 10) mega-cap industrials company that would normally present as a stronger underwriting account were it not for critical red flags: DOJ Criminal Investigation and Active DOJ Criminal Investigation. These findings impose a hard quality score ceiling of 30, placing the account in WALK tier (26/100) regardless of other favorable factors. The primary risk driver is Prior Litigation, driving elevated risk in this area. Signal-driven scoring: 70 signals, coverage=100%. At a 4-6% claim probability (8.7% adjusted rate, 3.5x the Industrials sector baseline of 2.5%), this account requires high-excess positioning with elevated attachment.</w:t>
      </w:r>
    </w:p>
    <w:p>
      <w:pPr>
        <w:pStyle w:val="DOHeading3"/>
      </w:pPr>
      <w:r>
        <w:t>Company Snapshot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Attribute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Company</w:t>
            </w:r>
          </w:p>
        </w:tc>
        <w:tc>
          <w:tcPr>
            <w:tcW w:type="dxa" w:w="3360"/>
          </w:tcPr>
          <w:p>
            <w:r>
              <w:rPr>
                <w:rFonts w:ascii="Calibri" w:hAnsi="Calibri"/>
                <w:color w:val="333333"/>
                <w:sz w:val="18"/>
              </w:rPr>
              <w:t>CATERPILLAR INC</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CAT</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NYSE</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Industrials</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Industry</w:t>
            </w:r>
          </w:p>
        </w:tc>
        <w:tc>
          <w:tcPr>
            <w:tcW w:type="dxa" w:w="3360"/>
          </w:tcPr>
          <w:p>
            <w:r>
              <w:rPr>
                <w:rFonts w:ascii="Calibri" w:hAnsi="Calibri"/>
                <w:color w:val="333333"/>
                <w:sz w:val="18"/>
              </w:rPr>
              <w:t>Farm &amp; Heavy Construction Machinery</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Market Cap</w:t>
            </w:r>
          </w:p>
        </w:tc>
        <w:tc>
          <w:tcPr>
            <w:tcW w:type="dxa" w:w="3360"/>
            <w:shd w:fill="F2F4F8" w:val="clear"/>
          </w:tcPr>
          <w:p>
            <w:r>
              <w:rPr>
                <w:rFonts w:ascii="Calibri" w:hAnsi="Calibri"/>
                <w:color w:val="333333"/>
                <w:sz w:val="18"/>
              </w:rPr>
              <w:t>$335.6B  [Decile 1 (largest ~400 accounts)]  (Ranks at the 100th percentile among 9 peers)</w:t>
            </w:r>
          </w:p>
        </w:tc>
        <w:tc>
          <w:tcPr>
            <w:tcW w:type="dxa" w:w="3360"/>
            <w:shd w:fill="F2F4F8" w:val="clear"/>
          </w:tcPr>
          <w:p>
            <w:r>
              <w:rPr>
                <w:rFonts w:ascii="Calibri" w:hAnsi="Calibri"/>
                <w:color w:val="333333"/>
                <w:sz w:val="18"/>
              </w:rPr>
              <w:t>[yfinance, filed 2026-04-03, MEDIUM confidence]</w:t>
            </w:r>
          </w:p>
        </w:tc>
      </w:tr>
      <w:tr>
        <w:tc>
          <w:tcPr>
            <w:tcW w:type="dxa" w:w="3360"/>
          </w:tcPr>
          <w:p>
            <w:r>
              <w:rPr>
                <w:rFonts w:ascii="Calibri" w:hAnsi="Calibri"/>
                <w:color w:val="333333"/>
                <w:sz w:val="18"/>
              </w:rPr>
              <w:t>Revenue</w:t>
            </w:r>
          </w:p>
        </w:tc>
        <w:tc>
          <w:tcPr>
            <w:tcW w:type="dxa" w:w="3360"/>
          </w:tcPr>
          <w:p>
            <w:r>
              <w:rPr>
                <w:rFonts w:ascii="Calibri" w:hAnsi="Calibri"/>
                <w:color w:val="333333"/>
                <w:sz w:val="18"/>
              </w:rPr>
              <w:t>$67.6B</w:t>
            </w:r>
          </w:p>
        </w:tc>
        <w:tc>
          <w:tcPr>
            <w:tcW w:type="dxa" w:w="3360"/>
          </w:tcPr>
          <w:p>
            <w:r>
              <w:rPr>
                <w:rFonts w:ascii="Calibri" w:hAnsi="Calibri"/>
                <w:color w:val="333333"/>
                <w:sz w:val="18"/>
              </w:rPr>
              <w:t>[10-K 2025-12-31 CIK18230 accn:0000018230-26-000008, filed 2025-12-31, HIGH confidence]</w:t>
            </w:r>
          </w:p>
        </w:tc>
      </w:tr>
      <w:tr>
        <w:tc>
          <w:tcPr>
            <w:tcW w:type="dxa" w:w="3360"/>
            <w:shd w:fill="F2F4F8" w:val="clear"/>
          </w:tcPr>
          <w:p>
            <w:r>
              <w:rPr>
                <w:rFonts w:ascii="Calibri" w:hAnsi="Calibri"/>
                <w:color w:val="333333"/>
                <w:sz w:val="18"/>
              </w:rPr>
              <w:t>Employees</w:t>
            </w:r>
          </w:p>
        </w:tc>
        <w:tc>
          <w:tcPr>
            <w:tcW w:type="dxa" w:w="3360"/>
            <w:shd w:fill="F2F4F8" w:val="clear"/>
          </w:tcPr>
          <w:p>
            <w:r>
              <w:rPr>
                <w:rFonts w:ascii="Calibri" w:hAnsi="Calibri"/>
                <w:color w:val="333333"/>
                <w:sz w:val="18"/>
              </w:rPr>
              <w:t>118,000</w:t>
            </w:r>
          </w:p>
        </w:tc>
        <w:tc>
          <w:tcPr>
            <w:tcW w:type="dxa" w:w="3360"/>
            <w:shd w:fill="F2F4F8" w:val="clear"/>
          </w:tcPr>
          <w:p>
            <w:r>
              <w:rPr>
                <w:rFonts w:ascii="Calibri" w:hAnsi="Calibri"/>
                <w:color w:val="333333"/>
                <w:sz w:val="18"/>
              </w:rPr>
              <w:t>[yfinance, filed 2026-04-03, MEDIUM confidence]</w:t>
            </w:r>
          </w:p>
        </w:tc>
      </w:tr>
      <w:tr>
        <w:tc>
          <w:tcPr>
            <w:tcW w:type="dxa" w:w="3360"/>
          </w:tcPr>
          <w:p>
            <w:r>
              <w:rPr>
                <w:rFonts w:ascii="Calibri" w:hAnsi="Calibri"/>
                <w:color w:val="333333"/>
                <w:sz w:val="18"/>
              </w:rPr>
              <w:t>SIC</w:t>
            </w:r>
          </w:p>
        </w:tc>
        <w:tc>
          <w:tcPr>
            <w:tcW w:type="dxa" w:w="3360"/>
          </w:tcPr>
          <w:p>
            <w:r>
              <w:rPr>
                <w:rFonts w:ascii="Calibri" w:hAnsi="Calibri"/>
                <w:color w:val="333333"/>
                <w:sz w:val="18"/>
              </w:rPr>
              <w:t>3531 -- Construction Machinery &amp; Equip</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FPI Status</w:t>
            </w:r>
          </w:p>
        </w:tc>
        <w:tc>
          <w:tcPr>
            <w:tcW w:type="dxa" w:w="3360"/>
            <w:shd w:fill="F2F4F8" w:val="clear"/>
          </w:tcPr>
          <w:p>
            <w:r>
              <w:rPr>
                <w:rFonts w:ascii="Calibri" w:hAnsi="Calibri"/>
                <w:color w:val="333333"/>
                <w:sz w:val="18"/>
              </w:rPr>
              <w:t>No</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Fiscal Year End</w:t>
            </w:r>
          </w:p>
        </w:tc>
        <w:tc>
          <w:tcPr>
            <w:tcW w:type="dxa" w:w="3360"/>
          </w:tcPr>
          <w:p>
            <w:r>
              <w:rPr>
                <w:rFonts w:ascii="Calibri" w:hAnsi="Calibri"/>
                <w:color w:val="333333"/>
                <w:sz w:val="18"/>
              </w:rPr>
              <w:t>12-31</w:t>
            </w:r>
          </w:p>
        </w:tc>
        <w:tc>
          <w:tcPr>
            <w:tcW w:type="dxa" w:w="3360"/>
          </w:tcPr>
          <w:p>
            <w:r>
              <w:rPr>
                <w:rFonts w:ascii="Calibri" w:hAnsi="Calibri"/>
                <w:color w:val="333333"/>
                <w:sz w:val="18"/>
              </w:rPr>
            </w:r>
          </w:p>
        </w:tc>
      </w:tr>
    </w:tbl>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Tier</w:t>
            </w:r>
          </w:p>
        </w:tc>
        <w:tc>
          <w:tcPr>
            <w:tcW w:type="dxa" w:w="5040"/>
          </w:tcPr>
          <w:p>
            <w:r>
              <w:rPr>
                <w:rFonts w:ascii="Calibri" w:hAnsi="Calibri"/>
                <w:color w:val="333333"/>
                <w:sz w:val="18"/>
              </w:rPr>
              <w:t>WALK</w:t>
            </w:r>
          </w:p>
        </w:tc>
      </w:tr>
      <w:tr>
        <w:tc>
          <w:tcPr>
            <w:tcW w:type="dxa" w:w="5040"/>
            <w:shd w:fill="F2F4F8" w:val="clear"/>
          </w:tcPr>
          <w:p>
            <w:r>
              <w:rPr>
                <w:rFonts w:ascii="Calibri" w:hAnsi="Calibri"/>
                <w:color w:val="333333"/>
                <w:sz w:val="18"/>
              </w:rPr>
              <w:t>Composite Score</w:t>
            </w:r>
          </w:p>
        </w:tc>
        <w:tc>
          <w:tcPr>
            <w:tcW w:type="dxa" w:w="5040"/>
            <w:shd w:fill="F2F4F8" w:val="clear"/>
          </w:tcPr>
          <w:p>
            <w:r>
              <w:rPr>
                <w:rFonts w:ascii="Calibri" w:hAnsi="Calibri"/>
                <w:color w:val="333333"/>
                <w:sz w:val="18"/>
              </w:rPr>
              <w:t>88.2/100</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25.5/100</w:t>
            </w:r>
          </w:p>
        </w:tc>
      </w:tr>
      <w:tr>
        <w:tc>
          <w:tcPr>
            <w:tcW w:type="dxa" w:w="5040"/>
            <w:shd w:fill="F2F4F8" w:val="clear"/>
          </w:tcPr>
          <w:p>
            <w:r>
              <w:rPr>
                <w:rFonts w:ascii="Calibri" w:hAnsi="Calibri"/>
                <w:color w:val="333333"/>
                <w:sz w:val="18"/>
              </w:rPr>
              <w:t>Factor Breakdown</w:t>
            </w:r>
          </w:p>
        </w:tc>
        <w:tc>
          <w:tcPr>
            <w:tcW w:type="dxa" w:w="5040"/>
            <w:shd w:fill="F2F4F8" w:val="clear"/>
          </w:tcPr>
          <w:p>
            <w:r>
              <w:rPr>
                <w:rFonts w:ascii="Calibri" w:hAnsi="Calibri"/>
                <w:color w:val="333333"/>
                <w:sz w:val="18"/>
              </w:rPr>
              <w:t>F1: 3.2, F2: 0.7, F3: 1.5, F4: 3.1, F5: 0.3, F6: 1.5, F7: 0.6, F8: 0.0, F9: 0.7, F10: 0.1</w:t>
            </w:r>
          </w:p>
        </w:tc>
      </w:tr>
      <w:tr>
        <w:tc>
          <w:tcPr>
            <w:tcW w:type="dxa" w:w="5040"/>
          </w:tcPr>
          <w:p>
            <w:r>
              <w:rPr>
                <w:rFonts w:ascii="Calibri" w:hAnsi="Calibri"/>
                <w:color w:val="333333"/>
                <w:sz w:val="18"/>
              </w:rPr>
              <w:t>Score Ceiling</w:t>
            </w:r>
          </w:p>
        </w:tc>
        <w:tc>
          <w:tcPr>
            <w:tcW w:type="dxa" w:w="5040"/>
          </w:tcPr>
          <w:p>
            <w:r>
              <w:rPr>
                <w:rFonts w:ascii="Calibri" w:hAnsi="Calibri"/>
                <w:color w:val="333333"/>
                <w:sz w:val="18"/>
              </w:rPr>
              <w:t>Capped at 30 by CRF-3 (DOJ Criminal Investigation)</w:t>
            </w:r>
          </w:p>
        </w:tc>
      </w:tr>
      <w:tr>
        <w:tc>
          <w:tcPr>
            <w:tcW w:type="dxa" w:w="5040"/>
            <w:shd w:fill="F2F4F8" w:val="clear"/>
          </w:tcPr>
          <w:p>
            <w:r>
              <w:rPr>
                <w:rFonts w:ascii="Calibri" w:hAnsi="Calibri"/>
                <w:color w:val="333333"/>
                <w:sz w:val="18"/>
              </w:rPr>
              <w:t>Position</w:t>
            </w:r>
          </w:p>
        </w:tc>
        <w:tc>
          <w:tcPr>
            <w:tcW w:type="dxa" w:w="5040"/>
            <w:shd w:fill="F2F4F8" w:val="clear"/>
          </w:tcPr>
          <w:p>
            <w:r>
              <w:rPr>
                <w:rFonts w:ascii="Calibri" w:hAnsi="Calibri"/>
                <w:color w:val="333333"/>
                <w:sz w:val="18"/>
              </w:rPr>
              <w:t>88.2 falls in WALK range (11-30)</w:t>
            </w:r>
          </w:p>
        </w:tc>
      </w:tr>
      <w:tr>
        <w:tc>
          <w:tcPr>
            <w:tcW w:type="dxa" w:w="5040"/>
          </w:tcPr>
          <w:p>
            <w:r>
              <w:rPr>
                <w:rFonts w:ascii="Calibri" w:hAnsi="Calibri"/>
                <w:color w:val="333333"/>
                <w:sz w:val="18"/>
              </w:rPr>
              <w:t>Appetite</w:t>
            </w:r>
          </w:p>
        </w:tc>
        <w:tc>
          <w:tcPr>
            <w:tcW w:type="dxa" w:w="5040"/>
          </w:tcPr>
          <w:p>
            <w:r>
              <w:rPr>
                <w:rFonts w:ascii="Calibri" w:hAnsi="Calibri"/>
                <w:color w:val="333333"/>
                <w:sz w:val="18"/>
              </w:rPr>
              <w:t>Excess/Side A only, high attachment required</w:t>
            </w:r>
          </w:p>
        </w:tc>
      </w:tr>
    </w:tbl>
    <w:p>
      <w:pPr>
        <w:pStyle w:val="DOBody"/>
      </w:pPr>
      <w:r>
        <w:t>Classification: WALK</w:t>
      </w:r>
      <w:r>
        <w:rPr>
          <w:b/>
          <w:color w:val="DC2626"/>
          <w:sz w:val="18"/>
        </w:rPr>
        <w:t xml:space="preserve"> [CRITICAL]</w:t>
      </w:r>
    </w:p>
    <w:p>
      <w:pPr>
        <w:pStyle w:val="DOHeading3"/>
      </w:pPr>
      <w:r>
        <w:t>Inherent Risk Baseline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MEGA  [Decile 1 (largest ~400 accounts)]</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Industrials (Base rate: 2.5%)</w:t>
            </w:r>
          </w:p>
        </w:tc>
      </w:tr>
      <w:tr>
        <w:tc>
          <w:tcPr>
            <w:tcW w:type="dxa" w:w="5040"/>
          </w:tcPr>
          <w:p>
            <w:r>
              <w:rPr>
                <w:rFonts w:ascii="Calibri" w:hAnsi="Calibri"/>
                <w:color w:val="333333"/>
                <w:sz w:val="18"/>
              </w:rPr>
              <w:t>Size Adjustment</w:t>
            </w:r>
          </w:p>
        </w:tc>
        <w:tc>
          <w:tcPr>
            <w:tcW w:type="dxa" w:w="5040"/>
          </w:tcPr>
          <w:p>
            <w:r>
              <w:rPr>
                <w:rFonts w:ascii="Calibri" w:hAnsi="Calibri"/>
                <w:color w:val="333333"/>
                <w:sz w:val="18"/>
              </w:rPr>
              <w:t>1.56x (MEGA cap multiplier) -&gt; 3.9%</w:t>
            </w:r>
          </w:p>
        </w:tc>
      </w:tr>
      <w:tr>
        <w:tc>
          <w:tcPr>
            <w:tcW w:type="dxa" w:w="5040"/>
            <w:shd w:fill="F2F4F8" w:val="clear"/>
          </w:tcPr>
          <w:p>
            <w:r>
              <w:rPr>
                <w:rFonts w:ascii="Calibri" w:hAnsi="Calibri"/>
                <w:color w:val="333333"/>
                <w:sz w:val="18"/>
              </w:rPr>
              <w:t>Score Adjustment</w:t>
            </w:r>
          </w:p>
        </w:tc>
        <w:tc>
          <w:tcPr>
            <w:tcW w:type="dxa" w:w="5040"/>
            <w:shd w:fill="F2F4F8" w:val="clear"/>
          </w:tcPr>
          <w:p>
            <w:r>
              <w:rPr>
                <w:rFonts w:ascii="Calibri" w:hAnsi="Calibri"/>
                <w:color w:val="333333"/>
                <w:sz w:val="18"/>
              </w:rPr>
              <w:t>2.24x (quality score multiplier) -&gt; 8.7%</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Severity Percentile</w:t>
            </w:r>
          </w:p>
        </w:tc>
        <w:tc>
          <w:tcPr>
            <w:tcW w:type="dxa" w:w="5040"/>
            <w:shd w:fill="1A1446" w:val="clear"/>
          </w:tcPr>
          <w:p>
            <w:r>
              <w:rPr>
                <w:rFonts w:ascii="Calibri" w:hAnsi="Calibri"/>
                <w:b/>
                <w:color w:val="FFFFFF"/>
                <w:sz w:val="18"/>
              </w:rPr>
              <w:t>Settlement Estimate</w:t>
            </w:r>
          </w:p>
        </w:tc>
      </w:tr>
      <w:tr>
        <w:tc>
          <w:tcPr>
            <w:tcW w:type="dxa" w:w="5040"/>
          </w:tcPr>
          <w:p>
            <w:r>
              <w:rPr>
                <w:rFonts w:ascii="Calibri" w:hAnsi="Calibri"/>
                <w:color w:val="333333"/>
                <w:sz w:val="18"/>
              </w:rPr>
              <w:t>25th (favorable)</w:t>
            </w:r>
          </w:p>
        </w:tc>
        <w:tc>
          <w:tcPr>
            <w:tcW w:type="dxa" w:w="5040"/>
          </w:tcPr>
          <w:p>
            <w:r>
              <w:rPr>
                <w:rFonts w:ascii="Calibri" w:hAnsi="Calibri"/>
                <w:color w:val="333333"/>
                <w:sz w:val="18"/>
              </w:rPr>
              <w:t>$25.0M</w:t>
            </w:r>
          </w:p>
        </w:tc>
      </w:tr>
      <w:tr>
        <w:tc>
          <w:tcPr>
            <w:tcW w:type="dxa" w:w="5040"/>
            <w:shd w:fill="F2F4F8" w:val="clear"/>
          </w:tcPr>
          <w:p>
            <w:r>
              <w:rPr>
                <w:rFonts w:ascii="Calibri" w:hAnsi="Calibri"/>
                <w:color w:val="333333"/>
                <w:sz w:val="18"/>
              </w:rPr>
              <w:t>50th (median)</w:t>
            </w:r>
          </w:p>
        </w:tc>
        <w:tc>
          <w:tcPr>
            <w:tcW w:type="dxa" w:w="5040"/>
            <w:shd w:fill="F2F4F8" w:val="clear"/>
          </w:tcPr>
          <w:p>
            <w:r>
              <w:rPr>
                <w:rFonts w:ascii="Calibri" w:hAnsi="Calibri"/>
                <w:color w:val="333333"/>
                <w:sz w:val="18"/>
              </w:rPr>
              <w:t>$75.0M</w:t>
            </w:r>
          </w:p>
        </w:tc>
      </w:tr>
      <w:tr>
        <w:tc>
          <w:tcPr>
            <w:tcW w:type="dxa" w:w="5040"/>
          </w:tcPr>
          <w:p>
            <w:r>
              <w:rPr>
                <w:rFonts w:ascii="Calibri" w:hAnsi="Calibri"/>
                <w:color w:val="333333"/>
                <w:sz w:val="18"/>
              </w:rPr>
              <w:t>75th (adverse)</w:t>
            </w:r>
          </w:p>
        </w:tc>
        <w:tc>
          <w:tcPr>
            <w:tcW w:type="dxa" w:w="5040"/>
          </w:tcPr>
          <w:p>
            <w:r>
              <w:rPr>
                <w:rFonts w:ascii="Calibri" w:hAnsi="Calibri"/>
                <w:color w:val="333333"/>
                <w:sz w:val="18"/>
              </w:rPr>
              <w:t>$112.5M</w:t>
            </w:r>
          </w:p>
        </w:tc>
      </w:tr>
      <w:tr>
        <w:tc>
          <w:tcPr>
            <w:tcW w:type="dxa" w:w="5040"/>
            <w:shd w:fill="F2F4F8" w:val="clear"/>
          </w:tcPr>
          <w:p>
            <w:r>
              <w:rPr>
                <w:rFonts w:ascii="Calibri" w:hAnsi="Calibri"/>
                <w:color w:val="333333"/>
                <w:sz w:val="18"/>
              </w:rPr>
              <w:t>95th (catastrophic)</w:t>
            </w:r>
          </w:p>
        </w:tc>
        <w:tc>
          <w:tcPr>
            <w:tcW w:type="dxa" w:w="5040"/>
            <w:shd w:fill="F2F4F8" w:val="clear"/>
          </w:tcPr>
          <w:p>
            <w:r>
              <w:rPr>
                <w:rFonts w:ascii="Calibri" w:hAnsi="Calibri"/>
                <w:color w:val="333333"/>
                <w:sz w:val="18"/>
              </w:rPr>
              <w:t>$150.0M</w:t>
            </w:r>
          </w:p>
        </w:tc>
      </w:tr>
    </w:tbl>
    <w:p>
      <w:pPr>
        <w:pStyle w:val="DOBody"/>
      </w:pPr>
      <w:r>
        <w:t>At a 8.7% adjusted claim rate, the company faces 3.5x its sector baseline of 2.5% for Industrials companies. This rate reflects the MEGA cap multiplier (1.56x) combined with the quality score multiplier (2.24x from WALK tier classification). If the score improved to WRITE tier, the rate would drop to approximately 3.9%.</w:t>
      </w:r>
    </w:p>
    <w:p>
      <w:pPr>
        <w:pStyle w:val="DOCaption"/>
      </w:pPr>
      <w:r>
        <w:t>Note: NEEDS CALIBRATION</w:t>
      </w:r>
    </w:p>
    <w:p>
      <w:pPr>
        <w:pStyle w:val="DOHeading3"/>
      </w:pPr>
      <w:r>
        <w:t>Underwriting Headwinds</w:t>
      </w:r>
    </w:p>
    <w:p>
      <w:pPr>
        <w:pStyle w:val="DOBody"/>
      </w:pPr>
      <w:r>
        <w:rPr>
          <w:b/>
        </w:rPr>
        <w:t>1. DOJ Investigation</w:t>
      </w:r>
      <w:r>
        <w:rPr>
          <w:b/>
          <w:color w:val="DC2626"/>
          <w:sz w:val="18"/>
        </w:rPr>
        <w:t xml:space="preserve"> [CRITICAL]</w:t>
      </w:r>
    </w:p>
    <w:p>
      <w:pPr>
        <w:pStyle w:val="DOBody"/>
      </w:pPr>
      <w:r>
        <w:t>A federal DOJ investigation is pending against Caterpillar Inc.: DOJ criminal: investigation. DOJ investigations create derivative liability risk and signal governance failures that plaintiffs' counsel will incorporate into any securities complaint, strengthening scienter allegations. Criminal proceedings also create Side A exposure for individual directors and officers. This triggers a Critical Red Flag, imposing a score ceiling of 25. (see Litigation)</w:t>
      </w:r>
    </w:p>
    <w:p>
      <w:pPr>
        <w:pStyle w:val="DOBody"/>
      </w:pPr>
      <w:r>
        <w:rPr>
          <w:b/>
        </w:rPr>
        <w:t>2. Critical Red Flag</w:t>
      </w:r>
      <w:r>
        <w:rPr>
          <w:b/>
          <w:color w:val="DC2626"/>
          <w:sz w:val="18"/>
        </w:rPr>
        <w:t xml:space="preserve"> [CRITICAL]</w:t>
      </w:r>
    </w:p>
    <w:p>
      <w:pPr>
        <w:pStyle w:val="DOBody"/>
      </w:pPr>
      <w:r>
        <w:t>Critical Red Flag: Whistleblower/Qui Tam Disclosure — NLP whistleblower signal: Whistleblower/qui tam language detected: retaliation. Presence of such language in filings may indicate pending or potential False Claims Act or SEC whistleblower actions.. This triggers a Critical Red Flag, imposing a score ceiling of 25. (see Litigation)</w:t>
      </w:r>
    </w:p>
    <w:p>
      <w:pPr>
        <w:pStyle w:val="DOBody"/>
      </w:pPr>
      <w:r>
        <w:rPr>
          <w:b/>
        </w:rPr>
        <w:t>3. Structural Complexity &amp; Litigation History</w:t>
      </w:r>
      <w:r>
        <w:rPr>
          <w:b/>
          <w:color w:val="EA580C"/>
          <w:sz w:val="18"/>
        </w:rPr>
        <w:t xml:space="preserve"> [HIGH]</w:t>
      </w:r>
    </w:p>
    <w:p>
      <w:pPr>
        <w:pStyle w:val="DOBody"/>
      </w:pPr>
      <w:r>
        <w:t>The current docket includes 5 derivative suits. With 5 pending matters at $335.6B market cap, Caterpillar Inc. has an active litigation profile that will factor into loss-pick and pricing. (see Litigation)</w:t>
      </w:r>
    </w:p>
    <w:p>
      <w:pPr>
        <w:pStyle w:val="DOBody"/>
      </w:pPr>
      <w:r>
        <w:rPr>
          <w:b/>
        </w:rPr>
        <w:t>4. Transaction-Related Exposure</w:t>
      </w:r>
      <w:r>
        <w:rPr>
          <w:b/>
          <w:color w:val="EA580C"/>
          <w:sz w:val="18"/>
        </w:rPr>
        <w:t xml:space="preserve"> [HIGH]</w:t>
      </w:r>
    </w:p>
    <w:p>
      <w:pPr>
        <w:pStyle w:val="DOBody"/>
      </w:pPr>
      <w:r>
        <w:t>Caterpillar Inc. has transaction-related risk factors. At $335.6B market cap, transaction claims carry both Section 10(b) exposure (misleading disclosures) and Section 14(a) exposure (deficient proxy statements).</w:t>
      </w:r>
    </w:p>
    <w:p>
      <w:pPr>
        <w:pStyle w:val="DOBody"/>
      </w:pPr>
      <w:r>
        <w:rPr>
          <w:b/>
        </w:rPr>
        <w:t>5. Earnings Guidance Track Record</w:t>
      </w:r>
      <w:r>
        <w:rPr>
          <w:b/>
          <w:color w:val="EA580C"/>
          <w:sz w:val="18"/>
        </w:rPr>
        <w:t xml:space="preserve"> [HIGH]</w:t>
      </w:r>
    </w:p>
    <w:p>
      <w:pPr>
        <w:pStyle w:val="DOBody"/>
      </w:pPr>
      <w:r>
        <w:t>Caterpillar Inc. has missed earnings guidance in 5 quarters, with management credibility score at 79%. At $335.6B market cap with an estimated DDL of $2.9B, guidance misses generate large absolute loss figures that attract institutional lead plaintiffs. (see Market &amp; Trading)</w:t>
      </w:r>
    </w:p>
    <w:p>
      <w:pPr>
        <w:pStyle w:val="DOHeading3"/>
      </w:pPr>
      <w:r>
        <w:t>Risk Mitigants</w:t>
      </w:r>
    </w:p>
    <w:p>
      <w:pPr>
        <w:pStyle w:val="DOBody"/>
      </w:pPr>
      <w:r>
        <w:rPr>
          <w:b/>
        </w:rPr>
        <w:t>1. Clean Regulatory Record</w:t>
      </w:r>
    </w:p>
    <w:p>
      <w:pPr>
        <w:pStyle w:val="DOBody"/>
      </w:pPr>
      <w:r>
        <w:t>Caterpillar Inc. has no active SEC enforcement pipeline activity, open investigations, or pending Wells Notices. A clean regulatory record for Caterpillar Inc. eliminates the highest-severity D&amp;O claim catalyst and supports favorable underwriting consideration. (see Litigation)</w:t>
      </w:r>
    </w:p>
    <w:p>
      <w:pPr>
        <w:pStyle w:val="DOBody"/>
      </w:pPr>
      <w:r>
        <w:rPr>
          <w:b/>
        </w:rPr>
        <w:t>2. Sound Financial Position</w:t>
      </w:r>
    </w:p>
    <w:p>
      <w:pPr>
        <w:pStyle w:val="DOBody"/>
      </w:pPr>
      <w:r>
        <w:t>No financial distress indicators present (Altman Z-Score of 4.79, D/E of 1.70, current ratio of 1.4x, interest coverage of 7.5x). An Altman Z of 4.79 places Caterpillar Inc. firmly in the safe zone, eliminating going-concern, covenant violation, and creditor-related D&amp;O exposure. (see Financial Health)</w:t>
      </w:r>
    </w:p>
    <w:p>
      <w:pPr>
        <w:pStyle w:val="DOBody"/>
      </w:pPr>
      <w:r>
        <w:rPr>
          <w:b/>
        </w:rPr>
        <w:t>3. Stable Executive Leadership</w:t>
      </w:r>
    </w:p>
    <w:p>
      <w:pPr>
        <w:pStyle w:val="DOBody"/>
      </w:pPr>
      <w:r>
        <w:t>Joseph Creed has led Caterpillar Inc. for 2 years with no recent C-suite departures. While Joseph Creed leads the organization, the relatively brief 2-year tenure means limited track record for evaluating management's response to adversity. (see Governance)</w:t>
      </w:r>
    </w:p>
    <w:p>
      <w:pPr>
        <w:pStyle w:val="DOBody"/>
      </w:pPr>
      <w:r>
        <w:rPr>
          <w:b/>
        </w:rPr>
        <w:t>4. Low Short Interest</w:t>
      </w:r>
    </w:p>
    <w:p>
      <w:pPr>
        <w:pStyle w:val="DOBody"/>
      </w:pPr>
      <w:r>
        <w:t>Short interest is low at 1.7% of float, indicating institutional investors are not positioning against the stock. At 1.7%, short positioning is minimal -- there is no institutional bearish thesis driving potential short-seller reports or activist campaigns against Caterpillar Inc.. (see Market &amp; Trading)</w:t>
      </w:r>
    </w:p>
    <w:p>
      <w:pPr>
        <w:pStyle w:val="DOBody"/>
      </w:pPr>
      <w:r>
        <w:rPr>
          <w:b/>
        </w:rPr>
        <w:t xml:space="preserve">5. Positive free cash flow from most recent period, indicating </w:t>
      </w:r>
    </w:p>
    <w:p>
      <w:pPr>
        <w:pStyle w:val="DOBody"/>
      </w:pPr>
      <w:r>
        <w:t>Positive free cash flow from most recent period, indicating operational strength. (see Financial Health)</w:t>
      </w:r>
    </w:p>
    <w:p>
      <w:pPr>
        <w:pStyle w:val="DOHeading3"/>
      </w:pPr>
      <w:r>
        <w:t>Claim Probability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Band</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Company Rate</w:t>
            </w:r>
          </w:p>
        </w:tc>
        <w:tc>
          <w:tcPr>
            <w:tcW w:type="dxa" w:w="5040"/>
            <w:shd w:fill="F2F4F8" w:val="clear"/>
          </w:tcPr>
          <w:p>
            <w:r>
              <w:rPr>
                <w:rFonts w:ascii="Calibri" w:hAnsi="Calibri"/>
                <w:color w:val="333333"/>
                <w:sz w:val="18"/>
              </w:rPr>
              <w:t>4.2% - 6.0%</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2.5%</w:t>
            </w:r>
          </w:p>
        </w:tc>
      </w:tr>
      <w:tr>
        <w:tc>
          <w:tcPr>
            <w:tcW w:type="dxa" w:w="5040"/>
            <w:shd w:fill="F2F4F8" w:val="clear"/>
          </w:tcPr>
          <w:p>
            <w:r>
              <w:rPr>
                <w:rFonts w:ascii="Calibri" w:hAnsi="Calibri"/>
                <w:color w:val="333333"/>
                <w:sz w:val="18"/>
              </w:rPr>
              <w:t>Severity Favorable</w:t>
            </w:r>
          </w:p>
        </w:tc>
        <w:tc>
          <w:tcPr>
            <w:tcW w:type="dxa" w:w="5040"/>
            <w:shd w:fill="F2F4F8" w:val="clear"/>
          </w:tcPr>
          <w:p>
            <w:r>
              <w:rPr>
                <w:rFonts w:ascii="Calibri" w:hAnsi="Calibri"/>
                <w:color w:val="333333"/>
                <w:sz w:val="18"/>
              </w:rPr>
              <w:t>$119.3M</w:t>
            </w:r>
          </w:p>
        </w:tc>
      </w:tr>
      <w:tr>
        <w:tc>
          <w:tcPr>
            <w:tcW w:type="dxa" w:w="5040"/>
          </w:tcPr>
          <w:p>
            <w:r>
              <w:rPr>
                <w:rFonts w:ascii="Calibri" w:hAnsi="Calibri"/>
                <w:color w:val="333333"/>
                <w:sz w:val="18"/>
              </w:rPr>
              <w:t>Severity Median</w:t>
            </w:r>
          </w:p>
        </w:tc>
        <w:tc>
          <w:tcPr>
            <w:tcW w:type="dxa" w:w="5040"/>
          </w:tcPr>
          <w:p>
            <w:r>
              <w:rPr>
                <w:rFonts w:ascii="Calibri" w:hAnsi="Calibri"/>
                <w:color w:val="333333"/>
                <w:sz w:val="18"/>
              </w:rPr>
              <w:t>$248.9M</w:t>
            </w:r>
          </w:p>
        </w:tc>
      </w:tr>
      <w:tr>
        <w:tc>
          <w:tcPr>
            <w:tcW w:type="dxa" w:w="5040"/>
            <w:shd w:fill="F2F4F8" w:val="clear"/>
          </w:tcPr>
          <w:p>
            <w:r>
              <w:rPr>
                <w:rFonts w:ascii="Calibri" w:hAnsi="Calibri"/>
                <w:color w:val="333333"/>
                <w:sz w:val="18"/>
              </w:rPr>
              <w:t>Severity Adverse</w:t>
            </w:r>
          </w:p>
        </w:tc>
        <w:tc>
          <w:tcPr>
            <w:tcW w:type="dxa" w:w="5040"/>
            <w:shd w:fill="F2F4F8" w:val="clear"/>
          </w:tcPr>
          <w:p>
            <w:r>
              <w:rPr>
                <w:rFonts w:ascii="Calibri" w:hAnsi="Calibri"/>
                <w:color w:val="333333"/>
                <w:sz w:val="18"/>
              </w:rPr>
              <w:t>$518.5M</w:t>
            </w:r>
          </w:p>
        </w:tc>
      </w:tr>
      <w:tr>
        <w:tc>
          <w:tcPr>
            <w:tcW w:type="dxa" w:w="5040"/>
          </w:tcPr>
          <w:p>
            <w:r>
              <w:rPr>
                <w:rFonts w:ascii="Calibri" w:hAnsi="Calibri"/>
                <w:color w:val="333333"/>
                <w:sz w:val="18"/>
              </w:rPr>
              <w:t>Severity Catastrophic</w:t>
            </w:r>
          </w:p>
        </w:tc>
        <w:tc>
          <w:tcPr>
            <w:tcW w:type="dxa" w:w="5040"/>
          </w:tcPr>
          <w:p>
            <w:r>
              <w:rPr>
                <w:rFonts w:ascii="Calibri" w:hAnsi="Calibri"/>
                <w:color w:val="333333"/>
                <w:sz w:val="18"/>
              </w:rPr>
              <w:t>$1.1B</w:t>
            </w:r>
          </w:p>
        </w:tc>
      </w:tr>
    </w:tbl>
    <w:p>
      <w:pPr>
        <w:pStyle w:val="DOBody"/>
      </w:pPr>
      <w:r>
        <w:t>Probability Band: MODERATE</w:t>
      </w:r>
      <w:r>
        <w:rPr>
          <w:b/>
          <w:color w:val="EAB308"/>
          <w:sz w:val="18"/>
        </w:rPr>
        <w:t xml:space="preserve"> [ELEVATED]</w:t>
      </w:r>
    </w:p>
    <w:p>
      <w:pPr>
        <w:pStyle w:val="DOBody"/>
      </w:pPr>
      <w:r>
        <w:t>The 4-6% probability band represents approximately 2x the Industrials sector base rate of 2.5%. Accounts in WALK tier historically produce claims at elevated frequency. Industry base rate: 2.5%. Tier WALK (15-20%): Substantially above base rate. Critical risk factors and/or red flags indicate high claim probability. NEEDS CALIBRATION: Probability estimates are indicative and require actuarial validation per SECT7-11. Enhanced frequency: 4.50% base x 0.80 hazard x 1.65 signal = 5.95%.</w:t>
      </w:r>
    </w:p>
    <w:p>
      <w:pPr>
        <w:pStyle w:val="DOHeading3"/>
      </w:pPr>
      <w:r>
        <w:t>Tower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Position</w:t>
            </w:r>
          </w:p>
        </w:tc>
        <w:tc>
          <w:tcPr>
            <w:tcW w:type="dxa" w:w="5040"/>
          </w:tcPr>
          <w:p>
            <w:r>
              <w:rPr>
                <w:rFonts w:ascii="Calibri" w:hAnsi="Calibri"/>
                <w:color w:val="333333"/>
                <w:sz w:val="18"/>
              </w:rPr>
              <w:t>High Excess</w:t>
            </w:r>
          </w:p>
        </w:tc>
      </w:tr>
      <w:tr>
        <w:tc>
          <w:tcPr>
            <w:tcW w:type="dxa" w:w="5040"/>
            <w:shd w:fill="F2F4F8" w:val="clear"/>
          </w:tcPr>
          <w:p>
            <w:r>
              <w:rPr>
                <w:rFonts w:ascii="Calibri" w:hAnsi="Calibri"/>
                <w:color w:val="333333"/>
                <w:sz w:val="18"/>
              </w:rPr>
              <w:t>Min Attachment</w:t>
            </w:r>
          </w:p>
        </w:tc>
        <w:tc>
          <w:tcPr>
            <w:tcW w:type="dxa" w:w="5040"/>
            <w:shd w:fill="F2F4F8" w:val="clear"/>
          </w:tcPr>
          <w:p>
            <w:r>
              <w:rPr>
                <w:rFonts w:ascii="Calibri" w:hAnsi="Calibri"/>
                <w:color w:val="333333"/>
                <w:sz w:val="18"/>
              </w:rPr>
              <w:t>$207.4M (based on 50th percentile settlement)</w:t>
            </w:r>
          </w:p>
        </w:tc>
      </w:tr>
      <w:tr>
        <w:tc>
          <w:tcPr>
            <w:tcW w:type="dxa" w:w="5040"/>
          </w:tcPr>
          <w:p>
            <w:r>
              <w:rPr>
                <w:rFonts w:ascii="Calibri" w:hAnsi="Calibri"/>
                <w:color w:val="333333"/>
                <w:sz w:val="18"/>
              </w:rPr>
              <w:t>Side A/DIC</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Layer</w:t>
            </w:r>
          </w:p>
        </w:tc>
        <w:tc>
          <w:tcPr>
            <w:tcW w:type="dxa" w:w="3360"/>
            <w:shd w:fill="1A1446" w:val="clear"/>
          </w:tcPr>
          <w:p>
            <w:r>
              <w:rPr>
                <w:rFonts w:ascii="Calibri" w:hAnsi="Calibri"/>
                <w:b/>
                <w:color w:val="FFFFFF"/>
                <w:sz w:val="18"/>
              </w:rPr>
              <w:t>Risk Assessment</w:t>
            </w:r>
          </w:p>
        </w:tc>
        <w:tc>
          <w:tcPr>
            <w:tcW w:type="dxa" w:w="3360"/>
            <w:shd w:fill="1A1446" w:val="clear"/>
          </w:tcPr>
          <w:p>
            <w:r>
              <w:rPr>
                <w:rFonts w:ascii="Calibri" w:hAnsi="Calibri"/>
                <w:b/>
                <w:color w:val="FFFFFF"/>
                <w:sz w:val="18"/>
              </w:rPr>
              <w:t>Premium Guidance</w:t>
            </w:r>
          </w:p>
        </w:tc>
      </w:tr>
      <w:tr>
        <w:tc>
          <w:tcPr>
            <w:tcW w:type="dxa" w:w="3360"/>
          </w:tcPr>
          <w:p>
            <w:r>
              <w:rPr>
                <w:rFonts w:ascii="Calibri" w:hAnsi="Calibri"/>
                <w:color w:val="333333"/>
                <w:sz w:val="18"/>
              </w:rPr>
              <w:t>PRIMARY</w:t>
            </w:r>
          </w:p>
        </w:tc>
        <w:tc>
          <w:tcPr>
            <w:tcW w:type="dxa" w:w="3360"/>
          </w:tcPr>
          <w:p>
            <w:r>
              <w:rPr>
                <w:rFonts w:ascii="Calibri" w:hAnsi="Calibri"/>
                <w:color w:val="333333"/>
                <w:sz w:val="18"/>
              </w:rPr>
              <w:t>Primary layer carries 57% of expected loss exposure. Highest frequency of attachment; most likely to be eroded in any claim scenario.</w:t>
            </w:r>
          </w:p>
        </w:tc>
        <w:tc>
          <w:tcPr>
            <w:tcW w:type="dxa" w:w="3360"/>
          </w:tcPr>
          <w:p>
            <w:r>
              <w:rPr>
                <w:rFonts w:ascii="Calibri" w:hAnsi="Calibri"/>
                <w:color w:val="333333"/>
                <w:sz w:val="18"/>
              </w:rPr>
              <w:t>Full rate, slight discount for WIN</w:t>
            </w:r>
          </w:p>
        </w:tc>
      </w:tr>
      <w:tr>
        <w:tc>
          <w:tcPr>
            <w:tcW w:type="dxa" w:w="3360"/>
            <w:shd w:fill="F2F4F8" w:val="clear"/>
          </w:tcPr>
          <w:p>
            <w:r>
              <w:rPr>
                <w:rFonts w:ascii="Calibri" w:hAnsi="Calibri"/>
                <w:color w:val="333333"/>
                <w:sz w:val="18"/>
              </w:rPr>
              <w:t>LOW_EXCESS</w:t>
            </w:r>
          </w:p>
        </w:tc>
        <w:tc>
          <w:tcPr>
            <w:tcW w:type="dxa" w:w="3360"/>
            <w:shd w:fill="F2F4F8" w:val="clear"/>
          </w:tcPr>
          <w:p>
            <w:r>
              <w:rPr>
                <w:rFonts w:ascii="Calibri" w:hAnsi="Calibri"/>
                <w:color w:val="333333"/>
                <w:sz w:val="18"/>
              </w:rPr>
              <w:t>Low excess layer carries 18% of expected loss exposure. Attaches after primary exhaustion; moderate frequency in adverse scenarios.</w:t>
            </w:r>
          </w:p>
        </w:tc>
        <w:tc>
          <w:tcPr>
            <w:tcW w:type="dxa" w:w="3360"/>
            <w:shd w:fill="F2F4F8" w:val="clear"/>
          </w:tcPr>
          <w:p>
            <w:r>
              <w:rPr>
                <w:rFonts w:ascii="Calibri" w:hAnsi="Calibri"/>
                <w:color w:val="333333"/>
                <w:sz w:val="18"/>
              </w:rPr>
              <w:t>Market rate</w:t>
            </w:r>
          </w:p>
        </w:tc>
      </w:tr>
      <w:tr>
        <w:tc>
          <w:tcPr>
            <w:tcW w:type="dxa" w:w="3360"/>
          </w:tcPr>
          <w:p>
            <w:r>
              <w:rPr>
                <w:rFonts w:ascii="Calibri" w:hAnsi="Calibri"/>
                <w:color w:val="333333"/>
                <w:sz w:val="18"/>
              </w:rPr>
              <w:t>MID_EXCESS</w:t>
            </w:r>
          </w:p>
        </w:tc>
        <w:tc>
          <w:tcPr>
            <w:tcW w:type="dxa" w:w="3360"/>
          </w:tcPr>
          <w:p>
            <w:r>
              <w:rPr>
                <w:rFonts w:ascii="Calibri" w:hAnsi="Calibri"/>
                <w:color w:val="333333"/>
                <w:sz w:val="18"/>
              </w:rPr>
              <w:t>Mid excess layer carries 13% of expected loss exposure. Attaches in adverse scenarios; lower frequency but higher severity when reached.</w:t>
            </w:r>
          </w:p>
        </w:tc>
        <w:tc>
          <w:tcPr>
            <w:tcW w:type="dxa" w:w="3360"/>
          </w:tcPr>
          <w:p>
            <w:r>
              <w:rPr>
                <w:rFonts w:ascii="Calibri" w:hAnsi="Calibri"/>
                <w:color w:val="333333"/>
                <w:sz w:val="18"/>
              </w:rPr>
              <w:t>Market to 1.3x</w:t>
            </w:r>
          </w:p>
        </w:tc>
      </w:tr>
      <w:tr>
        <w:tc>
          <w:tcPr>
            <w:tcW w:type="dxa" w:w="3360"/>
            <w:shd w:fill="F2F4F8" w:val="clear"/>
          </w:tcPr>
          <w:p>
            <w:r>
              <w:rPr>
                <w:rFonts w:ascii="Calibri" w:hAnsi="Calibri"/>
                <w:color w:val="333333"/>
                <w:sz w:val="18"/>
              </w:rPr>
              <w:t>HIGH_EXCESS</w:t>
            </w:r>
          </w:p>
        </w:tc>
        <w:tc>
          <w:tcPr>
            <w:tcW w:type="dxa" w:w="3360"/>
            <w:shd w:fill="F2F4F8" w:val="clear"/>
          </w:tcPr>
          <w:p>
            <w:r>
              <w:rPr>
                <w:rFonts w:ascii="Calibri" w:hAnsi="Calibri"/>
                <w:color w:val="333333"/>
                <w:sz w:val="18"/>
              </w:rPr>
              <w:t>High excess layer carries 11% of expected loss exposure. Attaches only in catastrophic scenarios; lowest frequency, highest severity.</w:t>
            </w:r>
          </w:p>
        </w:tc>
        <w:tc>
          <w:tcPr>
            <w:tcW w:type="dxa" w:w="3360"/>
            <w:shd w:fill="F2F4F8" w:val="clear"/>
          </w:tcPr>
          <w:p>
            <w:r>
              <w:rPr>
                <w:rFonts w:ascii="Calibri" w:hAnsi="Calibri"/>
                <w:color w:val="333333"/>
                <w:sz w:val="18"/>
              </w:rPr>
              <w:t>1.3-2x with attachment</w:t>
            </w:r>
          </w:p>
        </w:tc>
      </w:tr>
      <w:tr>
        <w:tc>
          <w:tcPr>
            <w:tcW w:type="dxa" w:w="3360"/>
          </w:tcPr>
          <w:p>
            <w:r>
              <w:rPr>
                <w:rFonts w:ascii="Calibri" w:hAnsi="Calibri"/>
                <w:color w:val="333333"/>
                <w:sz w:val="18"/>
              </w:rPr>
              <w:t>DECLINE</w:t>
            </w:r>
          </w:p>
        </w:tc>
        <w:tc>
          <w:tcPr>
            <w:tcW w:type="dxa" w:w="3360"/>
          </w:tcPr>
          <w:p>
            <w:r>
              <w:rPr>
                <w:rFonts w:ascii="Calibri" w:hAnsi="Calibri"/>
                <w:color w:val="333333"/>
                <w:sz w:val="18"/>
              </w:rPr>
              <w:t>WALK+ with compounding factors</w:t>
            </w:r>
          </w:p>
        </w:tc>
        <w:tc>
          <w:tcPr>
            <w:tcW w:type="dxa" w:w="3360"/>
          </w:tcPr>
          <w:p>
            <w:r>
              <w:rPr>
                <w:rFonts w:ascii="Calibri" w:hAnsi="Calibri"/>
                <w:color w:val="333333"/>
                <w:sz w:val="18"/>
              </w:rPr>
              <w:t>N/A</w:t>
            </w:r>
          </w:p>
        </w:tc>
      </w:tr>
    </w:tbl>
    <w:p>
      <w:pPr>
        <w:pStyle w:val="DOHeading3"/>
      </w:pPr>
      <w:r>
        <w:t>Market Context</w:t>
      </w:r>
    </w:p>
    <w:p>
      <w:pPr>
        <w:pStyle w:val="DOBody"/>
      </w:pPr>
      <w:r>
        <w:t>No market pricing data available.</w:t>
      </w:r>
    </w:p>
    <w:p>
      <w:pPr>
        <w:spacing w:before="120" w:after="40"/>
        <w:pBdr>
          <w:bottom w:val="single" w:sz="6" w:space="1" w:color="FFD000"/>
        </w:pBdr>
      </w:pPr>
    </w:p>
    <w:p>
      <w:pPr>
        <w:pStyle w:val="DOBody"/>
        <w:spacing w:before="40" w:after="120"/>
      </w:pPr>
      <w:r>
        <w:rPr>
          <w:color w:val="333333"/>
          <w:sz w:val="20"/>
        </w:rPr>
        <w:t>Company Overview</w:t>
        <w:br/>
        <w:t>Caterpillar Inc. (NYSE: CAT), with a $336 billion market cap and 118,000 employees, is the world's leading manufacturer of construction and mining equipment, diesel and natural gas engines, and locomotives. Its industrial scale and global importance in infrastructure place it in the MEGA risk classification, where regulatory or governance failures can trigger shareholder claims with potential losses in the billions, directly implicating officer oversight.</w:t>
        <w:br/>
        <w:br/>
        <w:t>Revenue Model</w:t>
        <w:br/>
        <w:t>Revenue is generated from machinery and engine sales across its Construction Industries, Resource Industries, and Power &amp; Energy segments, supported by its Financial Products segment. The 40% sales decline during the 2015-2016 downturn exemplifies the model's vulnerability to global capital expenditure cycles, pressuring management to hit targets and creating D&amp;O liability risk for allegations of earnings manipulation or misleading guidance during downturns.</w:t>
        <w:br/>
        <w:br/>
        <w:t>D&amp;O Risk Profile</w:t>
        <w:br/>
        <w:t>The primary exposure is multi-jurisdictional regulatory enforcement, including an ongoing IRS dispute over a $2.4 billion tax bill and DOJ/SEC investigations into its Swiss subsidiary, creating direct officer liability for financial reporting and compliance oversight. Its geographic footprint across North America, Latin America, EMEA, and Asia Pacific exposes directors to FCPA and sanctions violations inherent in sales to state-owned entities, a core customer base. Furthermore, its 118,000-strong workforce presents systemic employment litigation risk, where broad workplace policies can lead to class-action claims directly targeting board-level governance decisions.</w:t>
      </w:r>
    </w:p>
    <w:p>
      <w:pPr>
        <w:pStyle w:val="DOHeading1"/>
      </w:pPr>
      <w:r>
        <w:t>Section 2: Company Profile</w:t>
      </w:r>
    </w:p>
    <w:p>
      <w:pPr>
        <w:pStyle w:val="DOBody"/>
      </w:pPr>
      <w:r>
        <w:rPr>
          <w:rFonts w:ascii="Calibri" w:hAnsi="Calibri"/>
          <w:color w:val="333333"/>
          <w:sz w:val="20"/>
        </w:rPr>
        <w:t>CATERPILLAR INC operates in the Farm &amp; Heavy Construction Machinery industry. The company has 118,000 employees and $335.6B market cap. Key D&amp;O exposure factors include: Regulatory Multi Jurisdiction, Employment Litigation Risk, Transaction Litigation Risk.</w:t>
      </w:r>
      <w:r>
        <w:rPr>
          <w:rFonts w:ascii="Consolas" w:hAnsi="Consolas"/>
          <w:color w:val="666666"/>
          <w:sz w:val="16"/>
        </w:rPr>
        <w:t xml:space="preserve">  [derived:section_summary, 2026-04-03, LOW]</w:t>
      </w:r>
    </w:p>
    <w:p>
      <w:pPr>
        <w:pStyle w:val="DOHeading2"/>
      </w:pPr>
      <w:r>
        <w:t>Company Identity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Field</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Legal Name</w:t>
            </w:r>
          </w:p>
        </w:tc>
        <w:tc>
          <w:tcPr>
            <w:tcW w:type="dxa" w:w="3360"/>
          </w:tcPr>
          <w:p>
            <w:r>
              <w:rPr>
                <w:rFonts w:ascii="Calibri" w:hAnsi="Calibri"/>
                <w:color w:val="333333"/>
                <w:sz w:val="18"/>
              </w:rPr>
              <w:t>CATERPILLAR INC</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CAT</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CIK</w:t>
            </w:r>
          </w:p>
        </w:tc>
        <w:tc>
          <w:tcPr>
            <w:tcW w:type="dxa" w:w="3360"/>
          </w:tcPr>
          <w:p>
            <w:r>
              <w:rPr>
                <w:rFonts w:ascii="Calibri" w:hAnsi="Calibri"/>
                <w:color w:val="333333"/>
                <w:sz w:val="18"/>
              </w:rPr>
              <w:t>18230</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Industrials</w:t>
            </w:r>
          </w:p>
        </w:tc>
        <w:tc>
          <w:tcPr>
            <w:tcW w:type="dxa" w:w="3360"/>
            <w:shd w:fill="F2F4F8" w:val="clear"/>
          </w:tcPr>
          <w:p>
            <w:r>
              <w:rPr>
                <w:rFonts w:ascii="Calibri" w:hAnsi="Calibri"/>
                <w:color w:val="333333"/>
                <w:sz w:val="18"/>
              </w:rPr>
              <w:t>[SEC EDGAR submissions, filed 2026-04-03, HIGH confidence]</w:t>
            </w:r>
          </w:p>
        </w:tc>
      </w:tr>
      <w:tr>
        <w:tc>
          <w:tcPr>
            <w:tcW w:type="dxa" w:w="3360"/>
          </w:tcPr>
          <w:p>
            <w:r>
              <w:rPr>
                <w:rFonts w:ascii="Calibri" w:hAnsi="Calibri"/>
                <w:color w:val="333333"/>
                <w:sz w:val="18"/>
              </w:rPr>
              <w:t>SIC Code</w:t>
            </w:r>
          </w:p>
        </w:tc>
        <w:tc>
          <w:tcPr>
            <w:tcW w:type="dxa" w:w="3360"/>
          </w:tcPr>
          <w:p>
            <w:r>
              <w:rPr>
                <w:rFonts w:ascii="Calibri" w:hAnsi="Calibri"/>
                <w:color w:val="333333"/>
                <w:sz w:val="18"/>
              </w:rPr>
              <w:t>3531</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SIC Description</w:t>
            </w:r>
          </w:p>
        </w:tc>
        <w:tc>
          <w:tcPr>
            <w:tcW w:type="dxa" w:w="3360"/>
            <w:shd w:fill="F2F4F8" w:val="clear"/>
          </w:tcPr>
          <w:p>
            <w:r>
              <w:rPr>
                <w:rFonts w:ascii="Calibri" w:hAnsi="Calibri"/>
                <w:color w:val="333333"/>
                <w:sz w:val="18"/>
              </w:rPr>
              <w:t>Construction Machinery &amp; Equip</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GICS Code</w:t>
            </w:r>
          </w:p>
        </w:tc>
        <w:tc>
          <w:tcPr>
            <w:tcW w:type="dxa" w:w="3360"/>
          </w:tcPr>
          <w:p>
            <w:r>
              <w:rPr>
                <w:rFonts w:ascii="Calibri" w:hAnsi="Calibri"/>
                <w:color w:val="333333"/>
                <w:sz w:val="18"/>
              </w:rPr>
              <w:t>N/A</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NAICS Code</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NYSE</w:t>
            </w:r>
          </w:p>
        </w:tc>
        <w:tc>
          <w:tcPr>
            <w:tcW w:type="dxa" w:w="3360"/>
          </w:tcPr>
          <w:p>
            <w:r>
              <w:rPr>
                <w:rFonts w:ascii="Calibri" w:hAnsi="Calibri"/>
                <w:color w:val="333333"/>
                <w:sz w:val="18"/>
              </w:rPr>
              <w:t>[SEC EDGAR submissions, filed 2026-04-03, HIGH confidence]</w:t>
            </w:r>
          </w:p>
        </w:tc>
      </w:tr>
      <w:tr>
        <w:tc>
          <w:tcPr>
            <w:tcW w:type="dxa" w:w="3360"/>
            <w:shd w:fill="F2F4F8" w:val="clear"/>
          </w:tcPr>
          <w:p>
            <w:r>
              <w:rPr>
                <w:rFonts w:ascii="Calibri" w:hAnsi="Calibri"/>
                <w:color w:val="333333"/>
                <w:sz w:val="18"/>
              </w:rPr>
              <w:t>State of Incorporation</w:t>
            </w:r>
          </w:p>
        </w:tc>
        <w:tc>
          <w:tcPr>
            <w:tcW w:type="dxa" w:w="3360"/>
            <w:shd w:fill="F2F4F8" w:val="clear"/>
          </w:tcPr>
          <w:p>
            <w:r>
              <w:rPr>
                <w:rFonts w:ascii="Calibri" w:hAnsi="Calibri"/>
                <w:color w:val="333333"/>
                <w:sz w:val="18"/>
              </w:rPr>
              <w:t>DE</w:t>
            </w:r>
          </w:p>
        </w:tc>
        <w:tc>
          <w:tcPr>
            <w:tcW w:type="dxa" w:w="3360"/>
            <w:shd w:fill="F2F4F8" w:val="clear"/>
          </w:tcPr>
          <w:p>
            <w:r>
              <w:rPr>
                <w:rFonts w:ascii="Calibri" w:hAnsi="Calibri"/>
                <w:color w:val="333333"/>
                <w:sz w:val="18"/>
              </w:rPr>
              <w:t>[SEC EDGAR submissions, filed 2026-04-03, HIGH confidence]</w:t>
            </w:r>
          </w:p>
        </w:tc>
      </w:tr>
      <w:tr>
        <w:tc>
          <w:tcPr>
            <w:tcW w:type="dxa" w:w="3360"/>
          </w:tcPr>
          <w:p>
            <w:r>
              <w:rPr>
                <w:rFonts w:ascii="Calibri" w:hAnsi="Calibri"/>
                <w:color w:val="333333"/>
                <w:sz w:val="18"/>
              </w:rPr>
              <w:t>FPI Status</w:t>
            </w:r>
          </w:p>
        </w:tc>
        <w:tc>
          <w:tcPr>
            <w:tcW w:type="dxa" w:w="3360"/>
          </w:tcPr>
          <w:p>
            <w:r>
              <w:rPr>
                <w:rFonts w:ascii="Calibri" w:hAnsi="Calibri"/>
                <w:color w:val="333333"/>
                <w:sz w:val="18"/>
              </w:rPr>
              <w:t>No</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Fiscal Year End</w:t>
            </w:r>
          </w:p>
        </w:tc>
        <w:tc>
          <w:tcPr>
            <w:tcW w:type="dxa" w:w="3360"/>
            <w:shd w:fill="F2F4F8" w:val="clear"/>
          </w:tcPr>
          <w:p>
            <w:r>
              <w:rPr>
                <w:rFonts w:ascii="Calibri" w:hAnsi="Calibri"/>
                <w:color w:val="333333"/>
                <w:sz w:val="18"/>
              </w:rPr>
              <w:t>12-31</w:t>
            </w:r>
          </w:p>
        </w:tc>
        <w:tc>
          <w:tcPr>
            <w:tcW w:type="dxa" w:w="3360"/>
            <w:shd w:fill="F2F4F8" w:val="clear"/>
          </w:tcPr>
          <w:p>
            <w:r>
              <w:rPr>
                <w:rFonts w:ascii="Calibri" w:hAnsi="Calibri"/>
                <w:color w:val="333333"/>
                <w:sz w:val="18"/>
              </w:rPr>
              <w:t>[SEC EDGAR submissions, filed 2026-04-03, HIGH confidence]</w:t>
            </w:r>
          </w:p>
        </w:tc>
      </w:tr>
    </w:tbl>
    <w:p>
      <w:pPr>
        <w:pStyle w:val="DOHeading2"/>
      </w:pPr>
      <w:r>
        <w:t>Business Description</w:t>
      </w:r>
    </w:p>
    <w:p>
      <w:pPr>
        <w:pStyle w:val="DOBody"/>
      </w:pPr>
      <w:r>
        <w:rPr>
          <w:rFonts w:ascii="Calibri" w:hAnsi="Calibri"/>
          <w:color w:val="333333"/>
          <w:sz w:val="20"/>
        </w:rPr>
        <w:t>Caterpillar Inc. is the world's leading manufacturer of construction and mining equipment, off-highway diesel and natural gas engines, industrial gas turbines, and diesel-electric locomotives. The company generates revenue primarily through the sale of machinery and engines across its reportable segments: Construction Industries, Resource Industries, Power &amp; Energy, and Financial Products. Its business model combines manufacturing and sales of heavy equipment with a captive financing arm (Cat Financial) that provides financing to customers and dealers. Profitability is driven by global infrastructure spending, commodity cycles, and operational excellence in manufacturing and supply chain management.</w:t>
      </w:r>
      <w:r>
        <w:rPr>
          <w:rFonts w:ascii="Consolas" w:hAnsi="Consolas"/>
          <w:color w:val="666666"/>
          <w:sz w:val="16"/>
        </w:rPr>
        <w:t xml:space="preserve">  [10-K (LLM), filed 2026-04-03, HIGH confidence]</w:t>
      </w:r>
    </w:p>
    <w:p>
      <w:pPr>
        <w:pStyle w:val="DOHeading2"/>
      </w:pPr>
      <w:r>
        <w:t>Subsidiaries</w:t>
      </w:r>
    </w:p>
    <w:p>
      <w:pPr>
        <w:pStyle w:val="DOBody"/>
      </w:pPr>
      <w:r>
        <w:t>Subsidiary data not available.</w:t>
      </w:r>
    </w:p>
    <w:p>
      <w:pPr>
        <w:pStyle w:val="DOHeading2"/>
      </w:pPr>
      <w:r>
        <w:t>Business Model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Dimension</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Revenue Model</w:t>
            </w:r>
          </w:p>
        </w:tc>
        <w:tc>
          <w:tcPr>
            <w:tcW w:type="dxa" w:w="5040"/>
          </w:tcPr>
          <w:p>
            <w:r>
              <w:rPr>
                <w:rFonts w:ascii="Calibri" w:hAnsi="Calibri"/>
                <w:color w:val="333333"/>
                <w:sz w:val="18"/>
              </w:rPr>
              <w:t>TRANSACTION</w:t>
            </w:r>
          </w:p>
        </w:tc>
      </w:tr>
      <w:tr>
        <w:tc>
          <w:tcPr>
            <w:tcW w:type="dxa" w:w="5040"/>
            <w:shd w:fill="F2F4F8" w:val="clear"/>
          </w:tcPr>
          <w:p>
            <w:r>
              <w:rPr>
                <w:rFonts w:ascii="Calibri" w:hAnsi="Calibri"/>
                <w:color w:val="333333"/>
                <w:sz w:val="18"/>
              </w:rPr>
              <w:t>Key Person Risk</w:t>
            </w:r>
          </w:p>
        </w:tc>
        <w:tc>
          <w:tcPr>
            <w:tcW w:type="dxa" w:w="5040"/>
            <w:shd w:fill="F2F4F8" w:val="clear"/>
          </w:tcPr>
          <w:p>
            <w:r>
              <w:rPr>
                <w:rFonts w:ascii="Calibri" w:hAnsi="Calibri"/>
                <w:color w:val="333333"/>
                <w:sz w:val="18"/>
              </w:rPr>
              <w:t>LOW (Score: 0/3) - CEO tenure: 1yr</w:t>
            </w:r>
          </w:p>
        </w:tc>
      </w:tr>
      <w:tr>
        <w:tc>
          <w:tcPr>
            <w:tcW w:type="dxa" w:w="5040"/>
          </w:tcPr>
          <w:p>
            <w:r>
              <w:rPr>
                <w:rFonts w:ascii="Calibri" w:hAnsi="Calibri"/>
                <w:color w:val="333333"/>
                <w:sz w:val="18"/>
              </w:rPr>
              <w:t>Disruption Risk</w:t>
            </w:r>
          </w:p>
        </w:tc>
        <w:tc>
          <w:tcPr>
            <w:tcW w:type="dxa" w:w="5040"/>
          </w:tcPr>
          <w:p>
            <w:r>
              <w:rPr>
                <w:rFonts w:ascii="Calibri" w:hAnsi="Calibri"/>
                <w:color w:val="333333"/>
                <w:sz w:val="18"/>
              </w:rPr>
              <w:t>HIGH (3 threats) - Cybersecurity threats to IT systems and connected products; Technological shifts in energy and automation; Trade policy changes and tariffs impacting costs</w:t>
            </w:r>
          </w:p>
        </w:tc>
      </w:tr>
    </w:tbl>
    <w:p>
      <w:pPr>
        <w:pStyle w:val="DOHeading3"/>
      </w:pPr>
      <w:r>
        <w:t>Segment Lifecycle</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Segment</w:t>
            </w:r>
          </w:p>
        </w:tc>
        <w:tc>
          <w:tcPr>
            <w:tcW w:type="dxa" w:w="3360"/>
            <w:shd w:fill="1A1446" w:val="clear"/>
          </w:tcPr>
          <w:p>
            <w:r>
              <w:rPr>
                <w:rFonts w:ascii="Calibri" w:hAnsi="Calibri"/>
                <w:b/>
                <w:color w:val="FFFFFF"/>
                <w:sz w:val="18"/>
              </w:rPr>
              <w:t>Stage</w:t>
            </w:r>
          </w:p>
        </w:tc>
        <w:tc>
          <w:tcPr>
            <w:tcW w:type="dxa" w:w="3360"/>
            <w:shd w:fill="1A1446" w:val="clear"/>
          </w:tcPr>
          <w:p>
            <w:r>
              <w:rPr>
                <w:rFonts w:ascii="Calibri" w:hAnsi="Calibri"/>
                <w:b/>
                <w:color w:val="FFFFFF"/>
                <w:sz w:val="18"/>
              </w:rPr>
              <w:t>Growth Rate</w:t>
            </w:r>
          </w:p>
        </w:tc>
      </w:tr>
      <w:tr>
        <w:tc>
          <w:tcPr>
            <w:tcW w:type="dxa" w:w="3360"/>
          </w:tcPr>
          <w:p>
            <w:r>
              <w:rPr>
                <w:rFonts w:ascii="Calibri" w:hAnsi="Calibri"/>
                <w:color w:val="333333"/>
                <w:sz w:val="18"/>
              </w:rPr>
              <w:t>Construction Industries</w:t>
            </w:r>
          </w:p>
        </w:tc>
        <w:tc>
          <w:tcPr>
            <w:tcW w:type="dxa" w:w="3360"/>
          </w:tcPr>
          <w:p>
            <w:r>
              <w:rPr>
                <w:rFonts w:ascii="Calibri" w:hAnsi="Calibri"/>
                <w:color w:val="333333"/>
                <w:sz w:val="18"/>
              </w:rPr>
              <w:t>GROWTH</w:t>
            </w:r>
          </w:p>
        </w:tc>
        <w:tc>
          <w:tcPr>
            <w:tcW w:type="dxa" w:w="3360"/>
          </w:tcPr>
          <w:p>
            <w:r>
              <w:rPr>
                <w:rFonts w:ascii="Calibri" w:hAnsi="Calibri"/>
                <w:color w:val="333333"/>
                <w:sz w:val="18"/>
              </w:rPr>
              <w:t>0.0%</w:t>
            </w:r>
          </w:p>
        </w:tc>
      </w:tr>
      <w:tr>
        <w:tc>
          <w:tcPr>
            <w:tcW w:type="dxa" w:w="3360"/>
            <w:shd w:fill="F2F4F8" w:val="clear"/>
          </w:tcPr>
          <w:p>
            <w:r>
              <w:rPr>
                <w:rFonts w:ascii="Calibri" w:hAnsi="Calibri"/>
                <w:color w:val="333333"/>
                <w:sz w:val="18"/>
              </w:rPr>
              <w:t>Resource Industries</w:t>
            </w:r>
          </w:p>
        </w:tc>
        <w:tc>
          <w:tcPr>
            <w:tcW w:type="dxa" w:w="3360"/>
            <w:shd w:fill="F2F4F8" w:val="clear"/>
          </w:tcPr>
          <w:p>
            <w:r>
              <w:rPr>
                <w:rFonts w:ascii="Calibri" w:hAnsi="Calibri"/>
                <w:color w:val="333333"/>
                <w:sz w:val="18"/>
              </w:rPr>
              <w:t>UNKNOWN</w:t>
            </w:r>
          </w:p>
        </w:tc>
        <w:tc>
          <w:tcPr>
            <w:tcW w:type="dxa" w:w="3360"/>
            <w:shd w:fill="F2F4F8" w:val="clear"/>
          </w:tcPr>
          <w:p>
            <w:r>
              <w:rPr>
                <w:rFonts w:ascii="Calibri" w:hAnsi="Calibri"/>
                <w:color w:val="333333"/>
                <w:sz w:val="18"/>
              </w:rPr>
              <w:t>0.0%</w:t>
            </w:r>
          </w:p>
        </w:tc>
      </w:tr>
      <w:tr>
        <w:tc>
          <w:tcPr>
            <w:tcW w:type="dxa" w:w="3360"/>
          </w:tcPr>
          <w:p>
            <w:r>
              <w:rPr>
                <w:rFonts w:ascii="Calibri" w:hAnsi="Calibri"/>
                <w:color w:val="333333"/>
                <w:sz w:val="18"/>
              </w:rPr>
              <w:t>Power &amp; Energy</w:t>
            </w:r>
          </w:p>
        </w:tc>
        <w:tc>
          <w:tcPr>
            <w:tcW w:type="dxa" w:w="3360"/>
          </w:tcPr>
          <w:p>
            <w:r>
              <w:rPr>
                <w:rFonts w:ascii="Calibri" w:hAnsi="Calibri"/>
                <w:color w:val="333333"/>
                <w:sz w:val="18"/>
              </w:rPr>
              <w:t>GROWTH</w:t>
            </w:r>
          </w:p>
        </w:tc>
        <w:tc>
          <w:tcPr>
            <w:tcW w:type="dxa" w:w="3360"/>
          </w:tcPr>
          <w:p>
            <w:r>
              <w:rPr>
                <w:rFonts w:ascii="Calibri" w:hAnsi="Calibri"/>
                <w:color w:val="333333"/>
                <w:sz w:val="18"/>
              </w:rPr>
              <w:t>0.0%</w:t>
            </w:r>
          </w:p>
        </w:tc>
      </w:tr>
      <w:tr>
        <w:tc>
          <w:tcPr>
            <w:tcW w:type="dxa" w:w="3360"/>
            <w:shd w:fill="F2F4F8" w:val="clear"/>
          </w:tcPr>
          <w:p>
            <w:r>
              <w:rPr>
                <w:rFonts w:ascii="Calibri" w:hAnsi="Calibri"/>
                <w:color w:val="333333"/>
                <w:sz w:val="18"/>
              </w:rPr>
              <w:t>Financial Products</w:t>
            </w:r>
          </w:p>
        </w:tc>
        <w:tc>
          <w:tcPr>
            <w:tcW w:type="dxa" w:w="3360"/>
            <w:shd w:fill="F2F4F8" w:val="clear"/>
          </w:tcPr>
          <w:p>
            <w:r>
              <w:rPr>
                <w:rFonts w:ascii="Calibri" w:hAnsi="Calibri"/>
                <w:color w:val="333333"/>
                <w:sz w:val="18"/>
              </w:rPr>
              <w:t>MATURE</w:t>
            </w:r>
          </w:p>
        </w:tc>
        <w:tc>
          <w:tcPr>
            <w:tcW w:type="dxa" w:w="3360"/>
            <w:shd w:fill="F2F4F8" w:val="clear"/>
          </w:tcPr>
          <w:p>
            <w:r>
              <w:rPr>
                <w:rFonts w:ascii="Calibri" w:hAnsi="Calibri"/>
                <w:color w:val="333333"/>
                <w:sz w:val="18"/>
              </w:rPr>
              <w:t>0.0%</w:t>
            </w:r>
          </w:p>
        </w:tc>
      </w:tr>
    </w:tbl>
    <w:p>
      <w:pPr>
        <w:pStyle w:val="DOHeading2"/>
      </w:pPr>
      <w:r>
        <w:t>Operational Complexity</w:t>
      </w:r>
    </w:p>
    <w:p>
      <w:pPr>
        <w:pStyle w:val="DOBody"/>
      </w:pPr>
      <w:r>
        <w:rPr>
          <w:b/>
        </w:rPr>
        <w:t>Complexity Score: 118000/20 -- HIGH</w:t>
      </w:r>
      <w:r>
        <w:rPr>
          <w:b/>
          <w:color w:val="EA580C"/>
          <w:sz w:val="18"/>
        </w:rPr>
        <w:t xml:space="preserve"> [HIGH]</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Jurisdictions</w:t>
            </w:r>
          </w:p>
        </w:tc>
        <w:tc>
          <w:tcPr>
            <w:tcW w:type="dxa" w:w="5040"/>
          </w:tcPr>
          <w:p>
            <w:r>
              <w:rPr>
                <w:rFonts w:ascii="Calibri" w:hAnsi="Calibri"/>
                <w:color w:val="333333"/>
                <w:sz w:val="18"/>
              </w:rPr>
              <w:t>0 (0 high-regulatory)</w:t>
            </w:r>
          </w:p>
        </w:tc>
      </w:tr>
      <w:tr>
        <w:tc>
          <w:tcPr>
            <w:tcW w:type="dxa" w:w="5040"/>
            <w:shd w:fill="F2F4F8" w:val="clear"/>
          </w:tcPr>
          <w:p>
            <w:r>
              <w:rPr>
                <w:rFonts w:ascii="Calibri" w:hAnsi="Calibri"/>
                <w:color w:val="333333"/>
                <w:sz w:val="18"/>
              </w:rPr>
              <w:t>Workforce</w:t>
            </w:r>
          </w:p>
        </w:tc>
        <w:tc>
          <w:tcPr>
            <w:tcW w:type="dxa" w:w="5040"/>
            <w:shd w:fill="F2F4F8" w:val="clear"/>
          </w:tcPr>
          <w:p>
            <w:r>
              <w:rPr>
                <w:rFonts w:ascii="Calibri" w:hAnsi="Calibri"/>
                <w:color w:val="333333"/>
                <w:sz w:val="18"/>
              </w:rPr>
              <w:t>118,000</w:t>
            </w:r>
          </w:p>
        </w:tc>
      </w:tr>
      <w:tr>
        <w:tc>
          <w:tcPr>
            <w:tcW w:type="dxa" w:w="5040"/>
          </w:tcPr>
          <w:p>
            <w:r>
              <w:rPr>
                <w:rFonts w:ascii="Calibri" w:hAnsi="Calibri"/>
                <w:color w:val="333333"/>
                <w:sz w:val="18"/>
              </w:rPr>
              <w:t>Segments</w:t>
            </w:r>
          </w:p>
        </w:tc>
        <w:tc>
          <w:tcPr>
            <w:tcW w:type="dxa" w:w="5040"/>
          </w:tcPr>
          <w:p>
            <w:r>
              <w:rPr>
                <w:rFonts w:ascii="Calibri" w:hAnsi="Calibri"/>
                <w:color w:val="333333"/>
                <w:sz w:val="18"/>
              </w:rPr>
              <w:t>4</w:t>
            </w:r>
          </w:p>
        </w:tc>
      </w:tr>
      <w:tr>
        <w:tc>
          <w:tcPr>
            <w:tcW w:type="dxa" w:w="5040"/>
            <w:shd w:fill="F2F4F8" w:val="clear"/>
          </w:tcPr>
          <w:p>
            <w:r>
              <w:rPr>
                <w:rFonts w:ascii="Calibri" w:hAnsi="Calibri"/>
                <w:color w:val="333333"/>
                <w:sz w:val="18"/>
              </w:rPr>
              <w:t>Geographic Concentration</w:t>
            </w:r>
          </w:p>
        </w:tc>
        <w:tc>
          <w:tcPr>
            <w:tcW w:type="dxa" w:w="5040"/>
            <w:shd w:fill="F2F4F8" w:val="clear"/>
          </w:tcPr>
          <w:p>
            <w:r>
              <w:rPr>
                <w:rFonts w:ascii="Calibri" w:hAnsi="Calibri"/>
                <w:color w:val="333333"/>
                <w:sz w:val="18"/>
              </w:rPr>
              <w:t>0/100</w:t>
            </w:r>
          </w:p>
        </w:tc>
      </w:tr>
      <w:tr>
        <w:tc>
          <w:tcPr>
            <w:tcW w:type="dxa" w:w="5040"/>
          </w:tcPr>
          <w:p>
            <w:r>
              <w:rPr>
                <w:rFonts w:ascii="Calibri" w:hAnsi="Calibri"/>
                <w:color w:val="333333"/>
                <w:sz w:val="18"/>
              </w:rPr>
              <w:t>Supply Chain</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Overall Resilience</w:t>
            </w:r>
          </w:p>
        </w:tc>
        <w:tc>
          <w:tcPr>
            <w:tcW w:type="dxa" w:w="5040"/>
            <w:shd w:fill="F2F4F8" w:val="clear"/>
          </w:tcPr>
          <w:p>
            <w:r>
              <w:rPr>
                <w:rFonts w:ascii="Calibri" w:hAnsi="Calibri"/>
                <w:color w:val="333333"/>
                <w:sz w:val="18"/>
              </w:rPr>
              <w:t>ADEQUATE</w:t>
            </w:r>
          </w:p>
        </w:tc>
      </w:tr>
    </w:tbl>
    <w:p>
      <w:pPr>
        <w:pStyle w:val="DOCaption"/>
      </w:pPr>
      <w:r>
        <w:t>Structural Indicators: [X] VIE / SPE  |  [ ] Dual-Class  |  [X] Holding Depth  |  [X] OBS Exposure</w:t>
      </w:r>
    </w:p>
    <w:p>
      <w:pPr>
        <w:pStyle w:val="DOHeading2"/>
      </w:pPr>
      <w:r>
        <w:t>Corporate Events &amp; Transaction Risk</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Event Type</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M&amp;A Activity</w:t>
            </w:r>
          </w:p>
        </w:tc>
        <w:tc>
          <w:tcPr>
            <w:tcW w:type="dxa" w:w="5040"/>
          </w:tcPr>
          <w:p>
            <w:r>
              <w:rPr>
                <w:rFonts w:ascii="Calibri" w:hAnsi="Calibri"/>
                <w:color w:val="333333"/>
                <w:sz w:val="18"/>
              </w:rPr>
              <w:t>MODERATE (Score: 1/4) | 2 acquisition years | Goodwill growth: 35.6% | Acq/Rev: 0.1%</w:t>
            </w:r>
          </w:p>
        </w:tc>
      </w:tr>
    </w:tbl>
    <w:p>
      <w:pPr>
        <w:pStyle w:val="DOBody"/>
      </w:pPr>
      <w:r>
        <w:rPr>
          <w:b/>
        </w:rPr>
        <w:t>Business Changes:</w:t>
      </w:r>
    </w:p>
    <w:p>
      <w:pPr>
        <w:pStyle w:val="DOBody"/>
      </w:pPr>
      <w:r>
        <w:t xml:space="preserve">  - 12 current event filings (8-K), most recent 2026-03-26</w:t>
      </w:r>
    </w:p>
    <w:p>
      <w:pPr>
        <w:pStyle w:val="DOBody"/>
      </w:pPr>
      <w:r>
        <w:t xml:space="preserve">  - M&amp;A activity indicated (acquisition, divestiture, restructuring)</w:t>
      </w:r>
    </w:p>
    <w:p>
      <w:pPr>
        <w:pStyle w:val="DOHeading2"/>
      </w:pPr>
      <w:r>
        <w:t>Structural Complexity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Dimension</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Disclosure Complexity</w:t>
            </w:r>
          </w:p>
        </w:tc>
        <w:tc>
          <w:tcPr>
            <w:tcW w:type="dxa" w:w="5040"/>
          </w:tcPr>
          <w:p>
            <w:r>
              <w:rPr>
                <w:rFonts w:ascii="Calibri" w:hAnsi="Calibri"/>
                <w:color w:val="333333"/>
                <w:sz w:val="18"/>
              </w:rPr>
              <w:t>LOW</w:t>
            </w:r>
          </w:p>
        </w:tc>
      </w:tr>
      <w:tr>
        <w:tc>
          <w:tcPr>
            <w:tcW w:type="dxa" w:w="5040"/>
            <w:shd w:fill="F2F4F8" w:val="clear"/>
          </w:tcPr>
          <w:p>
            <w:r>
              <w:rPr>
                <w:rFonts w:ascii="Calibri" w:hAnsi="Calibri"/>
                <w:color w:val="333333"/>
                <w:sz w:val="18"/>
              </w:rPr>
              <w:t>Non-GAAP Usage</w:t>
            </w:r>
          </w:p>
        </w:tc>
        <w:tc>
          <w:tcPr>
            <w:tcW w:type="dxa" w:w="5040"/>
            <w:shd w:fill="F2F4F8" w:val="clear"/>
          </w:tcPr>
          <w:p>
            <w:r>
              <w:rPr>
                <w:rFonts w:ascii="Calibri" w:hAnsi="Calibri"/>
                <w:color w:val="333333"/>
                <w:sz w:val="18"/>
              </w:rPr>
              <w:t>HIGH (3)</w:t>
            </w:r>
          </w:p>
        </w:tc>
      </w:tr>
      <w:tr>
        <w:tc>
          <w:tcPr>
            <w:tcW w:type="dxa" w:w="5040"/>
          </w:tcPr>
          <w:p>
            <w:r>
              <w:rPr>
                <w:rFonts w:ascii="Calibri" w:hAnsi="Calibri"/>
                <w:color w:val="333333"/>
                <w:sz w:val="18"/>
              </w:rPr>
              <w:t>Related Party Density</w:t>
            </w:r>
          </w:p>
        </w:tc>
        <w:tc>
          <w:tcPr>
            <w:tcW w:type="dxa" w:w="5040"/>
          </w:tcPr>
          <w:p>
            <w:r>
              <w:rPr>
                <w:rFonts w:ascii="Calibri" w:hAnsi="Calibri"/>
                <w:color w:val="333333"/>
                <w:sz w:val="18"/>
              </w:rPr>
              <w:t>LOW</w:t>
            </w:r>
          </w:p>
        </w:tc>
      </w:tr>
      <w:tr>
        <w:tc>
          <w:tcPr>
            <w:tcW w:type="dxa" w:w="5040"/>
            <w:shd w:fill="F2F4F8" w:val="clear"/>
          </w:tcPr>
          <w:p>
            <w:r>
              <w:rPr>
                <w:rFonts w:ascii="Calibri" w:hAnsi="Calibri"/>
                <w:color w:val="333333"/>
                <w:sz w:val="18"/>
              </w:rPr>
              <w:t>Off-Balance-Sheet Exposure</w:t>
            </w:r>
          </w:p>
        </w:tc>
        <w:tc>
          <w:tcPr>
            <w:tcW w:type="dxa" w:w="5040"/>
            <w:shd w:fill="F2F4F8" w:val="clear"/>
          </w:tcPr>
          <w:p>
            <w:r>
              <w:rPr>
                <w:rFonts w:ascii="Calibri" w:hAnsi="Calibri"/>
                <w:color w:val="333333"/>
                <w:sz w:val="18"/>
              </w:rPr>
              <w:t>HIGH (7)</w:t>
            </w:r>
          </w:p>
        </w:tc>
      </w:tr>
      <w:tr>
        <w:tc>
          <w:tcPr>
            <w:tcW w:type="dxa" w:w="5040"/>
          </w:tcPr>
          <w:p>
            <w:r>
              <w:rPr>
                <w:rFonts w:ascii="Calibri" w:hAnsi="Calibri"/>
                <w:color w:val="333333"/>
                <w:sz w:val="18"/>
              </w:rPr>
              <w:t>Holding Structure Depth</w:t>
            </w:r>
          </w:p>
        </w:tc>
        <w:tc>
          <w:tcPr>
            <w:tcW w:type="dxa" w:w="5040"/>
          </w:tcPr>
          <w:p>
            <w:r>
              <w:rPr>
                <w:rFonts w:ascii="Calibri" w:hAnsi="Calibri"/>
                <w:color w:val="333333"/>
                <w:sz w:val="18"/>
              </w:rPr>
              <w:t>HIGH (4)</w:t>
            </w:r>
          </w:p>
        </w:tc>
      </w:tr>
    </w:tbl>
    <w:p>
      <w:pPr>
        <w:pStyle w:val="DOHeading3"/>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Quality Score</w:t>
            </w:r>
          </w:p>
        </w:tc>
        <w:tc>
          <w:tcPr>
            <w:tcW w:type="dxa" w:w="2016"/>
            <w:shd w:fill="1A1446" w:val="clear"/>
          </w:tcPr>
          <w:p>
            <w:r>
              <w:rPr>
                <w:rFonts w:ascii="Calibri" w:hAnsi="Calibri"/>
                <w:b/>
                <w:color w:val="FFFFFF"/>
                <w:sz w:val="18"/>
              </w:rPr>
              <w:t>Similarity</w:t>
            </w:r>
          </w:p>
        </w:tc>
      </w:tr>
      <w:tr>
        <w:tc>
          <w:tcPr>
            <w:tcW w:type="dxa" w:w="2016"/>
          </w:tcPr>
          <w:p>
            <w:r>
              <w:rPr>
                <w:rFonts w:ascii="Calibri" w:hAnsi="Calibri"/>
                <w:color w:val="333333"/>
                <w:sz w:val="18"/>
              </w:rPr>
              <w:t>GE</w:t>
            </w:r>
          </w:p>
        </w:tc>
        <w:tc>
          <w:tcPr>
            <w:tcW w:type="dxa" w:w="2016"/>
          </w:tcPr>
          <w:p>
            <w:r>
              <w:rPr>
                <w:rFonts w:ascii="Calibri" w:hAnsi="Calibri"/>
                <w:color w:val="333333"/>
                <w:sz w:val="18"/>
              </w:rPr>
              <w:t>GE Aerospace</w:t>
            </w:r>
          </w:p>
        </w:tc>
        <w:tc>
          <w:tcPr>
            <w:tcW w:type="dxa" w:w="2016"/>
          </w:tcPr>
          <w:p>
            <w:r>
              <w:rPr>
                <w:rFonts w:ascii="Calibri" w:hAnsi="Calibri"/>
                <w:color w:val="333333"/>
                <w:sz w:val="18"/>
              </w:rPr>
              <w:t>$296.6B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40%</w:t>
            </w:r>
          </w:p>
        </w:tc>
      </w:tr>
      <w:tr>
        <w:tc>
          <w:tcPr>
            <w:tcW w:type="dxa" w:w="2016"/>
            <w:shd w:fill="F2F4F8" w:val="clear"/>
          </w:tcPr>
          <w:p>
            <w:r>
              <w:rPr>
                <w:rFonts w:ascii="Calibri" w:hAnsi="Calibri"/>
                <w:color w:val="333333"/>
                <w:sz w:val="18"/>
              </w:rPr>
              <w:t>HON</w:t>
            </w:r>
          </w:p>
        </w:tc>
        <w:tc>
          <w:tcPr>
            <w:tcW w:type="dxa" w:w="2016"/>
            <w:shd w:fill="F2F4F8" w:val="clear"/>
          </w:tcPr>
          <w:p>
            <w:r>
              <w:rPr>
                <w:rFonts w:ascii="Calibri" w:hAnsi="Calibri"/>
                <w:color w:val="333333"/>
                <w:sz w:val="18"/>
              </w:rPr>
              <w:t>Honeywell International Inc.</w:t>
            </w:r>
          </w:p>
        </w:tc>
        <w:tc>
          <w:tcPr>
            <w:tcW w:type="dxa" w:w="2016"/>
            <w:shd w:fill="F2F4F8" w:val="clear"/>
          </w:tcPr>
          <w:p>
            <w:r>
              <w:rPr>
                <w:rFonts w:ascii="Calibri" w:hAnsi="Calibri"/>
                <w:color w:val="333333"/>
                <w:sz w:val="18"/>
              </w:rPr>
              <w:t>$145.9B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20%</w:t>
            </w:r>
          </w:p>
        </w:tc>
      </w:tr>
      <w:tr>
        <w:tc>
          <w:tcPr>
            <w:tcW w:type="dxa" w:w="2016"/>
          </w:tcPr>
          <w:p>
            <w:r>
              <w:rPr>
                <w:rFonts w:ascii="Calibri" w:hAnsi="Calibri"/>
                <w:color w:val="333333"/>
                <w:sz w:val="18"/>
              </w:rPr>
              <w:t>UNP</w:t>
            </w:r>
          </w:p>
        </w:tc>
        <w:tc>
          <w:tcPr>
            <w:tcW w:type="dxa" w:w="2016"/>
          </w:tcPr>
          <w:p>
            <w:r>
              <w:rPr>
                <w:rFonts w:ascii="Calibri" w:hAnsi="Calibri"/>
                <w:color w:val="333333"/>
                <w:sz w:val="18"/>
              </w:rPr>
              <w:t>Union Pacific Corporation</w:t>
            </w:r>
          </w:p>
        </w:tc>
        <w:tc>
          <w:tcPr>
            <w:tcW w:type="dxa" w:w="2016"/>
          </w:tcPr>
          <w:p>
            <w:r>
              <w:rPr>
                <w:rFonts w:ascii="Calibri" w:hAnsi="Calibri"/>
                <w:color w:val="333333"/>
                <w:sz w:val="18"/>
              </w:rPr>
              <w:t>$145.3B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16%</w:t>
            </w:r>
          </w:p>
        </w:tc>
      </w:tr>
      <w:tr>
        <w:tc>
          <w:tcPr>
            <w:tcW w:type="dxa" w:w="2016"/>
            <w:shd w:fill="F2F4F8" w:val="clear"/>
          </w:tcPr>
          <w:p>
            <w:r>
              <w:rPr>
                <w:rFonts w:ascii="Calibri" w:hAnsi="Calibri"/>
                <w:color w:val="333333"/>
                <w:sz w:val="18"/>
              </w:rPr>
              <w:t>RTX</w:t>
            </w:r>
          </w:p>
        </w:tc>
        <w:tc>
          <w:tcPr>
            <w:tcW w:type="dxa" w:w="2016"/>
            <w:shd w:fill="F2F4F8" w:val="clear"/>
          </w:tcPr>
          <w:p>
            <w:r>
              <w:rPr>
                <w:rFonts w:ascii="Calibri" w:hAnsi="Calibri"/>
                <w:color w:val="333333"/>
                <w:sz w:val="18"/>
              </w:rPr>
              <w:t>RTX Corporation</w:t>
            </w:r>
          </w:p>
        </w:tc>
        <w:tc>
          <w:tcPr>
            <w:tcW w:type="dxa" w:w="2016"/>
            <w:shd w:fill="F2F4F8" w:val="clear"/>
          </w:tcPr>
          <w:p>
            <w:r>
              <w:rPr>
                <w:rFonts w:ascii="Calibri" w:hAnsi="Calibri"/>
                <w:color w:val="333333"/>
                <w:sz w:val="18"/>
              </w:rPr>
              <w:t>$264.1B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37%</w:t>
            </w:r>
          </w:p>
        </w:tc>
      </w:tr>
      <w:tr>
        <w:tc>
          <w:tcPr>
            <w:tcW w:type="dxa" w:w="2016"/>
          </w:tcPr>
          <w:p>
            <w:r>
              <w:rPr>
                <w:rFonts w:ascii="Calibri" w:hAnsi="Calibri"/>
                <w:color w:val="333333"/>
                <w:sz w:val="18"/>
              </w:rPr>
              <w:t>BA</w:t>
            </w:r>
          </w:p>
        </w:tc>
        <w:tc>
          <w:tcPr>
            <w:tcW w:type="dxa" w:w="2016"/>
          </w:tcPr>
          <w:p>
            <w:r>
              <w:rPr>
                <w:rFonts w:ascii="Calibri" w:hAnsi="Calibri"/>
                <w:color w:val="333333"/>
                <w:sz w:val="18"/>
              </w:rPr>
              <w:t>Boeing Company (The)</w:t>
            </w:r>
          </w:p>
        </w:tc>
        <w:tc>
          <w:tcPr>
            <w:tcW w:type="dxa" w:w="2016"/>
          </w:tcPr>
          <w:p>
            <w:r>
              <w:rPr>
                <w:rFonts w:ascii="Calibri" w:hAnsi="Calibri"/>
                <w:color w:val="333333"/>
                <w:sz w:val="18"/>
              </w:rPr>
              <w:t>$163.6B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22%</w:t>
            </w:r>
          </w:p>
        </w:tc>
      </w:tr>
      <w:tr>
        <w:tc>
          <w:tcPr>
            <w:tcW w:type="dxa" w:w="2016"/>
            <w:shd w:fill="F2F4F8" w:val="clear"/>
          </w:tcPr>
          <w:p>
            <w:r>
              <w:rPr>
                <w:rFonts w:ascii="Calibri" w:hAnsi="Calibri"/>
                <w:color w:val="333333"/>
                <w:sz w:val="18"/>
              </w:rPr>
              <w:t>DE</w:t>
            </w:r>
          </w:p>
        </w:tc>
        <w:tc>
          <w:tcPr>
            <w:tcW w:type="dxa" w:w="2016"/>
            <w:shd w:fill="F2F4F8" w:val="clear"/>
          </w:tcPr>
          <w:p>
            <w:r>
              <w:rPr>
                <w:rFonts w:ascii="Calibri" w:hAnsi="Calibri"/>
                <w:color w:val="333333"/>
                <w:sz w:val="18"/>
              </w:rPr>
              <w:t>Deere &amp; Company</w:t>
            </w:r>
          </w:p>
        </w:tc>
        <w:tc>
          <w:tcPr>
            <w:tcW w:type="dxa" w:w="2016"/>
            <w:shd w:fill="F2F4F8" w:val="clear"/>
          </w:tcPr>
          <w:p>
            <w:r>
              <w:rPr>
                <w:rFonts w:ascii="Calibri" w:hAnsi="Calibri"/>
                <w:color w:val="333333"/>
                <w:sz w:val="18"/>
              </w:rPr>
              <w:t>$155.5B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32%</w:t>
            </w:r>
          </w:p>
        </w:tc>
      </w:tr>
      <w:tr>
        <w:tc>
          <w:tcPr>
            <w:tcW w:type="dxa" w:w="2016"/>
          </w:tcPr>
          <w:p>
            <w:r>
              <w:rPr>
                <w:rFonts w:ascii="Calibri" w:hAnsi="Calibri"/>
                <w:color w:val="333333"/>
                <w:sz w:val="18"/>
              </w:rPr>
              <w:t>LMT</w:t>
            </w:r>
          </w:p>
        </w:tc>
        <w:tc>
          <w:tcPr>
            <w:tcW w:type="dxa" w:w="2016"/>
          </w:tcPr>
          <w:p>
            <w:r>
              <w:rPr>
                <w:rFonts w:ascii="Calibri" w:hAnsi="Calibri"/>
                <w:color w:val="333333"/>
                <w:sz w:val="18"/>
              </w:rPr>
              <w:t>Lockheed Martin Corporation</w:t>
            </w:r>
          </w:p>
        </w:tc>
        <w:tc>
          <w:tcPr>
            <w:tcW w:type="dxa" w:w="2016"/>
          </w:tcPr>
          <w:p>
            <w:r>
              <w:rPr>
                <w:rFonts w:ascii="Calibri" w:hAnsi="Calibri"/>
                <w:color w:val="333333"/>
                <w:sz w:val="18"/>
              </w:rPr>
              <w:t>$143.5B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25%</w:t>
            </w:r>
          </w:p>
        </w:tc>
      </w:tr>
      <w:tr>
        <w:tc>
          <w:tcPr>
            <w:tcW w:type="dxa" w:w="2016"/>
            <w:shd w:fill="F2F4F8" w:val="clear"/>
          </w:tcPr>
          <w:p>
            <w:r>
              <w:rPr>
                <w:rFonts w:ascii="Calibri" w:hAnsi="Calibri"/>
                <w:color w:val="333333"/>
                <w:sz w:val="18"/>
              </w:rPr>
              <w:t>UPS</w:t>
            </w:r>
          </w:p>
        </w:tc>
        <w:tc>
          <w:tcPr>
            <w:tcW w:type="dxa" w:w="2016"/>
            <w:shd w:fill="F2F4F8" w:val="clear"/>
          </w:tcPr>
          <w:p>
            <w:r>
              <w:rPr>
                <w:rFonts w:ascii="Calibri" w:hAnsi="Calibri"/>
                <w:color w:val="333333"/>
                <w:sz w:val="18"/>
              </w:rPr>
              <w:t>United Parcel Service, Inc.</w:t>
            </w:r>
          </w:p>
        </w:tc>
        <w:tc>
          <w:tcPr>
            <w:tcW w:type="dxa" w:w="2016"/>
            <w:shd w:fill="F2F4F8" w:val="clear"/>
          </w:tcPr>
          <w:p>
            <w:r>
              <w:rPr>
                <w:rFonts w:ascii="Calibri" w:hAnsi="Calibri"/>
                <w:color w:val="333333"/>
                <w:sz w:val="18"/>
              </w:rPr>
              <w:t>$83.4B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22%</w:t>
            </w:r>
          </w:p>
        </w:tc>
      </w:tr>
      <w:tr>
        <w:tc>
          <w:tcPr>
            <w:tcW w:type="dxa" w:w="2016"/>
          </w:tcPr>
          <w:p>
            <w:r>
              <w:rPr>
                <w:rFonts w:ascii="Calibri" w:hAnsi="Calibri"/>
                <w:color w:val="333333"/>
                <w:sz w:val="18"/>
              </w:rPr>
              <w:t>MMM</w:t>
            </w:r>
          </w:p>
        </w:tc>
        <w:tc>
          <w:tcPr>
            <w:tcW w:type="dxa" w:w="2016"/>
          </w:tcPr>
          <w:p>
            <w:r>
              <w:rPr>
                <w:rFonts w:ascii="Calibri" w:hAnsi="Calibri"/>
                <w:color w:val="333333"/>
                <w:sz w:val="18"/>
              </w:rPr>
              <w:t>3M Company</w:t>
            </w:r>
          </w:p>
        </w:tc>
        <w:tc>
          <w:tcPr>
            <w:tcW w:type="dxa" w:w="2016"/>
          </w:tcPr>
          <w:p>
            <w:r>
              <w:rPr>
                <w:rFonts w:ascii="Calibri" w:hAnsi="Calibri"/>
                <w:color w:val="333333"/>
                <w:sz w:val="18"/>
              </w:rPr>
              <w:t>$76.1B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17%</w:t>
            </w:r>
          </w:p>
        </w:tc>
      </w:tr>
    </w:tbl>
    <w:p>
      <w:pPr>
        <w:pStyle w:val="DOBody"/>
      </w:pPr>
      <w:r>
        <w:rPr>
          <w:rFonts w:ascii="Calibri" w:hAnsi="Calibri"/>
          <w:color w:val="333333"/>
          <w:sz w:val="20"/>
        </w:rPr>
        <w:t>The peer group of 9 companies shares the same industry classification (SIC 3531). CATERPILLAR INC ranks at the 100th percentile among 9 peers by market capitalization.</w:t>
      </w:r>
    </w:p>
    <w:p>
      <w:pPr>
        <w:pStyle w:val="DOHeading2"/>
      </w:pPr>
      <w:r>
        <w:t>Revenue Segments</w:t>
      </w:r>
    </w:p>
    <w:p>
      <w:pPr>
        <w:pStyle w:val="DOBody"/>
      </w:pPr>
      <w:r>
        <w:t>Revenue segment data not available.</w:t>
      </w:r>
    </w:p>
    <w:p>
      <w:pPr>
        <w:pStyle w:val="DOHeading2"/>
      </w:pPr>
      <w:r>
        <w:t>Geographic Footprint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Region</w:t>
            </w:r>
          </w:p>
        </w:tc>
        <w:tc>
          <w:tcPr>
            <w:tcW w:type="dxa" w:w="3360"/>
            <w:shd w:fill="1A1446" w:val="clear"/>
          </w:tcPr>
          <w:p>
            <w:r>
              <w:rPr>
                <w:rFonts w:ascii="Calibri" w:hAnsi="Calibri"/>
                <w:b/>
                <w:color w:val="FFFFFF"/>
                <w:sz w:val="18"/>
              </w:rPr>
              <w:t>Revenue</w:t>
            </w:r>
          </w:p>
        </w:tc>
        <w:tc>
          <w:tcPr>
            <w:tcW w:type="dxa" w:w="3360"/>
            <w:shd w:fill="1A1446" w:val="clear"/>
          </w:tcPr>
          <w:p>
            <w:r>
              <w:rPr>
                <w:rFonts w:ascii="Calibri" w:hAnsi="Calibri"/>
                <w:b/>
                <w:color w:val="FFFFFF"/>
                <w:sz w:val="18"/>
              </w:rPr>
              <w:t>% of Total</w:t>
            </w:r>
          </w:p>
        </w:tc>
      </w:tr>
      <w:tr>
        <w:tc>
          <w:tcPr>
            <w:tcW w:type="dxa" w:w="3360"/>
          </w:tcPr>
          <w:p>
            <w:r>
              <w:rPr>
                <w:rFonts w:ascii="Calibri" w:hAnsi="Calibri"/>
                <w:color w:val="333333"/>
                <w:sz w:val="18"/>
              </w:rPr>
              <w:t>North America</w:t>
            </w:r>
          </w:p>
        </w:tc>
        <w:tc>
          <w:tcPr>
            <w:tcW w:type="dxa" w:w="3360"/>
          </w:tcPr>
          <w:p>
            <w:r>
              <w:rPr>
                <w:rFonts w:ascii="Calibri" w:hAnsi="Calibri"/>
                <w:color w:val="333333"/>
                <w:sz w:val="18"/>
              </w:rPr>
              <w:t>N/A</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Latin America</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EMEA (Europe, Africa, Middle East)</w:t>
            </w:r>
          </w:p>
        </w:tc>
        <w:tc>
          <w:tcPr>
            <w:tcW w:type="dxa" w:w="3360"/>
          </w:tcPr>
          <w:p>
            <w:r>
              <w:rPr>
                <w:rFonts w:ascii="Calibri" w:hAnsi="Calibri"/>
                <w:color w:val="333333"/>
                <w:sz w:val="18"/>
              </w:rPr>
              <w:t>N/A</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Asia Pacific</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r>
          </w:p>
        </w:tc>
      </w:tr>
    </w:tbl>
    <w:p>
      <w:pPr>
        <w:pStyle w:val="DOHeading2"/>
      </w:pPr>
      <w:r>
        <w:t>Customer &amp; Supplier Concentration</w:t>
      </w:r>
    </w:p>
    <w:p>
      <w:pPr>
        <w:pStyle w:val="DOBody"/>
      </w:pPr>
      <w:r>
        <w:t>Concentration data not available from filings.</w:t>
      </w:r>
    </w:p>
    <w:p>
      <w:pPr>
        <w:pStyle w:val="DOHeading2"/>
      </w:pPr>
      <w:r>
        <w:t>D&amp;O Exposure Factors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Exposure Type</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Coverage Part</w:t>
            </w:r>
          </w:p>
        </w:tc>
      </w:tr>
      <w:tr>
        <w:tc>
          <w:tcPr>
            <w:tcW w:type="dxa" w:w="2520"/>
          </w:tcPr>
          <w:p>
            <w:r>
              <w:rPr>
                <w:rFonts w:ascii="Calibri" w:hAnsi="Calibri"/>
                <w:color w:val="333333"/>
                <w:sz w:val="18"/>
              </w:rPr>
              <w:t>Securities Litigation</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Shareholder class actions, SEC enforcement</w:t>
            </w:r>
          </w:p>
        </w:tc>
        <w:tc>
          <w:tcPr>
            <w:tcW w:type="dxa" w:w="2520"/>
          </w:tcPr>
          <w:p>
            <w:r>
              <w:rPr>
                <w:rFonts w:ascii="Calibri" w:hAnsi="Calibri"/>
                <w:color w:val="333333"/>
                <w:sz w:val="18"/>
              </w:rPr>
              <w:t>Side A/B/C</w:t>
            </w:r>
          </w:p>
        </w:tc>
      </w:tr>
      <w:tr>
        <w:tc>
          <w:tcPr>
            <w:tcW w:type="dxa" w:w="2520"/>
            <w:shd w:fill="F2F4F8" w:val="clear"/>
          </w:tcPr>
          <w:p>
            <w:r>
              <w:rPr>
                <w:rFonts w:ascii="Calibri" w:hAnsi="Calibri"/>
                <w:color w:val="333333"/>
                <w:sz w:val="18"/>
              </w:rPr>
              <w:t>Derivative Actions</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Breach of fiduciary duty, waste claims</w:t>
            </w:r>
          </w:p>
        </w:tc>
        <w:tc>
          <w:tcPr>
            <w:tcW w:type="dxa" w:w="2520"/>
            <w:shd w:fill="F2F4F8" w:val="clear"/>
          </w:tcPr>
          <w:p>
            <w:r>
              <w:rPr>
                <w:rFonts w:ascii="Calibri" w:hAnsi="Calibri"/>
                <w:color w:val="333333"/>
                <w:sz w:val="18"/>
              </w:rPr>
              <w:t>Side A/B</w:t>
            </w:r>
          </w:p>
        </w:tc>
      </w:tr>
      <w:tr>
        <w:tc>
          <w:tcPr>
            <w:tcW w:type="dxa" w:w="2520"/>
          </w:tcPr>
          <w:p>
            <w:r>
              <w:rPr>
                <w:rFonts w:ascii="Calibri" w:hAnsi="Calibri"/>
                <w:color w:val="333333"/>
                <w:sz w:val="18"/>
              </w:rPr>
              <w:t>Employment Practices</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Discrimination, harassment, wrongful termination</w:t>
            </w:r>
          </w:p>
        </w:tc>
        <w:tc>
          <w:tcPr>
            <w:tcW w:type="dxa" w:w="2520"/>
          </w:tcPr>
          <w:p>
            <w:r>
              <w:rPr>
                <w:rFonts w:ascii="Calibri" w:hAnsi="Calibri"/>
                <w:color w:val="333333"/>
                <w:sz w:val="18"/>
              </w:rPr>
              <w:t>Side B/C (EPLI)</w:t>
            </w:r>
          </w:p>
        </w:tc>
      </w:tr>
      <w:tr>
        <w:tc>
          <w:tcPr>
            <w:tcW w:type="dxa" w:w="2520"/>
            <w:shd w:fill="F2F4F8" w:val="clear"/>
          </w:tcPr>
          <w:p>
            <w:r>
              <w:rPr>
                <w:rFonts w:ascii="Calibri" w:hAnsi="Calibri"/>
                <w:color w:val="333333"/>
                <w:sz w:val="18"/>
              </w:rPr>
              <w:t>Regulatory/Government</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DOJ, SEC, FTC, state AG investigations</w:t>
            </w:r>
          </w:p>
        </w:tc>
        <w:tc>
          <w:tcPr>
            <w:tcW w:type="dxa" w:w="2520"/>
            <w:shd w:fill="F2F4F8" w:val="clear"/>
          </w:tcPr>
          <w:p>
            <w:r>
              <w:rPr>
                <w:rFonts w:ascii="Calibri" w:hAnsi="Calibri"/>
                <w:color w:val="333333"/>
                <w:sz w:val="18"/>
              </w:rPr>
              <w:t>Side A (primarily)</w:t>
            </w:r>
          </w:p>
        </w:tc>
      </w:tr>
      <w:tr>
        <w:tc>
          <w:tcPr>
            <w:tcW w:type="dxa" w:w="2520"/>
          </w:tcPr>
          <w:p>
            <w:r>
              <w:rPr>
                <w:rFonts w:ascii="Calibri" w:hAnsi="Calibri"/>
                <w:color w:val="333333"/>
                <w:sz w:val="18"/>
              </w:rPr>
              <w:t>Fiduciary (ERISA)</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401(k) plan mismanagement, fee litigation</w:t>
            </w:r>
          </w:p>
        </w:tc>
        <w:tc>
          <w:tcPr>
            <w:tcW w:type="dxa" w:w="2520"/>
          </w:tcPr>
          <w:p>
            <w:r>
              <w:rPr>
                <w:rFonts w:ascii="Calibri" w:hAnsi="Calibri"/>
                <w:color w:val="333333"/>
                <w:sz w:val="18"/>
              </w:rPr>
              <w:t>Fiduciary Liability</w:t>
            </w:r>
          </w:p>
        </w:tc>
      </w:tr>
    </w:tbl>
    <w:p>
      <w:pPr>
        <w:pStyle w:val="DOCaption"/>
      </w:pPr>
      <w:r>
        <w:t>Standard D&amp;O exposure categories shown. See individual analysis sections for company-specific risk levels.</w:t>
      </w:r>
    </w:p>
    <w:p>
      <w:pPr>
        <w:pStyle w:val="DOHeading2"/>
      </w:pPr>
      <w:r>
        <w:t>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MEGA</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INDU (INDU)</w:t>
            </w:r>
          </w:p>
        </w:tc>
      </w:tr>
      <w:tr>
        <w:tc>
          <w:tcPr>
            <w:tcW w:type="dxa" w:w="5040"/>
          </w:tcPr>
          <w:p>
            <w:r>
              <w:rPr>
                <w:rFonts w:ascii="Calibri" w:hAnsi="Calibri"/>
                <w:color w:val="333333"/>
                <w:sz w:val="18"/>
              </w:rPr>
              <w:t>Years Public</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Base Filing Rate</w:t>
            </w:r>
          </w:p>
        </w:tc>
        <w:tc>
          <w:tcPr>
            <w:tcW w:type="dxa" w:w="5040"/>
            <w:shd w:fill="F2F4F8" w:val="clear"/>
          </w:tcPr>
          <w:p>
            <w:r>
              <w:rPr>
                <w:rFonts w:ascii="Calibri" w:hAnsi="Calibri"/>
                <w:color w:val="333333"/>
                <w:sz w:val="18"/>
              </w:rPr>
              <w:t>4.5%</w:t>
            </w:r>
          </w:p>
        </w:tc>
      </w:tr>
      <w:tr>
        <w:tc>
          <w:tcPr>
            <w:tcW w:type="dxa" w:w="5040"/>
          </w:tcPr>
          <w:p>
            <w:r>
              <w:rPr>
                <w:rFonts w:ascii="Calibri" w:hAnsi="Calibri"/>
                <w:color w:val="333333"/>
                <w:sz w:val="18"/>
              </w:rPr>
              <w:t>Severity Band</w:t>
            </w:r>
          </w:p>
        </w:tc>
        <w:tc>
          <w:tcPr>
            <w:tcW w:type="dxa" w:w="5040"/>
          </w:tcPr>
          <w:p>
            <w:r>
              <w:rPr>
                <w:rFonts w:ascii="Calibri" w:hAnsi="Calibri"/>
                <w:color w:val="333333"/>
                <w:sz w:val="18"/>
              </w:rPr>
              <w:t>$150.0M -- $500.0M</w:t>
            </w:r>
          </w:p>
        </w:tc>
      </w:tr>
      <w:tr>
        <w:tc>
          <w:tcPr>
            <w:tcW w:type="dxa" w:w="5040"/>
            <w:shd w:fill="F2F4F8" w:val="clear"/>
          </w:tcPr>
          <w:p>
            <w:r>
              <w:rPr>
                <w:rFonts w:ascii="Calibri" w:hAnsi="Calibri"/>
                <w:color w:val="333333"/>
                <w:sz w:val="18"/>
              </w:rPr>
              <w:t>DDL Exposure Base</w:t>
            </w:r>
          </w:p>
        </w:tc>
        <w:tc>
          <w:tcPr>
            <w:tcW w:type="dxa" w:w="5040"/>
            <w:shd w:fill="F2F4F8" w:val="clear"/>
          </w:tcPr>
          <w:p>
            <w:r>
              <w:rPr>
                <w:rFonts w:ascii="Calibri" w:hAnsi="Calibri"/>
                <w:color w:val="333333"/>
                <w:sz w:val="18"/>
              </w:rPr>
              <w:t>$50.3B</w:t>
            </w:r>
          </w:p>
        </w:tc>
      </w:tr>
      <w:tr>
        <w:tc>
          <w:tcPr>
            <w:tcW w:type="dxa" w:w="5040"/>
          </w:tcPr>
          <w:p>
            <w:r>
              <w:rPr>
                <w:rFonts w:ascii="Calibri" w:hAnsi="Calibri"/>
                <w:color w:val="333333"/>
                <w:sz w:val="18"/>
              </w:rPr>
              <w:t>IPO Multiplier</w:t>
            </w:r>
          </w:p>
        </w:tc>
        <w:tc>
          <w:tcPr>
            <w:tcW w:type="dxa" w:w="5040"/>
          </w:tcPr>
          <w:p>
            <w:r>
              <w:rPr>
                <w:rFonts w:ascii="Calibri" w:hAnsi="Calibri"/>
                <w:color w:val="333333"/>
                <w:sz w:val="18"/>
              </w:rPr>
              <w:t>1.00x</w:t>
            </w:r>
          </w:p>
        </w:tc>
      </w:tr>
      <w:tr>
        <w:tc>
          <w:tcPr>
            <w:tcW w:type="dxa" w:w="5040"/>
            <w:shd w:fill="F2F4F8" w:val="clear"/>
          </w:tcPr>
          <w:p>
            <w:r>
              <w:rPr>
                <w:rFonts w:ascii="Calibri" w:hAnsi="Calibri"/>
                <w:color w:val="333333"/>
                <w:sz w:val="18"/>
              </w:rPr>
              <w:t>Cap Filing Multiplier</w:t>
            </w:r>
          </w:p>
        </w:tc>
        <w:tc>
          <w:tcPr>
            <w:tcW w:type="dxa" w:w="5040"/>
            <w:shd w:fill="F2F4F8" w:val="clear"/>
          </w:tcPr>
          <w:p>
            <w:r>
              <w:rPr>
                <w:rFonts w:ascii="Calibri" w:hAnsi="Calibri"/>
                <w:color w:val="333333"/>
                <w:sz w:val="18"/>
              </w:rPr>
              <w:t>1.80x</w:t>
            </w:r>
          </w:p>
        </w:tc>
      </w:tr>
    </w:tbl>
    <w:p>
      <w:pPr>
        <w:pStyle w:val="DOHeading2"/>
      </w:pPr>
      <w:r>
        <w:t>Hazard Profile (Inherent Exposure Score)</w:t>
      </w:r>
    </w:p>
    <w:p>
      <w:pPr>
        <w:pStyle w:val="DOBody"/>
      </w:pPr>
      <w:r>
        <w:rPr>
          <w:b/>
        </w:rPr>
        <w:t>IES: 30/100 (LOW) | Multiplier: 0.80x | Data Coverage: 73%</w:t>
      </w:r>
      <w:r>
        <w:rPr>
          <w:b/>
          <w:color w:val="2563EB"/>
          <w:sz w:val="18"/>
        </w:rPr>
        <w:t xml:space="preserve"> [MODERATE]</w:t>
      </w:r>
    </w:p>
    <w:p>
      <w:pPr>
        <w:pStyle w:val="DOHeading3"/>
      </w:pPr>
      <w:r>
        <w:t>Top Risk Dimensions (Elevated+)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Dimension</w:t>
            </w:r>
          </w:p>
        </w:tc>
        <w:tc>
          <w:tcPr>
            <w:tcW w:type="dxa" w:w="2520"/>
            <w:shd w:fill="1A1446" w:val="clear"/>
          </w:tcPr>
          <w:p>
            <w:r>
              <w:rPr>
                <w:rFonts w:ascii="Calibri" w:hAnsi="Calibri"/>
                <w:b/>
                <w:color w:val="FFFFFF"/>
                <w:sz w:val="18"/>
              </w:rPr>
              <w:t>Score</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Evidence</w:t>
            </w:r>
          </w:p>
        </w:tc>
      </w:tr>
      <w:tr>
        <w:tc>
          <w:tcPr>
            <w:tcW w:type="dxa" w:w="2520"/>
          </w:tcPr>
          <w:p>
            <w:r>
              <w:rPr>
                <w:rFonts w:ascii="Calibri" w:hAnsi="Calibri"/>
                <w:color w:val="333333"/>
                <w:sz w:val="18"/>
              </w:rPr>
              <w:t>Board Independence</w:t>
            </w:r>
          </w:p>
        </w:tc>
        <w:tc>
          <w:tcPr>
            <w:tcW w:type="dxa" w:w="2520"/>
          </w:tcPr>
          <w:p>
            <w:r>
              <w:rPr>
                <w:rFonts w:ascii="Calibri" w:hAnsi="Calibri"/>
                <w:color w:val="333333"/>
                <w:sz w:val="18"/>
              </w:rPr>
              <w:t>70</w:t>
            </w:r>
          </w:p>
        </w:tc>
        <w:tc>
          <w:tcPr>
            <w:tcW w:type="dxa" w:w="2520"/>
          </w:tcPr>
          <w:p>
            <w:r>
              <w:rPr>
                <w:rFonts w:ascii="Calibri" w:hAnsi="Calibri"/>
                <w:color w:val="333333"/>
                <w:sz w:val="18"/>
              </w:rPr>
              <w:t>HIGH</w:t>
            </w:r>
          </w:p>
        </w:tc>
        <w:tc>
          <w:tcPr>
            <w:tcW w:type="dxa" w:w="2520"/>
          </w:tcPr>
          <w:p>
            <w:r>
              <w:rPr>
                <w:rFonts w:ascii="Calibri" w:hAnsi="Calibri"/>
                <w:color w:val="333333"/>
                <w:sz w:val="18"/>
              </w:rPr>
              <w:t>Proxy: independence score 3.0; Estimated from related indicators.</w:t>
            </w:r>
          </w:p>
        </w:tc>
      </w:tr>
      <w:tr>
        <w:tc>
          <w:tcPr>
            <w:tcW w:type="dxa" w:w="2520"/>
            <w:shd w:fill="F2F4F8" w:val="clear"/>
          </w:tcPr>
          <w:p>
            <w:r>
              <w:rPr>
                <w:rFonts w:ascii="Calibri" w:hAnsi="Calibri"/>
                <w:color w:val="333333"/>
                <w:sz w:val="18"/>
              </w:rPr>
              <w:t>Industry Expertise Match</w:t>
            </w:r>
          </w:p>
        </w:tc>
        <w:tc>
          <w:tcPr>
            <w:tcW w:type="dxa" w:w="2520"/>
            <w:shd w:fill="F2F4F8" w:val="clear"/>
          </w:tcPr>
          <w:p>
            <w:r>
              <w:rPr>
                <w:rFonts w:ascii="Calibri" w:hAnsi="Calibri"/>
                <w:color w:val="333333"/>
                <w:sz w:val="18"/>
              </w:rPr>
              <w:t>67</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No executives with explicit INDU background in bios</w:t>
            </w:r>
          </w:p>
        </w:tc>
      </w:tr>
      <w:tr>
        <w:tc>
          <w:tcPr>
            <w:tcW w:type="dxa" w:w="2520"/>
          </w:tcPr>
          <w:p>
            <w:r>
              <w:rPr>
                <w:rFonts w:ascii="Calibri" w:hAnsi="Calibri"/>
                <w:color w:val="333333"/>
                <w:sz w:val="18"/>
              </w:rPr>
              <w:t>Anti-Takeover Provisions</w:t>
            </w:r>
          </w:p>
        </w:tc>
        <w:tc>
          <w:tcPr>
            <w:tcW w:type="dxa" w:w="2520"/>
          </w:tcPr>
          <w:p>
            <w:r>
              <w:rPr>
                <w:rFonts w:ascii="Calibri" w:hAnsi="Calibri"/>
                <w:color w:val="333333"/>
                <w:sz w:val="18"/>
              </w:rPr>
              <w:t>54</w:t>
            </w:r>
          </w:p>
        </w:tc>
        <w:tc>
          <w:tcPr>
            <w:tcW w:type="dxa" w:w="2520"/>
          </w:tcPr>
          <w:p>
            <w:r>
              <w:rPr>
                <w:rFonts w:ascii="Calibri" w:hAnsi="Calibri"/>
                <w:color w:val="333333"/>
                <w:sz w:val="18"/>
              </w:rPr>
              <w:t>ELEVATED</w:t>
            </w:r>
          </w:p>
        </w:tc>
        <w:tc>
          <w:tcPr>
            <w:tcW w:type="dxa" w:w="2520"/>
          </w:tcPr>
          <w:p>
            <w:r>
              <w:rPr>
                <w:rFonts w:ascii="Calibri" w:hAnsi="Calibri"/>
                <w:color w:val="333333"/>
                <w:sz w:val="18"/>
              </w:rPr>
              <w:t>Proxy: governance score 45.6; Estimated from related indicators.</w:t>
            </w:r>
          </w:p>
        </w:tc>
      </w:tr>
      <w:tr>
        <w:tc>
          <w:tcPr>
            <w:tcW w:type="dxa" w:w="2520"/>
            <w:shd w:fill="F2F4F8" w:val="clear"/>
          </w:tcPr>
          <w:p>
            <w:r>
              <w:rPr>
                <w:rFonts w:ascii="Calibri" w:hAnsi="Calibri"/>
                <w:color w:val="333333"/>
                <w:sz w:val="18"/>
              </w:rPr>
              <w:t>Customer &amp; Supplier Concentration</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Technology Platform Dependency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IP Dependency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Scale Experience Mismatch</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Key Person Dependency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Management Turnover</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Off-Balance Sheet Arrangements</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Related Party Transactions</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Capital Markets Activity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Audit Committee Quality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Committee quality score 0.0/10 (weak); Estimated from related indicators.</w:t>
            </w:r>
          </w:p>
        </w:tc>
      </w:tr>
      <w:tr>
        <w:tc>
          <w:tcPr>
            <w:tcW w:type="dxa" w:w="2520"/>
            <w:shd w:fill="F2F4F8" w:val="clear"/>
          </w:tcPr>
          <w:p>
            <w:r>
              <w:rPr>
                <w:rFonts w:ascii="Calibri" w:hAnsi="Calibri"/>
                <w:color w:val="333333"/>
                <w:sz w:val="18"/>
              </w:rPr>
              <w:t>IPO Recency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Method of Going Public</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Seasoning &amp; Track Record</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Market Cycle Position</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Market cycle scored at config default (moderate -- apply system-wide); Estimated from related indicators.</w:t>
            </w:r>
          </w:p>
        </w:tc>
      </w:tr>
      <w:tr>
        <w:tc>
          <w:tcPr>
            <w:tcW w:type="dxa" w:w="2520"/>
            <w:shd w:fill="F2F4F8" w:val="clear"/>
          </w:tcPr>
          <w:p>
            <w:r>
              <w:rPr>
                <w:rFonts w:ascii="Calibri" w:hAnsi="Calibri"/>
                <w:color w:val="333333"/>
                <w:sz w:val="18"/>
              </w:rPr>
              <w:t>Political &amp; Policy Environment</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Political/policy environment at config default (moderate); Estimated from related indicators.</w:t>
            </w:r>
          </w:p>
        </w:tc>
      </w:tr>
      <w:tr>
        <w:tc>
          <w:tcPr>
            <w:tcW w:type="dxa" w:w="2520"/>
          </w:tcPr>
          <w:p>
            <w:r>
              <w:rPr>
                <w:rFonts w:ascii="Calibri" w:hAnsi="Calibri"/>
                <w:color w:val="333333"/>
                <w:sz w:val="18"/>
              </w:rPr>
              <w:t>Interest Rate Environment</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Interest rate environment at config default; Estimated from related indicators.</w:t>
            </w:r>
          </w:p>
        </w:tc>
      </w:tr>
      <w:tr>
        <w:tc>
          <w:tcPr>
            <w:tcW w:type="dxa" w:w="2520"/>
            <w:shd w:fill="F2F4F8" w:val="clear"/>
          </w:tcPr>
          <w:p>
            <w:r>
              <w:rPr>
                <w:rFonts w:ascii="Calibri" w:hAnsi="Calibri"/>
                <w:color w:val="333333"/>
                <w:sz w:val="18"/>
              </w:rPr>
              <w:t>Plaintiff Attorney Activity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Plaintiff attorney activity at moderate baseline (no specific data); Estimated from related indicators.</w:t>
            </w:r>
          </w:p>
        </w:tc>
      </w:tr>
      <w:tr>
        <w:tc>
          <w:tcPr>
            <w:tcW w:type="dxa" w:w="2520"/>
          </w:tcPr>
          <w:p>
            <w:r>
              <w:rPr>
                <w:rFonts w:ascii="Calibri" w:hAnsi="Calibri"/>
                <w:color w:val="333333"/>
                <w:sz w:val="18"/>
              </w:rPr>
              <w:t>Geopolitical Risk</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4 geographic regions (moderate international exposure)</w:t>
            </w:r>
          </w:p>
        </w:tc>
      </w:tr>
      <w:tr>
        <w:tc>
          <w:tcPr>
            <w:tcW w:type="dxa" w:w="2520"/>
            <w:shd w:fill="F2F4F8" w:val="clear"/>
          </w:tcPr>
          <w:p>
            <w:r>
              <w:rPr>
                <w:rFonts w:ascii="Calibri" w:hAnsi="Calibri"/>
                <w:color w:val="333333"/>
                <w:sz w:val="18"/>
              </w:rPr>
              <w:t>Cybersecurity Governance</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Crypto / Digital Asset Exposure</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Social Media / Public Persona Risk</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bl>
    <w:p>
      <w:pPr>
        <w:pStyle w:val="DOHeading3"/>
      </w:pPr>
      <w:r>
        <w:t>All Hazard Dimensions (55 dimensions)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Dimension</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Exposure</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Board Independence</w:t>
            </w:r>
          </w:p>
        </w:tc>
        <w:tc>
          <w:tcPr>
            <w:tcW w:type="dxa" w:w="2016"/>
          </w:tcPr>
          <w:p>
            <w:r>
              <w:rPr>
                <w:rFonts w:ascii="Calibri" w:hAnsi="Calibri"/>
                <w:color w:val="333333"/>
                <w:sz w:val="18"/>
              </w:rPr>
              <w:t>70</w:t>
            </w:r>
          </w:p>
        </w:tc>
        <w:tc>
          <w:tcPr>
            <w:tcW w:type="dxa" w:w="2016"/>
          </w:tcPr>
          <w:p>
            <w:r>
              <w:rPr>
                <w:rFonts w:ascii="Calibri" w:hAnsi="Calibri"/>
                <w:color w:val="333333"/>
                <w:sz w:val="18"/>
              </w:rPr>
              <w:t>HIGH</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Proxy: independence score 3.0</w:t>
            </w:r>
          </w:p>
        </w:tc>
      </w:tr>
      <w:tr>
        <w:tc>
          <w:tcPr>
            <w:tcW w:type="dxa" w:w="2016"/>
            <w:shd w:fill="F2F4F8" w:val="clear"/>
          </w:tcPr>
          <w:p>
            <w:r>
              <w:rPr>
                <w:rFonts w:ascii="Calibri" w:hAnsi="Calibri"/>
                <w:color w:val="333333"/>
                <w:sz w:val="18"/>
              </w:rPr>
              <w:t>Industry Expertise Match</w:t>
            </w:r>
          </w:p>
        </w:tc>
        <w:tc>
          <w:tcPr>
            <w:tcW w:type="dxa" w:w="2016"/>
            <w:shd w:fill="F2F4F8" w:val="clear"/>
          </w:tcPr>
          <w:p>
            <w:r>
              <w:rPr>
                <w:rFonts w:ascii="Calibri" w:hAnsi="Calibri"/>
                <w:color w:val="333333"/>
                <w:sz w:val="18"/>
              </w:rPr>
              <w:t>67</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executives with explicit INDU background in bios</w:t>
            </w:r>
          </w:p>
        </w:tc>
      </w:tr>
      <w:tr>
        <w:tc>
          <w:tcPr>
            <w:tcW w:type="dxa" w:w="2016"/>
          </w:tcPr>
          <w:p>
            <w:r>
              <w:rPr>
                <w:rFonts w:ascii="Calibri" w:hAnsi="Calibri"/>
                <w:color w:val="333333"/>
                <w:sz w:val="18"/>
              </w:rPr>
              <w:t>Anti-Takeover Provisions</w:t>
            </w:r>
          </w:p>
        </w:tc>
        <w:tc>
          <w:tcPr>
            <w:tcW w:type="dxa" w:w="2016"/>
          </w:tcPr>
          <w:p>
            <w:r>
              <w:rPr>
                <w:rFonts w:ascii="Calibri" w:hAnsi="Calibri"/>
                <w:color w:val="333333"/>
                <w:sz w:val="18"/>
              </w:rPr>
              <w:t>54</w:t>
            </w:r>
          </w:p>
        </w:tc>
        <w:tc>
          <w:tcPr>
            <w:tcW w:type="dxa" w:w="2016"/>
          </w:tcPr>
          <w:p>
            <w:r>
              <w:rPr>
                <w:rFonts w:ascii="Calibri" w:hAnsi="Calibri"/>
                <w:color w:val="333333"/>
                <w:sz w:val="18"/>
              </w:rPr>
              <w:t>ELEVATED</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Proxy: governance score 45.6</w:t>
            </w:r>
          </w:p>
        </w:tc>
      </w:tr>
      <w:tr>
        <w:tc>
          <w:tcPr>
            <w:tcW w:type="dxa" w:w="2016"/>
            <w:shd w:fill="F2F4F8" w:val="clear"/>
          </w:tcPr>
          <w:p>
            <w:r>
              <w:rPr>
                <w:rFonts w:ascii="Calibri" w:hAnsi="Calibri"/>
                <w:color w:val="333333"/>
                <w:sz w:val="18"/>
              </w:rPr>
              <w:t>Customer &amp; Supplier Concentration</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Technology Platform Dependency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IP Dependency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Scale Experience Mismatch</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Key Person Dependency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Management Turnover</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Off-Balance Sheet Arrangements</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Related Party Transactions</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Capital Markets Activity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Audit Committee Quality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Committee quality score 0.0/10 (weak)</w:t>
            </w:r>
          </w:p>
        </w:tc>
      </w:tr>
      <w:tr>
        <w:tc>
          <w:tcPr>
            <w:tcW w:type="dxa" w:w="2016"/>
            <w:shd w:fill="F2F4F8" w:val="clear"/>
          </w:tcPr>
          <w:p>
            <w:r>
              <w:rPr>
                <w:rFonts w:ascii="Calibri" w:hAnsi="Calibri"/>
                <w:color w:val="333333"/>
                <w:sz w:val="18"/>
              </w:rPr>
              <w:t>IPO Recency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Method of Going Public</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Seasoning &amp; Track Record</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Market Cycle Position</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Market cycle scored at config default (moderate -- apply system-wide)</w:t>
            </w:r>
          </w:p>
        </w:tc>
      </w:tr>
      <w:tr>
        <w:tc>
          <w:tcPr>
            <w:tcW w:type="dxa" w:w="2016"/>
            <w:shd w:fill="F2F4F8" w:val="clear"/>
          </w:tcPr>
          <w:p>
            <w:r>
              <w:rPr>
                <w:rFonts w:ascii="Calibri" w:hAnsi="Calibri"/>
                <w:color w:val="333333"/>
                <w:sz w:val="18"/>
              </w:rPr>
              <w:t>Political &amp; Policy Environment</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Political/policy environment at config default (moderate)</w:t>
            </w:r>
          </w:p>
        </w:tc>
      </w:tr>
      <w:tr>
        <w:tc>
          <w:tcPr>
            <w:tcW w:type="dxa" w:w="2016"/>
          </w:tcPr>
          <w:p>
            <w:r>
              <w:rPr>
                <w:rFonts w:ascii="Calibri" w:hAnsi="Calibri"/>
                <w:color w:val="333333"/>
                <w:sz w:val="18"/>
              </w:rPr>
              <w:t>Interest Rate Environment</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Interest rate environment at config default</w:t>
            </w:r>
          </w:p>
        </w:tc>
      </w:tr>
      <w:tr>
        <w:tc>
          <w:tcPr>
            <w:tcW w:type="dxa" w:w="2016"/>
            <w:shd w:fill="F2F4F8" w:val="clear"/>
          </w:tcPr>
          <w:p>
            <w:r>
              <w:rPr>
                <w:rFonts w:ascii="Calibri" w:hAnsi="Calibri"/>
                <w:color w:val="333333"/>
                <w:sz w:val="18"/>
              </w:rPr>
              <w:t>Plaintiff Attorney Activity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Plaintiff attorney activity at moderate baseline (no specific data)</w:t>
            </w:r>
          </w:p>
        </w:tc>
      </w:tr>
      <w:tr>
        <w:tc>
          <w:tcPr>
            <w:tcW w:type="dxa" w:w="2016"/>
          </w:tcPr>
          <w:p>
            <w:r>
              <w:rPr>
                <w:rFonts w:ascii="Calibri" w:hAnsi="Calibri"/>
                <w:color w:val="333333"/>
                <w:sz w:val="18"/>
              </w:rPr>
              <w:t>Geopolitical Risk</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4 geographic regions (moderate international exposure)</w:t>
            </w:r>
          </w:p>
        </w:tc>
      </w:tr>
      <w:tr>
        <w:tc>
          <w:tcPr>
            <w:tcW w:type="dxa" w:w="2016"/>
            <w:shd w:fill="F2F4F8" w:val="clear"/>
          </w:tcPr>
          <w:p>
            <w:r>
              <w:rPr>
                <w:rFonts w:ascii="Calibri" w:hAnsi="Calibri"/>
                <w:color w:val="333333"/>
                <w:sz w:val="18"/>
              </w:rPr>
              <w:t>Cybersecurity Governance</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Crypto / Digital Asset Exposure</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Social Media / Public Persona Risk</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ESG / Climate Exposure</w:t>
            </w:r>
          </w:p>
        </w:tc>
        <w:tc>
          <w:tcPr>
            <w:tcW w:type="dxa" w:w="2016"/>
          </w:tcPr>
          <w:p>
            <w:r>
              <w:rPr>
                <w:rFonts w:ascii="Calibri" w:hAnsi="Calibri"/>
                <w:color w:val="333333"/>
                <w:sz w:val="18"/>
              </w:rPr>
              <w:t>43</w:t>
            </w:r>
          </w:p>
        </w:tc>
        <w:tc>
          <w:tcPr>
            <w:tcW w:type="dxa" w:w="2016"/>
          </w:tcPr>
          <w:p>
            <w:r>
              <w:rPr>
                <w:rFonts w:ascii="Calibri" w:hAnsi="Calibri"/>
                <w:color w:val="333333"/>
                <w:sz w:val="18"/>
              </w:rPr>
              <w:t>MODERATE</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Sector 'INDU' has inherent ESG/climate sensitivity (1.0)</w:t>
            </w:r>
          </w:p>
        </w:tc>
      </w:tr>
      <w:tr>
        <w:tc>
          <w:tcPr>
            <w:tcW w:type="dxa" w:w="2016"/>
            <w:shd w:fill="F2F4F8" w:val="clear"/>
          </w:tcPr>
          <w:p>
            <w:r>
              <w:rPr>
                <w:rFonts w:ascii="Calibri" w:hAnsi="Calibri"/>
                <w:color w:val="333333"/>
                <w:sz w:val="18"/>
              </w:rPr>
              <w:t>Regulatory Intensity</w:t>
            </w:r>
          </w:p>
        </w:tc>
        <w:tc>
          <w:tcPr>
            <w:tcW w:type="dxa" w:w="2016"/>
            <w:shd w:fill="F2F4F8" w:val="clear"/>
          </w:tcPr>
          <w:p>
            <w:r>
              <w:rPr>
                <w:rFonts w:ascii="Calibri" w:hAnsi="Calibri"/>
                <w:color w:val="333333"/>
                <w:sz w:val="18"/>
              </w:rPr>
              <w:t>40</w:t>
            </w:r>
          </w:p>
        </w:tc>
        <w:tc>
          <w:tcPr>
            <w:tcW w:type="dxa" w:w="2016"/>
            <w:shd w:fill="F2F4F8" w:val="clear"/>
          </w:tcPr>
          <w:p>
            <w:r>
              <w:rPr>
                <w:rFonts w:ascii="Calibri" w:hAnsi="Calibri"/>
                <w:color w:val="333333"/>
                <w:sz w:val="18"/>
              </w:rPr>
              <w:t>MODERATE</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Sector 'INDU' regulatory intensity: 2.0/5.0</w:t>
            </w:r>
          </w:p>
        </w:tc>
      </w:tr>
      <w:tr>
        <w:tc>
          <w:tcPr>
            <w:tcW w:type="dxa" w:w="2016"/>
          </w:tcPr>
          <w:p>
            <w:r>
              <w:rPr>
                <w:rFonts w:ascii="Calibri" w:hAnsi="Calibri"/>
                <w:color w:val="333333"/>
                <w:sz w:val="18"/>
              </w:rPr>
              <w:t>Geographic Complexity</w:t>
            </w:r>
          </w:p>
        </w:tc>
        <w:tc>
          <w:tcPr>
            <w:tcW w:type="dxa" w:w="2016"/>
          </w:tcPr>
          <w:p>
            <w:r>
              <w:rPr>
                <w:rFonts w:ascii="Calibri" w:hAnsi="Calibri"/>
                <w:color w:val="333333"/>
                <w:sz w:val="18"/>
              </w:rPr>
              <w:t>40</w:t>
            </w:r>
          </w:p>
        </w:tc>
        <w:tc>
          <w:tcPr>
            <w:tcW w:type="dxa" w:w="2016"/>
          </w:tcPr>
          <w:p>
            <w:r>
              <w:rPr>
                <w:rFonts w:ascii="Calibri" w:hAnsi="Calibri"/>
                <w:color w:val="333333"/>
                <w:sz w:val="18"/>
              </w:rPr>
              <w:t>MODERATE</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4 regions, ? subsidiaries (MODERATE)</w:t>
            </w:r>
          </w:p>
        </w:tc>
      </w:tr>
      <w:tr>
        <w:tc>
          <w:tcPr>
            <w:tcW w:type="dxa" w:w="2016"/>
            <w:shd w:fill="F2F4F8" w:val="clear"/>
          </w:tcPr>
          <w:p>
            <w:r>
              <w:rPr>
                <w:rFonts w:ascii="Calibri" w:hAnsi="Calibri"/>
                <w:color w:val="333333"/>
                <w:sz w:val="18"/>
              </w:rPr>
              <w:t>Leverage &amp; Capital Structure</w:t>
            </w:r>
          </w:p>
        </w:tc>
        <w:tc>
          <w:tcPr>
            <w:tcW w:type="dxa" w:w="2016"/>
            <w:shd w:fill="F2F4F8" w:val="clear"/>
          </w:tcPr>
          <w:p>
            <w:r>
              <w:rPr>
                <w:rFonts w:ascii="Calibri" w:hAnsi="Calibri"/>
                <w:color w:val="333333"/>
                <w:sz w:val="18"/>
              </w:rPr>
              <w:t>40</w:t>
            </w:r>
          </w:p>
        </w:tc>
        <w:tc>
          <w:tcPr>
            <w:tcW w:type="dxa" w:w="2016"/>
            <w:shd w:fill="F2F4F8" w:val="clear"/>
          </w:tcPr>
          <w:p>
            <w:r>
              <w:rPr>
                <w:rFonts w:ascii="Calibri" w:hAnsi="Calibri"/>
                <w:color w:val="333333"/>
                <w:sz w:val="18"/>
              </w:rPr>
              <w:t>MODERATE</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Debt/Equity 1.70 (MODERATE)</w:t>
            </w:r>
          </w:p>
        </w:tc>
      </w:tr>
      <w:tr>
        <w:tc>
          <w:tcPr>
            <w:tcW w:type="dxa" w:w="2016"/>
          </w:tcPr>
          <w:p>
            <w:r>
              <w:rPr>
                <w:rFonts w:ascii="Calibri" w:hAnsi="Calibri"/>
                <w:color w:val="333333"/>
                <w:sz w:val="18"/>
              </w:rPr>
              <w:t>Shareholder Rights</w:t>
            </w:r>
          </w:p>
        </w:tc>
        <w:tc>
          <w:tcPr>
            <w:tcW w:type="dxa" w:w="2016"/>
          </w:tcPr>
          <w:p>
            <w:r>
              <w:rPr>
                <w:rFonts w:ascii="Calibri" w:hAnsi="Calibri"/>
                <w:color w:val="333333"/>
                <w:sz w:val="18"/>
              </w:rPr>
              <w:t>33</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Governance score 45.6/100 (moderate)</w:t>
            </w:r>
          </w:p>
        </w:tc>
      </w:tr>
      <w:tr>
        <w:tc>
          <w:tcPr>
            <w:tcW w:type="dxa" w:w="2016"/>
            <w:shd w:fill="F2F4F8" w:val="clear"/>
          </w:tcPr>
          <w:p>
            <w:r>
              <w:rPr>
                <w:rFonts w:ascii="Calibri" w:hAnsi="Calibri"/>
                <w:color w:val="333333"/>
                <w:sz w:val="18"/>
              </w:rPr>
              <w:t>Compensation Structure</w:t>
            </w:r>
          </w:p>
        </w:tc>
        <w:tc>
          <w:tcPr>
            <w:tcW w:type="dxa" w:w="2016"/>
            <w:shd w:fill="F2F4F8" w:val="clear"/>
          </w:tcPr>
          <w:p>
            <w:r>
              <w:rPr>
                <w:rFonts w:ascii="Calibri" w:hAnsi="Calibri"/>
                <w:color w:val="333333"/>
                <w:sz w:val="18"/>
              </w:rPr>
              <w:t>33</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Clawback policy in place</w:t>
            </w:r>
          </w:p>
        </w:tc>
      </w:tr>
      <w:tr>
        <w:tc>
          <w:tcPr>
            <w:tcW w:type="dxa" w:w="2016"/>
          </w:tcPr>
          <w:p>
            <w:r>
              <w:rPr>
                <w:rFonts w:ascii="Calibri" w:hAnsi="Calibri"/>
                <w:color w:val="333333"/>
                <w:sz w:val="18"/>
              </w:rPr>
              <w:t>Industry Regulatory Spotlight</w:t>
            </w:r>
          </w:p>
        </w:tc>
        <w:tc>
          <w:tcPr>
            <w:tcW w:type="dxa" w:w="2016"/>
          </w:tcPr>
          <w:p>
            <w:r>
              <w:rPr>
                <w:rFonts w:ascii="Calibri" w:hAnsi="Calibri"/>
                <w:color w:val="333333"/>
                <w:sz w:val="18"/>
              </w:rPr>
              <w:t>33</w:t>
            </w:r>
          </w:p>
        </w:tc>
        <w:tc>
          <w:tcPr>
            <w:tcW w:type="dxa" w:w="2016"/>
          </w:tcPr>
          <w:p>
            <w:r>
              <w:rPr>
                <w:rFonts w:ascii="Calibri" w:hAnsi="Calibri"/>
                <w:color w:val="333333"/>
                <w:sz w:val="18"/>
              </w:rPr>
              <w:t>LOW</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Sector 'INDU' regulatory spotlight level: 1.0/3.0</w:t>
            </w:r>
          </w:p>
        </w:tc>
      </w:tr>
      <w:tr>
        <w:tc>
          <w:tcPr>
            <w:tcW w:type="dxa" w:w="2016"/>
            <w:shd w:fill="F2F4F8" w:val="clear"/>
          </w:tcPr>
          <w:p>
            <w:r>
              <w:rPr>
                <w:rFonts w:ascii="Calibri" w:hAnsi="Calibri"/>
                <w:color w:val="333333"/>
                <w:sz w:val="18"/>
              </w:rPr>
              <w:t>Industry Sector Risk Tier</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Sector 'INDU' maps to risk score 2.5/10.0</w:t>
            </w:r>
          </w:p>
        </w:tc>
      </w:tr>
      <w:tr>
        <w:tc>
          <w:tcPr>
            <w:tcW w:type="dxa" w:w="2016"/>
          </w:tcPr>
          <w:p>
            <w:r>
              <w:rPr>
                <w:rFonts w:ascii="Calibri" w:hAnsi="Calibri"/>
                <w:color w:val="333333"/>
                <w:sz w:val="18"/>
              </w:rPr>
              <w:t>State of Incorporation</w:t>
            </w:r>
          </w:p>
        </w:tc>
        <w:tc>
          <w:tcPr>
            <w:tcW w:type="dxa" w:w="2016"/>
          </w:tcPr>
          <w:p>
            <w:r>
              <w:rPr>
                <w:rFonts w:ascii="Calibri" w:hAnsi="Calibri"/>
                <w:color w:val="333333"/>
                <w:sz w:val="18"/>
              </w:rPr>
              <w:t>25</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Incorporated in DE (standard D&amp;O protections)</w:t>
            </w:r>
          </w:p>
        </w:tc>
      </w:tr>
      <w:tr>
        <w:tc>
          <w:tcPr>
            <w:tcW w:type="dxa" w:w="2016"/>
            <w:shd w:fill="F2F4F8" w:val="clear"/>
          </w:tcPr>
          <w:p>
            <w:r>
              <w:rPr>
                <w:rFonts w:ascii="Calibri" w:hAnsi="Calibri"/>
                <w:color w:val="333333"/>
                <w:sz w:val="18"/>
              </w:rPr>
              <w:t>Workforce &amp; Labor Model</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Large workforce (118,000 employees) -- labor risk surface</w:t>
            </w:r>
          </w:p>
        </w:tc>
      </w:tr>
      <w:tr>
        <w:tc>
          <w:tcPr>
            <w:tcW w:type="dxa" w:w="2016"/>
          </w:tcPr>
          <w:p>
            <w:r>
              <w:rPr>
                <w:rFonts w:ascii="Calibri" w:hAnsi="Calibri"/>
                <w:color w:val="333333"/>
                <w:sz w:val="18"/>
              </w:rPr>
              <w:t>M&amp;A Activity</w:t>
            </w:r>
          </w:p>
        </w:tc>
        <w:tc>
          <w:tcPr>
            <w:tcW w:type="dxa" w:w="2016"/>
          </w:tcPr>
          <w:p>
            <w:r>
              <w:rPr>
                <w:rFonts w:ascii="Calibri" w:hAnsi="Calibri"/>
                <w:color w:val="333333"/>
                <w:sz w:val="18"/>
              </w:rPr>
              <w:t>20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1 acquisition(s) noted</w:t>
            </w:r>
          </w:p>
        </w:tc>
      </w:tr>
      <w:tr>
        <w:tc>
          <w:tcPr>
            <w:tcW w:type="dxa" w:w="2016"/>
            <w:shd w:fill="F2F4F8" w:val="clear"/>
          </w:tcPr>
          <w:p>
            <w:r>
              <w:rPr>
                <w:rFonts w:ascii="Calibri" w:hAnsi="Calibri"/>
                <w:color w:val="333333"/>
                <w:sz w:val="18"/>
              </w:rPr>
              <w:t>Management Public Company Experience</w:t>
            </w:r>
          </w:p>
        </w:tc>
        <w:tc>
          <w:tcPr>
            <w:tcW w:type="dxa" w:w="2016"/>
            <w:shd w:fill="F2F4F8" w:val="clear"/>
          </w:tcPr>
          <w:p>
            <w:r>
              <w:rPr>
                <w:rFonts w:ascii="Calibri" w:hAnsi="Calibri"/>
                <w:color w:val="333333"/>
                <w:sz w:val="18"/>
              </w:rPr>
              <w:t>20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CEO tenure 2.0y</w:t>
            </w:r>
          </w:p>
        </w:tc>
      </w:tr>
      <w:tr>
        <w:tc>
          <w:tcPr>
            <w:tcW w:type="dxa" w:w="2016"/>
          </w:tcPr>
          <w:p>
            <w:r>
              <w:rPr>
                <w:rFonts w:ascii="Calibri" w:hAnsi="Calibri"/>
                <w:color w:val="333333"/>
                <w:sz w:val="18"/>
              </w:rPr>
              <w:t>Non-GAAP Reliance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non-GAAP reliance indicators found</w:t>
            </w:r>
          </w:p>
        </w:tc>
      </w:tr>
      <w:tr>
        <w:tc>
          <w:tcPr>
            <w:tcW w:type="dxa" w:w="2016"/>
            <w:shd w:fill="F2F4F8" w:val="clear"/>
          </w:tcPr>
          <w:p>
            <w:r>
              <w:rPr>
                <w:rFonts w:ascii="Calibri" w:hAnsi="Calibri"/>
                <w:color w:val="333333"/>
                <w:sz w:val="18"/>
              </w:rPr>
              <w:t>Founder-Led vs Professional Management</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Professional (non-founder) CEO</w:t>
            </w:r>
          </w:p>
        </w:tc>
      </w:tr>
      <w:tr>
        <w:tc>
          <w:tcPr>
            <w:tcW w:type="dxa" w:w="2016"/>
          </w:tcPr>
          <w:p>
            <w:r>
              <w:rPr>
                <w:rFonts w:ascii="Calibri" w:hAnsi="Calibri"/>
                <w:color w:val="333333"/>
                <w:sz w:val="18"/>
              </w:rPr>
              <w:t>Goodwill-Heavy Balance Sheet</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Goodwill 5.4% of assets (LOW)</w:t>
            </w:r>
          </w:p>
        </w:tc>
      </w:tr>
      <w:tr>
        <w:tc>
          <w:tcPr>
            <w:tcW w:type="dxa" w:w="2016"/>
            <w:shd w:fill="F2F4F8" w:val="clear"/>
          </w:tcPr>
          <w:p>
            <w:r>
              <w:rPr>
                <w:rFonts w:ascii="Calibri" w:hAnsi="Calibri"/>
                <w:color w:val="333333"/>
                <w:sz w:val="18"/>
              </w:rPr>
              <w:t>Cash Flow vs Earnings Divergence</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OCF/NI ratio 1.32 -- aligned</w:t>
            </w:r>
          </w:p>
        </w:tc>
      </w:tr>
      <w:tr>
        <w:tc>
          <w:tcPr>
            <w:tcW w:type="dxa" w:w="2016"/>
          </w:tcPr>
          <w:p>
            <w:r>
              <w:rPr>
                <w:rFonts w:ascii="Calibri" w:hAnsi="Calibri"/>
                <w:color w:val="333333"/>
                <w:sz w:val="18"/>
              </w:rPr>
              <w:t>Industry Litigation Wave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Sector 'INDU' litigation wave level: 0.5/3.0</w:t>
            </w:r>
          </w:p>
        </w:tc>
      </w:tr>
      <w:tr>
        <w:tc>
          <w:tcPr>
            <w:tcW w:type="dxa" w:w="2016"/>
            <w:shd w:fill="F2F4F8" w:val="clear"/>
          </w:tcPr>
          <w:p>
            <w:r>
              <w:rPr>
                <w:rFonts w:ascii="Calibri" w:hAnsi="Calibri"/>
                <w:color w:val="333333"/>
                <w:sz w:val="18"/>
              </w:rPr>
              <w:t>AI Adoption &amp; Governance</w:t>
            </w:r>
          </w:p>
        </w:tc>
        <w:tc>
          <w:tcPr>
            <w:tcW w:type="dxa" w:w="2016"/>
            <w:shd w:fill="F2F4F8" w:val="clear"/>
          </w:tcPr>
          <w:p>
            <w:r>
              <w:rPr>
                <w:rFonts w:ascii="Calibri" w:hAnsi="Calibri"/>
                <w:color w:val="333333"/>
                <w:sz w:val="18"/>
              </w:rPr>
              <w:t>12</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AI risk score 0/100 (LOW)</w:t>
            </w:r>
          </w:p>
        </w:tc>
      </w:tr>
      <w:tr>
        <w:tc>
          <w:tcPr>
            <w:tcW w:type="dxa" w:w="2016"/>
          </w:tcPr>
          <w:p>
            <w:r>
              <w:rPr>
                <w:rFonts w:ascii="Calibri" w:hAnsi="Calibri"/>
                <w:color w:val="333333"/>
                <w:sz w:val="18"/>
              </w:rPr>
              <w:t>Speed of Growth</w:t>
            </w:r>
          </w:p>
        </w:tc>
        <w:tc>
          <w:tcPr>
            <w:tcW w:type="dxa" w:w="2016"/>
          </w:tcPr>
          <w:p>
            <w:r>
              <w:rPr>
                <w:rFonts w:ascii="Calibri" w:hAnsi="Calibri"/>
                <w:color w:val="333333"/>
                <w:sz w:val="18"/>
              </w:rPr>
              <w:t>10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Revenue growth 4.3% (STABLE)</w:t>
            </w:r>
          </w:p>
        </w:tc>
      </w:tr>
      <w:tr>
        <w:tc>
          <w:tcPr>
            <w:tcW w:type="dxa" w:w="2016"/>
            <w:shd w:fill="F2F4F8" w:val="clear"/>
          </w:tcPr>
          <w:p>
            <w:r>
              <w:rPr>
                <w:rFonts w:ascii="Calibri" w:hAnsi="Calibri"/>
                <w:color w:val="333333"/>
                <w:sz w:val="18"/>
              </w:rPr>
              <w:t>Business Model Complexity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Revenue Model Manipulation Surface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Capital Intensity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CapEx/Revenue 4.2% (LOW)</w:t>
            </w:r>
          </w:p>
        </w:tc>
      </w:tr>
      <w:tr>
        <w:tc>
          <w:tcPr>
            <w:tcW w:type="dxa" w:w="2016"/>
          </w:tcPr>
          <w:p>
            <w:r>
              <w:rPr>
                <w:rFonts w:ascii="Calibri" w:hAnsi="Calibri"/>
                <w:color w:val="333333"/>
                <w:sz w:val="18"/>
              </w:rPr>
              <w:t>Dual-Class Structure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Board Governance Experience &amp; Quality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Tone at the Top</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Estimated from related indicators.</w:t>
            </w:r>
          </w:p>
        </w:tc>
      </w:tr>
      <w:tr>
        <w:tc>
          <w:tcPr>
            <w:tcW w:type="dxa" w:w="2016"/>
            <w:shd w:fill="F2F4F8" w:val="clear"/>
          </w:tcPr>
          <w:p>
            <w:r>
              <w:rPr>
                <w:rFonts w:ascii="Calibri" w:hAnsi="Calibri"/>
                <w:color w:val="333333"/>
                <w:sz w:val="18"/>
              </w:rPr>
              <w:t>Earnings Quality Characteristics</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Beneish M-Score -3.00 -- safe zone</w:t>
            </w:r>
          </w:p>
        </w:tc>
      </w:tr>
      <w:tr>
        <w:tc>
          <w:tcPr>
            <w:tcW w:type="dxa" w:w="2016"/>
          </w:tcPr>
          <w:p>
            <w:r>
              <w:rPr>
                <w:rFonts w:ascii="Calibri" w:hAnsi="Calibri"/>
                <w:color w:val="333333"/>
                <w:sz w:val="18"/>
              </w:rPr>
              <w:t>Pre-Revenue / Cash Burn</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Revenue-generating company with positive cash flow profile</w:t>
            </w:r>
          </w:p>
        </w:tc>
      </w:tr>
      <w:tr>
        <w:tc>
          <w:tcPr>
            <w:tcW w:type="dxa" w:w="2016"/>
            <w:shd w:fill="F2F4F8" w:val="clear"/>
          </w:tcPr>
          <w:p>
            <w:r>
              <w:rPr>
                <w:rFonts w:ascii="Calibri" w:hAnsi="Calibri"/>
                <w:color w:val="333333"/>
                <w:sz w:val="18"/>
              </w:rPr>
              <w:t>Combined CEO / Board Chair</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CEO and Chair roles separated</w:t>
            </w:r>
          </w:p>
        </w:tc>
      </w:tr>
      <w:tr>
        <w:tc>
          <w:tcPr>
            <w:tcW w:type="dxa" w:w="2016"/>
          </w:tcPr>
          <w:p>
            <w:r>
              <w:rPr>
                <w:rFonts w:ascii="Calibri" w:hAnsi="Calibri"/>
                <w:color w:val="333333"/>
                <w:sz w:val="18"/>
              </w:rPr>
              <w:t>Compliance Infrastructure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No material weaknesses or going concern issues identified</w:t>
            </w:r>
          </w:p>
        </w:tc>
      </w:tr>
      <w:tr>
        <w:tc>
          <w:tcPr>
            <w:tcW w:type="dxa" w:w="2016"/>
            <w:shd w:fill="F2F4F8" w:val="clear"/>
          </w:tcPr>
          <w:p>
            <w:r>
              <w:rPr>
                <w:rFonts w:ascii="Calibri" w:hAnsi="Calibri"/>
                <w:color w:val="333333"/>
                <w:sz w:val="18"/>
              </w:rPr>
              <w:t>Exchange &amp; Index Membership</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Listed on NYSE (major exchange -- standard oversight)</w:t>
            </w:r>
          </w:p>
        </w:tc>
      </w:tr>
      <w:tr>
        <w:tc>
          <w:tcPr>
            <w:tcW w:type="dxa" w:w="2016"/>
          </w:tcPr>
          <w:p>
            <w:r>
              <w:rPr>
                <w:rFonts w:ascii="Calibri" w:hAnsi="Calibri"/>
                <w:color w:val="333333"/>
                <w:sz w:val="18"/>
              </w:rPr>
              <w:t>FPI / ADR Status</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Domestic issuer (standard SEC reporting)</w:t>
            </w:r>
          </w:p>
        </w:tc>
      </w:tr>
    </w:tbl>
    <w:p>
      <w:pPr>
        <w:pStyle w:val="DOHeading3"/>
      </w:pPr>
      <w:r>
        <w:t>Category Summary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Category</w:t>
            </w:r>
          </w:p>
        </w:tc>
        <w:tc>
          <w:tcPr>
            <w:tcW w:type="dxa" w:w="1680"/>
            <w:shd w:fill="1A1446" w:val="clear"/>
          </w:tcPr>
          <w:p>
            <w:r>
              <w:rPr>
                <w:rFonts w:ascii="Calibri" w:hAnsi="Calibri"/>
                <w:b/>
                <w:color w:val="FFFFFF"/>
                <w:sz w:val="18"/>
              </w:rPr>
              <w:t>Weight</w:t>
            </w:r>
          </w:p>
        </w:tc>
        <w:tc>
          <w:tcPr>
            <w:tcW w:type="dxa" w:w="1680"/>
            <w:shd w:fill="1A1446" w:val="clear"/>
          </w:tcPr>
          <w:p>
            <w:r>
              <w:rPr>
                <w:rFonts w:ascii="Calibri" w:hAnsi="Calibri"/>
                <w:b/>
                <w:color w:val="FFFFFF"/>
                <w:sz w:val="18"/>
              </w:rPr>
              <w:t>Score</w:t>
            </w:r>
          </w:p>
        </w:tc>
        <w:tc>
          <w:tcPr>
            <w:tcW w:type="dxa" w:w="1680"/>
            <w:shd w:fill="1A1446" w:val="clear"/>
          </w:tcPr>
          <w:p>
            <w:r>
              <w:rPr>
                <w:rFonts w:ascii="Calibri" w:hAnsi="Calibri"/>
                <w:b/>
                <w:color w:val="FFFFFF"/>
                <w:sz w:val="18"/>
              </w:rPr>
              <w:t>Weighted</w:t>
            </w:r>
          </w:p>
        </w:tc>
        <w:tc>
          <w:tcPr>
            <w:tcW w:type="dxa" w:w="1680"/>
            <w:shd w:fill="1A1446" w:val="clear"/>
          </w:tcPr>
          <w:p>
            <w:r>
              <w:rPr>
                <w:rFonts w:ascii="Calibri" w:hAnsi="Calibri"/>
                <w:b/>
                <w:color w:val="FFFFFF"/>
                <w:sz w:val="18"/>
              </w:rPr>
              <w:t>Dims Scored</w:t>
            </w:r>
          </w:p>
        </w:tc>
        <w:tc>
          <w:tcPr>
            <w:tcW w:type="dxa" w:w="1680"/>
            <w:shd w:fill="1A1446" w:val="clear"/>
          </w:tcPr>
          <w:p>
            <w:r>
              <w:rPr>
                <w:rFonts w:ascii="Calibri" w:hAnsi="Calibri"/>
                <w:b/>
                <w:color w:val="FFFFFF"/>
                <w:sz w:val="18"/>
              </w:rPr>
              <w:t>Coverage</w:t>
            </w:r>
          </w:p>
        </w:tc>
      </w:tr>
      <w:tr>
        <w:tc>
          <w:tcPr>
            <w:tcW w:type="dxa" w:w="1680"/>
          </w:tcPr>
          <w:p>
            <w:r>
              <w:rPr>
                <w:rFonts w:ascii="Calibri" w:hAnsi="Calibri"/>
                <w:color w:val="333333"/>
                <w:sz w:val="18"/>
              </w:rPr>
              <w:t>Business &amp; Operating Model</w:t>
            </w:r>
          </w:p>
        </w:tc>
        <w:tc>
          <w:tcPr>
            <w:tcW w:type="dxa" w:w="1680"/>
          </w:tcPr>
          <w:p>
            <w:r>
              <w:rPr>
                <w:rFonts w:ascii="Calibri" w:hAnsi="Calibri"/>
                <w:color w:val="333333"/>
                <w:sz w:val="18"/>
              </w:rPr>
              <w:t>32.5%</w:t>
            </w:r>
          </w:p>
        </w:tc>
        <w:tc>
          <w:tcPr>
            <w:tcW w:type="dxa" w:w="1680"/>
          </w:tcPr>
          <w:p>
            <w:r>
              <w:rPr>
                <w:rFonts w:ascii="Calibri" w:hAnsi="Calibri"/>
                <w:color w:val="333333"/>
                <w:sz w:val="18"/>
              </w:rPr>
              <w:t>23.2</w:t>
            </w:r>
          </w:p>
        </w:tc>
        <w:tc>
          <w:tcPr>
            <w:tcW w:type="dxa" w:w="1680"/>
          </w:tcPr>
          <w:p>
            <w:r>
              <w:rPr>
                <w:rFonts w:ascii="Calibri" w:hAnsi="Calibri"/>
                <w:color w:val="333333"/>
                <w:sz w:val="18"/>
              </w:rPr>
              <w:t>7.5</w:t>
            </w:r>
          </w:p>
        </w:tc>
        <w:tc>
          <w:tcPr>
            <w:tcW w:type="dxa" w:w="1680"/>
          </w:tcPr>
          <w:p>
            <w:r>
              <w:rPr>
                <w:rFonts w:ascii="Calibri" w:hAnsi="Calibri"/>
                <w:color w:val="333333"/>
                <w:sz w:val="18"/>
              </w:rPr>
              <w:t>10/13</w:t>
            </w:r>
          </w:p>
        </w:tc>
        <w:tc>
          <w:tcPr>
            <w:tcW w:type="dxa" w:w="1680"/>
          </w:tcPr>
          <w:p>
            <w:r>
              <w:rPr>
                <w:rFonts w:ascii="Calibri" w:hAnsi="Calibri"/>
                <w:color w:val="333333"/>
                <w:sz w:val="18"/>
              </w:rPr>
              <w:t>77%</w:t>
            </w:r>
          </w:p>
        </w:tc>
      </w:tr>
      <w:tr>
        <w:tc>
          <w:tcPr>
            <w:tcW w:type="dxa" w:w="1680"/>
            <w:shd w:fill="F2F4F8" w:val="clear"/>
          </w:tcPr>
          <w:p>
            <w:r>
              <w:rPr>
                <w:rFonts w:ascii="Calibri" w:hAnsi="Calibri"/>
                <w:color w:val="333333"/>
                <w:sz w:val="18"/>
              </w:rPr>
              <w:t>People &amp; Management</w:t>
            </w:r>
          </w:p>
        </w:tc>
        <w:tc>
          <w:tcPr>
            <w:tcW w:type="dxa" w:w="1680"/>
            <w:shd w:fill="F2F4F8" w:val="clear"/>
          </w:tcPr>
          <w:p>
            <w:r>
              <w:rPr>
                <w:rFonts w:ascii="Calibri" w:hAnsi="Calibri"/>
                <w:color w:val="333333"/>
                <w:sz w:val="18"/>
              </w:rPr>
              <w:t>15.0%</w:t>
            </w:r>
          </w:p>
        </w:tc>
        <w:tc>
          <w:tcPr>
            <w:tcW w:type="dxa" w:w="1680"/>
            <w:shd w:fill="F2F4F8" w:val="clear"/>
          </w:tcPr>
          <w:p>
            <w:r>
              <w:rPr>
                <w:rFonts w:ascii="Calibri" w:hAnsi="Calibri"/>
                <w:color w:val="333333"/>
                <w:sz w:val="18"/>
              </w:rPr>
              <w:t>31.7</w:t>
            </w:r>
          </w:p>
        </w:tc>
        <w:tc>
          <w:tcPr>
            <w:tcW w:type="dxa" w:w="1680"/>
            <w:shd w:fill="F2F4F8" w:val="clear"/>
          </w:tcPr>
          <w:p>
            <w:r>
              <w:rPr>
                <w:rFonts w:ascii="Calibri" w:hAnsi="Calibri"/>
                <w:color w:val="333333"/>
                <w:sz w:val="18"/>
              </w:rPr>
              <w:t>4.8</w:t>
            </w:r>
          </w:p>
        </w:tc>
        <w:tc>
          <w:tcPr>
            <w:tcW w:type="dxa" w:w="1680"/>
            <w:shd w:fill="F2F4F8" w:val="clear"/>
          </w:tcPr>
          <w:p>
            <w:r>
              <w:rPr>
                <w:rFonts w:ascii="Calibri" w:hAnsi="Calibri"/>
                <w:color w:val="333333"/>
                <w:sz w:val="18"/>
              </w:rPr>
              <w:t>5/8</w:t>
            </w:r>
          </w:p>
        </w:tc>
        <w:tc>
          <w:tcPr>
            <w:tcW w:type="dxa" w:w="1680"/>
            <w:shd w:fill="F2F4F8" w:val="clear"/>
          </w:tcPr>
          <w:p>
            <w:r>
              <w:rPr>
                <w:rFonts w:ascii="Calibri" w:hAnsi="Calibri"/>
                <w:color w:val="333333"/>
                <w:sz w:val="18"/>
              </w:rPr>
              <w:t>62%</w:t>
            </w:r>
          </w:p>
        </w:tc>
      </w:tr>
      <w:tr>
        <w:tc>
          <w:tcPr>
            <w:tcW w:type="dxa" w:w="1680"/>
          </w:tcPr>
          <w:p>
            <w:r>
              <w:rPr>
                <w:rFonts w:ascii="Calibri" w:hAnsi="Calibri"/>
                <w:color w:val="333333"/>
                <w:sz w:val="18"/>
              </w:rPr>
              <w:t>Financial Structure</w:t>
            </w:r>
          </w:p>
        </w:tc>
        <w:tc>
          <w:tcPr>
            <w:tcW w:type="dxa" w:w="1680"/>
          </w:tcPr>
          <w:p>
            <w:r>
              <w:rPr>
                <w:rFonts w:ascii="Calibri" w:hAnsi="Calibri"/>
                <w:color w:val="333333"/>
                <w:sz w:val="18"/>
              </w:rPr>
              <w:t>15.0%</w:t>
            </w:r>
          </w:p>
        </w:tc>
        <w:tc>
          <w:tcPr>
            <w:tcW w:type="dxa" w:w="1680"/>
          </w:tcPr>
          <w:p>
            <w:r>
              <w:rPr>
                <w:rFonts w:ascii="Calibri" w:hAnsi="Calibri"/>
                <w:color w:val="333333"/>
                <w:sz w:val="18"/>
              </w:rPr>
              <w:t>27.9</w:t>
            </w:r>
          </w:p>
        </w:tc>
        <w:tc>
          <w:tcPr>
            <w:tcW w:type="dxa" w:w="1680"/>
          </w:tcPr>
          <w:p>
            <w:r>
              <w:rPr>
                <w:rFonts w:ascii="Calibri" w:hAnsi="Calibri"/>
                <w:color w:val="333333"/>
                <w:sz w:val="18"/>
              </w:rPr>
              <w:t>4.2</w:t>
            </w:r>
          </w:p>
        </w:tc>
        <w:tc>
          <w:tcPr>
            <w:tcW w:type="dxa" w:w="1680"/>
          </w:tcPr>
          <w:p>
            <w:r>
              <w:rPr>
                <w:rFonts w:ascii="Calibri" w:hAnsi="Calibri"/>
                <w:color w:val="333333"/>
                <w:sz w:val="18"/>
              </w:rPr>
              <w:t>5/8</w:t>
            </w:r>
          </w:p>
        </w:tc>
        <w:tc>
          <w:tcPr>
            <w:tcW w:type="dxa" w:w="1680"/>
          </w:tcPr>
          <w:p>
            <w:r>
              <w:rPr>
                <w:rFonts w:ascii="Calibri" w:hAnsi="Calibri"/>
                <w:color w:val="333333"/>
                <w:sz w:val="18"/>
              </w:rPr>
              <w:t>62%</w:t>
            </w:r>
          </w:p>
        </w:tc>
      </w:tr>
      <w:tr>
        <w:tc>
          <w:tcPr>
            <w:tcW w:type="dxa" w:w="1680"/>
            <w:shd w:fill="F2F4F8" w:val="clear"/>
          </w:tcPr>
          <w:p>
            <w:r>
              <w:rPr>
                <w:rFonts w:ascii="Calibri" w:hAnsi="Calibri"/>
                <w:color w:val="333333"/>
                <w:sz w:val="18"/>
              </w:rPr>
              <w:t>Governance Structure</w:t>
            </w:r>
          </w:p>
        </w:tc>
        <w:tc>
          <w:tcPr>
            <w:tcW w:type="dxa" w:w="1680"/>
            <w:shd w:fill="F2F4F8" w:val="clear"/>
          </w:tcPr>
          <w:p>
            <w:r>
              <w:rPr>
                <w:rFonts w:ascii="Calibri" w:hAnsi="Calibri"/>
                <w:color w:val="333333"/>
                <w:sz w:val="18"/>
              </w:rPr>
              <w:t>7.5%</w:t>
            </w:r>
          </w:p>
        </w:tc>
        <w:tc>
          <w:tcPr>
            <w:tcW w:type="dxa" w:w="1680"/>
            <w:shd w:fill="F2F4F8" w:val="clear"/>
          </w:tcPr>
          <w:p>
            <w:r>
              <w:rPr>
                <w:rFonts w:ascii="Calibri" w:hAnsi="Calibri"/>
                <w:color w:val="333333"/>
                <w:sz w:val="18"/>
              </w:rPr>
              <w:t>33.2</w:t>
            </w:r>
          </w:p>
        </w:tc>
        <w:tc>
          <w:tcPr>
            <w:tcW w:type="dxa" w:w="1680"/>
            <w:shd w:fill="F2F4F8" w:val="clear"/>
          </w:tcPr>
          <w:p>
            <w:r>
              <w:rPr>
                <w:rFonts w:ascii="Calibri" w:hAnsi="Calibri"/>
                <w:color w:val="333333"/>
                <w:sz w:val="18"/>
              </w:rPr>
              <w:t>2.5</w:t>
            </w:r>
          </w:p>
        </w:tc>
        <w:tc>
          <w:tcPr>
            <w:tcW w:type="dxa" w:w="1680"/>
            <w:shd w:fill="F2F4F8" w:val="clear"/>
          </w:tcPr>
          <w:p>
            <w:r>
              <w:rPr>
                <w:rFonts w:ascii="Calibri" w:hAnsi="Calibri"/>
                <w:color w:val="333333"/>
                <w:sz w:val="18"/>
              </w:rPr>
              <w:t>8/8</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Public Company Maturity</w:t>
            </w:r>
          </w:p>
        </w:tc>
        <w:tc>
          <w:tcPr>
            <w:tcW w:type="dxa" w:w="1680"/>
          </w:tcPr>
          <w:p>
            <w:r>
              <w:rPr>
                <w:rFonts w:ascii="Calibri" w:hAnsi="Calibri"/>
                <w:color w:val="333333"/>
                <w:sz w:val="18"/>
              </w:rPr>
              <w:t>10.0%</w:t>
            </w:r>
          </w:p>
        </w:tc>
        <w:tc>
          <w:tcPr>
            <w:tcW w:type="dxa" w:w="1680"/>
          </w:tcPr>
          <w:p>
            <w:r>
              <w:rPr>
                <w:rFonts w:ascii="Calibri" w:hAnsi="Calibri"/>
                <w:color w:val="333333"/>
                <w:sz w:val="18"/>
              </w:rPr>
              <w:t>30.0</w:t>
            </w:r>
          </w:p>
        </w:tc>
        <w:tc>
          <w:tcPr>
            <w:tcW w:type="dxa" w:w="1680"/>
          </w:tcPr>
          <w:p>
            <w:r>
              <w:rPr>
                <w:rFonts w:ascii="Calibri" w:hAnsi="Calibri"/>
                <w:color w:val="333333"/>
                <w:sz w:val="18"/>
              </w:rPr>
              <w:t>3.0</w:t>
            </w:r>
          </w:p>
        </w:tc>
        <w:tc>
          <w:tcPr>
            <w:tcW w:type="dxa" w:w="1680"/>
          </w:tcPr>
          <w:p>
            <w:r>
              <w:rPr>
                <w:rFonts w:ascii="Calibri" w:hAnsi="Calibri"/>
                <w:color w:val="333333"/>
                <w:sz w:val="18"/>
              </w:rPr>
              <w:t>2/5</w:t>
            </w:r>
          </w:p>
        </w:tc>
        <w:tc>
          <w:tcPr>
            <w:tcW w:type="dxa" w:w="1680"/>
          </w:tcPr>
          <w:p>
            <w:r>
              <w:rPr>
                <w:rFonts w:ascii="Calibri" w:hAnsi="Calibri"/>
                <w:color w:val="333333"/>
                <w:sz w:val="18"/>
              </w:rPr>
              <w:t>40%</w:t>
            </w:r>
          </w:p>
        </w:tc>
      </w:tr>
      <w:tr>
        <w:tc>
          <w:tcPr>
            <w:tcW w:type="dxa" w:w="1680"/>
            <w:shd w:fill="F2F4F8" w:val="clear"/>
          </w:tcPr>
          <w:p>
            <w:r>
              <w:rPr>
                <w:rFonts w:ascii="Calibri" w:hAnsi="Calibri"/>
                <w:color w:val="333333"/>
                <w:sz w:val="18"/>
              </w:rPr>
              <w:t>External Environment</w:t>
            </w:r>
          </w:p>
        </w:tc>
        <w:tc>
          <w:tcPr>
            <w:tcW w:type="dxa" w:w="1680"/>
            <w:shd w:fill="F2F4F8" w:val="clear"/>
          </w:tcPr>
          <w:p>
            <w:r>
              <w:rPr>
                <w:rFonts w:ascii="Calibri" w:hAnsi="Calibri"/>
                <w:color w:val="333333"/>
                <w:sz w:val="18"/>
              </w:rPr>
              <w:t>10.0%</w:t>
            </w:r>
          </w:p>
        </w:tc>
        <w:tc>
          <w:tcPr>
            <w:tcW w:type="dxa" w:w="1680"/>
            <w:shd w:fill="F2F4F8" w:val="clear"/>
          </w:tcPr>
          <w:p>
            <w:r>
              <w:rPr>
                <w:rFonts w:ascii="Calibri" w:hAnsi="Calibri"/>
                <w:color w:val="333333"/>
                <w:sz w:val="18"/>
              </w:rPr>
              <w:t>42.9</w:t>
            </w:r>
          </w:p>
        </w:tc>
        <w:tc>
          <w:tcPr>
            <w:tcW w:type="dxa" w:w="1680"/>
            <w:shd w:fill="F2F4F8" w:val="clear"/>
          </w:tcPr>
          <w:p>
            <w:r>
              <w:rPr>
                <w:rFonts w:ascii="Calibri" w:hAnsi="Calibri"/>
                <w:color w:val="333333"/>
                <w:sz w:val="18"/>
              </w:rPr>
              <w:t>4.3</w:t>
            </w:r>
          </w:p>
        </w:tc>
        <w:tc>
          <w:tcPr>
            <w:tcW w:type="dxa" w:w="1680"/>
            <w:shd w:fill="F2F4F8" w:val="clear"/>
          </w:tcPr>
          <w:p>
            <w:r>
              <w:rPr>
                <w:rFonts w:ascii="Calibri" w:hAnsi="Calibri"/>
                <w:color w:val="333333"/>
                <w:sz w:val="18"/>
              </w:rPr>
              <w:t>7/7</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Emerging / Modern Hazards</w:t>
            </w:r>
          </w:p>
        </w:tc>
        <w:tc>
          <w:tcPr>
            <w:tcW w:type="dxa" w:w="1680"/>
          </w:tcPr>
          <w:p>
            <w:r>
              <w:rPr>
                <w:rFonts w:ascii="Calibri" w:hAnsi="Calibri"/>
                <w:color w:val="333333"/>
                <w:sz w:val="18"/>
              </w:rPr>
              <w:t>10.0%</w:t>
            </w:r>
          </w:p>
        </w:tc>
        <w:tc>
          <w:tcPr>
            <w:tcW w:type="dxa" w:w="1680"/>
          </w:tcPr>
          <w:p>
            <w:r>
              <w:rPr>
                <w:rFonts w:ascii="Calibri" w:hAnsi="Calibri"/>
                <w:color w:val="333333"/>
                <w:sz w:val="18"/>
              </w:rPr>
              <w:t>38.5</w:t>
            </w:r>
          </w:p>
        </w:tc>
        <w:tc>
          <w:tcPr>
            <w:tcW w:type="dxa" w:w="1680"/>
          </w:tcPr>
          <w:p>
            <w:r>
              <w:rPr>
                <w:rFonts w:ascii="Calibri" w:hAnsi="Calibri"/>
                <w:color w:val="333333"/>
                <w:sz w:val="18"/>
              </w:rPr>
              <w:t>3.9</w:t>
            </w:r>
          </w:p>
        </w:tc>
        <w:tc>
          <w:tcPr>
            <w:tcW w:type="dxa" w:w="1680"/>
          </w:tcPr>
          <w:p>
            <w:r>
              <w:rPr>
                <w:rFonts w:ascii="Calibri" w:hAnsi="Calibri"/>
                <w:color w:val="333333"/>
                <w:sz w:val="18"/>
              </w:rPr>
              <w:t>3/6</w:t>
            </w:r>
          </w:p>
        </w:tc>
        <w:tc>
          <w:tcPr>
            <w:tcW w:type="dxa" w:w="1680"/>
          </w:tcPr>
          <w:p>
            <w:r>
              <w:rPr>
                <w:rFonts w:ascii="Calibri" w:hAnsi="Calibri"/>
                <w:color w:val="333333"/>
                <w:sz w:val="18"/>
              </w:rPr>
              <w:t>50%</w:t>
            </w:r>
          </w:p>
        </w:tc>
      </w:tr>
    </w:tbl>
    <w:p>
      <w:pPr>
        <w:pStyle w:val="DOHeading2"/>
      </w:pPr>
      <w:r>
        <w:t>Risk Factors (D&amp;O-Relevant)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Risk Factor</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D&amp;O Relevance</w:t>
            </w:r>
          </w:p>
        </w:tc>
        <w:tc>
          <w:tcPr>
            <w:tcW w:type="dxa" w:w="2016"/>
            <w:shd w:fill="1A1446" w:val="clear"/>
          </w:tcPr>
          <w:p>
            <w:r>
              <w:rPr>
                <w:rFonts w:ascii="Calibri" w:hAnsi="Calibri"/>
                <w:b/>
                <w:color w:val="FFFFFF"/>
                <w:sz w:val="18"/>
              </w:rPr>
              <w:t>Source Passage</w:t>
            </w:r>
          </w:p>
        </w:tc>
      </w:tr>
      <w:tr>
        <w:tc>
          <w:tcPr>
            <w:tcW w:type="dxa" w:w="2016"/>
          </w:tcPr>
          <w:p>
            <w:r>
              <w:rPr>
                <w:rFonts w:ascii="Calibri" w:hAnsi="Calibri"/>
                <w:color w:val="333333"/>
                <w:sz w:val="18"/>
              </w:rPr>
              <w:t>Increased information technology security threats and more sophisticated computer crime</w:t>
            </w:r>
          </w:p>
        </w:tc>
        <w:tc>
          <w:tcPr>
            <w:tcW w:type="dxa" w:w="2016"/>
          </w:tcPr>
          <w:p>
            <w:r>
              <w:rPr>
                <w:rFonts w:ascii="Calibri" w:hAnsi="Calibri"/>
                <w:color w:val="333333"/>
                <w:sz w:val="18"/>
              </w:rPr>
              <w:t>CYBER</w:t>
            </w:r>
          </w:p>
        </w:tc>
        <w:tc>
          <w:tcPr>
            <w:tcW w:type="dxa" w:w="2016"/>
          </w:tcPr>
          <w:p>
            <w:r>
              <w:rPr>
                <w:rFonts w:ascii="Calibri" w:hAnsi="Calibri"/>
                <w:color w:val="333333"/>
                <w:sz w:val="18"/>
              </w:rPr>
              <w:t>HIGH</w:t>
            </w:r>
          </w:p>
        </w:tc>
        <w:tc>
          <w:tcPr>
            <w:tcW w:type="dxa" w:w="2016"/>
          </w:tcPr>
          <w:p>
            <w:r>
              <w:rPr>
                <w:rFonts w:ascii="Calibri" w:hAnsi="Calibri"/>
                <w:color w:val="333333"/>
                <w:sz w:val="18"/>
              </w:rPr>
              <w:t>MEDIUM</w:t>
            </w:r>
          </w:p>
        </w:tc>
        <w:tc>
          <w:tcPr>
            <w:tcW w:type="dxa" w:w="2016"/>
          </w:tcPr>
          <w:p>
            <w:r>
              <w:rPr>
                <w:rFonts w:ascii="Calibri" w:hAnsi="Calibri"/>
                <w:color w:val="333333"/>
                <w:sz w:val="18"/>
              </w:rPr>
              <w:t>Increased information technology security threats and more sophisticated computer crime pose a risk to our systems, networks, products and services.</w:t>
            </w:r>
          </w:p>
        </w:tc>
      </w:tr>
      <w:tr>
        <w:tc>
          <w:tcPr>
            <w:tcW w:type="dxa" w:w="2016"/>
            <w:shd w:fill="F2F4F8" w:val="clear"/>
          </w:tcPr>
          <w:p>
            <w:r>
              <w:rPr>
                <w:rFonts w:ascii="Calibri" w:hAnsi="Calibri"/>
                <w:color w:val="333333"/>
                <w:sz w:val="18"/>
              </w:rPr>
              <w:t>Global economic conditions and commodity prices</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Our business is sensitive to global economic conditions and commodity prices, which impact demand for our products.</w:t>
            </w:r>
          </w:p>
        </w:tc>
      </w:tr>
      <w:tr>
        <w:tc>
          <w:tcPr>
            <w:tcW w:type="dxa" w:w="2016"/>
          </w:tcPr>
          <w:p>
            <w:r>
              <w:rPr>
                <w:rFonts w:ascii="Calibri" w:hAnsi="Calibri"/>
                <w:color w:val="333333"/>
                <w:sz w:val="18"/>
              </w:rPr>
              <w:t>Supply chain disruptions</w:t>
            </w:r>
          </w:p>
        </w:tc>
        <w:tc>
          <w:tcPr>
            <w:tcW w:type="dxa" w:w="2016"/>
          </w:tcPr>
          <w:p>
            <w:r>
              <w:rPr>
                <w:rFonts w:ascii="Calibri" w:hAnsi="Calibri"/>
                <w:color w:val="333333"/>
                <w:sz w:val="18"/>
              </w:rPr>
              <w:t>OPERATIONAL</w:t>
            </w:r>
          </w:p>
        </w:tc>
        <w:tc>
          <w:tcPr>
            <w:tcW w:type="dxa" w:w="2016"/>
          </w:tcPr>
          <w:p>
            <w:r>
              <w:rPr>
                <w:rFonts w:ascii="Calibri" w:hAnsi="Calibri"/>
                <w:color w:val="333333"/>
                <w:sz w:val="18"/>
              </w:rPr>
              <w:t>HIGH</w:t>
            </w:r>
          </w:p>
        </w:tc>
        <w:tc>
          <w:tcPr>
            <w:tcW w:type="dxa" w:w="2016"/>
          </w:tcPr>
          <w:p>
            <w:r>
              <w:rPr>
                <w:rFonts w:ascii="Calibri" w:hAnsi="Calibri"/>
                <w:color w:val="333333"/>
                <w:sz w:val="18"/>
              </w:rPr>
              <w:t>LOW</w:t>
            </w:r>
          </w:p>
        </w:tc>
        <w:tc>
          <w:tcPr>
            <w:tcW w:type="dxa" w:w="2016"/>
          </w:tcPr>
          <w:p>
            <w:r>
              <w:rPr>
                <w:rFonts w:ascii="Calibri" w:hAnsi="Calibri"/>
                <w:color w:val="333333"/>
                <w:sz w:val="18"/>
              </w:rPr>
              <w:t>We rely on a global supply chain, and disruptions could affect our ability to manufacture and deliver products.</w:t>
            </w:r>
          </w:p>
        </w:tc>
      </w:tr>
      <w:tr>
        <w:tc>
          <w:tcPr>
            <w:tcW w:type="dxa" w:w="2016"/>
            <w:shd w:fill="F2F4F8" w:val="clear"/>
          </w:tcPr>
          <w:p>
            <w:r>
              <w:rPr>
                <w:rFonts w:ascii="Calibri" w:hAnsi="Calibri"/>
                <w:color w:val="333333"/>
                <w:sz w:val="18"/>
              </w:rPr>
              <w:t>Trade policies and tariffs</w:t>
            </w:r>
          </w:p>
        </w:tc>
        <w:tc>
          <w:tcPr>
            <w:tcW w:type="dxa" w:w="2016"/>
            <w:shd w:fill="F2F4F8" w:val="clear"/>
          </w:tcPr>
          <w:p>
            <w:r>
              <w:rPr>
                <w:rFonts w:ascii="Calibri" w:hAnsi="Calibri"/>
                <w:color w:val="333333"/>
                <w:sz w:val="18"/>
              </w:rPr>
              <w:t>REGULATORY</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Changes in trade policies, including tariffs, could increase our manufacturing costs and impact profitability.</w:t>
            </w:r>
          </w:p>
        </w:tc>
      </w:tr>
      <w:tr>
        <w:tc>
          <w:tcPr>
            <w:tcW w:type="dxa" w:w="2016"/>
          </w:tcPr>
          <w:p>
            <w:r>
              <w:rPr>
                <w:rFonts w:ascii="Calibri" w:hAnsi="Calibri"/>
                <w:color w:val="333333"/>
                <w:sz w:val="18"/>
              </w:rPr>
              <w:t>Fluctuations in currency exchange rates</w:t>
            </w:r>
          </w:p>
        </w:tc>
        <w:tc>
          <w:tcPr>
            <w:tcW w:type="dxa" w:w="2016"/>
          </w:tcPr>
          <w:p>
            <w:r>
              <w:rPr>
                <w:rFonts w:ascii="Calibri" w:hAnsi="Calibri"/>
                <w:color w:val="333333"/>
                <w:sz w:val="18"/>
              </w:rPr>
              <w:t>FINANCIAL</w:t>
            </w:r>
          </w:p>
        </w:tc>
        <w:tc>
          <w:tcPr>
            <w:tcW w:type="dxa" w:w="2016"/>
          </w:tcPr>
          <w:p>
            <w:r>
              <w:rPr>
                <w:rFonts w:ascii="Calibri" w:hAnsi="Calibri"/>
                <w:color w:val="333333"/>
                <w:sz w:val="18"/>
              </w:rPr>
              <w:t>MEDIUM</w:t>
            </w:r>
          </w:p>
        </w:tc>
        <w:tc>
          <w:tcPr>
            <w:tcW w:type="dxa" w:w="2016"/>
          </w:tcPr>
          <w:p>
            <w:r>
              <w:rPr>
                <w:rFonts w:ascii="Calibri" w:hAnsi="Calibri"/>
                <w:color w:val="333333"/>
                <w:sz w:val="18"/>
              </w:rPr>
              <w:t>MEDIUM</w:t>
            </w:r>
          </w:p>
        </w:tc>
        <w:tc>
          <w:tcPr>
            <w:tcW w:type="dxa" w:w="2016"/>
          </w:tcPr>
          <w:p>
            <w:r>
              <w:rPr>
                <w:rFonts w:ascii="Calibri" w:hAnsi="Calibri"/>
                <w:color w:val="333333"/>
                <w:sz w:val="18"/>
              </w:rPr>
              <w:t>Our results are affected by currency exchange rate fluctuations due to our global operations.</w:t>
            </w:r>
          </w:p>
        </w:tc>
      </w:tr>
      <w:tr>
        <w:tc>
          <w:tcPr>
            <w:tcW w:type="dxa" w:w="2016"/>
            <w:shd w:fill="F2F4F8" w:val="clear"/>
          </w:tcPr>
          <w:p>
            <w:r>
              <w:rPr>
                <w:rFonts w:ascii="Calibri" w:hAnsi="Calibri"/>
                <w:color w:val="333333"/>
                <w:sz w:val="18"/>
              </w:rPr>
              <w:t>Interest rate risk</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Changes in interest rates impact our borrowing costs and the profitability of our Financial Products segment.</w:t>
            </w:r>
          </w:p>
        </w:tc>
      </w:tr>
      <w:tr>
        <w:tc>
          <w:tcPr>
            <w:tcW w:type="dxa" w:w="2016"/>
          </w:tcPr>
          <w:p>
            <w:r>
              <w:rPr>
                <w:rFonts w:ascii="Calibri" w:hAnsi="Calibri"/>
                <w:color w:val="333333"/>
                <w:sz w:val="18"/>
              </w:rPr>
              <w:t>Pension and OPEB obligations</w:t>
            </w:r>
          </w:p>
        </w:tc>
        <w:tc>
          <w:tcPr>
            <w:tcW w:type="dxa" w:w="2016"/>
          </w:tcPr>
          <w:p>
            <w:r>
              <w:rPr>
                <w:rFonts w:ascii="Calibri" w:hAnsi="Calibri"/>
                <w:color w:val="333333"/>
                <w:sz w:val="18"/>
              </w:rPr>
              <w:t>FINANCIAL</w:t>
            </w:r>
          </w:p>
        </w:tc>
        <w:tc>
          <w:tcPr>
            <w:tcW w:type="dxa" w:w="2016"/>
          </w:tcPr>
          <w:p>
            <w:r>
              <w:rPr>
                <w:rFonts w:ascii="Calibri" w:hAnsi="Calibri"/>
                <w:color w:val="333333"/>
                <w:sz w:val="18"/>
              </w:rPr>
              <w:t>MEDIUM</w:t>
            </w:r>
          </w:p>
        </w:tc>
        <w:tc>
          <w:tcPr>
            <w:tcW w:type="dxa" w:w="2016"/>
          </w:tcPr>
          <w:p>
            <w:r>
              <w:rPr>
                <w:rFonts w:ascii="Calibri" w:hAnsi="Calibri"/>
                <w:color w:val="333333"/>
                <w:sz w:val="18"/>
              </w:rPr>
              <w:t>MEDIUM</w:t>
            </w:r>
          </w:p>
        </w:tc>
        <w:tc>
          <w:tcPr>
            <w:tcW w:type="dxa" w:w="2016"/>
          </w:tcPr>
          <w:p>
            <w:r>
              <w:rPr>
                <w:rFonts w:ascii="Calibri" w:hAnsi="Calibri"/>
                <w:color w:val="333333"/>
                <w:sz w:val="18"/>
              </w:rPr>
              <w:t>We have significant pension and other postretirement benefit obligations that are subject to market volatility.</w:t>
            </w:r>
          </w:p>
        </w:tc>
      </w:tr>
      <w:tr>
        <w:tc>
          <w:tcPr>
            <w:tcW w:type="dxa" w:w="2016"/>
            <w:shd w:fill="F2F4F8" w:val="clear"/>
          </w:tcPr>
          <w:p>
            <w:r>
              <w:rPr>
                <w:rFonts w:ascii="Calibri" w:hAnsi="Calibri"/>
                <w:color w:val="333333"/>
                <w:sz w:val="18"/>
              </w:rPr>
              <w:t>Product liability and warranty claims</w:t>
            </w:r>
          </w:p>
        </w:tc>
        <w:tc>
          <w:tcPr>
            <w:tcW w:type="dxa" w:w="2016"/>
            <w:shd w:fill="F2F4F8" w:val="clear"/>
          </w:tcPr>
          <w:p>
            <w:r>
              <w:rPr>
                <w:rFonts w:ascii="Calibri" w:hAnsi="Calibri"/>
                <w:color w:val="333333"/>
                <w:sz w:val="18"/>
              </w:rPr>
              <w:t>LITIGATION</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We are exposed to product liability and warranty claims, which could result in significant costs.</w:t>
            </w:r>
          </w:p>
        </w:tc>
      </w:tr>
      <w:tr>
        <w:tc>
          <w:tcPr>
            <w:tcW w:type="dxa" w:w="2016"/>
          </w:tcPr>
          <w:p>
            <w:r>
              <w:rPr>
                <w:rFonts w:ascii="Calibri" w:hAnsi="Calibri"/>
                <w:color w:val="333333"/>
                <w:sz w:val="18"/>
              </w:rPr>
              <w:t>Regulatory compliance and environmental laws</w:t>
            </w:r>
          </w:p>
        </w:tc>
        <w:tc>
          <w:tcPr>
            <w:tcW w:type="dxa" w:w="2016"/>
          </w:tcPr>
          <w:p>
            <w:r>
              <w:rPr>
                <w:rFonts w:ascii="Calibri" w:hAnsi="Calibri"/>
                <w:color w:val="333333"/>
                <w:sz w:val="18"/>
              </w:rPr>
              <w:t>REGULATORY</w:t>
            </w:r>
          </w:p>
        </w:tc>
        <w:tc>
          <w:tcPr>
            <w:tcW w:type="dxa" w:w="2016"/>
          </w:tcPr>
          <w:p>
            <w:r>
              <w:rPr>
                <w:rFonts w:ascii="Calibri" w:hAnsi="Calibri"/>
                <w:color w:val="333333"/>
                <w:sz w:val="18"/>
              </w:rPr>
              <w:t>MEDIUM</w:t>
            </w:r>
          </w:p>
        </w:tc>
        <w:tc>
          <w:tcPr>
            <w:tcW w:type="dxa" w:w="2016"/>
          </w:tcPr>
          <w:p>
            <w:r>
              <w:rPr>
                <w:rFonts w:ascii="Calibri" w:hAnsi="Calibri"/>
                <w:color w:val="333333"/>
                <w:sz w:val="18"/>
              </w:rPr>
              <w:t>HIGH</w:t>
            </w:r>
          </w:p>
        </w:tc>
        <w:tc>
          <w:tcPr>
            <w:tcW w:type="dxa" w:w="2016"/>
          </w:tcPr>
          <w:p>
            <w:r>
              <w:rPr>
                <w:rFonts w:ascii="Calibri" w:hAnsi="Calibri"/>
                <w:color w:val="333333"/>
                <w:sz w:val="18"/>
              </w:rPr>
              <w:t>We are subject to extensive environmental, health, and safety regulations worldwide.</w:t>
            </w:r>
          </w:p>
        </w:tc>
      </w:tr>
    </w:tbl>
    <w:p>
      <w:pPr>
        <w:pStyle w:val="DOCaption"/>
      </w:pPr>
      <w:r>
        <w:t>9 D&amp;O-relevant risk factors (0 new this year, 4 high severity).</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CATERPILLAR's stock sits at $717.22, a 9.19% decline from its 52-week high of $789.81, but the real story is the volatility beneath that, including a severe single-day drop of 8.64% on April 3, 2025. That specific event, one of 7 cluster events, provides a clear loss causation date for plaintiffs to anchor a Dura Pharmaceuticals argument. Insider activity shows net selling totaling $99.48 million, with 23.1% of it being structured 10b5-1 plans, which complicates but does not eliminate the scienter inference under Tellabs given the sheer volume against a backdrop of 7 cluster events. The presence of these 7 cluster events around executive transactions creates a pattern that a plaintiff's bar will aggressively map to any subsequent negative disclosure to allege a scheme. While analyst consensus is still a "BUY" with zero recent downgrades, the insider direction and the stock's 52-week low of $267.30 demonstrate a boardroom-level recognition of risk that the street may be discounting. My primary concern is that the next operational misstep will be litigated using the April 3rd, 2025 drop as the damages model, with the $99.48 million in insider sales history used to plead fraudulent intent. The lack of recent analyst downgrades offers no counter-narrative to that potential complaint, leaving the insider sales as the dominant narrative. Underwriting here requires a specific reserve for litigation following that April date, as the stock's 52-week range shows it can fall 62.7% from its high, providing ample room for claimed damages.</w:t>
      </w:r>
    </w:p>
    <w:p>
      <w:pPr>
        <w:pStyle w:val="DOHeading1"/>
      </w:pPr>
      <w:r>
        <w:t>Section 4: Market &amp; Trading Analysis</w:t>
      </w:r>
    </w:p>
    <w:p>
      <w:pPr>
        <w:pStyle w:val="DOBody"/>
      </w:pPr>
      <w:r>
        <w:rPr>
          <w:rFonts w:ascii="Calibri" w:hAnsi="Calibri"/>
          <w:color w:val="333333"/>
          <w:sz w:val="20"/>
        </w:rPr>
        <w:t>The stock trades 9.2% below its 52-week high ($790), within normal trading variance. Worst single-day decline: 8.6% on 2025-04-03. Short interest of 1.7% of float is low (6-month trend: DECLINING). Analyst consensus: BUY.</w:t>
      </w:r>
    </w:p>
    <w:p>
      <w:pPr>
        <w:pStyle w:val="DOHeading2"/>
      </w:pPr>
      <w:r>
        <w:t>Stock Performance</w:t>
      </w:r>
    </w:p>
    <w:p>
      <w:r>
        <w:drawing>
          <wp:inline xmlns:a="http://schemas.openxmlformats.org/drawingml/2006/main" xmlns:pic="http://schemas.openxmlformats.org/drawingml/2006/picture">
            <wp:extent cx="5943600" cy="3878747"/>
            <wp:docPr id="2" name="Picture 2"/>
            <wp:cNvGraphicFramePr>
              <a:graphicFrameLocks noChangeAspect="1"/>
            </wp:cNvGraphicFramePr>
            <a:graphic>
              <a:graphicData uri="http://schemas.openxmlformats.org/drawingml/2006/picture">
                <pic:pic>
                  <pic:nvPicPr>
                    <pic:cNvPr id="0" name="stock_1y.png"/>
                    <pic:cNvPicPr/>
                  </pic:nvPicPr>
                  <pic:blipFill>
                    <a:blip r:embed="rId12"/>
                    <a:stretch>
                      <a:fillRect/>
                    </a:stretch>
                  </pic:blipFill>
                  <pic:spPr>
                    <a:xfrm>
                      <a:off x="0" y="0"/>
                      <a:ext cx="5943600" cy="3878747"/>
                    </a:xfrm>
                    <a:prstGeom prst="rect"/>
                  </pic:spPr>
                </pic:pic>
              </a:graphicData>
            </a:graphic>
          </wp:inline>
        </w:drawing>
      </w:r>
    </w:p>
    <w:p>
      <w:pPr>
        <w:pStyle w:val="DOCaption"/>
      </w:pPr>
      <w:r>
        <w:t>1-Year Performance (Indexed to 100). Red triangles mark single-day drops &gt;= 8%. Orange bands mark multi-day declines &gt;= 15%.</w:t>
      </w:r>
    </w:p>
    <w:p>
      <w:r>
        <w:drawing>
          <wp:inline xmlns:a="http://schemas.openxmlformats.org/drawingml/2006/main" xmlns:pic="http://schemas.openxmlformats.org/drawingml/2006/picture">
            <wp:extent cx="5943600" cy="3878747"/>
            <wp:docPr id="3" name="Picture 3"/>
            <wp:cNvGraphicFramePr>
              <a:graphicFrameLocks noChangeAspect="1"/>
            </wp:cNvGraphicFramePr>
            <a:graphic>
              <a:graphicData uri="http://schemas.openxmlformats.org/drawingml/2006/picture">
                <pic:pic>
                  <pic:nvPicPr>
                    <pic:cNvPr id="0" name="stock_5y.png"/>
                    <pic:cNvPicPr/>
                  </pic:nvPicPr>
                  <pic:blipFill>
                    <a:blip r:embed="rId13"/>
                    <a:stretch>
                      <a:fillRect/>
                    </a:stretch>
                  </pic:blipFill>
                  <pic:spPr>
                    <a:xfrm>
                      <a:off x="0" y="0"/>
                      <a:ext cx="5943600" cy="3878747"/>
                    </a:xfrm>
                    <a:prstGeom prst="rect"/>
                  </pic:spPr>
                </pic:pic>
              </a:graphicData>
            </a:graphic>
          </wp:inline>
        </w:drawing>
      </w:r>
    </w:p>
    <w:p>
      <w:pPr>
        <w:pStyle w:val="DOCaption"/>
      </w:pPr>
      <w:r>
        <w:t>5-Year Performance (Indexed to 100)</w:t>
      </w:r>
    </w:p>
    <w:p>
      <w:r>
        <w:drawing>
          <wp:inline xmlns:a="http://schemas.openxmlformats.org/drawingml/2006/main" xmlns:pic="http://schemas.openxmlformats.org/drawingml/2006/picture">
            <wp:extent cx="5943600" cy="3589875"/>
            <wp:docPr id="4" name="Picture 4"/>
            <wp:cNvGraphicFramePr>
              <a:graphicFrameLocks noChangeAspect="1"/>
            </wp:cNvGraphicFramePr>
            <a:graphic>
              <a:graphicData uri="http://schemas.openxmlformats.org/drawingml/2006/picture">
                <pic:pic>
                  <pic:nvPicPr>
                    <pic:cNvPr id="0" name="drop_analysis_1y.png"/>
                    <pic:cNvPicPr/>
                  </pic:nvPicPr>
                  <pic:blipFill>
                    <a:blip r:embed="rId14"/>
                    <a:stretch>
                      <a:fillRect/>
                    </a:stretch>
                  </pic:blipFill>
                  <pic:spPr>
                    <a:xfrm>
                      <a:off x="0" y="0"/>
                      <a:ext cx="5943600" cy="3589875"/>
                    </a:xfrm>
                    <a:prstGeom prst="rect"/>
                  </pic:spPr>
                </pic:pic>
              </a:graphicData>
            </a:graphic>
          </wp:inline>
        </w:drawing>
      </w:r>
    </w:p>
    <w:p>
      <w:pPr>
        <w:pStyle w:val="DOCaption"/>
      </w:pPr>
      <w:r>
        <w:t>Drop Event Analysis (12 Months)</w:t>
      </w:r>
    </w:p>
    <w:p>
      <w:r>
        <w:drawing>
          <wp:inline xmlns:a="http://schemas.openxmlformats.org/drawingml/2006/main" xmlns:pic="http://schemas.openxmlformats.org/drawingml/2006/picture">
            <wp:extent cx="5943600" cy="3589875"/>
            <wp:docPr id="5" name="Picture 5"/>
            <wp:cNvGraphicFramePr>
              <a:graphicFrameLocks noChangeAspect="1"/>
            </wp:cNvGraphicFramePr>
            <a:graphic>
              <a:graphicData uri="http://schemas.openxmlformats.org/drawingml/2006/picture">
                <pic:pic>
                  <pic:nvPicPr>
                    <pic:cNvPr id="0" name="drop_analysis_5y.png"/>
                    <pic:cNvPicPr/>
                  </pic:nvPicPr>
                  <pic:blipFill>
                    <a:blip r:embed="rId15"/>
                    <a:stretch>
                      <a:fillRect/>
                    </a:stretch>
                  </pic:blipFill>
                  <pic:spPr>
                    <a:xfrm>
                      <a:off x="0" y="0"/>
                      <a:ext cx="5943600" cy="3589875"/>
                    </a:xfrm>
                    <a:prstGeom prst="rect"/>
                  </pic:spPr>
                </pic:pic>
              </a:graphicData>
            </a:graphic>
          </wp:inline>
        </w:drawing>
      </w:r>
    </w:p>
    <w:p>
      <w:pPr>
        <w:pStyle w:val="DOCaption"/>
      </w:pPr>
      <w:r>
        <w:t>Drop Event Analysis (5 Years)</w:t>
      </w:r>
    </w:p>
    <w:p>
      <w:r>
        <w:drawing>
          <wp:inline xmlns:a="http://schemas.openxmlformats.org/drawingml/2006/main" xmlns:pic="http://schemas.openxmlformats.org/drawingml/2006/picture">
            <wp:extent cx="5943600" cy="3194685"/>
            <wp:docPr id="6" name="Picture 6"/>
            <wp:cNvGraphicFramePr>
              <a:graphicFrameLocks noChangeAspect="1"/>
            </wp:cNvGraphicFramePr>
            <a:graphic>
              <a:graphicData uri="http://schemas.openxmlformats.org/drawingml/2006/picture">
                <pic:pic>
                  <pic:nvPicPr>
                    <pic:cNvPr id="0" name="drop_scatter_1y.png"/>
                    <pic:cNvPicPr/>
                  </pic:nvPicPr>
                  <pic:blipFill>
                    <a:blip r:embed="rId16"/>
                    <a:stretch>
                      <a:fillRect/>
                    </a:stretch>
                  </pic:blipFill>
                  <pic:spPr>
                    <a:xfrm>
                      <a:off x="0" y="0"/>
                      <a:ext cx="5943600" cy="3194685"/>
                    </a:xfrm>
                    <a:prstGeom prst="rect"/>
                  </pic:spPr>
                </pic:pic>
              </a:graphicData>
            </a:graphic>
          </wp:inline>
        </w:drawing>
      </w:r>
    </w:p>
    <w:p>
      <w:pPr>
        <w:pStyle w:val="DOCaption"/>
      </w:pPr>
      <w:r>
        <w:t>Drop Events: Company vs Sector (12 Months)</w:t>
      </w:r>
    </w:p>
    <w:p>
      <w:r>
        <w:drawing>
          <wp:inline xmlns:a="http://schemas.openxmlformats.org/drawingml/2006/main" xmlns:pic="http://schemas.openxmlformats.org/drawingml/2006/picture">
            <wp:extent cx="5943600" cy="2370014"/>
            <wp:docPr id="7" name="Picture 7"/>
            <wp:cNvGraphicFramePr>
              <a:graphicFrameLocks noChangeAspect="1"/>
            </wp:cNvGraphicFramePr>
            <a:graphic>
              <a:graphicData uri="http://schemas.openxmlformats.org/drawingml/2006/picture">
                <pic:pic>
                  <pic:nvPicPr>
                    <pic:cNvPr id="0" name="drawdown_1y.png"/>
                    <pic:cNvPicPr/>
                  </pic:nvPicPr>
                  <pic:blipFill>
                    <a:blip r:embed="rId17"/>
                    <a:stretch>
                      <a:fillRect/>
                    </a:stretch>
                  </pic:blipFill>
                  <pic:spPr>
                    <a:xfrm>
                      <a:off x="0" y="0"/>
                      <a:ext cx="5943600" cy="2370014"/>
                    </a:xfrm>
                    <a:prstGeom prst="rect"/>
                  </pic:spPr>
                </pic:pic>
              </a:graphicData>
            </a:graphic>
          </wp:inline>
        </w:drawing>
      </w:r>
    </w:p>
    <w:p>
      <w:pPr>
        <w:pStyle w:val="DOCaption"/>
      </w:pPr>
      <w:r>
        <w:t>Drawdown Analysis (12 Months)</w:t>
      </w:r>
    </w:p>
    <w:p>
      <w:r>
        <w:drawing>
          <wp:inline xmlns:a="http://schemas.openxmlformats.org/drawingml/2006/main" xmlns:pic="http://schemas.openxmlformats.org/drawingml/2006/picture">
            <wp:extent cx="5943600" cy="2428159"/>
            <wp:docPr id="8" name="Picture 8"/>
            <wp:cNvGraphicFramePr>
              <a:graphicFrameLocks noChangeAspect="1"/>
            </wp:cNvGraphicFramePr>
            <a:graphic>
              <a:graphicData uri="http://schemas.openxmlformats.org/drawingml/2006/picture">
                <pic:pic>
                  <pic:nvPicPr>
                    <pic:cNvPr id="0" name="drawdown_5y.png"/>
                    <pic:cNvPicPr/>
                  </pic:nvPicPr>
                  <pic:blipFill>
                    <a:blip r:embed="rId18"/>
                    <a:stretch>
                      <a:fillRect/>
                    </a:stretch>
                  </pic:blipFill>
                  <pic:spPr>
                    <a:xfrm>
                      <a:off x="0" y="0"/>
                      <a:ext cx="5943600" cy="2428159"/>
                    </a:xfrm>
                    <a:prstGeom prst="rect"/>
                  </pic:spPr>
                </pic:pic>
              </a:graphicData>
            </a:graphic>
          </wp:inline>
        </w:drawing>
      </w:r>
    </w:p>
    <w:p>
      <w:pPr>
        <w:pStyle w:val="DOCaption"/>
      </w:pPr>
      <w:r>
        <w:t>Drawdown Analysis (5 Years)</w:t>
      </w:r>
    </w:p>
    <w:p>
      <w:r>
        <w:drawing>
          <wp:inline xmlns:a="http://schemas.openxmlformats.org/drawingml/2006/main" xmlns:pic="http://schemas.openxmlformats.org/drawingml/2006/picture">
            <wp:extent cx="5943600" cy="4367502"/>
            <wp:docPr id="9" name="Picture 9"/>
            <wp:cNvGraphicFramePr>
              <a:graphicFrameLocks noChangeAspect="1"/>
            </wp:cNvGraphicFramePr>
            <a:graphic>
              <a:graphicData uri="http://schemas.openxmlformats.org/drawingml/2006/picture">
                <pic:pic>
                  <pic:nvPicPr>
                    <pic:cNvPr id="0" name="volatility_1y.png"/>
                    <pic:cNvPicPr/>
                  </pic:nvPicPr>
                  <pic:blipFill>
                    <a:blip r:embed="rId19"/>
                    <a:stretch>
                      <a:fillRect/>
                    </a:stretch>
                  </pic:blipFill>
                  <pic:spPr>
                    <a:xfrm>
                      <a:off x="0" y="0"/>
                      <a:ext cx="5943600" cy="4367502"/>
                    </a:xfrm>
                    <a:prstGeom prst="rect"/>
                  </pic:spPr>
                </pic:pic>
              </a:graphicData>
            </a:graphic>
          </wp:inline>
        </w:drawing>
      </w:r>
    </w:p>
    <w:p>
      <w:pPr>
        <w:pStyle w:val="DOCaption"/>
      </w:pPr>
      <w:r>
        <w:t>Volatility &amp; Beta Analysis (12 Months)</w:t>
      </w:r>
    </w:p>
    <w:p>
      <w:r>
        <w:drawing>
          <wp:inline xmlns:a="http://schemas.openxmlformats.org/drawingml/2006/main" xmlns:pic="http://schemas.openxmlformats.org/drawingml/2006/picture">
            <wp:extent cx="5943600" cy="3043276"/>
            <wp:docPr id="10" name="Picture 10"/>
            <wp:cNvGraphicFramePr>
              <a:graphicFrameLocks noChangeAspect="1"/>
            </wp:cNvGraphicFramePr>
            <a:graphic>
              <a:graphicData uri="http://schemas.openxmlformats.org/drawingml/2006/picture">
                <pic:pic>
                  <pic:nvPicPr>
                    <pic:cNvPr id="0" name="relative_1y.png"/>
                    <pic:cNvPicPr/>
                  </pic:nvPicPr>
                  <pic:blipFill>
                    <a:blip r:embed="rId20"/>
                    <a:stretch>
                      <a:fillRect/>
                    </a:stretch>
                  </pic:blipFill>
                  <pic:spPr>
                    <a:xfrm>
                      <a:off x="0" y="0"/>
                      <a:ext cx="5943600" cy="3043276"/>
                    </a:xfrm>
                    <a:prstGeom prst="rect"/>
                  </pic:spPr>
                </pic:pic>
              </a:graphicData>
            </a:graphic>
          </wp:inline>
        </w:drawing>
      </w:r>
    </w:p>
    <w:p>
      <w:pPr>
        <w:pStyle w:val="DOCaption"/>
      </w:pPr>
      <w:r>
        <w:t>Relative Performance (12 Months)</w:t>
      </w:r>
    </w:p>
    <w:p>
      <w:r>
        <w:drawing>
          <wp:inline xmlns:a="http://schemas.openxmlformats.org/drawingml/2006/main" xmlns:pic="http://schemas.openxmlformats.org/drawingml/2006/picture">
            <wp:extent cx="5943600" cy="3043276"/>
            <wp:docPr id="11" name="Picture 11"/>
            <wp:cNvGraphicFramePr>
              <a:graphicFrameLocks noChangeAspect="1"/>
            </wp:cNvGraphicFramePr>
            <a:graphic>
              <a:graphicData uri="http://schemas.openxmlformats.org/drawingml/2006/picture">
                <pic:pic>
                  <pic:nvPicPr>
                    <pic:cNvPr id="0" name="relative_5y.png"/>
                    <pic:cNvPicPr/>
                  </pic:nvPicPr>
                  <pic:blipFill>
                    <a:blip r:embed="rId21"/>
                    <a:stretch>
                      <a:fillRect/>
                    </a:stretch>
                  </pic:blipFill>
                  <pic:spPr>
                    <a:xfrm>
                      <a:off x="0" y="0"/>
                      <a:ext cx="5943600" cy="3043276"/>
                    </a:xfrm>
                    <a:prstGeom prst="rect"/>
                  </pic:spPr>
                </pic:pic>
              </a:graphicData>
            </a:graphic>
          </wp:inline>
        </w:drawing>
      </w:r>
    </w:p>
    <w:p>
      <w:pPr>
        <w:pStyle w:val="DOCaption"/>
      </w:pPr>
      <w:r>
        <w:t>Relative Performance (5 Years)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Price</w:t>
            </w:r>
          </w:p>
        </w:tc>
        <w:tc>
          <w:tcPr>
            <w:tcW w:type="dxa" w:w="5040"/>
          </w:tcPr>
          <w:p>
            <w:r>
              <w:rPr>
                <w:rFonts w:ascii="Calibri" w:hAnsi="Calibri"/>
                <w:color w:val="333333"/>
                <w:sz w:val="18"/>
              </w:rPr>
              <w:t>$717.22</w:t>
            </w:r>
          </w:p>
        </w:tc>
      </w:tr>
      <w:tr>
        <w:tc>
          <w:tcPr>
            <w:tcW w:type="dxa" w:w="5040"/>
            <w:shd w:fill="F2F4F8" w:val="clear"/>
          </w:tcPr>
          <w:p>
            <w:r>
              <w:rPr>
                <w:rFonts w:ascii="Calibri" w:hAnsi="Calibri"/>
                <w:color w:val="333333"/>
                <w:sz w:val="18"/>
              </w:rPr>
              <w:t>52-Week High</w:t>
            </w:r>
          </w:p>
        </w:tc>
        <w:tc>
          <w:tcPr>
            <w:tcW w:type="dxa" w:w="5040"/>
            <w:shd w:fill="F2F4F8" w:val="clear"/>
          </w:tcPr>
          <w:p>
            <w:r>
              <w:rPr>
                <w:rFonts w:ascii="Calibri" w:hAnsi="Calibri"/>
                <w:color w:val="333333"/>
                <w:sz w:val="18"/>
              </w:rPr>
              <w:t>$789.81</w:t>
            </w:r>
          </w:p>
        </w:tc>
      </w:tr>
      <w:tr>
        <w:tc>
          <w:tcPr>
            <w:tcW w:type="dxa" w:w="5040"/>
          </w:tcPr>
          <w:p>
            <w:r>
              <w:rPr>
                <w:rFonts w:ascii="Calibri" w:hAnsi="Calibri"/>
                <w:color w:val="333333"/>
                <w:sz w:val="18"/>
              </w:rPr>
              <w:t>52-Week Low</w:t>
            </w:r>
          </w:p>
        </w:tc>
        <w:tc>
          <w:tcPr>
            <w:tcW w:type="dxa" w:w="5040"/>
          </w:tcPr>
          <w:p>
            <w:r>
              <w:rPr>
                <w:rFonts w:ascii="Calibri" w:hAnsi="Calibri"/>
                <w:color w:val="333333"/>
                <w:sz w:val="18"/>
              </w:rPr>
              <w:t>$267.30</w:t>
            </w:r>
          </w:p>
        </w:tc>
      </w:tr>
      <w:tr>
        <w:tc>
          <w:tcPr>
            <w:tcW w:type="dxa" w:w="5040"/>
            <w:shd w:fill="F2F4F8" w:val="clear"/>
          </w:tcPr>
          <w:p>
            <w:r>
              <w:rPr>
                <w:rFonts w:ascii="Calibri" w:hAnsi="Calibri"/>
                <w:color w:val="333333"/>
                <w:sz w:val="18"/>
              </w:rPr>
              <w:t>1-Year Return</w:t>
            </w:r>
          </w:p>
        </w:tc>
        <w:tc>
          <w:tcPr>
            <w:tcW w:type="dxa" w:w="5040"/>
            <w:shd w:fill="F2F4F8" w:val="clear"/>
          </w:tcPr>
          <w:p>
            <w:r>
              <w:rPr>
                <w:rFonts w:ascii="Calibri" w:hAnsi="Calibri"/>
                <w:color w:val="333333"/>
                <w:sz w:val="18"/>
              </w:rPr>
              <w:t>137.8%</w:t>
            </w:r>
          </w:p>
        </w:tc>
      </w:tr>
      <w:tr>
        <w:tc>
          <w:tcPr>
            <w:tcW w:type="dxa" w:w="5040"/>
          </w:tcPr>
          <w:p>
            <w:r>
              <w:rPr>
                <w:rFonts w:ascii="Calibri" w:hAnsi="Calibri"/>
                <w:color w:val="333333"/>
                <w:sz w:val="18"/>
              </w:rPr>
              <w:t>Max Drawdown (1Y)</w:t>
            </w:r>
          </w:p>
        </w:tc>
        <w:tc>
          <w:tcPr>
            <w:tcW w:type="dxa" w:w="5040"/>
          </w:tcPr>
          <w:p>
            <w:r>
              <w:rPr>
                <w:rFonts w:ascii="Calibri" w:hAnsi="Calibri"/>
                <w:color w:val="333333"/>
                <w:sz w:val="18"/>
              </w:rPr>
              <w:t>-13.9%</w:t>
            </w:r>
          </w:p>
        </w:tc>
      </w:tr>
      <w:tr>
        <w:tc>
          <w:tcPr>
            <w:tcW w:type="dxa" w:w="5040"/>
            <w:shd w:fill="F2F4F8" w:val="clear"/>
          </w:tcPr>
          <w:p>
            <w:r>
              <w:rPr>
                <w:rFonts w:ascii="Calibri" w:hAnsi="Calibri"/>
                <w:color w:val="333333"/>
                <w:sz w:val="18"/>
              </w:rPr>
              <w:t>90-Day Volatility</w:t>
            </w:r>
          </w:p>
        </w:tc>
        <w:tc>
          <w:tcPr>
            <w:tcW w:type="dxa" w:w="5040"/>
            <w:shd w:fill="F2F4F8" w:val="clear"/>
          </w:tcPr>
          <w:p>
            <w:r>
              <w:rPr>
                <w:rFonts w:ascii="Calibri" w:hAnsi="Calibri"/>
                <w:color w:val="333333"/>
                <w:sz w:val="18"/>
              </w:rPr>
              <w:t>36.4% (Ranks at the 0th percentile among 0 peers (peer median: 2.5%))</w:t>
            </w:r>
          </w:p>
        </w:tc>
      </w:tr>
      <w:tr>
        <w:tc>
          <w:tcPr>
            <w:tcW w:type="dxa" w:w="5040"/>
          </w:tcPr>
          <w:p>
            <w:r>
              <w:rPr>
                <w:rFonts w:ascii="Calibri" w:hAnsi="Calibri"/>
                <w:color w:val="333333"/>
                <w:sz w:val="18"/>
              </w:rPr>
              <w:t>Beta (vs S&amp;P 500)</w:t>
            </w:r>
          </w:p>
        </w:tc>
        <w:tc>
          <w:tcPr>
            <w:tcW w:type="dxa" w:w="5040"/>
          </w:tcPr>
          <w:p>
            <w:r>
              <w:rPr>
                <w:rFonts w:ascii="Calibri" w:hAnsi="Calibri"/>
                <w:color w:val="333333"/>
                <w:sz w:val="18"/>
              </w:rPr>
              <w:t>1.53</w:t>
            </w:r>
          </w:p>
        </w:tc>
      </w:tr>
    </w:tbl>
    <w:p>
      <w:pPr>
        <w:pStyle w:val="DOBody"/>
      </w:pPr>
      <w:r>
        <w:t>5 significant stock decline events detected in the 1Y period: 3 critical (&gt;10%), 2 notable (5-10%). 5 were company-specific, 3 were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2025-04-03 to 2025-04-08 (6d)</w:t>
            </w:r>
          </w:p>
        </w:tc>
        <w:tc>
          <w:tcPr>
            <w:tcW w:type="dxa" w:w="1440"/>
            <w:shd w:fill="FCE8E6" w:val="clear"/>
          </w:tcPr>
          <w:p>
            <w:r>
              <w:rPr>
                <w:rFonts w:ascii="Calibri" w:hAnsi="Calibri"/>
                <w:color w:val="333333"/>
                <w:sz w:val="18"/>
              </w:rPr>
              <w:t>-18.1%</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11 days</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2025-04-07 (5d)</w:t>
            </w:r>
          </w:p>
        </w:tc>
        <w:tc>
          <w:tcPr>
            <w:tcW w:type="dxa" w:w="1440"/>
            <w:shd w:fill="F2F4F8" w:val="clear"/>
            <w:shd w:fill="FCE8E6" w:val="clear"/>
          </w:tcPr>
          <w:p>
            <w:r>
              <w:rPr>
                <w:rFonts w:ascii="Calibri" w:hAnsi="Calibri"/>
                <w:color w:val="333333"/>
                <w:sz w:val="18"/>
              </w:rPr>
              <w:t>-15.1%</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12 days</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2025-04-04 (2d)</w:t>
            </w:r>
          </w:p>
        </w:tc>
        <w:tc>
          <w:tcPr>
            <w:tcW w:type="dxa" w:w="1440"/>
            <w:shd w:fill="FCE8E6" w:val="clear"/>
          </w:tcPr>
          <w:p>
            <w:r>
              <w:rPr>
                <w:rFonts w:ascii="Calibri" w:hAnsi="Calibri"/>
                <w:color w:val="333333"/>
                <w:sz w:val="18"/>
              </w:rPr>
              <w:t>-13.9%</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13 days</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FF3CD" w:val="clear"/>
          </w:tcPr>
          <w:p>
            <w:r>
              <w:rPr>
                <w:rFonts w:ascii="Calibri" w:hAnsi="Calibri"/>
                <w:color w:val="333333"/>
                <w:sz w:val="18"/>
              </w:rPr>
              <w:t>2025-04-03 (2d)</w:t>
            </w:r>
          </w:p>
        </w:tc>
        <w:tc>
          <w:tcPr>
            <w:tcW w:type="dxa" w:w="1440"/>
            <w:shd w:fill="F2F4F8" w:val="clear"/>
            <w:shd w:fill="FFF3CD" w:val="clear"/>
          </w:tcPr>
          <w:p>
            <w:r>
              <w:rPr>
                <w:rFonts w:ascii="Calibri" w:hAnsi="Calibri"/>
                <w:color w:val="333333"/>
                <w:sz w:val="18"/>
              </w:rPr>
              <w:t>-5.8%</w:t>
            </w:r>
          </w:p>
        </w:tc>
        <w:tc>
          <w:tcPr>
            <w:tcW w:type="dxa" w:w="1440"/>
            <w:shd w:fill="F2F4F8" w:val="clear"/>
            <w:shd w:fill="FFF3CD" w:val="clear"/>
          </w:tcPr>
          <w:p>
            <w:r>
              <w:rPr>
                <w:rFonts w:ascii="Calibri" w:hAnsi="Calibri"/>
                <w:color w:val="333333"/>
                <w:sz w:val="18"/>
              </w:rPr>
              <w:t>25%</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Market-Wide Event</w:t>
            </w:r>
          </w:p>
        </w:tc>
        <w:tc>
          <w:tcPr>
            <w:tcW w:type="dxa" w:w="1440"/>
            <w:shd w:fill="F2F4F8" w:val="clear"/>
            <w:shd w:fill="FFF3CD" w:val="clear"/>
          </w:tcPr>
          <w:p>
            <w:r>
              <w:rPr>
                <w:rFonts w:ascii="Calibri" w:hAnsi="Calibri"/>
                <w:color w:val="333333"/>
                <w:sz w:val="18"/>
              </w:rPr>
              <w:t>https://finance.yahoo.com/quote/CAT/press-relea...</w:t>
            </w:r>
          </w:p>
        </w:tc>
      </w:tr>
      <w:tr>
        <w:tc>
          <w:tcPr>
            <w:tcW w:type="dxa" w:w="1440"/>
            <w:shd w:fill="FFF3CD" w:val="clear"/>
          </w:tcPr>
          <w:p>
            <w:r>
              <w:rPr>
                <w:rFonts w:ascii="Calibri" w:hAnsi="Calibri"/>
                <w:color w:val="333333"/>
                <w:sz w:val="18"/>
              </w:rPr>
              <w:t>2024-04-25</w:t>
            </w:r>
          </w:p>
        </w:tc>
        <w:tc>
          <w:tcPr>
            <w:tcW w:type="dxa" w:w="1440"/>
            <w:shd w:fill="FFF3CD" w:val="clear"/>
          </w:tcPr>
          <w:p>
            <w:r>
              <w:rPr>
                <w:rFonts w:ascii="Calibri" w:hAnsi="Calibri"/>
                <w:color w:val="333333"/>
                <w:sz w:val="18"/>
              </w:rPr>
              <w:t>-7.0%</w:t>
            </w:r>
          </w:p>
        </w:tc>
        <w:tc>
          <w:tcPr>
            <w:tcW w:type="dxa" w:w="1440"/>
            <w:shd w:fill="FFF3CD" w:val="clear"/>
          </w:tcPr>
          <w:p>
            <w:r>
              <w:rPr>
                <w:rFonts w:ascii="Calibri" w:hAnsi="Calibri"/>
                <w:color w:val="333333"/>
                <w:sz w:val="18"/>
              </w:rPr>
              <w:t>7%</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Earnings release</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https://finance.yahoo.com/quote/CAT/press-relea...</w:t>
            </w:r>
          </w:p>
        </w:tc>
      </w:tr>
    </w:tbl>
    <w:p>
      <w:pPr>
        <w:pStyle w:val="DOBody"/>
      </w:pPr>
      <w:r>
        <w:t>3 significant stock decline events detected in the 5Y period: 3 critical (&gt;10%). 3 were company-specific, 2 were market-wide.</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2025-04-03 to 2025-04-08 (6d)</w:t>
            </w:r>
          </w:p>
        </w:tc>
        <w:tc>
          <w:tcPr>
            <w:tcW w:type="dxa" w:w="1440"/>
            <w:shd w:fill="FCE8E6" w:val="clear"/>
          </w:tcPr>
          <w:p>
            <w:r>
              <w:rPr>
                <w:rFonts w:ascii="Calibri" w:hAnsi="Calibri"/>
                <w:color w:val="333333"/>
                <w:sz w:val="18"/>
              </w:rPr>
              <w:t>-18.1%</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11 days</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2025-04-07 (5d)</w:t>
            </w:r>
          </w:p>
        </w:tc>
        <w:tc>
          <w:tcPr>
            <w:tcW w:type="dxa" w:w="1440"/>
            <w:shd w:fill="F2F4F8" w:val="clear"/>
            <w:shd w:fill="FCE8E6" w:val="clear"/>
          </w:tcPr>
          <w:p>
            <w:r>
              <w:rPr>
                <w:rFonts w:ascii="Calibri" w:hAnsi="Calibri"/>
                <w:color w:val="333333"/>
                <w:sz w:val="18"/>
              </w:rPr>
              <w:t>-15.1%</w:t>
            </w:r>
          </w:p>
        </w:tc>
        <w:tc>
          <w:tcPr>
            <w:tcW w:type="dxa" w:w="1440"/>
            <w:shd w:fill="F2F4F8" w:val="clear"/>
            <w:shd w:fill="FCE8E6" w:val="clear"/>
          </w:tcPr>
          <w:p>
            <w:r>
              <w:rPr>
                <w:rFonts w:ascii="Calibri" w:hAnsi="Calibri"/>
                <w:color w:val="333333"/>
                <w:sz w:val="18"/>
              </w:rPr>
              <w:t>25%</w:t>
            </w:r>
          </w:p>
        </w:tc>
        <w:tc>
          <w:tcPr>
            <w:tcW w:type="dxa" w:w="1440"/>
            <w:shd w:fill="F2F4F8" w:val="clear"/>
            <w:shd w:fill="FCE8E6" w:val="clear"/>
          </w:tcPr>
          <w:p>
            <w:r>
              <w:rPr>
                <w:rFonts w:ascii="Calibri" w:hAnsi="Calibri"/>
                <w:color w:val="333333"/>
                <w:sz w:val="18"/>
              </w:rPr>
              <w:t>12 days</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2025-04-04 (2d)</w:t>
            </w:r>
          </w:p>
        </w:tc>
        <w:tc>
          <w:tcPr>
            <w:tcW w:type="dxa" w:w="1440"/>
            <w:shd w:fill="FCE8E6" w:val="clear"/>
          </w:tcPr>
          <w:p>
            <w:r>
              <w:rPr>
                <w:rFonts w:ascii="Calibri" w:hAnsi="Calibri"/>
                <w:color w:val="333333"/>
                <w:sz w:val="18"/>
              </w:rPr>
              <w:t>-13.9%</w:t>
            </w:r>
          </w:p>
        </w:tc>
        <w:tc>
          <w:tcPr>
            <w:tcW w:type="dxa" w:w="1440"/>
            <w:shd w:fill="FCE8E6" w:val="clear"/>
          </w:tcPr>
          <w:p>
            <w:r>
              <w:rPr>
                <w:rFonts w:ascii="Calibri" w:hAnsi="Calibri"/>
                <w:color w:val="333333"/>
                <w:sz w:val="18"/>
              </w:rPr>
              <w:t>25%</w:t>
            </w:r>
          </w:p>
        </w:tc>
        <w:tc>
          <w:tcPr>
            <w:tcW w:type="dxa" w:w="1440"/>
            <w:shd w:fill="FCE8E6" w:val="clear"/>
          </w:tcPr>
          <w:p>
            <w:r>
              <w:rPr>
                <w:rFonts w:ascii="Calibri" w:hAnsi="Calibri"/>
                <w:color w:val="333333"/>
                <w:sz w:val="18"/>
              </w:rPr>
              <w:t>13 days</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Market-Wide Event</w:t>
            </w:r>
          </w:p>
        </w:tc>
        <w:tc>
          <w:tcPr>
            <w:tcW w:type="dxa" w:w="1440"/>
            <w:shd w:fill="FCE8E6" w:val="clear"/>
          </w:tcPr>
          <w:p>
            <w:r>
              <w:rPr>
                <w:rFonts w:ascii="Calibri" w:hAnsi="Calibri"/>
                <w:color w:val="333333"/>
                <w:sz w:val="18"/>
              </w:rPr>
              <w:t>https://www.sec.gov/cgi-bin/browse-edgar?action...</w:t>
            </w:r>
          </w:p>
        </w:tc>
      </w:tr>
    </w:tbl>
    <w:p>
      <w:pPr>
        <w:pStyle w:val="DOHeading2"/>
      </w:pPr>
      <w:r>
        <w:t>Short Interest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Short % of Float</w:t>
            </w:r>
          </w:p>
        </w:tc>
        <w:tc>
          <w:tcPr>
            <w:tcW w:type="dxa" w:w="5040"/>
          </w:tcPr>
          <w:p>
            <w:r>
              <w:rPr>
                <w:rFonts w:ascii="Calibri" w:hAnsi="Calibri"/>
                <w:color w:val="333333"/>
                <w:sz w:val="18"/>
              </w:rPr>
              <w:t>1.7% (Ranks at the 72nd percentile among 0 peers (peer median: 3.0%))</w:t>
            </w:r>
          </w:p>
        </w:tc>
      </w:tr>
      <w:tr>
        <w:tc>
          <w:tcPr>
            <w:tcW w:type="dxa" w:w="5040"/>
            <w:shd w:fill="F2F4F8" w:val="clear"/>
          </w:tcPr>
          <w:p>
            <w:r>
              <w:rPr>
                <w:rFonts w:ascii="Calibri" w:hAnsi="Calibri"/>
                <w:color w:val="333333"/>
                <w:sz w:val="18"/>
              </w:rPr>
              <w:t>Days to Cover</w:t>
            </w:r>
          </w:p>
        </w:tc>
        <w:tc>
          <w:tcPr>
            <w:tcW w:type="dxa" w:w="5040"/>
            <w:shd w:fill="F2F4F8" w:val="clear"/>
          </w:tcPr>
          <w:p>
            <w:r>
              <w:rPr>
                <w:rFonts w:ascii="Calibri" w:hAnsi="Calibri"/>
                <w:color w:val="333333"/>
                <w:sz w:val="18"/>
              </w:rPr>
              <w:t>2.64</w:t>
            </w:r>
          </w:p>
        </w:tc>
      </w:tr>
      <w:tr>
        <w:tc>
          <w:tcPr>
            <w:tcW w:type="dxa" w:w="5040"/>
          </w:tcPr>
          <w:p>
            <w:r>
              <w:rPr>
                <w:rFonts w:ascii="Calibri" w:hAnsi="Calibri"/>
                <w:color w:val="333333"/>
                <w:sz w:val="18"/>
              </w:rPr>
              <w:t>6-Month Trend</w:t>
            </w:r>
          </w:p>
        </w:tc>
        <w:tc>
          <w:tcPr>
            <w:tcW w:type="dxa" w:w="5040"/>
          </w:tcPr>
          <w:p>
            <w:r>
              <w:rPr>
                <w:rFonts w:ascii="Calibri" w:hAnsi="Calibri"/>
                <w:color w:val="333333"/>
                <w:sz w:val="18"/>
              </w:rPr>
              <w:t>DECLINING</w:t>
            </w:r>
          </w:p>
        </w:tc>
      </w:tr>
      <w:tr>
        <w:tc>
          <w:tcPr>
            <w:tcW w:type="dxa" w:w="5040"/>
            <w:shd w:fill="F2F4F8" w:val="clear"/>
          </w:tcPr>
          <w:p>
            <w:r>
              <w:rPr>
                <w:rFonts w:ascii="Calibri" w:hAnsi="Calibri"/>
                <w:color w:val="333333"/>
                <w:sz w:val="18"/>
              </w:rPr>
              <w:t>vs Sector Ratio</w:t>
            </w:r>
          </w:p>
        </w:tc>
        <w:tc>
          <w:tcPr>
            <w:tcW w:type="dxa" w:w="5040"/>
            <w:shd w:fill="F2F4F8" w:val="clear"/>
          </w:tcPr>
          <w:p>
            <w:r>
              <w:rPr>
                <w:rFonts w:ascii="Calibri" w:hAnsi="Calibri"/>
                <w:color w:val="333333"/>
                <w:sz w:val="18"/>
              </w:rPr>
              <w:t>N/A</w:t>
            </w:r>
          </w:p>
        </w:tc>
      </w:tr>
    </w:tbl>
    <w:p>
      <w:pPr>
        <w:pStyle w:val="DOHeading2"/>
      </w:pPr>
      <w:r>
        <w:t>Earnings Guidance Track Record</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Beat Rate</w:t>
            </w:r>
          </w:p>
        </w:tc>
        <w:tc>
          <w:tcPr>
            <w:tcW w:type="dxa" w:w="5040"/>
          </w:tcPr>
          <w:p>
            <w:r>
              <w:rPr>
                <w:rFonts w:ascii="Calibri" w:hAnsi="Calibri"/>
                <w:color w:val="333333"/>
                <w:sz w:val="18"/>
              </w:rPr>
              <w:t>0.8%</w:t>
            </w:r>
          </w:p>
        </w:tc>
      </w:tr>
      <w:tr>
        <w:tc>
          <w:tcPr>
            <w:tcW w:type="dxa" w:w="5040"/>
            <w:shd w:fill="F2F4F8" w:val="clear"/>
          </w:tcPr>
          <w:p>
            <w:r>
              <w:rPr>
                <w:rFonts w:ascii="Calibri" w:hAnsi="Calibri"/>
                <w:color w:val="333333"/>
                <w:sz w:val="18"/>
              </w:rPr>
              <w:t>Consecutive Misses</w:t>
            </w:r>
          </w:p>
        </w:tc>
        <w:tc>
          <w:tcPr>
            <w:tcW w:type="dxa" w:w="5040"/>
            <w:shd w:fill="F2F4F8" w:val="clear"/>
          </w:tcPr>
          <w:p>
            <w:r>
              <w:rPr>
                <w:rFonts w:ascii="Calibri" w:hAnsi="Calibri"/>
                <w:color w:val="333333"/>
                <w:sz w:val="18"/>
              </w:rPr>
              <w:t>0</w:t>
            </w:r>
          </w:p>
        </w:tc>
      </w:tr>
      <w:tr>
        <w:tc>
          <w:tcPr>
            <w:tcW w:type="dxa" w:w="5040"/>
          </w:tcPr>
          <w:p>
            <w:r>
              <w:rPr>
                <w:rFonts w:ascii="Calibri" w:hAnsi="Calibri"/>
                <w:color w:val="333333"/>
                <w:sz w:val="18"/>
              </w:rPr>
              <w:t>Guidance Withdrawals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Philosophy</w:t>
            </w:r>
          </w:p>
        </w:tc>
        <w:tc>
          <w:tcPr>
            <w:tcW w:type="dxa" w:w="5040"/>
            <w:shd w:fill="F2F4F8" w:val="clear"/>
          </w:tcPr>
          <w:p>
            <w:r>
              <w:rPr>
                <w:rFonts w:ascii="Calibri" w:hAnsi="Calibri"/>
                <w:color w:val="333333"/>
                <w:sz w:val="18"/>
              </w:rPr>
              <w:t>CONSERVATIVE</w:t>
            </w:r>
          </w:p>
        </w:tc>
      </w:tr>
    </w:tbl>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Quarter</w:t>
            </w:r>
          </w:p>
        </w:tc>
        <w:tc>
          <w:tcPr>
            <w:tcW w:type="dxa" w:w="1680"/>
            <w:shd w:fill="1A1446" w:val="clear"/>
          </w:tcPr>
          <w:p>
            <w:r>
              <w:rPr>
                <w:rFonts w:ascii="Calibri" w:hAnsi="Calibri"/>
                <w:b/>
                <w:color w:val="FFFFFF"/>
                <w:sz w:val="18"/>
              </w:rPr>
              <w:t>Est. EPS</w:t>
            </w:r>
          </w:p>
        </w:tc>
        <w:tc>
          <w:tcPr>
            <w:tcW w:type="dxa" w:w="1680"/>
            <w:shd w:fill="1A1446" w:val="clear"/>
          </w:tcPr>
          <w:p>
            <w:r>
              <w:rPr>
                <w:rFonts w:ascii="Calibri" w:hAnsi="Calibri"/>
                <w:b/>
                <w:color w:val="FFFFFF"/>
                <w:sz w:val="18"/>
              </w:rPr>
              <w:t>Actual EPS</w:t>
            </w:r>
          </w:p>
        </w:tc>
        <w:tc>
          <w:tcPr>
            <w:tcW w:type="dxa" w:w="1680"/>
            <w:shd w:fill="1A1446" w:val="clear"/>
          </w:tcPr>
          <w:p>
            <w:r>
              <w:rPr>
                <w:rFonts w:ascii="Calibri" w:hAnsi="Calibri"/>
                <w:b/>
                <w:color w:val="FFFFFF"/>
                <w:sz w:val="18"/>
              </w:rPr>
              <w:t>Result</w:t>
            </w:r>
          </w:p>
        </w:tc>
        <w:tc>
          <w:tcPr>
            <w:tcW w:type="dxa" w:w="1680"/>
            <w:shd w:fill="1A1446" w:val="clear"/>
          </w:tcPr>
          <w:p>
            <w:r>
              <w:rPr>
                <w:rFonts w:ascii="Calibri" w:hAnsi="Calibri"/>
                <w:b/>
                <w:color w:val="FFFFFF"/>
                <w:sz w:val="18"/>
              </w:rPr>
              <w:t>Miss Magnitude</w:t>
            </w:r>
          </w:p>
        </w:tc>
        <w:tc>
          <w:tcPr>
            <w:tcW w:type="dxa" w:w="1680"/>
            <w:shd w:fill="1A1446" w:val="clear"/>
          </w:tcPr>
          <w:p>
            <w:r>
              <w:rPr>
                <w:rFonts w:ascii="Calibri" w:hAnsi="Calibri"/>
                <w:b/>
                <w:color w:val="FFFFFF"/>
                <w:sz w:val="18"/>
              </w:rPr>
              <w:t>Stock Reaction</w:t>
            </w:r>
          </w:p>
        </w:tc>
      </w:tr>
      <w:tr>
        <w:tc>
          <w:tcPr>
            <w:tcW w:type="dxa" w:w="1680"/>
          </w:tcPr>
          <w:p>
            <w:r>
              <w:rPr>
                <w:rFonts w:ascii="Calibri" w:hAnsi="Calibri"/>
                <w:color w:val="333333"/>
                <w:sz w:val="18"/>
              </w:rPr>
              <w:t>Q1 2026</w:t>
            </w:r>
          </w:p>
        </w:tc>
        <w:tc>
          <w:tcPr>
            <w:tcW w:type="dxa" w:w="1680"/>
          </w:tcPr>
          <w:p>
            <w:r>
              <w:rPr>
                <w:rFonts w:ascii="Calibri" w:hAnsi="Calibri"/>
                <w:color w:val="333333"/>
                <w:sz w:val="18"/>
              </w:rPr>
              <w:t>$4.71</w:t>
            </w:r>
          </w:p>
        </w:tc>
        <w:tc>
          <w:tcPr>
            <w:tcW w:type="dxa" w:w="1680"/>
          </w:tcPr>
          <w:p>
            <w:r>
              <w:rPr>
                <w:rFonts w:ascii="Calibri" w:hAnsi="Calibri"/>
                <w:color w:val="333333"/>
                <w:sz w:val="18"/>
              </w:rPr>
              <w:t>$5.16</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+9.5%</w:t>
            </w:r>
          </w:p>
        </w:tc>
      </w:tr>
      <w:tr>
        <w:tc>
          <w:tcPr>
            <w:tcW w:type="dxa" w:w="1680"/>
            <w:shd w:fill="F2F4F8" w:val="clear"/>
          </w:tcPr>
          <w:p>
            <w:r>
              <w:rPr>
                <w:rFonts w:ascii="Calibri" w:hAnsi="Calibri"/>
                <w:color w:val="333333"/>
                <w:sz w:val="18"/>
              </w:rPr>
              <w:t>Q4 2025</w:t>
            </w:r>
          </w:p>
        </w:tc>
        <w:tc>
          <w:tcPr>
            <w:tcW w:type="dxa" w:w="1680"/>
            <w:shd w:fill="F2F4F8" w:val="clear"/>
          </w:tcPr>
          <w:p>
            <w:r>
              <w:rPr>
                <w:rFonts w:ascii="Calibri" w:hAnsi="Calibri"/>
                <w:color w:val="333333"/>
                <w:sz w:val="18"/>
              </w:rPr>
              <w:t>$4.52</w:t>
            </w:r>
          </w:p>
        </w:tc>
        <w:tc>
          <w:tcPr>
            <w:tcW w:type="dxa" w:w="1680"/>
            <w:shd w:fill="F2F4F8" w:val="clear"/>
          </w:tcPr>
          <w:p>
            <w:r>
              <w:rPr>
                <w:rFonts w:ascii="Calibri" w:hAnsi="Calibri"/>
                <w:color w:val="333333"/>
                <w:sz w:val="18"/>
              </w:rPr>
              <w:t>$4.95</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+9.4%</w:t>
            </w:r>
          </w:p>
        </w:tc>
      </w:tr>
      <w:tr>
        <w:tc>
          <w:tcPr>
            <w:tcW w:type="dxa" w:w="1680"/>
          </w:tcPr>
          <w:p>
            <w:r>
              <w:rPr>
                <w:rFonts w:ascii="Calibri" w:hAnsi="Calibri"/>
                <w:color w:val="333333"/>
                <w:sz w:val="18"/>
              </w:rPr>
              <w:t>Q3 2025</w:t>
            </w:r>
          </w:p>
        </w:tc>
        <w:tc>
          <w:tcPr>
            <w:tcW w:type="dxa" w:w="1680"/>
          </w:tcPr>
          <w:p>
            <w:r>
              <w:rPr>
                <w:rFonts w:ascii="Calibri" w:hAnsi="Calibri"/>
                <w:color w:val="333333"/>
                <w:sz w:val="18"/>
              </w:rPr>
              <w:t>$4.90</w:t>
            </w:r>
          </w:p>
        </w:tc>
        <w:tc>
          <w:tcPr>
            <w:tcW w:type="dxa" w:w="1680"/>
          </w:tcPr>
          <w:p>
            <w:r>
              <w:rPr>
                <w:rFonts w:ascii="Calibri" w:hAnsi="Calibri"/>
                <w:color w:val="333333"/>
                <w:sz w:val="18"/>
              </w:rPr>
              <w:t>$4.72</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+3.7%</w:t>
            </w:r>
          </w:p>
        </w:tc>
        <w:tc>
          <w:tcPr>
            <w:tcW w:type="dxa" w:w="1680"/>
          </w:tcPr>
          <w:p>
            <w:r>
              <w:rPr>
                <w:rFonts w:ascii="Calibri" w:hAnsi="Calibri"/>
                <w:color w:val="333333"/>
                <w:sz w:val="18"/>
              </w:rPr>
              <w:t>-3.7%</w:t>
            </w:r>
          </w:p>
        </w:tc>
      </w:tr>
      <w:tr>
        <w:tc>
          <w:tcPr>
            <w:tcW w:type="dxa" w:w="1680"/>
            <w:shd w:fill="F2F4F8" w:val="clear"/>
          </w:tcPr>
          <w:p>
            <w:r>
              <w:rPr>
                <w:rFonts w:ascii="Calibri" w:hAnsi="Calibri"/>
                <w:color w:val="333333"/>
                <w:sz w:val="18"/>
              </w:rPr>
              <w:t>Q2 2025</w:t>
            </w:r>
          </w:p>
        </w:tc>
        <w:tc>
          <w:tcPr>
            <w:tcW w:type="dxa" w:w="1680"/>
            <w:shd w:fill="F2F4F8" w:val="clear"/>
          </w:tcPr>
          <w:p>
            <w:r>
              <w:rPr>
                <w:rFonts w:ascii="Calibri" w:hAnsi="Calibri"/>
                <w:color w:val="333333"/>
                <w:sz w:val="18"/>
              </w:rPr>
              <w:t>$4.34</w:t>
            </w:r>
          </w:p>
        </w:tc>
        <w:tc>
          <w:tcPr>
            <w:tcW w:type="dxa" w:w="1680"/>
            <w:shd w:fill="F2F4F8" w:val="clear"/>
          </w:tcPr>
          <w:p>
            <w:r>
              <w:rPr>
                <w:rFonts w:ascii="Calibri" w:hAnsi="Calibri"/>
                <w:color w:val="333333"/>
                <w:sz w:val="18"/>
              </w:rPr>
              <w:t>$4.25</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+2.1%</w:t>
            </w:r>
          </w:p>
        </w:tc>
        <w:tc>
          <w:tcPr>
            <w:tcW w:type="dxa" w:w="1680"/>
            <w:shd w:fill="F2F4F8" w:val="clear"/>
          </w:tcPr>
          <w:p>
            <w:r>
              <w:rPr>
                <w:rFonts w:ascii="Calibri" w:hAnsi="Calibri"/>
                <w:color w:val="333333"/>
                <w:sz w:val="18"/>
              </w:rPr>
              <w:t>-2.2%</w:t>
            </w:r>
          </w:p>
        </w:tc>
      </w:tr>
      <w:tr>
        <w:tc>
          <w:tcPr>
            <w:tcW w:type="dxa" w:w="1680"/>
          </w:tcPr>
          <w:p>
            <w:r>
              <w:rPr>
                <w:rFonts w:ascii="Calibri" w:hAnsi="Calibri"/>
                <w:color w:val="333333"/>
                <w:sz w:val="18"/>
              </w:rPr>
              <w:t>Q1 2025</w:t>
            </w:r>
          </w:p>
        </w:tc>
        <w:tc>
          <w:tcPr>
            <w:tcW w:type="dxa" w:w="1680"/>
          </w:tcPr>
          <w:p>
            <w:r>
              <w:rPr>
                <w:rFonts w:ascii="Calibri" w:hAnsi="Calibri"/>
                <w:color w:val="333333"/>
                <w:sz w:val="18"/>
              </w:rPr>
              <w:t>$5.03</w:t>
            </w:r>
          </w:p>
        </w:tc>
        <w:tc>
          <w:tcPr>
            <w:tcW w:type="dxa" w:w="1680"/>
          </w:tcPr>
          <w:p>
            <w:r>
              <w:rPr>
                <w:rFonts w:ascii="Calibri" w:hAnsi="Calibri"/>
                <w:color w:val="333333"/>
                <w:sz w:val="18"/>
              </w:rPr>
              <w:t>$5.14</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+2.2%</w:t>
            </w:r>
          </w:p>
        </w:tc>
      </w:tr>
      <w:tr>
        <w:tc>
          <w:tcPr>
            <w:tcW w:type="dxa" w:w="1680"/>
            <w:shd w:fill="F2F4F8" w:val="clear"/>
          </w:tcPr>
          <w:p>
            <w:r>
              <w:rPr>
                <w:rFonts w:ascii="Calibri" w:hAnsi="Calibri"/>
                <w:color w:val="333333"/>
                <w:sz w:val="18"/>
              </w:rPr>
              <w:t>Q4 2024</w:t>
            </w:r>
          </w:p>
        </w:tc>
        <w:tc>
          <w:tcPr>
            <w:tcW w:type="dxa" w:w="1680"/>
            <w:shd w:fill="F2F4F8" w:val="clear"/>
          </w:tcPr>
          <w:p>
            <w:r>
              <w:rPr>
                <w:rFonts w:ascii="Calibri" w:hAnsi="Calibri"/>
                <w:color w:val="333333"/>
                <w:sz w:val="18"/>
              </w:rPr>
              <w:t>$5.35</w:t>
            </w:r>
          </w:p>
        </w:tc>
        <w:tc>
          <w:tcPr>
            <w:tcW w:type="dxa" w:w="1680"/>
            <w:shd w:fill="F2F4F8" w:val="clear"/>
          </w:tcPr>
          <w:p>
            <w:r>
              <w:rPr>
                <w:rFonts w:ascii="Calibri" w:hAnsi="Calibri"/>
                <w:color w:val="333333"/>
                <w:sz w:val="18"/>
              </w:rPr>
              <w:t>$5.17</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+3.4%</w:t>
            </w:r>
          </w:p>
        </w:tc>
        <w:tc>
          <w:tcPr>
            <w:tcW w:type="dxa" w:w="1680"/>
            <w:shd w:fill="F2F4F8" w:val="clear"/>
          </w:tcPr>
          <w:p>
            <w:r>
              <w:rPr>
                <w:rFonts w:ascii="Calibri" w:hAnsi="Calibri"/>
                <w:color w:val="333333"/>
                <w:sz w:val="18"/>
              </w:rPr>
              <w:t>-3.4%</w:t>
            </w:r>
          </w:p>
        </w:tc>
      </w:tr>
      <w:tr>
        <w:tc>
          <w:tcPr>
            <w:tcW w:type="dxa" w:w="1680"/>
          </w:tcPr>
          <w:p>
            <w:r>
              <w:rPr>
                <w:rFonts w:ascii="Calibri" w:hAnsi="Calibri"/>
                <w:color w:val="333333"/>
                <w:sz w:val="18"/>
              </w:rPr>
              <w:t>Q3 2024</w:t>
            </w:r>
          </w:p>
        </w:tc>
        <w:tc>
          <w:tcPr>
            <w:tcW w:type="dxa" w:w="1680"/>
          </w:tcPr>
          <w:p>
            <w:r>
              <w:rPr>
                <w:rFonts w:ascii="Calibri" w:hAnsi="Calibri"/>
                <w:color w:val="333333"/>
                <w:sz w:val="18"/>
              </w:rPr>
              <w:t>$5.54</w:t>
            </w:r>
          </w:p>
        </w:tc>
        <w:tc>
          <w:tcPr>
            <w:tcW w:type="dxa" w:w="1680"/>
          </w:tcPr>
          <w:p>
            <w:r>
              <w:rPr>
                <w:rFonts w:ascii="Calibri" w:hAnsi="Calibri"/>
                <w:color w:val="333333"/>
                <w:sz w:val="18"/>
              </w:rPr>
              <w:t>$5.99</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+8.1%</w:t>
            </w:r>
          </w:p>
        </w:tc>
      </w:tr>
      <w:tr>
        <w:tc>
          <w:tcPr>
            <w:tcW w:type="dxa" w:w="1680"/>
            <w:shd w:fill="F2F4F8" w:val="clear"/>
          </w:tcPr>
          <w:p>
            <w:r>
              <w:rPr>
                <w:rFonts w:ascii="Calibri" w:hAnsi="Calibri"/>
                <w:color w:val="333333"/>
                <w:sz w:val="18"/>
              </w:rPr>
              <w:t>Q2 2024</w:t>
            </w:r>
          </w:p>
        </w:tc>
        <w:tc>
          <w:tcPr>
            <w:tcW w:type="dxa" w:w="1680"/>
            <w:shd w:fill="F2F4F8" w:val="clear"/>
          </w:tcPr>
          <w:p>
            <w:r>
              <w:rPr>
                <w:rFonts w:ascii="Calibri" w:hAnsi="Calibri"/>
                <w:color w:val="333333"/>
                <w:sz w:val="18"/>
              </w:rPr>
              <w:t>$5.13</w:t>
            </w:r>
          </w:p>
        </w:tc>
        <w:tc>
          <w:tcPr>
            <w:tcW w:type="dxa" w:w="1680"/>
            <w:shd w:fill="F2F4F8" w:val="clear"/>
          </w:tcPr>
          <w:p>
            <w:r>
              <w:rPr>
                <w:rFonts w:ascii="Calibri" w:hAnsi="Calibri"/>
                <w:color w:val="333333"/>
                <w:sz w:val="18"/>
              </w:rPr>
              <w:t>$5.60</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+9.1%</w:t>
            </w:r>
          </w:p>
        </w:tc>
      </w:tr>
      <w:tr>
        <w:tc>
          <w:tcPr>
            <w:tcW w:type="dxa" w:w="1680"/>
          </w:tcPr>
          <w:p>
            <w:r>
              <w:rPr>
                <w:rFonts w:ascii="Calibri" w:hAnsi="Calibri"/>
                <w:color w:val="333333"/>
                <w:sz w:val="18"/>
              </w:rPr>
              <w:t>Q1 2024</w:t>
            </w:r>
          </w:p>
        </w:tc>
        <w:tc>
          <w:tcPr>
            <w:tcW w:type="dxa" w:w="1680"/>
          </w:tcPr>
          <w:p>
            <w:r>
              <w:rPr>
                <w:rFonts w:ascii="Calibri" w:hAnsi="Calibri"/>
                <w:color w:val="333333"/>
                <w:sz w:val="18"/>
              </w:rPr>
              <w:t>$4.75</w:t>
            </w:r>
          </w:p>
        </w:tc>
        <w:tc>
          <w:tcPr>
            <w:tcW w:type="dxa" w:w="1680"/>
          </w:tcPr>
          <w:p>
            <w:r>
              <w:rPr>
                <w:rFonts w:ascii="Calibri" w:hAnsi="Calibri"/>
                <w:color w:val="333333"/>
                <w:sz w:val="18"/>
              </w:rPr>
              <w:t>$5.23</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+10.1%</w:t>
            </w:r>
          </w:p>
        </w:tc>
      </w:tr>
      <w:tr>
        <w:tc>
          <w:tcPr>
            <w:tcW w:type="dxa" w:w="1680"/>
            <w:shd w:fill="F2F4F8" w:val="clear"/>
          </w:tcPr>
          <w:p>
            <w:r>
              <w:rPr>
                <w:rFonts w:ascii="Calibri" w:hAnsi="Calibri"/>
                <w:color w:val="333333"/>
                <w:sz w:val="18"/>
              </w:rPr>
              <w:t>Q4 2023</w:t>
            </w:r>
          </w:p>
        </w:tc>
        <w:tc>
          <w:tcPr>
            <w:tcW w:type="dxa" w:w="1680"/>
            <w:shd w:fill="F2F4F8" w:val="clear"/>
          </w:tcPr>
          <w:p>
            <w:r>
              <w:rPr>
                <w:rFonts w:ascii="Calibri" w:hAnsi="Calibri"/>
                <w:color w:val="333333"/>
                <w:sz w:val="18"/>
              </w:rPr>
              <w:t>$4.79</w:t>
            </w:r>
          </w:p>
        </w:tc>
        <w:tc>
          <w:tcPr>
            <w:tcW w:type="dxa" w:w="1680"/>
            <w:shd w:fill="F2F4F8" w:val="clear"/>
          </w:tcPr>
          <w:p>
            <w:r>
              <w:rPr>
                <w:rFonts w:ascii="Calibri" w:hAnsi="Calibri"/>
                <w:color w:val="333333"/>
                <w:sz w:val="18"/>
              </w:rPr>
              <w:t>$5.52</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+15.2%</w:t>
            </w:r>
          </w:p>
        </w:tc>
      </w:tr>
      <w:tr>
        <w:tc>
          <w:tcPr>
            <w:tcW w:type="dxa" w:w="1680"/>
          </w:tcPr>
          <w:p>
            <w:r>
              <w:rPr>
                <w:rFonts w:ascii="Calibri" w:hAnsi="Calibri"/>
                <w:color w:val="333333"/>
                <w:sz w:val="18"/>
              </w:rPr>
              <w:t>Q3 2023</w:t>
            </w:r>
          </w:p>
        </w:tc>
        <w:tc>
          <w:tcPr>
            <w:tcW w:type="dxa" w:w="1680"/>
          </w:tcPr>
          <w:p>
            <w:r>
              <w:rPr>
                <w:rFonts w:ascii="Calibri" w:hAnsi="Calibri"/>
                <w:color w:val="333333"/>
                <w:sz w:val="18"/>
              </w:rPr>
              <w:t>$4.58</w:t>
            </w:r>
          </w:p>
        </w:tc>
        <w:tc>
          <w:tcPr>
            <w:tcW w:type="dxa" w:w="1680"/>
          </w:tcPr>
          <w:p>
            <w:r>
              <w:rPr>
                <w:rFonts w:ascii="Calibri" w:hAnsi="Calibri"/>
                <w:color w:val="333333"/>
                <w:sz w:val="18"/>
              </w:rPr>
              <w:t>$5.55</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+21.2%</w:t>
            </w:r>
          </w:p>
        </w:tc>
      </w:tr>
      <w:tr>
        <w:tc>
          <w:tcPr>
            <w:tcW w:type="dxa" w:w="1680"/>
            <w:shd w:fill="F2F4F8" w:val="clear"/>
          </w:tcPr>
          <w:p>
            <w:r>
              <w:rPr>
                <w:rFonts w:ascii="Calibri" w:hAnsi="Calibri"/>
                <w:color w:val="333333"/>
                <w:sz w:val="18"/>
              </w:rPr>
              <w:t>Q2 2023</w:t>
            </w:r>
          </w:p>
        </w:tc>
        <w:tc>
          <w:tcPr>
            <w:tcW w:type="dxa" w:w="1680"/>
            <w:shd w:fill="F2F4F8" w:val="clear"/>
          </w:tcPr>
          <w:p>
            <w:r>
              <w:rPr>
                <w:rFonts w:ascii="Calibri" w:hAnsi="Calibri"/>
                <w:color w:val="333333"/>
                <w:sz w:val="18"/>
              </w:rPr>
              <w:t>$3.79</w:t>
            </w:r>
          </w:p>
        </w:tc>
        <w:tc>
          <w:tcPr>
            <w:tcW w:type="dxa" w:w="1680"/>
            <w:shd w:fill="F2F4F8" w:val="clear"/>
          </w:tcPr>
          <w:p>
            <w:r>
              <w:rPr>
                <w:rFonts w:ascii="Calibri" w:hAnsi="Calibri"/>
                <w:color w:val="333333"/>
                <w:sz w:val="18"/>
              </w:rPr>
              <w:t>$4.91</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+29.5%</w:t>
            </w:r>
          </w:p>
        </w:tc>
      </w:tr>
      <w:tr>
        <w:tc>
          <w:tcPr>
            <w:tcW w:type="dxa" w:w="1680"/>
          </w:tcPr>
          <w:p>
            <w:r>
              <w:rPr>
                <w:rFonts w:ascii="Calibri" w:hAnsi="Calibri"/>
                <w:color w:val="333333"/>
                <w:sz w:val="18"/>
              </w:rPr>
              <w:t>Q1 2023</w:t>
            </w:r>
          </w:p>
        </w:tc>
        <w:tc>
          <w:tcPr>
            <w:tcW w:type="dxa" w:w="1680"/>
          </w:tcPr>
          <w:p>
            <w:r>
              <w:rPr>
                <w:rFonts w:ascii="Calibri" w:hAnsi="Calibri"/>
                <w:color w:val="333333"/>
                <w:sz w:val="18"/>
              </w:rPr>
              <w:t>$4.03</w:t>
            </w:r>
          </w:p>
        </w:tc>
        <w:tc>
          <w:tcPr>
            <w:tcW w:type="dxa" w:w="1680"/>
          </w:tcPr>
          <w:p>
            <w:r>
              <w:rPr>
                <w:rFonts w:ascii="Calibri" w:hAnsi="Calibri"/>
                <w:color w:val="333333"/>
                <w:sz w:val="18"/>
              </w:rPr>
              <w:t>$3.86</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+4.2%</w:t>
            </w:r>
          </w:p>
        </w:tc>
        <w:tc>
          <w:tcPr>
            <w:tcW w:type="dxa" w:w="1680"/>
          </w:tcPr>
          <w:p>
            <w:r>
              <w:rPr>
                <w:rFonts w:ascii="Calibri" w:hAnsi="Calibri"/>
                <w:color w:val="333333"/>
                <w:sz w:val="18"/>
              </w:rPr>
              <w:t>-4.2%</w:t>
            </w:r>
          </w:p>
        </w:tc>
      </w:tr>
      <w:tr>
        <w:tc>
          <w:tcPr>
            <w:tcW w:type="dxa" w:w="1680"/>
            <w:shd w:fill="F2F4F8" w:val="clear"/>
          </w:tcPr>
          <w:p>
            <w:r>
              <w:rPr>
                <w:rFonts w:ascii="Calibri" w:hAnsi="Calibri"/>
                <w:color w:val="333333"/>
                <w:sz w:val="18"/>
              </w:rPr>
              <w:t>Q4 2022</w:t>
            </w:r>
          </w:p>
        </w:tc>
        <w:tc>
          <w:tcPr>
            <w:tcW w:type="dxa" w:w="1680"/>
            <w:shd w:fill="F2F4F8" w:val="clear"/>
          </w:tcPr>
          <w:p>
            <w:r>
              <w:rPr>
                <w:rFonts w:ascii="Calibri" w:hAnsi="Calibri"/>
                <w:color w:val="333333"/>
                <w:sz w:val="18"/>
              </w:rPr>
              <w:t>$3.17</w:t>
            </w:r>
          </w:p>
        </w:tc>
        <w:tc>
          <w:tcPr>
            <w:tcW w:type="dxa" w:w="1680"/>
            <w:shd w:fill="F2F4F8" w:val="clear"/>
          </w:tcPr>
          <w:p>
            <w:r>
              <w:rPr>
                <w:rFonts w:ascii="Calibri" w:hAnsi="Calibri"/>
                <w:color w:val="333333"/>
                <w:sz w:val="18"/>
              </w:rPr>
              <w:t>$3.95</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+24.8%</w:t>
            </w:r>
          </w:p>
        </w:tc>
      </w:tr>
      <w:tr>
        <w:tc>
          <w:tcPr>
            <w:tcW w:type="dxa" w:w="1680"/>
          </w:tcPr>
          <w:p>
            <w:r>
              <w:rPr>
                <w:rFonts w:ascii="Calibri" w:hAnsi="Calibri"/>
                <w:color w:val="333333"/>
                <w:sz w:val="18"/>
              </w:rPr>
              <w:t>Q3 2022</w:t>
            </w:r>
          </w:p>
        </w:tc>
        <w:tc>
          <w:tcPr>
            <w:tcW w:type="dxa" w:w="1680"/>
          </w:tcPr>
          <w:p>
            <w:r>
              <w:rPr>
                <w:rFonts w:ascii="Calibri" w:hAnsi="Calibri"/>
                <w:color w:val="333333"/>
                <w:sz w:val="18"/>
              </w:rPr>
              <w:t>$3.02</w:t>
            </w:r>
          </w:p>
        </w:tc>
        <w:tc>
          <w:tcPr>
            <w:tcW w:type="dxa" w:w="1680"/>
          </w:tcPr>
          <w:p>
            <w:r>
              <w:rPr>
                <w:rFonts w:ascii="Calibri" w:hAnsi="Calibri"/>
                <w:color w:val="333333"/>
                <w:sz w:val="18"/>
              </w:rPr>
              <w:t>$3.18</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+5.4%</w:t>
            </w:r>
          </w:p>
        </w:tc>
      </w:tr>
      <w:tr>
        <w:tc>
          <w:tcPr>
            <w:tcW w:type="dxa" w:w="1680"/>
            <w:shd w:fill="F2F4F8" w:val="clear"/>
          </w:tcPr>
          <w:p>
            <w:r>
              <w:rPr>
                <w:rFonts w:ascii="Calibri" w:hAnsi="Calibri"/>
                <w:color w:val="333333"/>
                <w:sz w:val="18"/>
              </w:rPr>
              <w:t>Q2 2022</w:t>
            </w:r>
          </w:p>
        </w:tc>
        <w:tc>
          <w:tcPr>
            <w:tcW w:type="dxa" w:w="1680"/>
            <w:shd w:fill="F2F4F8" w:val="clear"/>
          </w:tcPr>
          <w:p>
            <w:r>
              <w:rPr>
                <w:rFonts w:ascii="Calibri" w:hAnsi="Calibri"/>
                <w:color w:val="333333"/>
                <w:sz w:val="18"/>
              </w:rPr>
              <w:t>$2.60</w:t>
            </w:r>
          </w:p>
        </w:tc>
        <w:tc>
          <w:tcPr>
            <w:tcW w:type="dxa" w:w="1680"/>
            <w:shd w:fill="F2F4F8" w:val="clear"/>
          </w:tcPr>
          <w:p>
            <w:r>
              <w:rPr>
                <w:rFonts w:ascii="Calibri" w:hAnsi="Calibri"/>
                <w:color w:val="333333"/>
                <w:sz w:val="18"/>
              </w:rPr>
              <w:t>$2.88</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+10.6%</w:t>
            </w:r>
          </w:p>
        </w:tc>
      </w:tr>
    </w:tbl>
    <w:p>
      <w:pPr>
        <w:pStyle w:val="DOHeading2"/>
      </w:pPr>
      <w:r>
        <w:t>Analyst Consensus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Analyst Coverage</w:t>
            </w:r>
          </w:p>
        </w:tc>
        <w:tc>
          <w:tcPr>
            <w:tcW w:type="dxa" w:w="5040"/>
          </w:tcPr>
          <w:p>
            <w:r>
              <w:rPr>
                <w:rFonts w:ascii="Calibri" w:hAnsi="Calibri"/>
                <w:color w:val="333333"/>
                <w:sz w:val="18"/>
              </w:rPr>
              <w:t>26</w:t>
            </w:r>
          </w:p>
        </w:tc>
      </w:tr>
      <w:tr>
        <w:tc>
          <w:tcPr>
            <w:tcW w:type="dxa" w:w="5040"/>
            <w:shd w:fill="F2F4F8" w:val="clear"/>
          </w:tcPr>
          <w:p>
            <w:r>
              <w:rPr>
                <w:rFonts w:ascii="Calibri" w:hAnsi="Calibri"/>
                <w:color w:val="333333"/>
                <w:sz w:val="18"/>
              </w:rPr>
              <w:t>Consensus Rating</w:t>
            </w:r>
          </w:p>
        </w:tc>
        <w:tc>
          <w:tcPr>
            <w:tcW w:type="dxa" w:w="5040"/>
            <w:shd w:fill="F2F4F8" w:val="clear"/>
          </w:tcPr>
          <w:p>
            <w:r>
              <w:rPr>
                <w:rFonts w:ascii="Calibri" w:hAnsi="Calibri"/>
                <w:color w:val="333333"/>
                <w:sz w:val="18"/>
              </w:rPr>
              <w:t>BUY</w:t>
            </w:r>
          </w:p>
        </w:tc>
      </w:tr>
      <w:tr>
        <w:tc>
          <w:tcPr>
            <w:tcW w:type="dxa" w:w="5040"/>
          </w:tcPr>
          <w:p>
            <w:r>
              <w:rPr>
                <w:rFonts w:ascii="Calibri" w:hAnsi="Calibri"/>
                <w:color w:val="333333"/>
                <w:sz w:val="18"/>
              </w:rPr>
              <w:t>Mean Recommendation</w:t>
            </w:r>
          </w:p>
        </w:tc>
        <w:tc>
          <w:tcPr>
            <w:tcW w:type="dxa" w:w="5040"/>
          </w:tcPr>
          <w:p>
            <w:r>
              <w:rPr>
                <w:rFonts w:ascii="Calibri" w:hAnsi="Calibri"/>
                <w:color w:val="333333"/>
                <w:sz w:val="18"/>
              </w:rPr>
              <w:t>2.14 (1=Strong Buy, 5=Sell)</w:t>
            </w:r>
          </w:p>
        </w:tc>
      </w:tr>
      <w:tr>
        <w:tc>
          <w:tcPr>
            <w:tcW w:type="dxa" w:w="5040"/>
            <w:shd w:fill="F2F4F8" w:val="clear"/>
          </w:tcPr>
          <w:p>
            <w:r>
              <w:rPr>
                <w:rFonts w:ascii="Calibri" w:hAnsi="Calibri"/>
                <w:color w:val="333333"/>
                <w:sz w:val="18"/>
              </w:rPr>
              <w:t>Mean Target Price</w:t>
            </w:r>
          </w:p>
        </w:tc>
        <w:tc>
          <w:tcPr>
            <w:tcW w:type="dxa" w:w="5040"/>
            <w:shd w:fill="F2F4F8" w:val="clear"/>
          </w:tcPr>
          <w:p>
            <w:r>
              <w:rPr>
                <w:rFonts w:ascii="Calibri" w:hAnsi="Calibri"/>
                <w:color w:val="333333"/>
                <w:sz w:val="18"/>
              </w:rPr>
              <w:t>$742</w:t>
            </w:r>
          </w:p>
        </w:tc>
      </w:tr>
      <w:tr>
        <w:tc>
          <w:tcPr>
            <w:tcW w:type="dxa" w:w="5040"/>
          </w:tcPr>
          <w:p>
            <w:r>
              <w:rPr>
                <w:rFonts w:ascii="Calibri" w:hAnsi="Calibri"/>
                <w:color w:val="333333"/>
                <w:sz w:val="18"/>
              </w:rPr>
              <w:t>Target Price High</w:t>
            </w:r>
          </w:p>
        </w:tc>
        <w:tc>
          <w:tcPr>
            <w:tcW w:type="dxa" w:w="5040"/>
          </w:tcPr>
          <w:p>
            <w:r>
              <w:rPr>
                <w:rFonts w:ascii="Calibri" w:hAnsi="Calibri"/>
                <w:color w:val="333333"/>
                <w:sz w:val="18"/>
              </w:rPr>
              <w:t>$878</w:t>
            </w:r>
          </w:p>
        </w:tc>
      </w:tr>
      <w:tr>
        <w:tc>
          <w:tcPr>
            <w:tcW w:type="dxa" w:w="5040"/>
            <w:shd w:fill="F2F4F8" w:val="clear"/>
          </w:tcPr>
          <w:p>
            <w:r>
              <w:rPr>
                <w:rFonts w:ascii="Calibri" w:hAnsi="Calibri"/>
                <w:color w:val="333333"/>
                <w:sz w:val="18"/>
              </w:rPr>
              <w:t>Target Price Low</w:t>
            </w:r>
          </w:p>
        </w:tc>
        <w:tc>
          <w:tcPr>
            <w:tcW w:type="dxa" w:w="5040"/>
            <w:shd w:fill="F2F4F8" w:val="clear"/>
          </w:tcPr>
          <w:p>
            <w:r>
              <w:rPr>
                <w:rFonts w:ascii="Calibri" w:hAnsi="Calibri"/>
                <w:color w:val="333333"/>
                <w:sz w:val="18"/>
              </w:rPr>
              <w:t>$425</w:t>
            </w:r>
          </w:p>
        </w:tc>
      </w:tr>
    </w:tbl>
    <w:p>
      <w:pPr>
        <w:pStyle w:val="DOHeading2"/>
      </w:pPr>
      <w:r>
        <w:t>Stock Drop Analysis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Date</w:t>
            </w:r>
          </w:p>
        </w:tc>
        <w:tc>
          <w:tcPr>
            <w:tcW w:type="dxa" w:w="1680"/>
            <w:shd w:fill="1A1446" w:val="clear"/>
          </w:tcPr>
          <w:p>
            <w:r>
              <w:rPr>
                <w:rFonts w:ascii="Calibri" w:hAnsi="Calibri"/>
                <w:b/>
                <w:color w:val="FFFFFF"/>
                <w:sz w:val="18"/>
              </w:rPr>
              <w:t>Magnitude</w:t>
            </w:r>
          </w:p>
        </w:tc>
        <w:tc>
          <w:tcPr>
            <w:tcW w:type="dxa" w:w="1680"/>
            <w:shd w:fill="1A1446" w:val="clear"/>
          </w:tcPr>
          <w:p>
            <w:r>
              <w:rPr>
                <w:rFonts w:ascii="Calibri" w:hAnsi="Calibri"/>
                <w:b/>
                <w:color w:val="FFFFFF"/>
                <w:sz w:val="18"/>
              </w:rPr>
              <w:t>Type</w:t>
            </w:r>
          </w:p>
        </w:tc>
        <w:tc>
          <w:tcPr>
            <w:tcW w:type="dxa" w:w="1680"/>
            <w:shd w:fill="1A1446" w:val="clear"/>
          </w:tcPr>
          <w:p>
            <w:r>
              <w:rPr>
                <w:rFonts w:ascii="Calibri" w:hAnsi="Calibri"/>
                <w:b/>
                <w:color w:val="FFFFFF"/>
                <w:sz w:val="18"/>
              </w:rPr>
              <w:t>Trigger / Attribution</w:t>
            </w:r>
          </w:p>
        </w:tc>
        <w:tc>
          <w:tcPr>
            <w:tcW w:type="dxa" w:w="1680"/>
            <w:shd w:fill="1A1446" w:val="clear"/>
          </w:tcPr>
          <w:p>
            <w:r>
              <w:rPr>
                <w:rFonts w:ascii="Calibri" w:hAnsi="Calibri"/>
                <w:b/>
                <w:color w:val="FFFFFF"/>
                <w:sz w:val="18"/>
              </w:rPr>
              <w:t>Sector Return</w:t>
            </w:r>
          </w:p>
        </w:tc>
        <w:tc>
          <w:tcPr>
            <w:tcW w:type="dxa" w:w="1680"/>
            <w:shd w:fill="1A1446" w:val="clear"/>
          </w:tcPr>
          <w:p>
            <w:r>
              <w:rPr>
                <w:rFonts w:ascii="Calibri" w:hAnsi="Calibri"/>
                <w:b/>
                <w:color w:val="FFFFFF"/>
                <w:sz w:val="18"/>
              </w:rPr>
              <w:t>Company-Specific</w:t>
            </w:r>
          </w:p>
        </w:tc>
      </w:tr>
      <w:tr>
        <w:tc>
          <w:tcPr>
            <w:tcW w:type="dxa" w:w="1680"/>
          </w:tcPr>
          <w:p>
            <w:r>
              <w:rPr>
                <w:rFonts w:ascii="Calibri" w:hAnsi="Calibri"/>
                <w:color w:val="333333"/>
                <w:sz w:val="18"/>
              </w:rPr>
              <w:t>2025-04-03 to 2025-04-08</w:t>
            </w:r>
          </w:p>
        </w:tc>
        <w:tc>
          <w:tcPr>
            <w:tcW w:type="dxa" w:w="1680"/>
          </w:tcPr>
          <w:p>
            <w:r>
              <w:rPr>
                <w:rFonts w:ascii="Calibri" w:hAnsi="Calibri"/>
                <w:color w:val="333333"/>
                <w:sz w:val="18"/>
              </w:rPr>
              <w:t>-18.1%</w:t>
            </w:r>
          </w:p>
        </w:tc>
        <w:tc>
          <w:tcPr>
            <w:tcW w:type="dxa" w:w="1680"/>
          </w:tcPr>
          <w:p>
            <w:r>
              <w:rPr>
                <w:rFonts w:ascii="Calibri" w:hAnsi="Calibri"/>
                <w:color w:val="333333"/>
                <w:sz w:val="18"/>
              </w:rPr>
              <w:t>MULTI_DAY (6d)</w:t>
            </w:r>
          </w:p>
        </w:tc>
        <w:tc>
          <w:tcPr>
            <w:tcW w:type="dxa" w:w="1680"/>
          </w:tcPr>
          <w:p>
            <w:r>
              <w:rPr>
                <w:rFonts w:ascii="Calibri" w:hAnsi="Calibri"/>
                <w:color w:val="333333"/>
                <w:sz w:val="18"/>
              </w:rPr>
              <w:t>8-K_filing</w:t>
            </w:r>
          </w:p>
        </w:tc>
        <w:tc>
          <w:tcPr>
            <w:tcW w:type="dxa" w:w="1680"/>
          </w:tcPr>
          <w:p>
            <w:r>
              <w:rPr>
                <w:rFonts w:ascii="Calibri" w:hAnsi="Calibri"/>
                <w:color w:val="333333"/>
                <w:sz w:val="18"/>
              </w:rPr>
              <w:t>-11.7%</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2025-04-07</w:t>
            </w:r>
          </w:p>
        </w:tc>
        <w:tc>
          <w:tcPr>
            <w:tcW w:type="dxa" w:w="1680"/>
            <w:shd w:fill="F2F4F8" w:val="clear"/>
          </w:tcPr>
          <w:p>
            <w:r>
              <w:rPr>
                <w:rFonts w:ascii="Calibri" w:hAnsi="Calibri"/>
                <w:color w:val="333333"/>
                <w:sz w:val="18"/>
              </w:rPr>
              <w:t>-15.1%</w:t>
            </w:r>
          </w:p>
        </w:tc>
        <w:tc>
          <w:tcPr>
            <w:tcW w:type="dxa" w:w="1680"/>
            <w:shd w:fill="F2F4F8" w:val="clear"/>
          </w:tcPr>
          <w:p>
            <w:r>
              <w:rPr>
                <w:rFonts w:ascii="Calibri" w:hAnsi="Calibri"/>
                <w:color w:val="333333"/>
                <w:sz w:val="18"/>
              </w:rPr>
              <w:t>MULTI_DAY (5d)</w:t>
            </w:r>
          </w:p>
        </w:tc>
        <w:tc>
          <w:tcPr>
            <w:tcW w:type="dxa" w:w="1680"/>
            <w:shd w:fill="F2F4F8" w:val="clear"/>
          </w:tcPr>
          <w:p>
            <w:r>
              <w:rPr>
                <w:rFonts w:ascii="Calibri" w:hAnsi="Calibri"/>
                <w:color w:val="333333"/>
                <w:sz w:val="18"/>
              </w:rPr>
              <w:t>8-K_filing</w:t>
            </w:r>
          </w:p>
        </w:tc>
        <w:tc>
          <w:tcPr>
            <w:tcW w:type="dxa" w:w="1680"/>
            <w:shd w:fill="F2F4F8" w:val="clear"/>
          </w:tcPr>
          <w:p>
            <w:r>
              <w:rPr>
                <w:rFonts w:ascii="Calibri" w:hAnsi="Calibri"/>
                <w:color w:val="333333"/>
                <w:sz w:val="18"/>
              </w:rPr>
              <w:t>-10.4%</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2025-04-04</w:t>
            </w:r>
          </w:p>
        </w:tc>
        <w:tc>
          <w:tcPr>
            <w:tcW w:type="dxa" w:w="1680"/>
          </w:tcPr>
          <w:p>
            <w:r>
              <w:rPr>
                <w:rFonts w:ascii="Calibri" w:hAnsi="Calibri"/>
                <w:color w:val="333333"/>
                <w:sz w:val="18"/>
              </w:rPr>
              <w:t>-13.9%</w:t>
            </w:r>
          </w:p>
        </w:tc>
        <w:tc>
          <w:tcPr>
            <w:tcW w:type="dxa" w:w="1680"/>
          </w:tcPr>
          <w:p>
            <w:r>
              <w:rPr>
                <w:rFonts w:ascii="Calibri" w:hAnsi="Calibri"/>
                <w:color w:val="333333"/>
                <w:sz w:val="18"/>
              </w:rPr>
              <w:t>MULTI_DAY (2d)</w:t>
            </w:r>
          </w:p>
        </w:tc>
        <w:tc>
          <w:tcPr>
            <w:tcW w:type="dxa" w:w="1680"/>
          </w:tcPr>
          <w:p>
            <w:r>
              <w:rPr>
                <w:rFonts w:ascii="Calibri" w:hAnsi="Calibri"/>
                <w:color w:val="333333"/>
                <w:sz w:val="18"/>
              </w:rPr>
              <w:t>8-K_filing</w:t>
            </w:r>
          </w:p>
        </w:tc>
        <w:tc>
          <w:tcPr>
            <w:tcW w:type="dxa" w:w="1680"/>
          </w:tcPr>
          <w:p>
            <w:r>
              <w:rPr>
                <w:rFonts w:ascii="Calibri" w:hAnsi="Calibri"/>
                <w:color w:val="333333"/>
                <w:sz w:val="18"/>
              </w:rPr>
              <w:t>-11.4%</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2025-04-03</w:t>
            </w:r>
          </w:p>
        </w:tc>
        <w:tc>
          <w:tcPr>
            <w:tcW w:type="dxa" w:w="1680"/>
            <w:shd w:fill="F2F4F8" w:val="clear"/>
          </w:tcPr>
          <w:p>
            <w:r>
              <w:rPr>
                <w:rFonts w:ascii="Calibri" w:hAnsi="Calibri"/>
                <w:color w:val="333333"/>
                <w:sz w:val="18"/>
              </w:rPr>
              <w:t>-8.6%</w:t>
            </w:r>
          </w:p>
        </w:tc>
        <w:tc>
          <w:tcPr>
            <w:tcW w:type="dxa" w:w="1680"/>
            <w:shd w:fill="F2F4F8" w:val="clear"/>
          </w:tcPr>
          <w:p>
            <w:r>
              <w:rPr>
                <w:rFonts w:ascii="Calibri" w:hAnsi="Calibri"/>
                <w:color w:val="333333"/>
                <w:sz w:val="18"/>
              </w:rPr>
              <w:t>MULTI_DAY (2d)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-5.4%</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2024-04-25</w:t>
            </w:r>
          </w:p>
        </w:tc>
        <w:tc>
          <w:tcPr>
            <w:tcW w:type="dxa" w:w="1680"/>
          </w:tcPr>
          <w:p>
            <w:r>
              <w:rPr>
                <w:rFonts w:ascii="Calibri" w:hAnsi="Calibri"/>
                <w:color w:val="333333"/>
                <w:sz w:val="18"/>
              </w:rPr>
              <w:t>-7.0%</w:t>
            </w:r>
          </w:p>
        </w:tc>
        <w:tc>
          <w:tcPr>
            <w:tcW w:type="dxa" w:w="1680"/>
          </w:tcPr>
          <w:p>
            <w:r>
              <w:rPr>
                <w:rFonts w:ascii="Calibri" w:hAnsi="Calibri"/>
                <w:color w:val="333333"/>
                <w:sz w:val="18"/>
              </w:rPr>
              <w:t>SINGLE_DAY</w:t>
            </w:r>
          </w:p>
        </w:tc>
        <w:tc>
          <w:tcPr>
            <w:tcW w:type="dxa" w:w="1680"/>
          </w:tcPr>
          <w:p>
            <w:r>
              <w:rPr>
                <w:rFonts w:ascii="Calibri" w:hAnsi="Calibri"/>
                <w:color w:val="333333"/>
                <w:sz w:val="18"/>
              </w:rPr>
              <w:t>earnings_release</w:t>
            </w:r>
          </w:p>
        </w:tc>
        <w:tc>
          <w:tcPr>
            <w:tcW w:type="dxa" w:w="1680"/>
          </w:tcPr>
          <w:p>
            <w:r>
              <w:rPr>
                <w:rFonts w:ascii="Calibri" w:hAnsi="Calibri"/>
                <w:color w:val="333333"/>
                <w:sz w:val="18"/>
              </w:rPr>
              <w:t>+0.3%</w:t>
            </w:r>
          </w:p>
        </w:tc>
        <w:tc>
          <w:tcPr>
            <w:tcW w:type="dxa" w:w="1680"/>
            <w:shd w:fill="FFF3CD" w:val="clear"/>
          </w:tcPr>
          <w:p>
            <w:r>
              <w:rPr>
                <w:rFonts w:ascii="Calibri" w:hAnsi="Calibri"/>
                <w:color w:val="333333"/>
                <w:sz w:val="18"/>
              </w:rPr>
              <w:t>Yes</w:t>
            </w:r>
          </w:p>
        </w:tc>
      </w:tr>
    </w:tbl>
    <w:p>
      <w:pPr>
        <w:pStyle w:val="DOBody"/>
      </w:pPr>
      <w:r>
        <w:t>Class Period Potential: 3 company-specific drop(s) exceeding 10% identified. Severe stock drops that are company-specific (not explained by sector movement) are the primary anchors for SCA class periods. Plaintiffs will allege the drop occurred when the 'truth emerged' following prior misstatements.</w:t>
      </w:r>
      <w:r>
        <w:rPr>
          <w:b/>
          <w:color w:val="EA580C"/>
          <w:sz w:val="18"/>
        </w:rPr>
        <w:t xml:space="preserve"> [HIGH]</w:t>
      </w:r>
    </w:p>
    <w:p>
      <w:pPr>
        <w:pStyle w:val="DOHeading2"/>
      </w:pPr>
      <w:r>
        <w:t>Insider Trading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Net Direction (12mo)</w:t>
            </w:r>
          </w:p>
        </w:tc>
        <w:tc>
          <w:tcPr>
            <w:tcW w:type="dxa" w:w="5040"/>
          </w:tcPr>
          <w:p>
            <w:r>
              <w:rPr>
                <w:rFonts w:ascii="Calibri" w:hAnsi="Calibri"/>
                <w:color w:val="333333"/>
                <w:sz w:val="18"/>
              </w:rPr>
              <w:t>NET_SELLING</w:t>
            </w:r>
          </w:p>
        </w:tc>
      </w:tr>
      <w:tr>
        <w:tc>
          <w:tcPr>
            <w:tcW w:type="dxa" w:w="5040"/>
            <w:shd w:fill="F2F4F8" w:val="clear"/>
          </w:tcPr>
          <w:p>
            <w:r>
              <w:rPr>
                <w:rFonts w:ascii="Calibri" w:hAnsi="Calibri"/>
                <w:color w:val="333333"/>
                <w:sz w:val="18"/>
              </w:rPr>
              <w:t>10b5-1 Plan %</w:t>
            </w:r>
          </w:p>
        </w:tc>
        <w:tc>
          <w:tcPr>
            <w:tcW w:type="dxa" w:w="5040"/>
            <w:shd w:fill="F2F4F8" w:val="clear"/>
          </w:tcPr>
          <w:p>
            <w:r>
              <w:rPr>
                <w:rFonts w:ascii="Calibri" w:hAnsi="Calibri"/>
                <w:color w:val="333333"/>
                <w:sz w:val="18"/>
              </w:rPr>
              <w:t>23.1%</w:t>
            </w:r>
          </w:p>
        </w:tc>
      </w:tr>
      <w:tr>
        <w:tc>
          <w:tcPr>
            <w:tcW w:type="dxa" w:w="5040"/>
          </w:tcPr>
          <w:p>
            <w:r>
              <w:rPr>
                <w:rFonts w:ascii="Calibri" w:hAnsi="Calibri"/>
                <w:color w:val="333333"/>
                <w:sz w:val="18"/>
              </w:rPr>
              <w:t>Buy Transactions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Sell Transactions</w:t>
            </w:r>
          </w:p>
        </w:tc>
        <w:tc>
          <w:tcPr>
            <w:tcW w:type="dxa" w:w="5040"/>
            <w:shd w:fill="F2F4F8" w:val="clear"/>
          </w:tcPr>
          <w:p>
            <w:r>
              <w:rPr>
                <w:rFonts w:ascii="Calibri" w:hAnsi="Calibri"/>
                <w:color w:val="333333"/>
                <w:sz w:val="18"/>
              </w:rPr>
              <w:t>26</w:t>
            </w:r>
          </w:p>
        </w:tc>
      </w:tr>
      <w:tr>
        <w:tc>
          <w:tcPr>
            <w:tcW w:type="dxa" w:w="5040"/>
          </w:tcPr>
          <w:p>
            <w:r>
              <w:rPr>
                <w:rFonts w:ascii="Calibri" w:hAnsi="Calibri"/>
                <w:color w:val="333333"/>
                <w:sz w:val="18"/>
              </w:rPr>
              <w:t>Cluster Events</w:t>
            </w:r>
          </w:p>
        </w:tc>
        <w:tc>
          <w:tcPr>
            <w:tcW w:type="dxa" w:w="5040"/>
          </w:tcPr>
          <w:p>
            <w:r>
              <w:rPr>
                <w:rFonts w:ascii="Calibri" w:hAnsi="Calibri"/>
                <w:color w:val="333333"/>
                <w:sz w:val="18"/>
              </w:rPr>
              <w:t>7</w:t>
            </w:r>
          </w:p>
        </w:tc>
      </w:tr>
    </w:tbl>
    <w:p>
      <w:pPr>
        <w:pStyle w:val="DOHeading3"/>
      </w:pPr>
      <w:r>
        <w:t>Transaction Detail</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Insider</w:t>
            </w:r>
          </w:p>
        </w:tc>
        <w:tc>
          <w:tcPr>
            <w:tcW w:type="dxa" w:w="1440"/>
            <w:shd w:fill="1A1446" w:val="clear"/>
          </w:tcPr>
          <w:p>
            <w:r>
              <w:rPr>
                <w:rFonts w:ascii="Calibri" w:hAnsi="Calibri"/>
                <w:b/>
                <w:color w:val="FFFFFF"/>
                <w:sz w:val="18"/>
              </w:rPr>
              <w:t>Title</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Shares</w:t>
            </w:r>
          </w:p>
        </w:tc>
        <w:tc>
          <w:tcPr>
            <w:tcW w:type="dxa" w:w="1440"/>
            <w:shd w:fill="1A1446" w:val="clear"/>
          </w:tcPr>
          <w:p>
            <w:r>
              <w:rPr>
                <w:rFonts w:ascii="Calibri" w:hAnsi="Calibri"/>
                <w:b/>
                <w:color w:val="FFFFFF"/>
                <w:sz w:val="18"/>
              </w:rPr>
              <w:t>Value</w:t>
            </w:r>
          </w:p>
        </w:tc>
        <w:tc>
          <w:tcPr>
            <w:tcW w:type="dxa" w:w="1440"/>
            <w:shd w:fill="1A1446" w:val="clear"/>
          </w:tcPr>
          <w:p>
            <w:r>
              <w:rPr>
                <w:rFonts w:ascii="Calibri" w:hAnsi="Calibri"/>
                <w:b/>
                <w:color w:val="FFFFFF"/>
                <w:sz w:val="18"/>
              </w:rPr>
              <w:t>10b5-1</w:t>
            </w:r>
          </w:p>
        </w:tc>
      </w:tr>
      <w:tr>
        <w:tc>
          <w:tcPr>
            <w:tcW w:type="dxa" w:w="1440"/>
          </w:tcPr>
          <w:p>
            <w:r>
              <w:rPr>
                <w:rFonts w:ascii="Calibri" w:hAnsi="Calibri"/>
                <w:color w:val="333333"/>
                <w:sz w:val="18"/>
              </w:rPr>
              <w:t>2026-03-31</w:t>
            </w:r>
          </w:p>
        </w:tc>
        <w:tc>
          <w:tcPr>
            <w:tcW w:type="dxa" w:w="1440"/>
          </w:tcPr>
          <w:p>
            <w:r>
              <w:rPr>
                <w:rFonts w:ascii="Calibri" w:hAnsi="Calibri"/>
                <w:color w:val="333333"/>
                <w:sz w:val="18"/>
              </w:rPr>
              <w:t>MacLennan David</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33</w:t>
            </w:r>
          </w:p>
        </w:tc>
        <w:tc>
          <w:tcPr>
            <w:tcW w:type="dxa" w:w="1440"/>
          </w:tcPr>
          <w:p>
            <w:r>
              <w:rPr>
                <w:rFonts w:ascii="Calibri" w:hAnsi="Calibri"/>
                <w:color w:val="333333"/>
                <w:sz w:val="18"/>
              </w:rPr>
              <w:t>$22.8K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2026-03-26</w:t>
            </w:r>
          </w:p>
        </w:tc>
        <w:tc>
          <w:tcPr>
            <w:tcW w:type="dxa" w:w="1440"/>
            <w:shd w:fill="F2F4F8" w:val="clear"/>
          </w:tcPr>
          <w:p>
            <w:r>
              <w:rPr>
                <w:rFonts w:ascii="Calibri" w:hAnsi="Calibri"/>
                <w:color w:val="333333"/>
                <w:sz w:val="18"/>
              </w:rPr>
              <w:t>Creed Joseph E</w:t>
            </w:r>
          </w:p>
        </w:tc>
        <w:tc>
          <w:tcPr>
            <w:tcW w:type="dxa" w:w="1440"/>
            <w:shd w:fill="F2F4F8" w:val="clear"/>
          </w:tcPr>
          <w:p>
            <w:r>
              <w:rPr>
                <w:rFonts w:ascii="Calibri" w:hAnsi="Calibri"/>
                <w:color w:val="333333"/>
                <w:sz w:val="18"/>
              </w:rPr>
              <w:t>Chief Executive Officer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3</w:t>
            </w:r>
          </w:p>
        </w:tc>
        <w:tc>
          <w:tcPr>
            <w:tcW w:type="dxa" w:w="1440"/>
            <w:shd w:fill="F2F4F8" w:val="clear"/>
          </w:tcPr>
          <w:p>
            <w:r>
              <w:rPr>
                <w:rFonts w:ascii="Calibri" w:hAnsi="Calibri"/>
                <w:color w:val="333333"/>
                <w:sz w:val="18"/>
              </w:rPr>
              <w:t>$2.1K</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2026-03-13</w:t>
            </w:r>
          </w:p>
        </w:tc>
        <w:tc>
          <w:tcPr>
            <w:tcW w:type="dxa" w:w="1440"/>
          </w:tcPr>
          <w:p>
            <w:r>
              <w:rPr>
                <w:rFonts w:ascii="Calibri" w:hAnsi="Calibri"/>
                <w:color w:val="333333"/>
                <w:sz w:val="18"/>
              </w:rPr>
              <w:t>Creed Joseph E</w:t>
            </w:r>
          </w:p>
        </w:tc>
        <w:tc>
          <w:tcPr>
            <w:tcW w:type="dxa" w:w="1440"/>
          </w:tcPr>
          <w:p>
            <w:r>
              <w:rPr>
                <w:rFonts w:ascii="Calibri" w:hAnsi="Calibri"/>
                <w:color w:val="333333"/>
                <w:sz w:val="18"/>
              </w:rPr>
              <w:t>Chief Executive Officer</w:t>
            </w:r>
          </w:p>
        </w:tc>
        <w:tc>
          <w:tcPr>
            <w:tcW w:type="dxa" w:w="1440"/>
          </w:tcPr>
          <w:p>
            <w:r>
              <w:rPr>
                <w:rFonts w:ascii="Calibri" w:hAnsi="Calibri"/>
                <w:color w:val="333333"/>
                <w:sz w:val="18"/>
              </w:rPr>
              <w:t>GRANT</w:t>
            </w:r>
          </w:p>
        </w:tc>
        <w:tc>
          <w:tcPr>
            <w:tcW w:type="dxa" w:w="1440"/>
          </w:tcPr>
          <w:p>
            <w:r>
              <w:rPr>
                <w:rFonts w:ascii="Calibri" w:hAnsi="Calibri"/>
                <w:color w:val="333333"/>
                <w:sz w:val="18"/>
              </w:rPr>
              <w:t>428</w:t>
            </w:r>
          </w:p>
        </w:tc>
        <w:tc>
          <w:tcPr>
            <w:tcW w:type="dxa" w:w="1440"/>
          </w:tcPr>
          <w:p>
            <w:r>
              <w:rPr>
                <w:rFonts w:ascii="Calibri" w:hAnsi="Calibri"/>
                <w:color w:val="333333"/>
                <w:sz w:val="18"/>
              </w:rPr>
              <w:t>$297.0K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2026-03-13</w:t>
            </w:r>
          </w:p>
        </w:tc>
        <w:tc>
          <w:tcPr>
            <w:tcW w:type="dxa" w:w="1440"/>
            <w:shd w:fill="F2F4F8" w:val="clear"/>
          </w:tcPr>
          <w:p>
            <w:r>
              <w:rPr>
                <w:rFonts w:ascii="Calibri" w:hAnsi="Calibri"/>
                <w:color w:val="333333"/>
                <w:sz w:val="18"/>
              </w:rPr>
              <w:t>Kaiser Jason</w:t>
            </w:r>
          </w:p>
        </w:tc>
        <w:tc>
          <w:tcPr>
            <w:tcW w:type="dxa" w:w="1440"/>
            <w:shd w:fill="F2F4F8" w:val="clear"/>
          </w:tcPr>
          <w:p>
            <w:r>
              <w:rPr>
                <w:rFonts w:ascii="Calibri" w:hAnsi="Calibri"/>
                <w:color w:val="333333"/>
                <w:sz w:val="18"/>
              </w:rPr>
              <w:t>Group President</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186</w:t>
            </w:r>
          </w:p>
        </w:tc>
        <w:tc>
          <w:tcPr>
            <w:tcW w:type="dxa" w:w="1440"/>
            <w:shd w:fill="F2F4F8" w:val="clear"/>
          </w:tcPr>
          <w:p>
            <w:r>
              <w:rPr>
                <w:rFonts w:ascii="Calibri" w:hAnsi="Calibri"/>
                <w:color w:val="333333"/>
                <w:sz w:val="18"/>
              </w:rPr>
              <w:t>$129.1K</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2026-03-06</w:t>
            </w:r>
          </w:p>
        </w:tc>
        <w:tc>
          <w:tcPr>
            <w:tcW w:type="dxa" w:w="1440"/>
          </w:tcPr>
          <w:p>
            <w:r>
              <w:rPr>
                <w:rFonts w:ascii="Calibri" w:hAnsi="Calibri"/>
                <w:color w:val="333333"/>
                <w:sz w:val="18"/>
              </w:rPr>
              <w:t>Kaiser Jason</w:t>
            </w:r>
          </w:p>
        </w:tc>
        <w:tc>
          <w:tcPr>
            <w:tcW w:type="dxa" w:w="1440"/>
          </w:tcPr>
          <w:p>
            <w:r>
              <w:rPr>
                <w:rFonts w:ascii="Calibri" w:hAnsi="Calibri"/>
                <w:color w:val="333333"/>
                <w:sz w:val="18"/>
              </w:rPr>
              <w:t>Group President</w:t>
            </w:r>
          </w:p>
        </w:tc>
        <w:tc>
          <w:tcPr>
            <w:tcW w:type="dxa" w:w="1440"/>
          </w:tcPr>
          <w:p>
            <w:r>
              <w:rPr>
                <w:rFonts w:ascii="Calibri" w:hAnsi="Calibri"/>
                <w:color w:val="333333"/>
                <w:sz w:val="18"/>
              </w:rPr>
              <w:t>GRANT</w:t>
            </w:r>
          </w:p>
        </w:tc>
        <w:tc>
          <w:tcPr>
            <w:tcW w:type="dxa" w:w="1440"/>
          </w:tcPr>
          <w:p>
            <w:r>
              <w:rPr>
                <w:rFonts w:ascii="Calibri" w:hAnsi="Calibri"/>
                <w:color w:val="333333"/>
                <w:sz w:val="18"/>
              </w:rPr>
              <w:t>106</w:t>
            </w:r>
          </w:p>
        </w:tc>
        <w:tc>
          <w:tcPr>
            <w:tcW w:type="dxa" w:w="1440"/>
          </w:tcPr>
          <w:p>
            <w:r>
              <w:rPr>
                <w:rFonts w:ascii="Calibri" w:hAnsi="Calibri"/>
                <w:color w:val="333333"/>
                <w:sz w:val="18"/>
              </w:rPr>
              <w:t>$72.2K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2026-03-06</w:t>
            </w:r>
          </w:p>
        </w:tc>
        <w:tc>
          <w:tcPr>
            <w:tcW w:type="dxa" w:w="1440"/>
            <w:shd w:fill="F2F4F8" w:val="clear"/>
          </w:tcPr>
          <w:p>
            <w:r>
              <w:rPr>
                <w:rFonts w:ascii="Calibri" w:hAnsi="Calibri"/>
                <w:color w:val="333333"/>
                <w:sz w:val="18"/>
              </w:rPr>
              <w:t>Creed Joseph E</w:t>
            </w:r>
          </w:p>
        </w:tc>
        <w:tc>
          <w:tcPr>
            <w:tcW w:type="dxa" w:w="1440"/>
            <w:shd w:fill="F2F4F8" w:val="clear"/>
          </w:tcPr>
          <w:p>
            <w:r>
              <w:rPr>
                <w:rFonts w:ascii="Calibri" w:hAnsi="Calibri"/>
                <w:color w:val="333333"/>
                <w:sz w:val="18"/>
              </w:rPr>
              <w:t>Chief Executive Officer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214</w:t>
            </w:r>
          </w:p>
        </w:tc>
        <w:tc>
          <w:tcPr>
            <w:tcW w:type="dxa" w:w="1440"/>
            <w:shd w:fill="F2F4F8" w:val="clear"/>
          </w:tcPr>
          <w:p>
            <w:r>
              <w:rPr>
                <w:rFonts w:ascii="Calibri" w:hAnsi="Calibri"/>
                <w:color w:val="333333"/>
                <w:sz w:val="18"/>
              </w:rPr>
              <w:t>$145.7K</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2026-03-05</w:t>
            </w:r>
          </w:p>
        </w:tc>
        <w:tc>
          <w:tcPr>
            <w:tcW w:type="dxa" w:w="1440"/>
          </w:tcPr>
          <w:p>
            <w:r>
              <w:rPr>
                <w:rFonts w:ascii="Calibri" w:hAnsi="Calibri"/>
                <w:color w:val="333333"/>
                <w:sz w:val="18"/>
              </w:rPr>
              <w:t>Creed Joseph E</w:t>
            </w:r>
          </w:p>
        </w:tc>
        <w:tc>
          <w:tcPr>
            <w:tcW w:type="dxa" w:w="1440"/>
          </w:tcPr>
          <w:p>
            <w:r>
              <w:rPr>
                <w:rFonts w:ascii="Calibri" w:hAnsi="Calibri"/>
                <w:color w:val="333333"/>
                <w:sz w:val="18"/>
              </w:rPr>
              <w:t>Chief Executive Officer</w:t>
            </w:r>
          </w:p>
        </w:tc>
        <w:tc>
          <w:tcPr>
            <w:tcW w:type="dxa" w:w="1440"/>
          </w:tcPr>
          <w:p>
            <w:r>
              <w:rPr>
                <w:rFonts w:ascii="Calibri" w:hAnsi="Calibri"/>
                <w:color w:val="333333"/>
                <w:sz w:val="18"/>
              </w:rPr>
              <w:t>SELL</w:t>
            </w:r>
          </w:p>
        </w:tc>
        <w:tc>
          <w:tcPr>
            <w:tcW w:type="dxa" w:w="1440"/>
          </w:tcPr>
          <w:p>
            <w:r>
              <w:rPr>
                <w:rFonts w:ascii="Calibri" w:hAnsi="Calibri"/>
                <w:color w:val="333333"/>
                <w:sz w:val="18"/>
              </w:rPr>
              <w:t>420</w:t>
            </w:r>
          </w:p>
        </w:tc>
        <w:tc>
          <w:tcPr>
            <w:tcW w:type="dxa" w:w="1440"/>
          </w:tcPr>
          <w:p>
            <w:r>
              <w:rPr>
                <w:rFonts w:ascii="Calibri" w:hAnsi="Calibri"/>
                <w:color w:val="333333"/>
                <w:sz w:val="18"/>
              </w:rPr>
              <w:t>$301.1K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2026-03-05</w:t>
            </w:r>
          </w:p>
        </w:tc>
        <w:tc>
          <w:tcPr>
            <w:tcW w:type="dxa" w:w="1440"/>
            <w:shd w:fill="F2F4F8" w:val="clear"/>
          </w:tcPr>
          <w:p>
            <w:r>
              <w:rPr>
                <w:rFonts w:ascii="Calibri" w:hAnsi="Calibri"/>
                <w:color w:val="333333"/>
                <w:sz w:val="18"/>
              </w:rPr>
              <w:t>Creed Joseph E</w:t>
            </w:r>
          </w:p>
        </w:tc>
        <w:tc>
          <w:tcPr>
            <w:tcW w:type="dxa" w:w="1440"/>
            <w:shd w:fill="F2F4F8" w:val="clear"/>
          </w:tcPr>
          <w:p>
            <w:r>
              <w:rPr>
                <w:rFonts w:ascii="Calibri" w:hAnsi="Calibri"/>
                <w:color w:val="333333"/>
                <w:sz w:val="18"/>
              </w:rPr>
              <w:t>Chief Executive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800</w:t>
            </w:r>
          </w:p>
        </w:tc>
        <w:tc>
          <w:tcPr>
            <w:tcW w:type="dxa" w:w="1440"/>
            <w:shd w:fill="F2F4F8" w:val="clear"/>
          </w:tcPr>
          <w:p>
            <w:r>
              <w:rPr>
                <w:rFonts w:ascii="Calibri" w:hAnsi="Calibri"/>
                <w:color w:val="333333"/>
                <w:sz w:val="18"/>
              </w:rPr>
              <w:t>$574.8K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2026-03-05</w:t>
            </w:r>
          </w:p>
        </w:tc>
        <w:tc>
          <w:tcPr>
            <w:tcW w:type="dxa" w:w="1440"/>
          </w:tcPr>
          <w:p>
            <w:r>
              <w:rPr>
                <w:rFonts w:ascii="Calibri" w:hAnsi="Calibri"/>
                <w:color w:val="333333"/>
                <w:sz w:val="18"/>
              </w:rPr>
              <w:t>Creed Joseph E</w:t>
            </w:r>
          </w:p>
        </w:tc>
        <w:tc>
          <w:tcPr>
            <w:tcW w:type="dxa" w:w="1440"/>
          </w:tcPr>
          <w:p>
            <w:r>
              <w:rPr>
                <w:rFonts w:ascii="Calibri" w:hAnsi="Calibri"/>
                <w:color w:val="333333"/>
                <w:sz w:val="18"/>
              </w:rPr>
              <w:t>Chief Executive Officer</w:t>
            </w:r>
          </w:p>
        </w:tc>
        <w:tc>
          <w:tcPr>
            <w:tcW w:type="dxa" w:w="1440"/>
          </w:tcPr>
          <w:p>
            <w:r>
              <w:rPr>
                <w:rFonts w:ascii="Calibri" w:hAnsi="Calibri"/>
                <w:color w:val="333333"/>
                <w:sz w:val="18"/>
              </w:rPr>
              <w:t>SELL</w:t>
            </w:r>
          </w:p>
        </w:tc>
        <w:tc>
          <w:tcPr>
            <w:tcW w:type="dxa" w:w="1440"/>
          </w:tcPr>
          <w:p>
            <w:r>
              <w:rPr>
                <w:rFonts w:ascii="Calibri" w:hAnsi="Calibri"/>
                <w:color w:val="333333"/>
                <w:sz w:val="18"/>
              </w:rPr>
              <w:t>585</w:t>
            </w:r>
          </w:p>
        </w:tc>
        <w:tc>
          <w:tcPr>
            <w:tcW w:type="dxa" w:w="1440"/>
          </w:tcPr>
          <w:p>
            <w:r>
              <w:rPr>
                <w:rFonts w:ascii="Calibri" w:hAnsi="Calibri"/>
                <w:color w:val="333333"/>
                <w:sz w:val="18"/>
              </w:rPr>
              <w:t>$420.8K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2026-03-05</w:t>
            </w:r>
          </w:p>
        </w:tc>
        <w:tc>
          <w:tcPr>
            <w:tcW w:type="dxa" w:w="1440"/>
            <w:shd w:fill="F2F4F8" w:val="clear"/>
          </w:tcPr>
          <w:p>
            <w:r>
              <w:rPr>
                <w:rFonts w:ascii="Calibri" w:hAnsi="Calibri"/>
                <w:color w:val="333333"/>
                <w:sz w:val="18"/>
              </w:rPr>
              <w:t>Creed Joseph E</w:t>
            </w:r>
          </w:p>
        </w:tc>
        <w:tc>
          <w:tcPr>
            <w:tcW w:type="dxa" w:w="1440"/>
            <w:shd w:fill="F2F4F8" w:val="clear"/>
          </w:tcPr>
          <w:p>
            <w:r>
              <w:rPr>
                <w:rFonts w:ascii="Calibri" w:hAnsi="Calibri"/>
                <w:color w:val="333333"/>
                <w:sz w:val="18"/>
              </w:rPr>
              <w:t>Chief Executive Officer</w:t>
            </w:r>
          </w:p>
        </w:tc>
        <w:tc>
          <w:tcPr>
            <w:tcW w:type="dxa" w:w="1440"/>
            <w:shd w:fill="F2F4F8" w:val="clear"/>
          </w:tcPr>
          <w:p>
            <w:r>
              <w:rPr>
                <w:rFonts w:ascii="Calibri" w:hAnsi="Calibri"/>
                <w:color w:val="333333"/>
                <w:sz w:val="18"/>
              </w:rPr>
              <w:t>SELL</w:t>
            </w:r>
          </w:p>
        </w:tc>
        <w:tc>
          <w:tcPr>
            <w:tcW w:type="dxa" w:w="1440"/>
            <w:shd w:fill="F2F4F8" w:val="clear"/>
          </w:tcPr>
          <w:p>
            <w:r>
              <w:rPr>
                <w:rFonts w:ascii="Calibri" w:hAnsi="Calibri"/>
                <w:color w:val="333333"/>
                <w:sz w:val="18"/>
              </w:rPr>
              <w:t>575</w:t>
            </w:r>
          </w:p>
        </w:tc>
        <w:tc>
          <w:tcPr>
            <w:tcW w:type="dxa" w:w="1440"/>
            <w:shd w:fill="F2F4F8" w:val="clear"/>
          </w:tcPr>
          <w:p>
            <w:r>
              <w:rPr>
                <w:rFonts w:ascii="Calibri" w:hAnsi="Calibri"/>
                <w:color w:val="333333"/>
                <w:sz w:val="18"/>
              </w:rPr>
              <w:t>$414.1K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2026-03-05</w:t>
            </w:r>
          </w:p>
        </w:tc>
        <w:tc>
          <w:tcPr>
            <w:tcW w:type="dxa" w:w="1440"/>
          </w:tcPr>
          <w:p>
            <w:r>
              <w:rPr>
                <w:rFonts w:ascii="Calibri" w:hAnsi="Calibri"/>
                <w:color w:val="333333"/>
                <w:sz w:val="18"/>
              </w:rPr>
              <w:t>Creed Joseph E</w:t>
            </w:r>
          </w:p>
        </w:tc>
        <w:tc>
          <w:tcPr>
            <w:tcW w:type="dxa" w:w="1440"/>
          </w:tcPr>
          <w:p>
            <w:r>
              <w:rPr>
                <w:rFonts w:ascii="Calibri" w:hAnsi="Calibri"/>
                <w:color w:val="333333"/>
                <w:sz w:val="18"/>
              </w:rPr>
              <w:t>Chief Executive Officer</w:t>
            </w:r>
          </w:p>
        </w:tc>
        <w:tc>
          <w:tcPr>
            <w:tcW w:type="dxa" w:w="1440"/>
          </w:tcPr>
          <w:p>
            <w:r>
              <w:rPr>
                <w:rFonts w:ascii="Calibri" w:hAnsi="Calibri"/>
                <w:color w:val="333333"/>
                <w:sz w:val="18"/>
              </w:rPr>
              <w:t>SELL</w:t>
            </w:r>
          </w:p>
        </w:tc>
        <w:tc>
          <w:tcPr>
            <w:tcW w:type="dxa" w:w="1440"/>
          </w:tcPr>
          <w:p>
            <w:r>
              <w:rPr>
                <w:rFonts w:ascii="Calibri" w:hAnsi="Calibri"/>
                <w:color w:val="333333"/>
                <w:sz w:val="18"/>
              </w:rPr>
              <w:t>120</w:t>
            </w:r>
          </w:p>
        </w:tc>
        <w:tc>
          <w:tcPr>
            <w:tcW w:type="dxa" w:w="1440"/>
          </w:tcPr>
          <w:p>
            <w:r>
              <w:rPr>
                <w:rFonts w:ascii="Calibri" w:hAnsi="Calibri"/>
                <w:color w:val="333333"/>
                <w:sz w:val="18"/>
              </w:rPr>
              <w:t>$86.5K</w:t>
            </w:r>
          </w:p>
        </w:tc>
        <w:tc>
          <w:tcPr>
            <w:tcW w:type="dxa" w:w="1440"/>
          </w:tcPr>
          <w:p>
            <w:r>
              <w:rPr>
                <w:rFonts w:ascii="Calibri" w:hAnsi="Calibri"/>
                <w:color w:val="333333"/>
                <w:sz w:val="18"/>
              </w:rPr>
              <w:t>Yes (Pre-arranged)</w:t>
            </w:r>
          </w:p>
        </w:tc>
      </w:tr>
      <w:tr>
        <w:tc>
          <w:tcPr>
            <w:tcW w:type="dxa" w:w="1440"/>
            <w:shd w:fill="F2F4F8" w:val="clear"/>
          </w:tcPr>
          <w:p>
            <w:r>
              <w:rPr>
                <w:rFonts w:ascii="Calibri" w:hAnsi="Calibri"/>
                <w:color w:val="333333"/>
                <w:sz w:val="18"/>
              </w:rPr>
              <w:t>2026-03-04</w:t>
            </w:r>
          </w:p>
        </w:tc>
        <w:tc>
          <w:tcPr>
            <w:tcW w:type="dxa" w:w="1440"/>
            <w:shd w:fill="F2F4F8" w:val="clear"/>
          </w:tcPr>
          <w:p>
            <w:r>
              <w:rPr>
                <w:rFonts w:ascii="Calibri" w:hAnsi="Calibri"/>
                <w:color w:val="333333"/>
                <w:sz w:val="18"/>
              </w:rPr>
              <w:t>Umpleby III Donald J</w:t>
            </w:r>
          </w:p>
        </w:tc>
        <w:tc>
          <w:tcPr>
            <w:tcW w:type="dxa" w:w="1440"/>
            <w:shd w:fill="F2F4F8" w:val="clear"/>
          </w:tcPr>
          <w:p>
            <w:r>
              <w:rPr>
                <w:rFonts w:ascii="Calibri" w:hAnsi="Calibri"/>
                <w:color w:val="333333"/>
                <w:sz w:val="18"/>
              </w:rPr>
              <w:t>Executive Chairman</w:t>
            </w:r>
          </w:p>
        </w:tc>
        <w:tc>
          <w:tcPr>
            <w:tcW w:type="dxa" w:w="1440"/>
            <w:shd w:fill="F2F4F8" w:val="clear"/>
          </w:tcPr>
          <w:p>
            <w:r>
              <w:rPr>
                <w:rFonts w:ascii="Calibri" w:hAnsi="Calibri"/>
                <w:color w:val="333333"/>
                <w:sz w:val="18"/>
              </w:rPr>
              <w:t>TAX_WITHHOLD</w:t>
            </w:r>
          </w:p>
        </w:tc>
        <w:tc>
          <w:tcPr>
            <w:tcW w:type="dxa" w:w="1440"/>
            <w:shd w:fill="F2F4F8" w:val="clear"/>
          </w:tcPr>
          <w:p>
            <w:r>
              <w:rPr>
                <w:rFonts w:ascii="Calibri" w:hAnsi="Calibri"/>
                <w:color w:val="333333"/>
                <w:sz w:val="18"/>
              </w:rPr>
              <w:t>1,546</w:t>
            </w:r>
          </w:p>
        </w:tc>
        <w:tc>
          <w:tcPr>
            <w:tcW w:type="dxa" w:w="1440"/>
            <w:shd w:fill="F2F4F8" w:val="clear"/>
          </w:tcPr>
          <w:p>
            <w:r>
              <w:rPr>
                <w:rFonts w:ascii="Calibri" w:hAnsi="Calibri"/>
                <w:color w:val="333333"/>
                <w:sz w:val="18"/>
              </w:rPr>
              <w:t>$1.1M</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2026-03-04</w:t>
            </w:r>
          </w:p>
        </w:tc>
        <w:tc>
          <w:tcPr>
            <w:tcW w:type="dxa" w:w="1440"/>
          </w:tcPr>
          <w:p>
            <w:r>
              <w:rPr>
                <w:rFonts w:ascii="Calibri" w:hAnsi="Calibri"/>
                <w:color w:val="333333"/>
                <w:sz w:val="18"/>
              </w:rPr>
              <w:t>Shurman Rodney Michael</w:t>
            </w:r>
          </w:p>
        </w:tc>
        <w:tc>
          <w:tcPr>
            <w:tcW w:type="dxa" w:w="1440"/>
          </w:tcPr>
          <w:p>
            <w:r>
              <w:rPr>
                <w:rFonts w:ascii="Calibri" w:hAnsi="Calibri"/>
                <w:color w:val="333333"/>
                <w:sz w:val="18"/>
              </w:rPr>
              <w:t>Group President</w:t>
            </w:r>
          </w:p>
        </w:tc>
        <w:tc>
          <w:tcPr>
            <w:tcW w:type="dxa" w:w="1440"/>
          </w:tcPr>
          <w:p>
            <w:r>
              <w:rPr>
                <w:rFonts w:ascii="Calibri" w:hAnsi="Calibri"/>
                <w:color w:val="333333"/>
                <w:sz w:val="18"/>
              </w:rPr>
              <w:t>TAX_WITHHOLD</w:t>
            </w:r>
          </w:p>
        </w:tc>
        <w:tc>
          <w:tcPr>
            <w:tcW w:type="dxa" w:w="1440"/>
          </w:tcPr>
          <w:p>
            <w:r>
              <w:rPr>
                <w:rFonts w:ascii="Calibri" w:hAnsi="Calibri"/>
                <w:color w:val="333333"/>
                <w:sz w:val="18"/>
              </w:rPr>
              <w:t>117</w:t>
            </w:r>
          </w:p>
        </w:tc>
        <w:tc>
          <w:tcPr>
            <w:tcW w:type="dxa" w:w="1440"/>
          </w:tcPr>
          <w:p>
            <w:r>
              <w:rPr>
                <w:rFonts w:ascii="Calibri" w:hAnsi="Calibri"/>
                <w:color w:val="333333"/>
                <w:sz w:val="18"/>
              </w:rPr>
              <w:t>$86.4K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2026-03-04</w:t>
            </w:r>
          </w:p>
        </w:tc>
        <w:tc>
          <w:tcPr>
            <w:tcW w:type="dxa" w:w="1440"/>
            <w:shd w:fill="F2F4F8" w:val="clear"/>
          </w:tcPr>
          <w:p>
            <w:r>
              <w:rPr>
                <w:rFonts w:ascii="Calibri" w:hAnsi="Calibri"/>
                <w:color w:val="333333"/>
                <w:sz w:val="18"/>
              </w:rPr>
              <w:t>Schaupp William E</w:t>
            </w:r>
          </w:p>
        </w:tc>
        <w:tc>
          <w:tcPr>
            <w:tcW w:type="dxa" w:w="1440"/>
            <w:shd w:fill="F2F4F8" w:val="clear"/>
          </w:tcPr>
          <w:p>
            <w:r>
              <w:rPr>
                <w:rFonts w:ascii="Calibri" w:hAnsi="Calibri"/>
                <w:color w:val="333333"/>
                <w:sz w:val="18"/>
              </w:rPr>
              <w:t>Chief Accounting Officer</w:t>
            </w:r>
          </w:p>
        </w:tc>
        <w:tc>
          <w:tcPr>
            <w:tcW w:type="dxa" w:w="1440"/>
            <w:shd w:fill="F2F4F8" w:val="clear"/>
          </w:tcPr>
          <w:p>
            <w:r>
              <w:rPr>
                <w:rFonts w:ascii="Calibri" w:hAnsi="Calibri"/>
                <w:color w:val="333333"/>
                <w:sz w:val="18"/>
              </w:rPr>
              <w:t>TAX_WITHHOLD</w:t>
            </w:r>
          </w:p>
        </w:tc>
        <w:tc>
          <w:tcPr>
            <w:tcW w:type="dxa" w:w="1440"/>
            <w:shd w:fill="F2F4F8" w:val="clear"/>
          </w:tcPr>
          <w:p>
            <w:r>
              <w:rPr>
                <w:rFonts w:ascii="Calibri" w:hAnsi="Calibri"/>
                <w:color w:val="333333"/>
                <w:sz w:val="18"/>
              </w:rPr>
              <w:t>19</w:t>
            </w:r>
          </w:p>
        </w:tc>
        <w:tc>
          <w:tcPr>
            <w:tcW w:type="dxa" w:w="1440"/>
            <w:shd w:fill="F2F4F8" w:val="clear"/>
          </w:tcPr>
          <w:p>
            <w:r>
              <w:rPr>
                <w:rFonts w:ascii="Calibri" w:hAnsi="Calibri"/>
                <w:color w:val="333333"/>
                <w:sz w:val="18"/>
              </w:rPr>
              <w:t>$14.0K</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2026-03-04</w:t>
            </w:r>
          </w:p>
        </w:tc>
        <w:tc>
          <w:tcPr>
            <w:tcW w:type="dxa" w:w="1440"/>
          </w:tcPr>
          <w:p>
            <w:r>
              <w:rPr>
                <w:rFonts w:ascii="Calibri" w:hAnsi="Calibri"/>
                <w:color w:val="333333"/>
                <w:sz w:val="18"/>
              </w:rPr>
              <w:t>Owens Derek</w:t>
            </w:r>
          </w:p>
        </w:tc>
        <w:tc>
          <w:tcPr>
            <w:tcW w:type="dxa" w:w="1440"/>
          </w:tcPr>
          <w:p>
            <w:r>
              <w:rPr>
                <w:rFonts w:ascii="Calibri" w:hAnsi="Calibri"/>
                <w:color w:val="333333"/>
                <w:sz w:val="18"/>
              </w:rPr>
              <w:t>Chief Legal Officer</w:t>
            </w:r>
          </w:p>
        </w:tc>
        <w:tc>
          <w:tcPr>
            <w:tcW w:type="dxa" w:w="1440"/>
          </w:tcPr>
          <w:p>
            <w:r>
              <w:rPr>
                <w:rFonts w:ascii="Calibri" w:hAnsi="Calibri"/>
                <w:color w:val="333333"/>
                <w:sz w:val="18"/>
              </w:rPr>
              <w:t>TAX_WITHHOLD</w:t>
            </w:r>
          </w:p>
        </w:tc>
        <w:tc>
          <w:tcPr>
            <w:tcW w:type="dxa" w:w="1440"/>
          </w:tcPr>
          <w:p>
            <w:r>
              <w:rPr>
                <w:rFonts w:ascii="Calibri" w:hAnsi="Calibri"/>
                <w:color w:val="333333"/>
                <w:sz w:val="18"/>
              </w:rPr>
              <w:t>338</w:t>
            </w:r>
          </w:p>
        </w:tc>
        <w:tc>
          <w:tcPr>
            <w:tcW w:type="dxa" w:w="1440"/>
          </w:tcPr>
          <w:p>
            <w:r>
              <w:rPr>
                <w:rFonts w:ascii="Calibri" w:hAnsi="Calibri"/>
                <w:color w:val="333333"/>
                <w:sz w:val="18"/>
              </w:rPr>
              <w:t>$249.6K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2026-03-04</w:t>
            </w:r>
          </w:p>
        </w:tc>
        <w:tc>
          <w:tcPr>
            <w:tcW w:type="dxa" w:w="1440"/>
            <w:shd w:fill="F2F4F8" w:val="clear"/>
          </w:tcPr>
          <w:p>
            <w:r>
              <w:rPr>
                <w:rFonts w:ascii="Calibri" w:hAnsi="Calibri"/>
                <w:color w:val="333333"/>
                <w:sz w:val="18"/>
              </w:rPr>
              <w:t>Creed Joseph E</w:t>
            </w:r>
          </w:p>
        </w:tc>
        <w:tc>
          <w:tcPr>
            <w:tcW w:type="dxa" w:w="1440"/>
            <w:shd w:fill="F2F4F8" w:val="clear"/>
          </w:tcPr>
          <w:p>
            <w:r>
              <w:rPr>
                <w:rFonts w:ascii="Calibri" w:hAnsi="Calibri"/>
                <w:color w:val="333333"/>
                <w:sz w:val="18"/>
              </w:rPr>
              <w:t>Chief Executive Officer</w:t>
            </w:r>
          </w:p>
        </w:tc>
        <w:tc>
          <w:tcPr>
            <w:tcW w:type="dxa" w:w="1440"/>
            <w:shd w:fill="F2F4F8" w:val="clear"/>
          </w:tcPr>
          <w:p>
            <w:r>
              <w:rPr>
                <w:rFonts w:ascii="Calibri" w:hAnsi="Calibri"/>
                <w:color w:val="333333"/>
                <w:sz w:val="18"/>
              </w:rPr>
              <w:t>TAX_WITHHOLD</w:t>
            </w:r>
          </w:p>
        </w:tc>
        <w:tc>
          <w:tcPr>
            <w:tcW w:type="dxa" w:w="1440"/>
            <w:shd w:fill="F2F4F8" w:val="clear"/>
          </w:tcPr>
          <w:p>
            <w:r>
              <w:rPr>
                <w:rFonts w:ascii="Calibri" w:hAnsi="Calibri"/>
                <w:color w:val="333333"/>
                <w:sz w:val="18"/>
              </w:rPr>
              <w:t>696</w:t>
            </w:r>
          </w:p>
        </w:tc>
        <w:tc>
          <w:tcPr>
            <w:tcW w:type="dxa" w:w="1440"/>
            <w:shd w:fill="F2F4F8" w:val="clear"/>
          </w:tcPr>
          <w:p>
            <w:r>
              <w:rPr>
                <w:rFonts w:ascii="Calibri" w:hAnsi="Calibri"/>
                <w:color w:val="333333"/>
                <w:sz w:val="18"/>
              </w:rPr>
              <w:t>$513.9K</w:t>
            </w:r>
          </w:p>
        </w:tc>
        <w:tc>
          <w:tcPr>
            <w:tcW w:type="dxa" w:w="1440"/>
            <w:shd w:fill="F2F4F8" w:val="clear"/>
          </w:tcPr>
          <w:p>
            <w:r>
              <w:rPr>
                <w:rFonts w:ascii="Calibri" w:hAnsi="Calibri"/>
                <w:color w:val="333333"/>
                <w:sz w:val="18"/>
              </w:rPr>
              <w:t>Yes (Pre-arranged)</w:t>
            </w:r>
          </w:p>
        </w:tc>
      </w:tr>
      <w:tr>
        <w:tc>
          <w:tcPr>
            <w:tcW w:type="dxa" w:w="1440"/>
          </w:tcPr>
          <w:p>
            <w:r>
              <w:rPr>
                <w:rFonts w:ascii="Calibri" w:hAnsi="Calibri"/>
                <w:color w:val="333333"/>
                <w:sz w:val="18"/>
              </w:rPr>
              <w:t>2026-03-04</w:t>
            </w:r>
          </w:p>
        </w:tc>
        <w:tc>
          <w:tcPr>
            <w:tcW w:type="dxa" w:w="1440"/>
          </w:tcPr>
          <w:p>
            <w:r>
              <w:rPr>
                <w:rFonts w:ascii="Calibri" w:hAnsi="Calibri"/>
                <w:color w:val="333333"/>
                <w:sz w:val="18"/>
              </w:rPr>
              <w:t>Kaiser Jason</w:t>
            </w:r>
          </w:p>
        </w:tc>
        <w:tc>
          <w:tcPr>
            <w:tcW w:type="dxa" w:w="1440"/>
          </w:tcPr>
          <w:p>
            <w:r>
              <w:rPr>
                <w:rFonts w:ascii="Calibri" w:hAnsi="Calibri"/>
                <w:color w:val="333333"/>
                <w:sz w:val="18"/>
              </w:rPr>
              <w:t>Group President</w:t>
            </w:r>
          </w:p>
        </w:tc>
        <w:tc>
          <w:tcPr>
            <w:tcW w:type="dxa" w:w="1440"/>
          </w:tcPr>
          <w:p>
            <w:r>
              <w:rPr>
                <w:rFonts w:ascii="Calibri" w:hAnsi="Calibri"/>
                <w:color w:val="333333"/>
                <w:sz w:val="18"/>
              </w:rPr>
              <w:t>TAX_WITHHOLD</w:t>
            </w:r>
          </w:p>
        </w:tc>
        <w:tc>
          <w:tcPr>
            <w:tcW w:type="dxa" w:w="1440"/>
          </w:tcPr>
          <w:p>
            <w:r>
              <w:rPr>
                <w:rFonts w:ascii="Calibri" w:hAnsi="Calibri"/>
                <w:color w:val="333333"/>
                <w:sz w:val="18"/>
              </w:rPr>
              <w:t>368</w:t>
            </w:r>
          </w:p>
        </w:tc>
        <w:tc>
          <w:tcPr>
            <w:tcW w:type="dxa" w:w="1440"/>
          </w:tcPr>
          <w:p>
            <w:r>
              <w:rPr>
                <w:rFonts w:ascii="Calibri" w:hAnsi="Calibri"/>
                <w:color w:val="333333"/>
                <w:sz w:val="18"/>
              </w:rPr>
              <w:t>$271.7K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2026-03-04</w:t>
            </w:r>
          </w:p>
        </w:tc>
        <w:tc>
          <w:tcPr>
            <w:tcW w:type="dxa" w:w="1440"/>
            <w:shd w:fill="F2F4F8" w:val="clear"/>
          </w:tcPr>
          <w:p>
            <w:r>
              <w:rPr>
                <w:rFonts w:ascii="Calibri" w:hAnsi="Calibri"/>
                <w:color w:val="333333"/>
                <w:sz w:val="18"/>
              </w:rPr>
              <w:t>Fassino Anthony D.</w:t>
            </w:r>
          </w:p>
        </w:tc>
        <w:tc>
          <w:tcPr>
            <w:tcW w:type="dxa" w:w="1440"/>
            <w:shd w:fill="F2F4F8" w:val="clear"/>
          </w:tcPr>
          <w:p>
            <w:r>
              <w:rPr>
                <w:rFonts w:ascii="Calibri" w:hAnsi="Calibri"/>
                <w:color w:val="333333"/>
                <w:sz w:val="18"/>
              </w:rPr>
              <w:t>Group President</w:t>
            </w:r>
          </w:p>
        </w:tc>
        <w:tc>
          <w:tcPr>
            <w:tcW w:type="dxa" w:w="1440"/>
            <w:shd w:fill="F2F4F8" w:val="clear"/>
          </w:tcPr>
          <w:p>
            <w:r>
              <w:rPr>
                <w:rFonts w:ascii="Calibri" w:hAnsi="Calibri"/>
                <w:color w:val="333333"/>
                <w:sz w:val="18"/>
              </w:rPr>
              <w:t>TAX_WITHHOLD</w:t>
            </w:r>
          </w:p>
        </w:tc>
        <w:tc>
          <w:tcPr>
            <w:tcW w:type="dxa" w:w="1440"/>
            <w:shd w:fill="F2F4F8" w:val="clear"/>
          </w:tcPr>
          <w:p>
            <w:r>
              <w:rPr>
                <w:rFonts w:ascii="Calibri" w:hAnsi="Calibri"/>
                <w:color w:val="333333"/>
                <w:sz w:val="18"/>
              </w:rPr>
              <w:t>346</w:t>
            </w:r>
          </w:p>
        </w:tc>
        <w:tc>
          <w:tcPr>
            <w:tcW w:type="dxa" w:w="1440"/>
            <w:shd w:fill="F2F4F8" w:val="clear"/>
          </w:tcPr>
          <w:p>
            <w:r>
              <w:rPr>
                <w:rFonts w:ascii="Calibri" w:hAnsi="Calibri"/>
                <w:color w:val="333333"/>
                <w:sz w:val="18"/>
              </w:rPr>
              <w:t>$255.5K</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2026-03-04</w:t>
            </w:r>
          </w:p>
        </w:tc>
        <w:tc>
          <w:tcPr>
            <w:tcW w:type="dxa" w:w="1440"/>
          </w:tcPr>
          <w:p>
            <w:r>
              <w:rPr>
                <w:rFonts w:ascii="Calibri" w:hAnsi="Calibri"/>
                <w:color w:val="333333"/>
                <w:sz w:val="18"/>
              </w:rPr>
              <w:t>Johnson Denise C</w:t>
            </w:r>
          </w:p>
        </w:tc>
        <w:tc>
          <w:tcPr>
            <w:tcW w:type="dxa" w:w="1440"/>
          </w:tcPr>
          <w:p>
            <w:r>
              <w:rPr>
                <w:rFonts w:ascii="Calibri" w:hAnsi="Calibri"/>
                <w:color w:val="333333"/>
                <w:sz w:val="18"/>
              </w:rPr>
              <w:t>Group President</w:t>
            </w:r>
          </w:p>
        </w:tc>
        <w:tc>
          <w:tcPr>
            <w:tcW w:type="dxa" w:w="1440"/>
          </w:tcPr>
          <w:p>
            <w:r>
              <w:rPr>
                <w:rFonts w:ascii="Calibri" w:hAnsi="Calibri"/>
                <w:color w:val="333333"/>
                <w:sz w:val="18"/>
              </w:rPr>
              <w:t>TAX_WITHHOLD</w:t>
            </w:r>
          </w:p>
        </w:tc>
        <w:tc>
          <w:tcPr>
            <w:tcW w:type="dxa" w:w="1440"/>
          </w:tcPr>
          <w:p>
            <w:r>
              <w:rPr>
                <w:rFonts w:ascii="Calibri" w:hAnsi="Calibri"/>
                <w:color w:val="333333"/>
                <w:sz w:val="18"/>
              </w:rPr>
              <w:t>346</w:t>
            </w:r>
          </w:p>
        </w:tc>
        <w:tc>
          <w:tcPr>
            <w:tcW w:type="dxa" w:w="1440"/>
          </w:tcPr>
          <w:p>
            <w:r>
              <w:rPr>
                <w:rFonts w:ascii="Calibri" w:hAnsi="Calibri"/>
                <w:color w:val="333333"/>
                <w:sz w:val="18"/>
              </w:rPr>
              <w:t>$255.5K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2026-03-04</w:t>
            </w:r>
          </w:p>
        </w:tc>
        <w:tc>
          <w:tcPr>
            <w:tcW w:type="dxa" w:w="1440"/>
            <w:shd w:fill="F2F4F8" w:val="clear"/>
          </w:tcPr>
          <w:p>
            <w:r>
              <w:rPr>
                <w:rFonts w:ascii="Calibri" w:hAnsi="Calibri"/>
                <w:color w:val="333333"/>
                <w:sz w:val="18"/>
              </w:rPr>
              <w:t>De Lange Bob</w:t>
            </w:r>
          </w:p>
        </w:tc>
        <w:tc>
          <w:tcPr>
            <w:tcW w:type="dxa" w:w="1440"/>
            <w:shd w:fill="F2F4F8" w:val="clear"/>
          </w:tcPr>
          <w:p>
            <w:r>
              <w:rPr>
                <w:rFonts w:ascii="Calibri" w:hAnsi="Calibri"/>
                <w:color w:val="333333"/>
                <w:sz w:val="18"/>
              </w:rPr>
              <w:t>Group President</w:t>
            </w:r>
          </w:p>
        </w:tc>
        <w:tc>
          <w:tcPr>
            <w:tcW w:type="dxa" w:w="1440"/>
            <w:shd w:fill="F2F4F8" w:val="clear"/>
          </w:tcPr>
          <w:p>
            <w:r>
              <w:rPr>
                <w:rFonts w:ascii="Calibri" w:hAnsi="Calibri"/>
                <w:color w:val="333333"/>
                <w:sz w:val="18"/>
              </w:rPr>
              <w:t>TAX_WITHHOLD</w:t>
            </w:r>
          </w:p>
        </w:tc>
        <w:tc>
          <w:tcPr>
            <w:tcW w:type="dxa" w:w="1440"/>
            <w:shd w:fill="F2F4F8" w:val="clear"/>
          </w:tcPr>
          <w:p>
            <w:r>
              <w:rPr>
                <w:rFonts w:ascii="Calibri" w:hAnsi="Calibri"/>
                <w:color w:val="333333"/>
                <w:sz w:val="18"/>
              </w:rPr>
              <w:t>393</w:t>
            </w:r>
          </w:p>
        </w:tc>
        <w:tc>
          <w:tcPr>
            <w:tcW w:type="dxa" w:w="1440"/>
            <w:shd w:fill="F2F4F8" w:val="clear"/>
          </w:tcPr>
          <w:p>
            <w:r>
              <w:rPr>
                <w:rFonts w:ascii="Calibri" w:hAnsi="Calibri"/>
                <w:color w:val="333333"/>
                <w:sz w:val="18"/>
              </w:rPr>
              <w:t>$290.2K</w:t>
            </w:r>
          </w:p>
        </w:tc>
        <w:tc>
          <w:tcPr>
            <w:tcW w:type="dxa" w:w="1440"/>
            <w:shd w:fill="F2F4F8" w:val="clear"/>
          </w:tcPr>
          <w:p>
            <w:r>
              <w:rPr>
                <w:rFonts w:ascii="Calibri" w:hAnsi="Calibri"/>
                <w:color w:val="333333"/>
                <w:sz w:val="18"/>
              </w:rPr>
              <w:t>No (Discretionary)</w:t>
            </w:r>
          </w:p>
        </w:tc>
      </w:tr>
    </w:tbl>
    <w:p>
      <w:pPr>
        <w:pStyle w:val="DOHeading3"/>
      </w:pPr>
      <w:r>
        <w:t>Cluster Selling Events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Window</w:t>
            </w:r>
          </w:p>
        </w:tc>
        <w:tc>
          <w:tcPr>
            <w:tcW w:type="dxa" w:w="2520"/>
            <w:shd w:fill="1A1446" w:val="clear"/>
          </w:tcPr>
          <w:p>
            <w:r>
              <w:rPr>
                <w:rFonts w:ascii="Calibri" w:hAnsi="Calibri"/>
                <w:b/>
                <w:color w:val="FFFFFF"/>
                <w:sz w:val="18"/>
              </w:rPr>
              <w:t>Insiders</w:t>
            </w:r>
          </w:p>
        </w:tc>
        <w:tc>
          <w:tcPr>
            <w:tcW w:type="dxa" w:w="2520"/>
            <w:shd w:fill="1A1446" w:val="clear"/>
          </w:tcPr>
          <w:p>
            <w:r>
              <w:rPr>
                <w:rFonts w:ascii="Calibri" w:hAnsi="Calibri"/>
                <w:b/>
                <w:color w:val="FFFFFF"/>
                <w:sz w:val="18"/>
              </w:rPr>
              <w:t>Names</w:t>
            </w:r>
          </w:p>
        </w:tc>
        <w:tc>
          <w:tcPr>
            <w:tcW w:type="dxa" w:w="2520"/>
            <w:shd w:fill="1A1446" w:val="clear"/>
          </w:tcPr>
          <w:p>
            <w:r>
              <w:rPr>
                <w:rFonts w:ascii="Calibri" w:hAnsi="Calibri"/>
                <w:b/>
                <w:color w:val="FFFFFF"/>
                <w:sz w:val="18"/>
              </w:rPr>
              <w:t>Total Value</w:t>
            </w:r>
          </w:p>
        </w:tc>
      </w:tr>
      <w:tr>
        <w:tc>
          <w:tcPr>
            <w:tcW w:type="dxa" w:w="2520"/>
          </w:tcPr>
          <w:p>
            <w:r>
              <w:rPr>
                <w:rFonts w:ascii="Calibri" w:hAnsi="Calibri"/>
                <w:color w:val="333333"/>
                <w:sz w:val="18"/>
              </w:rPr>
              <w:t>2026-02-02 to 2026-02-23</w:t>
            </w:r>
          </w:p>
        </w:tc>
        <w:tc>
          <w:tcPr>
            <w:tcW w:type="dxa" w:w="2520"/>
          </w:tcPr>
          <w:p>
            <w:r>
              <w:rPr>
                <w:rFonts w:ascii="Calibri" w:hAnsi="Calibri"/>
                <w:color w:val="333333"/>
                <w:sz w:val="18"/>
              </w:rPr>
              <w:t>6</w:t>
            </w:r>
          </w:p>
        </w:tc>
        <w:tc>
          <w:tcPr>
            <w:tcW w:type="dxa" w:w="2520"/>
          </w:tcPr>
          <w:p>
            <w:r>
              <w:rPr>
                <w:rFonts w:ascii="Calibri" w:hAnsi="Calibri"/>
                <w:color w:val="333333"/>
                <w:sz w:val="18"/>
              </w:rPr>
              <w:t>De Lange Bob, Fassino Anthony D., Johnson Denise C, Kaiser Jason, Schaupp William E, Shurman Rodney Michael</w:t>
            </w:r>
          </w:p>
        </w:tc>
        <w:tc>
          <w:tcPr>
            <w:tcW w:type="dxa" w:w="2520"/>
          </w:tcPr>
          <w:p>
            <w:r>
              <w:rPr>
                <w:rFonts w:ascii="Calibri" w:hAnsi="Calibri"/>
                <w:color w:val="333333"/>
                <w:sz w:val="18"/>
              </w:rPr>
              <w:t>$97.7M</w:t>
            </w:r>
          </w:p>
        </w:tc>
      </w:tr>
      <w:tr>
        <w:tc>
          <w:tcPr>
            <w:tcW w:type="dxa" w:w="2520"/>
            <w:shd w:fill="F2F4F8" w:val="clear"/>
          </w:tcPr>
          <w:p>
            <w:r>
              <w:rPr>
                <w:rFonts w:ascii="Calibri" w:hAnsi="Calibri"/>
                <w:color w:val="333333"/>
                <w:sz w:val="18"/>
              </w:rPr>
              <w:t>2026-02-04 to 2026-03-05</w:t>
            </w:r>
          </w:p>
        </w:tc>
        <w:tc>
          <w:tcPr>
            <w:tcW w:type="dxa" w:w="2520"/>
            <w:shd w:fill="F2F4F8" w:val="clear"/>
          </w:tcPr>
          <w:p>
            <w:r>
              <w:rPr>
                <w:rFonts w:ascii="Calibri" w:hAnsi="Calibri"/>
                <w:color w:val="333333"/>
                <w:sz w:val="18"/>
              </w:rPr>
              <w:t>6</w:t>
            </w:r>
          </w:p>
        </w:tc>
        <w:tc>
          <w:tcPr>
            <w:tcW w:type="dxa" w:w="2520"/>
            <w:shd w:fill="F2F4F8" w:val="clear"/>
          </w:tcPr>
          <w:p>
            <w:r>
              <w:rPr>
                <w:rFonts w:ascii="Calibri" w:hAnsi="Calibri"/>
                <w:color w:val="333333"/>
                <w:sz w:val="18"/>
              </w:rPr>
              <w:t>Creed Joseph E, De Lange Bob, Fassino Anthony D., Kaiser Jason, Schaupp William E, Shurman Rodney Michael</w:t>
            </w:r>
          </w:p>
        </w:tc>
        <w:tc>
          <w:tcPr>
            <w:tcW w:type="dxa" w:w="2520"/>
            <w:shd w:fill="F2F4F8" w:val="clear"/>
          </w:tcPr>
          <w:p>
            <w:r>
              <w:rPr>
                <w:rFonts w:ascii="Calibri" w:hAnsi="Calibri"/>
                <w:color w:val="333333"/>
                <w:sz w:val="18"/>
              </w:rPr>
              <w:t>$54.7M</w:t>
            </w:r>
          </w:p>
        </w:tc>
      </w:tr>
      <w:tr>
        <w:tc>
          <w:tcPr>
            <w:tcW w:type="dxa" w:w="2520"/>
          </w:tcPr>
          <w:p>
            <w:r>
              <w:rPr>
                <w:rFonts w:ascii="Calibri" w:hAnsi="Calibri"/>
                <w:color w:val="333333"/>
                <w:sz w:val="18"/>
              </w:rPr>
              <w:t>2026-02-06 to 2026-03-05</w:t>
            </w:r>
          </w:p>
        </w:tc>
        <w:tc>
          <w:tcPr>
            <w:tcW w:type="dxa" w:w="2520"/>
          </w:tcPr>
          <w:p>
            <w:r>
              <w:rPr>
                <w:rFonts w:ascii="Calibri" w:hAnsi="Calibri"/>
                <w:color w:val="333333"/>
                <w:sz w:val="18"/>
              </w:rPr>
              <w:t>6</w:t>
            </w:r>
          </w:p>
        </w:tc>
        <w:tc>
          <w:tcPr>
            <w:tcW w:type="dxa" w:w="2520"/>
          </w:tcPr>
          <w:p>
            <w:r>
              <w:rPr>
                <w:rFonts w:ascii="Calibri" w:hAnsi="Calibri"/>
                <w:color w:val="333333"/>
                <w:sz w:val="18"/>
              </w:rPr>
              <w:t>Creed Joseph E, De Lange Bob, Fassino Anthony D., Kaiser Jason, Schaupp William E, Shurman Rodney Michael</w:t>
            </w:r>
          </w:p>
        </w:tc>
        <w:tc>
          <w:tcPr>
            <w:tcW w:type="dxa" w:w="2520"/>
          </w:tcPr>
          <w:p>
            <w:r>
              <w:rPr>
                <w:rFonts w:ascii="Calibri" w:hAnsi="Calibri"/>
                <w:color w:val="333333"/>
                <w:sz w:val="18"/>
              </w:rPr>
              <w:t>$43.3M</w:t>
            </w:r>
          </w:p>
        </w:tc>
      </w:tr>
      <w:tr>
        <w:tc>
          <w:tcPr>
            <w:tcW w:type="dxa" w:w="2520"/>
            <w:shd w:fill="F2F4F8" w:val="clear"/>
          </w:tcPr>
          <w:p>
            <w:r>
              <w:rPr>
                <w:rFonts w:ascii="Calibri" w:hAnsi="Calibri"/>
                <w:color w:val="333333"/>
                <w:sz w:val="18"/>
              </w:rPr>
              <w:t>2026-02-11 to 2026-03-05</w:t>
            </w:r>
          </w:p>
        </w:tc>
        <w:tc>
          <w:tcPr>
            <w:tcW w:type="dxa" w:w="2520"/>
            <w:shd w:fill="F2F4F8" w:val="clear"/>
          </w:tcPr>
          <w:p>
            <w:r>
              <w:rPr>
                <w:rFonts w:ascii="Calibri" w:hAnsi="Calibri"/>
                <w:color w:val="333333"/>
                <w:sz w:val="18"/>
              </w:rPr>
              <w:t>6</w:t>
            </w:r>
          </w:p>
        </w:tc>
        <w:tc>
          <w:tcPr>
            <w:tcW w:type="dxa" w:w="2520"/>
            <w:shd w:fill="F2F4F8" w:val="clear"/>
          </w:tcPr>
          <w:p>
            <w:r>
              <w:rPr>
                <w:rFonts w:ascii="Calibri" w:hAnsi="Calibri"/>
                <w:color w:val="333333"/>
                <w:sz w:val="18"/>
              </w:rPr>
              <w:t>Creed Joseph E, De Lange Bob, Fassino Anthony D., Kaiser Jason, Schaupp William E, Shurman Rodney Michael</w:t>
            </w:r>
          </w:p>
        </w:tc>
        <w:tc>
          <w:tcPr>
            <w:tcW w:type="dxa" w:w="2520"/>
            <w:shd w:fill="F2F4F8" w:val="clear"/>
          </w:tcPr>
          <w:p>
            <w:r>
              <w:rPr>
                <w:rFonts w:ascii="Calibri" w:hAnsi="Calibri"/>
                <w:color w:val="333333"/>
                <w:sz w:val="18"/>
              </w:rPr>
              <w:t>$22.7M</w:t>
            </w:r>
          </w:p>
        </w:tc>
      </w:tr>
      <w:tr>
        <w:tc>
          <w:tcPr>
            <w:tcW w:type="dxa" w:w="2520"/>
          </w:tcPr>
          <w:p>
            <w:r>
              <w:rPr>
                <w:rFonts w:ascii="Calibri" w:hAnsi="Calibri"/>
                <w:color w:val="333333"/>
                <w:sz w:val="18"/>
              </w:rPr>
              <w:t>2026-02-12 to 2026-03-05</w:t>
            </w:r>
          </w:p>
        </w:tc>
        <w:tc>
          <w:tcPr>
            <w:tcW w:type="dxa" w:w="2520"/>
          </w:tcPr>
          <w:p>
            <w:r>
              <w:rPr>
                <w:rFonts w:ascii="Calibri" w:hAnsi="Calibri"/>
                <w:color w:val="333333"/>
                <w:sz w:val="18"/>
              </w:rPr>
              <w:t>5</w:t>
            </w:r>
          </w:p>
        </w:tc>
        <w:tc>
          <w:tcPr>
            <w:tcW w:type="dxa" w:w="2520"/>
          </w:tcPr>
          <w:p>
            <w:r>
              <w:rPr>
                <w:rFonts w:ascii="Calibri" w:hAnsi="Calibri"/>
                <w:color w:val="333333"/>
                <w:sz w:val="18"/>
              </w:rPr>
              <w:t>Creed Joseph E, Fassino Anthony D., Kaiser Jason, Schaupp William E, Shurman Rodney Michael</w:t>
            </w:r>
          </w:p>
        </w:tc>
        <w:tc>
          <w:tcPr>
            <w:tcW w:type="dxa" w:w="2520"/>
          </w:tcPr>
          <w:p>
            <w:r>
              <w:rPr>
                <w:rFonts w:ascii="Calibri" w:hAnsi="Calibri"/>
                <w:color w:val="333333"/>
                <w:sz w:val="18"/>
              </w:rPr>
              <w:t>$13.1M</w:t>
            </w:r>
          </w:p>
        </w:tc>
      </w:tr>
      <w:tr>
        <w:tc>
          <w:tcPr>
            <w:tcW w:type="dxa" w:w="2520"/>
            <w:shd w:fill="F2F4F8" w:val="clear"/>
          </w:tcPr>
          <w:p>
            <w:r>
              <w:rPr>
                <w:rFonts w:ascii="Calibri" w:hAnsi="Calibri"/>
                <w:color w:val="333333"/>
                <w:sz w:val="18"/>
              </w:rPr>
              <w:t>2026-02-13 to 2026-03-05</w:t>
            </w:r>
          </w:p>
        </w:tc>
        <w:tc>
          <w:tcPr>
            <w:tcW w:type="dxa" w:w="2520"/>
            <w:shd w:fill="F2F4F8" w:val="clear"/>
          </w:tcPr>
          <w:p>
            <w:r>
              <w:rPr>
                <w:rFonts w:ascii="Calibri" w:hAnsi="Calibri"/>
                <w:color w:val="333333"/>
                <w:sz w:val="18"/>
              </w:rPr>
              <w:t>4</w:t>
            </w:r>
          </w:p>
        </w:tc>
        <w:tc>
          <w:tcPr>
            <w:tcW w:type="dxa" w:w="2520"/>
            <w:shd w:fill="F2F4F8" w:val="clear"/>
          </w:tcPr>
          <w:p>
            <w:r>
              <w:rPr>
                <w:rFonts w:ascii="Calibri" w:hAnsi="Calibri"/>
                <w:color w:val="333333"/>
                <w:sz w:val="18"/>
              </w:rPr>
              <w:t>Creed Joseph E, Fassino Anthony D., Schaupp William E, Shurman Rodney Michael</w:t>
            </w:r>
          </w:p>
        </w:tc>
        <w:tc>
          <w:tcPr>
            <w:tcW w:type="dxa" w:w="2520"/>
            <w:shd w:fill="F2F4F8" w:val="clear"/>
          </w:tcPr>
          <w:p>
            <w:r>
              <w:rPr>
                <w:rFonts w:ascii="Calibri" w:hAnsi="Calibri"/>
                <w:color w:val="333333"/>
                <w:sz w:val="18"/>
              </w:rPr>
              <w:t>$11.7M</w:t>
            </w:r>
          </w:p>
        </w:tc>
      </w:tr>
      <w:tr>
        <w:tc>
          <w:tcPr>
            <w:tcW w:type="dxa" w:w="2520"/>
          </w:tcPr>
          <w:p>
            <w:r>
              <w:rPr>
                <w:rFonts w:ascii="Calibri" w:hAnsi="Calibri"/>
                <w:color w:val="333333"/>
                <w:sz w:val="18"/>
              </w:rPr>
              <w:t>2026-02-17 to 2026-03-05</w:t>
            </w:r>
          </w:p>
        </w:tc>
        <w:tc>
          <w:tcPr>
            <w:tcW w:type="dxa" w:w="2520"/>
          </w:tcPr>
          <w:p>
            <w:r>
              <w:rPr>
                <w:rFonts w:ascii="Calibri" w:hAnsi="Calibri"/>
                <w:color w:val="333333"/>
                <w:sz w:val="18"/>
              </w:rPr>
              <w:t>3</w:t>
            </w:r>
          </w:p>
        </w:tc>
        <w:tc>
          <w:tcPr>
            <w:tcW w:type="dxa" w:w="2520"/>
          </w:tcPr>
          <w:p>
            <w:r>
              <w:rPr>
                <w:rFonts w:ascii="Calibri" w:hAnsi="Calibri"/>
                <w:color w:val="333333"/>
                <w:sz w:val="18"/>
              </w:rPr>
              <w:t>Creed Joseph E, Schaupp William E, Shurman Rodney Michael</w:t>
            </w:r>
          </w:p>
        </w:tc>
        <w:tc>
          <w:tcPr>
            <w:tcW w:type="dxa" w:w="2520"/>
          </w:tcPr>
          <w:p>
            <w:r>
              <w:rPr>
                <w:rFonts w:ascii="Calibri" w:hAnsi="Calibri"/>
                <w:color w:val="333333"/>
                <w:sz w:val="18"/>
              </w:rPr>
              <w:t>$5.6M</w:t>
            </w:r>
          </w:p>
        </w:tc>
      </w:tr>
    </w:tbl>
    <w:p>
      <w:pPr>
        <w:pStyle w:val="DOBody"/>
      </w:pPr>
      <w:r>
        <w:t>Insider Cluster Selling (7 event(s)): Coordinated insider selling is a key D&amp;O risk signal. Courts view cluster sales -- where 3+ insiders sell within a narrow window -- as circumstantial evidence of scienter (intent to defraud) in securities fraud claims.</w:t>
      </w:r>
      <w:r>
        <w:rPr>
          <w:b/>
          <w:color w:val="EA580C"/>
          <w:sz w:val="18"/>
        </w:rPr>
        <w:t xml:space="preserve"> [HIGH]</w:t>
      </w:r>
    </w:p>
    <w:p>
      <w:pPr>
        <w:pStyle w:val="DOHeading2"/>
      </w:pPr>
      <w:r>
        <w:t>Executive Departures</w:t>
      </w:r>
    </w:p>
    <w:p>
      <w:pPr>
        <w:pStyle w:val="DOBody"/>
      </w:pPr>
      <w:r>
        <w:t>No executive departures identified in the trailing 18 months.</w:t>
      </w:r>
    </w:p>
    <w:p>
      <w:pPr>
        <w:pStyle w:val="DOHeading2"/>
      </w:pPr>
      <w:r>
        <w:t>Capital Markets Activity</w:t>
      </w:r>
    </w:p>
    <w:p>
      <w:pPr>
        <w:pStyle w:val="DOBody"/>
      </w:pPr>
      <w:r>
        <w:t>No significant capital markets activity identified in the trailing 3-year period.</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Caterpillar's revenue grew 4.3% to $67.6B from $64.8B, but net income fell 17.7% to $8.9B from $10.8B, with operating income down 14.7% to $11.2B, creating a classic "top-line growth, bottom-line pressure" narrative ripe for shareholder allegations of failing to manage inflationary costs. The Piotroski F-Score of 6 is a neutral grey flag, but the sharp 14.7% EPS decline from $22.17 to $18.9 provides a concrete metric for a Section 10(b) claim alleging the market was misled on earnings sustainability. While the Altman Z-Score of 4.79 and Beneish M-Score of -2.99 indicate no near-term solvency or accounting manipulation risk, the high debt-to-equity of 1.7 and a current ratio of 1.44 reveal a leveraged balance sheet that amplifies operational missteps, increasing vulnerability to claims of poor capital allocation. The 17.7% drop in net income on a 4.3% revenue increase is the core D&amp;O exposure, as plaintiffs will allege management failed to execute or disclose margin compression risks in a timely manner, evidenced by the 21 triggered financial checks against a clean audit.</w:t>
      </w:r>
    </w:p>
    <w:p>
      <w:pPr>
        <w:pStyle w:val="DOHeading1"/>
      </w:pPr>
      <w:r>
        <w:t>Section 3: Financial Health</w:t>
      </w:r>
    </w:p>
    <w:p>
      <w:pPr>
        <w:pStyle w:val="DOBody"/>
      </w:pPr>
      <w:r>
        <w:t>The company reported revenue of $67.6B and net income of $8.9B (per FY2025 10-K, Company Facts API CIK18230). Revenue grew 4.3% year-over-year (from $64.8B). Both distress models indicate stability: Z-Score 4.79 (safe above 2.99) and O-Score 0.00 (safe below 0.5). D/E ratio of 1.70 is moderate. Earnings quality is healthy (OCF/NI: 1.32), indicating reported income is well-supported by operating cash flows -- reducing restatement risk. Auditor: Ernst &amp; Young (Big 4). From a D&amp;O perspective, the financial profile supports standard underwriting terms.</w:t>
      </w:r>
    </w:p>
    <w:p>
      <w:pPr>
        <w:pStyle w:val="DOHeading2"/>
      </w:pPr>
      <w:r>
        <w:t>Income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revenue / net sales</w:t>
            </w:r>
          </w:p>
        </w:tc>
        <w:tc>
          <w:tcPr>
            <w:tcW w:type="dxa" w:w="2520"/>
          </w:tcPr>
          <w:p>
            <w:r>
              <w:rPr>
                <w:rFonts w:ascii="Calibri" w:hAnsi="Calibri"/>
                <w:color w:val="333333"/>
                <w:sz w:val="18"/>
              </w:rPr>
              <w:t>$64.8B</w:t>
            </w:r>
          </w:p>
        </w:tc>
        <w:tc>
          <w:tcPr>
            <w:tcW w:type="dxa" w:w="2520"/>
          </w:tcPr>
          <w:p>
            <w:r>
              <w:rPr>
                <w:rFonts w:ascii="Calibri" w:hAnsi="Calibri"/>
                <w:color w:val="333333"/>
                <w:sz w:val="18"/>
              </w:rPr>
              <w:t>$67.6B</w:t>
            </w:r>
          </w:p>
        </w:tc>
        <w:tc>
          <w:tcPr>
            <w:tcW w:type="dxa" w:w="2520"/>
            <w:shd w:fill="FFF3CD" w:val="clear"/>
          </w:tcPr>
          <w:p>
            <w:r>
              <w:rPr>
                <w:rFonts w:ascii="Calibri" w:hAnsi="Calibri"/>
                <w:color w:val="333333"/>
                <w:sz w:val="18"/>
              </w:rPr>
              <w:t>4.3%</w:t>
            </w:r>
          </w:p>
        </w:tc>
      </w:tr>
      <w:tr>
        <w:tc>
          <w:tcPr>
            <w:tcW w:type="dxa" w:w="2520"/>
            <w:shd w:fill="F2F4F8" w:val="clear"/>
          </w:tcPr>
          <w:p>
            <w:r>
              <w:rPr>
                <w:rFonts w:ascii="Calibri" w:hAnsi="Calibri"/>
                <w:color w:val="333333"/>
                <w:sz w:val="18"/>
              </w:rPr>
              <w:t>Cost of revenue / COGS</w:t>
            </w:r>
          </w:p>
        </w:tc>
        <w:tc>
          <w:tcPr>
            <w:tcW w:type="dxa" w:w="2520"/>
            <w:shd w:fill="F2F4F8" w:val="clear"/>
          </w:tcPr>
          <w:p>
            <w:r>
              <w:rPr>
                <w:rFonts w:ascii="Calibri" w:hAnsi="Calibri"/>
                <w:color w:val="333333"/>
                <w:sz w:val="18"/>
              </w:rPr>
              <w:t>$40.2B</w:t>
            </w:r>
          </w:p>
        </w:tc>
        <w:tc>
          <w:tcPr>
            <w:tcW w:type="dxa" w:w="2520"/>
            <w:shd w:fill="F2F4F8" w:val="clear"/>
          </w:tcPr>
          <w:p>
            <w:r>
              <w:rPr>
                <w:rFonts w:ascii="Calibri" w:hAnsi="Calibri"/>
                <w:color w:val="333333"/>
                <w:sz w:val="18"/>
              </w:rPr>
              <w:t>$44.8B</w:t>
            </w:r>
          </w:p>
        </w:tc>
        <w:tc>
          <w:tcPr>
            <w:tcW w:type="dxa" w:w="2520"/>
            <w:shd w:fill="F2F4F8" w:val="clear"/>
            <w:shd w:fill="DCEEF8" w:val="clear"/>
          </w:tcPr>
          <w:p>
            <w:r>
              <w:rPr>
                <w:rFonts w:ascii="Calibri" w:hAnsi="Calibri"/>
                <w:color w:val="333333"/>
                <w:sz w:val="18"/>
              </w:rPr>
              <w:t>11.3%</w:t>
            </w:r>
          </w:p>
        </w:tc>
      </w:tr>
      <w:tr>
        <w:tc>
          <w:tcPr>
            <w:tcW w:type="dxa" w:w="2520"/>
          </w:tcPr>
          <w:p>
            <w:r>
              <w:rPr>
                <w:rFonts w:ascii="Calibri" w:hAnsi="Calibri"/>
                <w:color w:val="333333"/>
                <w:sz w:val="18"/>
              </w:rPr>
              <w:t>Operating income / loss</w:t>
            </w:r>
          </w:p>
        </w:tc>
        <w:tc>
          <w:tcPr>
            <w:tcW w:type="dxa" w:w="2520"/>
          </w:tcPr>
          <w:p>
            <w:r>
              <w:rPr>
                <w:rFonts w:ascii="Calibri" w:hAnsi="Calibri"/>
                <w:color w:val="333333"/>
                <w:sz w:val="18"/>
              </w:rPr>
              <w:t>$13.1B</w:t>
            </w:r>
          </w:p>
        </w:tc>
        <w:tc>
          <w:tcPr>
            <w:tcW w:type="dxa" w:w="2520"/>
          </w:tcPr>
          <w:p>
            <w:r>
              <w:rPr>
                <w:rFonts w:ascii="Calibri" w:hAnsi="Calibri"/>
                <w:color w:val="333333"/>
                <w:sz w:val="18"/>
              </w:rPr>
              <w:t>$11.2B</w:t>
            </w:r>
          </w:p>
        </w:tc>
        <w:tc>
          <w:tcPr>
            <w:tcW w:type="dxa" w:w="2520"/>
            <w:shd w:fill="FCE8E6" w:val="clear"/>
          </w:tcPr>
          <w:p>
            <w:r>
              <w:rPr>
                <w:rFonts w:ascii="Calibri" w:hAnsi="Calibri"/>
                <w:color w:val="333333"/>
                <w:sz w:val="18"/>
              </w:rPr>
              <w:t>-14.7%</w:t>
            </w:r>
          </w:p>
        </w:tc>
      </w:tr>
      <w:tr>
        <w:tc>
          <w:tcPr>
            <w:tcW w:type="dxa" w:w="2520"/>
            <w:shd w:fill="F2F4F8" w:val="clear"/>
          </w:tcPr>
          <w:p>
            <w:r>
              <w:rPr>
                <w:rFonts w:ascii="Calibri" w:hAnsi="Calibri"/>
                <w:color w:val="333333"/>
                <w:sz w:val="18"/>
              </w:rPr>
              <w:t>Net income / net loss</w:t>
            </w:r>
          </w:p>
        </w:tc>
        <w:tc>
          <w:tcPr>
            <w:tcW w:type="dxa" w:w="2520"/>
            <w:shd w:fill="F2F4F8" w:val="clear"/>
          </w:tcPr>
          <w:p>
            <w:r>
              <w:rPr>
                <w:rFonts w:ascii="Calibri" w:hAnsi="Calibri"/>
                <w:color w:val="333333"/>
                <w:sz w:val="18"/>
              </w:rPr>
              <w:t>$10.8B</w:t>
            </w:r>
          </w:p>
        </w:tc>
        <w:tc>
          <w:tcPr>
            <w:tcW w:type="dxa" w:w="2520"/>
            <w:shd w:fill="F2F4F8" w:val="clear"/>
          </w:tcPr>
          <w:p>
            <w:r>
              <w:rPr>
                <w:rFonts w:ascii="Calibri" w:hAnsi="Calibri"/>
                <w:color w:val="333333"/>
                <w:sz w:val="18"/>
              </w:rPr>
              <w:t>$8.9B</w:t>
            </w:r>
          </w:p>
        </w:tc>
        <w:tc>
          <w:tcPr>
            <w:tcW w:type="dxa" w:w="2520"/>
            <w:shd w:fill="F2F4F8" w:val="clear"/>
            <w:shd w:fill="FCE8E6" w:val="clear"/>
          </w:tcPr>
          <w:p>
            <w:r>
              <w:rPr>
                <w:rFonts w:ascii="Calibri" w:hAnsi="Calibri"/>
                <w:color w:val="333333"/>
                <w:sz w:val="18"/>
              </w:rPr>
              <w:t>-17.7%</w:t>
            </w:r>
          </w:p>
        </w:tc>
      </w:tr>
      <w:tr>
        <w:tc>
          <w:tcPr>
            <w:tcW w:type="dxa" w:w="2520"/>
          </w:tcPr>
          <w:p>
            <w:r>
              <w:rPr>
                <w:rFonts w:ascii="Calibri" w:hAnsi="Calibri"/>
                <w:color w:val="333333"/>
                <w:sz w:val="18"/>
              </w:rPr>
              <w:t>Basic earnings per share</w:t>
            </w:r>
          </w:p>
        </w:tc>
        <w:tc>
          <w:tcPr>
            <w:tcW w:type="dxa" w:w="2520"/>
          </w:tcPr>
          <w:p>
            <w:r>
              <w:rPr>
                <w:rFonts w:ascii="Calibri" w:hAnsi="Calibri"/>
                <w:color w:val="333333"/>
                <w:sz w:val="18"/>
              </w:rPr>
              <w:t>$22.17</w:t>
            </w:r>
          </w:p>
        </w:tc>
        <w:tc>
          <w:tcPr>
            <w:tcW w:type="dxa" w:w="2520"/>
          </w:tcPr>
          <w:p>
            <w:r>
              <w:rPr>
                <w:rFonts w:ascii="Calibri" w:hAnsi="Calibri"/>
                <w:color w:val="333333"/>
                <w:sz w:val="18"/>
              </w:rPr>
              <w:t>$18.90</w:t>
            </w:r>
          </w:p>
        </w:tc>
        <w:tc>
          <w:tcPr>
            <w:tcW w:type="dxa" w:w="2520"/>
            <w:shd w:fill="FCE8E6" w:val="clear"/>
          </w:tcPr>
          <w:p>
            <w:r>
              <w:rPr>
                <w:rFonts w:ascii="Calibri" w:hAnsi="Calibri"/>
                <w:color w:val="333333"/>
                <w:sz w:val="18"/>
              </w:rPr>
              <w:t>-14.8%</w:t>
            </w:r>
          </w:p>
        </w:tc>
      </w:tr>
      <w:tr>
        <w:tc>
          <w:tcPr>
            <w:tcW w:type="dxa" w:w="2520"/>
            <w:shd w:fill="F2F4F8" w:val="clear"/>
          </w:tcPr>
          <w:p>
            <w:r>
              <w:rPr>
                <w:rFonts w:ascii="Calibri" w:hAnsi="Calibri"/>
                <w:color w:val="333333"/>
                <w:sz w:val="18"/>
              </w:rPr>
              <w:t>Diluted earnings per share</w:t>
            </w:r>
          </w:p>
        </w:tc>
        <w:tc>
          <w:tcPr>
            <w:tcW w:type="dxa" w:w="2520"/>
            <w:shd w:fill="F2F4F8" w:val="clear"/>
          </w:tcPr>
          <w:p>
            <w:r>
              <w:rPr>
                <w:rFonts w:ascii="Calibri" w:hAnsi="Calibri"/>
                <w:color w:val="333333"/>
                <w:sz w:val="18"/>
              </w:rPr>
              <w:t>$22.05</w:t>
            </w:r>
          </w:p>
        </w:tc>
        <w:tc>
          <w:tcPr>
            <w:tcW w:type="dxa" w:w="2520"/>
            <w:shd w:fill="F2F4F8" w:val="clear"/>
          </w:tcPr>
          <w:p>
            <w:r>
              <w:rPr>
                <w:rFonts w:ascii="Calibri" w:hAnsi="Calibri"/>
                <w:color w:val="333333"/>
                <w:sz w:val="18"/>
              </w:rPr>
              <w:t>$18.81</w:t>
            </w:r>
          </w:p>
        </w:tc>
        <w:tc>
          <w:tcPr>
            <w:tcW w:type="dxa" w:w="2520"/>
            <w:shd w:fill="F2F4F8" w:val="clear"/>
            <w:shd w:fill="FCE8E6" w:val="clear"/>
          </w:tcPr>
          <w:p>
            <w:r>
              <w:rPr>
                <w:rFonts w:ascii="Calibri" w:hAnsi="Calibri"/>
                <w:color w:val="333333"/>
                <w:sz w:val="18"/>
              </w:rPr>
              <w:t>-14.7%</w:t>
            </w:r>
          </w:p>
        </w:tc>
      </w:tr>
      <w:tr>
        <w:tc>
          <w:tcPr>
            <w:tcW w:type="dxa" w:w="2520"/>
          </w:tcPr>
          <w:p>
            <w:r>
              <w:rPr>
                <w:rFonts w:ascii="Calibri" w:hAnsi="Calibri"/>
                <w:color w:val="333333"/>
                <w:sz w:val="18"/>
              </w:rPr>
              <w:t>Interest expense</w:t>
            </w:r>
          </w:p>
        </w:tc>
        <w:tc>
          <w:tcPr>
            <w:tcW w:type="dxa" w:w="2520"/>
          </w:tcPr>
          <w:p>
            <w:r>
              <w:rPr>
                <w:rFonts w:ascii="Calibri" w:hAnsi="Calibri"/>
                <w:color w:val="333333"/>
                <w:sz w:val="18"/>
              </w:rPr>
              <w:t>$1.7B</w:t>
            </w:r>
          </w:p>
        </w:tc>
        <w:tc>
          <w:tcPr>
            <w:tcW w:type="dxa" w:w="2520"/>
          </w:tcPr>
          <w:p>
            <w:r>
              <w:rPr>
                <w:rFonts w:ascii="Calibri" w:hAnsi="Calibri"/>
                <w:color w:val="333333"/>
                <w:sz w:val="18"/>
              </w:rPr>
              <w:t>$1.8B</w:t>
            </w:r>
          </w:p>
        </w:tc>
        <w:tc>
          <w:tcPr>
            <w:tcW w:type="dxa" w:w="2520"/>
            <w:shd w:fill="FFF3CD" w:val="clear"/>
          </w:tcPr>
          <w:p>
            <w:r>
              <w:rPr>
                <w:rFonts w:ascii="Calibri" w:hAnsi="Calibri"/>
                <w:color w:val="333333"/>
                <w:sz w:val="18"/>
              </w:rPr>
              <w:t>6.0%</w:t>
            </w:r>
          </w:p>
        </w:tc>
      </w:tr>
      <w:tr>
        <w:tc>
          <w:tcPr>
            <w:tcW w:type="dxa" w:w="2520"/>
            <w:shd w:fill="F2F4F8" w:val="clear"/>
          </w:tcPr>
          <w:p>
            <w:r>
              <w:rPr>
                <w:rFonts w:ascii="Calibri" w:hAnsi="Calibri"/>
                <w:color w:val="333333"/>
                <w:sz w:val="18"/>
              </w:rPr>
              <w:t>Income tax expense / benefit</w:t>
            </w:r>
          </w:p>
        </w:tc>
        <w:tc>
          <w:tcPr>
            <w:tcW w:type="dxa" w:w="2520"/>
            <w:shd w:fill="F2F4F8" w:val="clear"/>
          </w:tcPr>
          <w:p>
            <w:r>
              <w:rPr>
                <w:rFonts w:ascii="Calibri" w:hAnsi="Calibri"/>
                <w:color w:val="333333"/>
                <w:sz w:val="18"/>
              </w:rPr>
              <w:t>$2.6B</w:t>
            </w:r>
          </w:p>
        </w:tc>
        <w:tc>
          <w:tcPr>
            <w:tcW w:type="dxa" w:w="2520"/>
            <w:shd w:fill="F2F4F8" w:val="clear"/>
          </w:tcPr>
          <w:p>
            <w:r>
              <w:rPr>
                <w:rFonts w:ascii="Calibri" w:hAnsi="Calibri"/>
                <w:color w:val="333333"/>
                <w:sz w:val="18"/>
              </w:rPr>
              <w:t>$2.8B</w:t>
            </w:r>
          </w:p>
        </w:tc>
        <w:tc>
          <w:tcPr>
            <w:tcW w:type="dxa" w:w="2520"/>
            <w:shd w:fill="F2F4F8" w:val="clear"/>
            <w:shd w:fill="FFF3CD" w:val="clear"/>
          </w:tcPr>
          <w:p>
            <w:r>
              <w:rPr>
                <w:rFonts w:ascii="Calibri" w:hAnsi="Calibri"/>
                <w:color w:val="333333"/>
                <w:sz w:val="18"/>
              </w:rPr>
              <w:t>5.3%</w:t>
            </w:r>
          </w:p>
        </w:tc>
      </w:tr>
      <w:tr>
        <w:tc>
          <w:tcPr>
            <w:tcW w:type="dxa" w:w="2520"/>
          </w:tcPr>
          <w:p>
            <w:r>
              <w:rPr>
                <w:rFonts w:ascii="Calibri" w:hAnsi="Calibri"/>
                <w:color w:val="333333"/>
                <w:sz w:val="18"/>
              </w:rPr>
              <w:t>Research and development expense</w:t>
            </w:r>
          </w:p>
        </w:tc>
        <w:tc>
          <w:tcPr>
            <w:tcW w:type="dxa" w:w="2520"/>
          </w:tcPr>
          <w:p>
            <w:r>
              <w:rPr>
                <w:rFonts w:ascii="Calibri" w:hAnsi="Calibri"/>
                <w:color w:val="333333"/>
                <w:sz w:val="18"/>
              </w:rPr>
              <w:t>$2.1B</w:t>
            </w:r>
          </w:p>
        </w:tc>
        <w:tc>
          <w:tcPr>
            <w:tcW w:type="dxa" w:w="2520"/>
          </w:tcPr>
          <w:p>
            <w:r>
              <w:rPr>
                <w:rFonts w:ascii="Calibri" w:hAnsi="Calibri"/>
                <w:color w:val="333333"/>
                <w:sz w:val="18"/>
              </w:rPr>
              <w:t>$2.1B</w:t>
            </w:r>
          </w:p>
        </w:tc>
        <w:tc>
          <w:tcPr>
            <w:tcW w:type="dxa" w:w="2520"/>
            <w:shd w:fill="FFF3CD" w:val="clear"/>
          </w:tcPr>
          <w:p>
            <w:r>
              <w:rPr>
                <w:rFonts w:ascii="Calibri" w:hAnsi="Calibri"/>
                <w:color w:val="333333"/>
                <w:sz w:val="18"/>
              </w:rPr>
              <w:t>1.9%</w:t>
            </w:r>
          </w:p>
        </w:tc>
      </w:tr>
      <w:tr>
        <w:tc>
          <w:tcPr>
            <w:tcW w:type="dxa" w:w="2520"/>
            <w:shd w:fill="F2F4F8" w:val="clear"/>
          </w:tcPr>
          <w:p>
            <w:r>
              <w:rPr>
                <w:rFonts w:ascii="Calibri" w:hAnsi="Calibri"/>
                <w:color w:val="333333"/>
                <w:sz w:val="18"/>
              </w:rPr>
              <w:t>Selling, general and administrative expense</w:t>
            </w:r>
          </w:p>
        </w:tc>
        <w:tc>
          <w:tcPr>
            <w:tcW w:type="dxa" w:w="2520"/>
            <w:shd w:fill="F2F4F8" w:val="clear"/>
          </w:tcPr>
          <w:p>
            <w:r>
              <w:rPr>
                <w:rFonts w:ascii="Calibri" w:hAnsi="Calibri"/>
                <w:color w:val="333333"/>
                <w:sz w:val="18"/>
              </w:rPr>
              <w:t>$6.7B</w:t>
            </w:r>
          </w:p>
        </w:tc>
        <w:tc>
          <w:tcPr>
            <w:tcW w:type="dxa" w:w="2520"/>
            <w:shd w:fill="F2F4F8" w:val="clear"/>
          </w:tcPr>
          <w:p>
            <w:r>
              <w:rPr>
                <w:rFonts w:ascii="Calibri" w:hAnsi="Calibri"/>
                <w:color w:val="333333"/>
                <w:sz w:val="18"/>
              </w:rPr>
              <w:t>$7.0B</w:t>
            </w:r>
          </w:p>
        </w:tc>
        <w:tc>
          <w:tcPr>
            <w:tcW w:type="dxa" w:w="2520"/>
            <w:shd w:fill="F2F4F8" w:val="clear"/>
            <w:shd w:fill="FFF3CD" w:val="clear"/>
          </w:tcPr>
          <w:p>
            <w:r>
              <w:rPr>
                <w:rFonts w:ascii="Calibri" w:hAnsi="Calibri"/>
                <w:color w:val="333333"/>
                <w:sz w:val="18"/>
              </w:rPr>
              <w:t>4.8%</w:t>
            </w:r>
          </w:p>
        </w:tc>
      </w:tr>
      <w:tr>
        <w:tc>
          <w:tcPr>
            <w:tcW w:type="dxa" w:w="2520"/>
          </w:tcPr>
          <w:p>
            <w:r>
              <w:rPr>
                <w:rFonts w:ascii="Calibri" w:hAnsi="Calibri"/>
                <w:color w:val="333333"/>
                <w:sz w:val="18"/>
              </w:rPr>
              <w:t>Earnings before interest and taxes (EBIT)</w:t>
            </w:r>
          </w:p>
        </w:tc>
        <w:tc>
          <w:tcPr>
            <w:tcW w:type="dxa" w:w="2520"/>
          </w:tcPr>
          <w:p>
            <w:r>
              <w:rPr>
                <w:rFonts w:ascii="Calibri" w:hAnsi="Calibri"/>
                <w:color w:val="333333"/>
                <w:sz w:val="18"/>
              </w:rPr>
              <w:t>$13.1B</w:t>
            </w:r>
          </w:p>
        </w:tc>
        <w:tc>
          <w:tcPr>
            <w:tcW w:type="dxa" w:w="2520"/>
          </w:tcPr>
          <w:p>
            <w:r>
              <w:rPr>
                <w:rFonts w:ascii="Calibri" w:hAnsi="Calibri"/>
                <w:color w:val="333333"/>
                <w:sz w:val="18"/>
              </w:rPr>
              <w:t>$11.2B</w:t>
            </w:r>
          </w:p>
        </w:tc>
        <w:tc>
          <w:tcPr>
            <w:tcW w:type="dxa" w:w="2520"/>
            <w:shd w:fill="FCE8E6" w:val="clear"/>
          </w:tcPr>
          <w:p>
            <w:r>
              <w:rPr>
                <w:rFonts w:ascii="Calibri" w:hAnsi="Calibri"/>
                <w:color w:val="333333"/>
                <w:sz w:val="18"/>
              </w:rPr>
              <w:t>-14.7%</w:t>
            </w:r>
          </w:p>
        </w:tc>
      </w:tr>
      <w:tr>
        <w:tc>
          <w:tcPr>
            <w:tcW w:type="dxa" w:w="2520"/>
            <w:shd w:fill="F2F4F8" w:val="clear"/>
          </w:tcPr>
          <w:p>
            <w:r>
              <w:rPr>
                <w:rFonts w:ascii="Calibri" w:hAnsi="Calibri"/>
                <w:color w:val="333333"/>
                <w:sz w:val="18"/>
              </w:rPr>
              <w:t>Weighted average shares outstanding (basic)</w:t>
            </w:r>
          </w:p>
        </w:tc>
        <w:tc>
          <w:tcPr>
            <w:tcW w:type="dxa" w:w="2520"/>
            <w:shd w:fill="F2F4F8" w:val="clear"/>
          </w:tcPr>
          <w:p>
            <w:r>
              <w:rPr>
                <w:rFonts w:ascii="Calibri" w:hAnsi="Calibri"/>
                <w:color w:val="333333"/>
                <w:sz w:val="18"/>
              </w:rPr>
              <w:t>486.7M</w:t>
            </w:r>
          </w:p>
        </w:tc>
        <w:tc>
          <w:tcPr>
            <w:tcW w:type="dxa" w:w="2520"/>
            <w:shd w:fill="F2F4F8" w:val="clear"/>
          </w:tcPr>
          <w:p>
            <w:r>
              <w:rPr>
                <w:rFonts w:ascii="Calibri" w:hAnsi="Calibri"/>
                <w:color w:val="333333"/>
                <w:sz w:val="18"/>
              </w:rPr>
              <w:t>470.0M</w:t>
            </w:r>
          </w:p>
        </w:tc>
        <w:tc>
          <w:tcPr>
            <w:tcW w:type="dxa" w:w="2520"/>
            <w:shd w:fill="F2F4F8" w:val="clear"/>
            <w:shd w:fill="FFF3CD" w:val="clear"/>
          </w:tcPr>
          <w:p>
            <w:r>
              <w:rPr>
                <w:rFonts w:ascii="Calibri" w:hAnsi="Calibri"/>
                <w:color w:val="333333"/>
                <w:sz w:val="18"/>
              </w:rPr>
              <w:t>-3.4%</w:t>
            </w:r>
          </w:p>
        </w:tc>
      </w:tr>
      <w:tr>
        <w:tc>
          <w:tcPr>
            <w:tcW w:type="dxa" w:w="2520"/>
          </w:tcPr>
          <w:p>
            <w:r>
              <w:rPr>
                <w:rFonts w:ascii="Calibri" w:hAnsi="Calibri"/>
                <w:color w:val="333333"/>
                <w:sz w:val="18"/>
              </w:rPr>
              <w:t>Weighted average shares outstanding (diluted)</w:t>
            </w:r>
          </w:p>
        </w:tc>
        <w:tc>
          <w:tcPr>
            <w:tcW w:type="dxa" w:w="2520"/>
          </w:tcPr>
          <w:p>
            <w:r>
              <w:rPr>
                <w:rFonts w:ascii="Calibri" w:hAnsi="Calibri"/>
                <w:color w:val="333333"/>
                <w:sz w:val="18"/>
              </w:rPr>
              <w:t>489.4M</w:t>
            </w:r>
          </w:p>
        </w:tc>
        <w:tc>
          <w:tcPr>
            <w:tcW w:type="dxa" w:w="2520"/>
          </w:tcPr>
          <w:p>
            <w:r>
              <w:rPr>
                <w:rFonts w:ascii="Calibri" w:hAnsi="Calibri"/>
                <w:color w:val="333333"/>
                <w:sz w:val="18"/>
              </w:rPr>
              <w:t>472.3M</w:t>
            </w:r>
          </w:p>
        </w:tc>
        <w:tc>
          <w:tcPr>
            <w:tcW w:type="dxa" w:w="2520"/>
            <w:shd w:fill="FFF3CD" w:val="clear"/>
          </w:tcPr>
          <w:p>
            <w:r>
              <w:rPr>
                <w:rFonts w:ascii="Calibri" w:hAnsi="Calibri"/>
                <w:color w:val="333333"/>
                <w:sz w:val="18"/>
              </w:rPr>
              <w:t>-3.5%</w:t>
            </w:r>
          </w:p>
        </w:tc>
      </w:tr>
      <w:tr>
        <w:tc>
          <w:tcPr>
            <w:tcW w:type="dxa" w:w="2520"/>
            <w:shd w:fill="F2F4F8" w:val="clear"/>
          </w:tcPr>
          <w:p>
            <w:r>
              <w:rPr>
                <w:rFonts w:ascii="Calibri" w:hAnsi="Calibri"/>
                <w:color w:val="333333"/>
                <w:sz w:val="18"/>
              </w:rPr>
              <w:t>Total comprehensive income / loss</w:t>
            </w:r>
          </w:p>
        </w:tc>
        <w:tc>
          <w:tcPr>
            <w:tcW w:type="dxa" w:w="2520"/>
            <w:shd w:fill="F2F4F8" w:val="clear"/>
          </w:tcPr>
          <w:p>
            <w:r>
              <w:rPr>
                <w:rFonts w:ascii="Calibri" w:hAnsi="Calibri"/>
                <w:color w:val="333333"/>
                <w:sz w:val="18"/>
              </w:rPr>
              <w:t>$10.1B</w:t>
            </w:r>
          </w:p>
        </w:tc>
        <w:tc>
          <w:tcPr>
            <w:tcW w:type="dxa" w:w="2520"/>
            <w:shd w:fill="F2F4F8" w:val="clear"/>
          </w:tcPr>
          <w:p>
            <w:r>
              <w:rPr>
                <w:rFonts w:ascii="Calibri" w:hAnsi="Calibri"/>
                <w:color w:val="333333"/>
                <w:sz w:val="18"/>
              </w:rPr>
              <w:t>$9.6B</w:t>
            </w:r>
          </w:p>
        </w:tc>
        <w:tc>
          <w:tcPr>
            <w:tcW w:type="dxa" w:w="2520"/>
            <w:shd w:fill="F2F4F8" w:val="clear"/>
            <w:shd w:fill="FFF3CD" w:val="clear"/>
          </w:tcPr>
          <w:p>
            <w:r>
              <w:rPr>
                <w:rFonts w:ascii="Calibri" w:hAnsi="Calibri"/>
                <w:color w:val="333333"/>
                <w:sz w:val="18"/>
              </w:rPr>
              <w:t>-5.5%</w:t>
            </w:r>
          </w:p>
        </w:tc>
      </w:tr>
      <w:tr>
        <w:tc>
          <w:tcPr>
            <w:tcW w:type="dxa" w:w="2520"/>
          </w:tcPr>
          <w:p>
            <w:r>
              <w:rPr>
                <w:rFonts w:ascii="Calibri" w:hAnsi="Calibri"/>
                <w:color w:val="333333"/>
                <w:sz w:val="18"/>
              </w:rPr>
              <w:t>Other income / non-operating income</w:t>
            </w:r>
          </w:p>
        </w:tc>
        <w:tc>
          <w:tcPr>
            <w:tcW w:type="dxa" w:w="2520"/>
          </w:tcPr>
          <w:p>
            <w:r>
              <w:rPr>
                <w:rFonts w:ascii="Calibri" w:hAnsi="Calibri"/>
                <w:color w:val="333333"/>
                <w:sz w:val="18"/>
              </w:rPr>
              <w:t>$813.0M</w:t>
            </w:r>
          </w:p>
        </w:tc>
        <w:tc>
          <w:tcPr>
            <w:tcW w:type="dxa" w:w="2520"/>
          </w:tcPr>
          <w:p>
            <w:r>
              <w:rPr>
                <w:rFonts w:ascii="Calibri" w:hAnsi="Calibri"/>
                <w:color w:val="333333"/>
                <w:sz w:val="18"/>
              </w:rPr>
              <w:t>$892.0M</w:t>
            </w:r>
          </w:p>
        </w:tc>
        <w:tc>
          <w:tcPr>
            <w:tcW w:type="dxa" w:w="2520"/>
            <w:shd w:fill="FFF3CD" w:val="clear"/>
          </w:tcPr>
          <w:p>
            <w:r>
              <w:rPr>
                <w:rFonts w:ascii="Calibri" w:hAnsi="Calibri"/>
                <w:color w:val="333333"/>
                <w:sz w:val="18"/>
              </w:rPr>
              <w:t>9.7%</w:t>
            </w:r>
          </w:p>
        </w:tc>
      </w:tr>
      <w:tr>
        <w:tc>
          <w:tcPr>
            <w:tcW w:type="dxa" w:w="2520"/>
            <w:shd w:fill="F2F4F8" w:val="clear"/>
          </w:tcPr>
          <w:p>
            <w:r>
              <w:rPr>
                <w:rFonts w:ascii="Calibri" w:hAnsi="Calibri"/>
                <w:color w:val="333333"/>
                <w:sz w:val="18"/>
              </w:rPr>
              <w:t>Restructuring charges</w:t>
            </w:r>
          </w:p>
        </w:tc>
        <w:tc>
          <w:tcPr>
            <w:tcW w:type="dxa" w:w="2520"/>
            <w:shd w:fill="F2F4F8" w:val="clear"/>
          </w:tcPr>
          <w:p>
            <w:r>
              <w:rPr>
                <w:rFonts w:ascii="Calibri" w:hAnsi="Calibri"/>
                <w:color w:val="333333"/>
                <w:sz w:val="18"/>
              </w:rPr>
              <w:t>$359.0M</w:t>
            </w:r>
          </w:p>
        </w:tc>
        <w:tc>
          <w:tcPr>
            <w:tcW w:type="dxa" w:w="2520"/>
            <w:shd w:fill="F2F4F8" w:val="clear"/>
          </w:tcPr>
          <w:p>
            <w:r>
              <w:rPr>
                <w:rFonts w:ascii="Calibri" w:hAnsi="Calibri"/>
                <w:color w:val="333333"/>
                <w:sz w:val="18"/>
              </w:rPr>
              <w:t>$448.0M</w:t>
            </w:r>
          </w:p>
        </w:tc>
        <w:tc>
          <w:tcPr>
            <w:tcW w:type="dxa" w:w="2520"/>
            <w:shd w:fill="F2F4F8" w:val="clear"/>
            <w:shd w:fill="DCEEF8" w:val="clear"/>
          </w:tcPr>
          <w:p>
            <w:r>
              <w:rPr>
                <w:rFonts w:ascii="Calibri" w:hAnsi="Calibri"/>
                <w:color w:val="333333"/>
                <w:sz w:val="18"/>
              </w:rPr>
              <w:t>24.8%</w:t>
            </w:r>
          </w:p>
        </w:tc>
      </w:tr>
      <w:tr>
        <w:tc>
          <w:tcPr>
            <w:tcW w:type="dxa" w:w="2520"/>
          </w:tcPr>
          <w:p>
            <w:r>
              <w:rPr>
                <w:rFonts w:ascii="Calibri" w:hAnsi="Calibri"/>
                <w:color w:val="333333"/>
                <w:sz w:val="18"/>
              </w:rPr>
              <w:t>Impairment charges (goodwill, intangibles, long-lived assets)</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Income from operations</w:t>
            </w:r>
          </w:p>
        </w:tc>
        <w:tc>
          <w:tcPr>
            <w:tcW w:type="dxa" w:w="2520"/>
            <w:shd w:fill="F2F4F8" w:val="clear"/>
          </w:tcPr>
          <w:p>
            <w:r>
              <w:rPr>
                <w:rFonts w:ascii="Calibri" w:hAnsi="Calibri"/>
                <w:color w:val="333333"/>
                <w:sz w:val="18"/>
              </w:rPr>
              <w:t>$13.1B</w:t>
            </w:r>
          </w:p>
        </w:tc>
        <w:tc>
          <w:tcPr>
            <w:tcW w:type="dxa" w:w="2520"/>
            <w:shd w:fill="F2F4F8" w:val="clear"/>
          </w:tcPr>
          <w:p>
            <w:r>
              <w:rPr>
                <w:rFonts w:ascii="Calibri" w:hAnsi="Calibri"/>
                <w:color w:val="333333"/>
                <w:sz w:val="18"/>
              </w:rPr>
              <w:t>$11.2B</w:t>
            </w:r>
          </w:p>
        </w:tc>
        <w:tc>
          <w:tcPr>
            <w:tcW w:type="dxa" w:w="2520"/>
            <w:shd w:fill="F2F4F8" w:val="clear"/>
            <w:shd w:fill="FCE8E6" w:val="clear"/>
          </w:tcPr>
          <w:p>
            <w:r>
              <w:rPr>
                <w:rFonts w:ascii="Calibri" w:hAnsi="Calibri"/>
                <w:color w:val="333333"/>
                <w:sz w:val="18"/>
              </w:rPr>
              <w:t>-14.7%</w:t>
            </w:r>
          </w:p>
        </w:tc>
      </w:tr>
      <w:tr>
        <w:tc>
          <w:tcPr>
            <w:tcW w:type="dxa" w:w="2520"/>
          </w:tcPr>
          <w:p>
            <w:r>
              <w:rPr>
                <w:rFonts w:ascii="Calibri" w:hAnsi="Calibri"/>
                <w:color w:val="333333"/>
                <w:sz w:val="18"/>
              </w:rPr>
              <w:t>Pre-tax income</w:t>
            </w:r>
          </w:p>
        </w:tc>
        <w:tc>
          <w:tcPr>
            <w:tcW w:type="dxa" w:w="2520"/>
          </w:tcPr>
          <w:p>
            <w:r>
              <w:rPr>
                <w:rFonts w:ascii="Calibri" w:hAnsi="Calibri"/>
                <w:color w:val="333333"/>
                <w:sz w:val="18"/>
              </w:rPr>
              <w:t>$13.4B</w:t>
            </w:r>
          </w:p>
        </w:tc>
        <w:tc>
          <w:tcPr>
            <w:tcW w:type="dxa" w:w="2520"/>
          </w:tcPr>
          <w:p>
            <w:r>
              <w:rPr>
                <w:rFonts w:ascii="Calibri" w:hAnsi="Calibri"/>
                <w:color w:val="333333"/>
                <w:sz w:val="18"/>
              </w:rPr>
              <w:t>$11.5B</w:t>
            </w:r>
          </w:p>
        </w:tc>
        <w:tc>
          <w:tcPr>
            <w:tcW w:type="dxa" w:w="2520"/>
            <w:shd w:fill="FCE8E6" w:val="clear"/>
          </w:tcPr>
          <w:p>
            <w:r>
              <w:rPr>
                <w:rFonts w:ascii="Calibri" w:hAnsi="Calibri"/>
                <w:color w:val="333333"/>
                <w:sz w:val="18"/>
              </w:rPr>
              <w:t>-13.7%</w:t>
            </w:r>
          </w:p>
        </w:tc>
      </w:tr>
      <w:tr>
        <w:tc>
          <w:tcPr>
            <w:tcW w:type="dxa" w:w="2520"/>
            <w:shd w:fill="F2F4F8" w:val="clear"/>
          </w:tcPr>
          <w:p>
            <w:r>
              <w:rPr>
                <w:rFonts w:ascii="Calibri" w:hAnsi="Calibri"/>
                <w:color w:val="333333"/>
                <w:sz w:val="18"/>
              </w:rPr>
              <w:t>Stock-based compensation expense</w:t>
            </w:r>
          </w:p>
        </w:tc>
        <w:tc>
          <w:tcPr>
            <w:tcW w:type="dxa" w:w="2520"/>
            <w:shd w:fill="F2F4F8" w:val="clear"/>
          </w:tcPr>
          <w:p>
            <w:r>
              <w:rPr>
                <w:rFonts w:ascii="Calibri" w:hAnsi="Calibri"/>
                <w:color w:val="333333"/>
                <w:sz w:val="18"/>
              </w:rPr>
              <w:t>$223.0M</w:t>
            </w:r>
          </w:p>
        </w:tc>
        <w:tc>
          <w:tcPr>
            <w:tcW w:type="dxa" w:w="2520"/>
            <w:shd w:fill="F2F4F8" w:val="clear"/>
          </w:tcPr>
          <w:p>
            <w:r>
              <w:rPr>
                <w:rFonts w:ascii="Calibri" w:hAnsi="Calibri"/>
                <w:color w:val="333333"/>
                <w:sz w:val="18"/>
              </w:rPr>
              <w:t>$242.0M</w:t>
            </w:r>
          </w:p>
        </w:tc>
        <w:tc>
          <w:tcPr>
            <w:tcW w:type="dxa" w:w="2520"/>
            <w:shd w:fill="F2F4F8" w:val="clear"/>
            <w:shd w:fill="FFF3CD" w:val="clear"/>
          </w:tcPr>
          <w:p>
            <w:r>
              <w:rPr>
                <w:rFonts w:ascii="Calibri" w:hAnsi="Calibri"/>
                <w:color w:val="333333"/>
                <w:sz w:val="18"/>
              </w:rPr>
              <w:t>8.5%</w:t>
            </w:r>
          </w:p>
        </w:tc>
      </w:tr>
      <w:tr>
        <w:tc>
          <w:tcPr>
            <w:tcW w:type="dxa" w:w="2520"/>
          </w:tcPr>
          <w:p>
            <w:r>
              <w:rPr>
                <w:rFonts w:ascii="Calibri" w:hAnsi="Calibri"/>
                <w:color w:val="333333"/>
                <w:sz w:val="18"/>
              </w:rPr>
              <w:t>Income before income taxes</w:t>
            </w:r>
          </w:p>
        </w:tc>
        <w:tc>
          <w:tcPr>
            <w:tcW w:type="dxa" w:w="2520"/>
          </w:tcPr>
          <w:p>
            <w:r>
              <w:rPr>
                <w:rFonts w:ascii="Calibri" w:hAnsi="Calibri"/>
                <w:color w:val="333333"/>
                <w:sz w:val="18"/>
              </w:rPr>
              <w:t>$13.4B</w:t>
            </w:r>
          </w:p>
        </w:tc>
        <w:tc>
          <w:tcPr>
            <w:tcW w:type="dxa" w:w="2520"/>
          </w:tcPr>
          <w:p>
            <w:r>
              <w:rPr>
                <w:rFonts w:ascii="Calibri" w:hAnsi="Calibri"/>
                <w:color w:val="333333"/>
                <w:sz w:val="18"/>
              </w:rPr>
              <w:t>$11.5B</w:t>
            </w:r>
          </w:p>
        </w:tc>
        <w:tc>
          <w:tcPr>
            <w:tcW w:type="dxa" w:w="2520"/>
            <w:shd w:fill="FCE8E6" w:val="clear"/>
          </w:tcPr>
          <w:p>
            <w:r>
              <w:rPr>
                <w:rFonts w:ascii="Calibri" w:hAnsi="Calibri"/>
                <w:color w:val="333333"/>
                <w:sz w:val="18"/>
              </w:rPr>
              <w:t>-13.7%</w:t>
            </w:r>
          </w:p>
        </w:tc>
      </w:tr>
      <w:tr>
        <w:tc>
          <w:tcPr>
            <w:tcW w:type="dxa" w:w="2520"/>
            <w:shd w:fill="F2F4F8" w:val="clear"/>
          </w:tcPr>
          <w:p>
            <w:r>
              <w:rPr>
                <w:rFonts w:ascii="Calibri" w:hAnsi="Calibri"/>
                <w:color w:val="333333"/>
                <w:sz w:val="18"/>
              </w:rPr>
              <w:t>Gain/loss on sale of assets</w:t>
            </w:r>
          </w:p>
        </w:tc>
        <w:tc>
          <w:tcPr>
            <w:tcW w:type="dxa" w:w="2520"/>
            <w:shd w:fill="F2F4F8" w:val="clear"/>
          </w:tcPr>
          <w:p>
            <w:r>
              <w:rPr>
                <w:rFonts w:ascii="Calibri" w:hAnsi="Calibri"/>
                <w:color w:val="333333"/>
                <w:sz w:val="18"/>
              </w:rPr>
              <w:t>$-586.0M</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Other comprehensive income/loss, net of tax</w:t>
            </w:r>
          </w:p>
        </w:tc>
        <w:tc>
          <w:tcPr>
            <w:tcW w:type="dxa" w:w="2520"/>
          </w:tcPr>
          <w:p>
            <w:r>
              <w:rPr>
                <w:rFonts w:ascii="Calibri" w:hAnsi="Calibri"/>
                <w:color w:val="333333"/>
                <w:sz w:val="18"/>
              </w:rPr>
              <w:t>$-651.0M</w:t>
            </w:r>
          </w:p>
        </w:tc>
        <w:tc>
          <w:tcPr>
            <w:tcW w:type="dxa" w:w="2520"/>
          </w:tcPr>
          <w:p>
            <w:r>
              <w:rPr>
                <w:rFonts w:ascii="Calibri" w:hAnsi="Calibri"/>
                <w:color w:val="333333"/>
                <w:sz w:val="18"/>
              </w:rPr>
              <w:t>$699.0M</w:t>
            </w:r>
          </w:p>
        </w:tc>
        <w:tc>
          <w:tcPr>
            <w:tcW w:type="dxa" w:w="2520"/>
            <w:shd w:fill="DCEEF8" w:val="clear"/>
          </w:tcPr>
          <w:p>
            <w:r>
              <w:rPr>
                <w:rFonts w:ascii="Calibri" w:hAnsi="Calibri"/>
                <w:color w:val="333333"/>
                <w:sz w:val="18"/>
              </w:rPr>
              <w:t>207.4%</w:t>
            </w:r>
          </w:p>
        </w:tc>
      </w:tr>
      <w:tr>
        <w:tc>
          <w:tcPr>
            <w:tcW w:type="dxa" w:w="2520"/>
            <w:shd w:fill="F2F4F8" w:val="clear"/>
          </w:tcPr>
          <w:p>
            <w:r>
              <w:rPr>
                <w:rFonts w:ascii="Calibri" w:hAnsi="Calibri"/>
                <w:color w:val="333333"/>
                <w:sz w:val="18"/>
              </w:rPr>
              <w:t>Total operating expenses</w:t>
            </w:r>
          </w:p>
        </w:tc>
        <w:tc>
          <w:tcPr>
            <w:tcW w:type="dxa" w:w="2520"/>
            <w:shd w:fill="F2F4F8" w:val="clear"/>
          </w:tcPr>
          <w:p>
            <w:r>
              <w:rPr>
                <w:rFonts w:ascii="Calibri" w:hAnsi="Calibri"/>
                <w:color w:val="333333"/>
                <w:sz w:val="18"/>
              </w:rPr>
              <w:t>$51.7B</w:t>
            </w:r>
          </w:p>
        </w:tc>
        <w:tc>
          <w:tcPr>
            <w:tcW w:type="dxa" w:w="2520"/>
            <w:shd w:fill="F2F4F8" w:val="clear"/>
          </w:tcPr>
          <w:p>
            <w:r>
              <w:rPr>
                <w:rFonts w:ascii="Calibri" w:hAnsi="Calibri"/>
                <w:color w:val="333333"/>
                <w:sz w:val="18"/>
              </w:rPr>
              <w:t>$56.4B</w:t>
            </w:r>
          </w:p>
        </w:tc>
        <w:tc>
          <w:tcPr>
            <w:tcW w:type="dxa" w:w="2520"/>
            <w:shd w:fill="F2F4F8" w:val="clear"/>
            <w:shd w:fill="FFF3CD" w:val="clear"/>
          </w:tcPr>
          <w:p>
            <w:r>
              <w:rPr>
                <w:rFonts w:ascii="Calibri" w:hAnsi="Calibri"/>
                <w:color w:val="333333"/>
                <w:sz w:val="18"/>
              </w:rPr>
              <w:t>9.1%</w:t>
            </w:r>
          </w:p>
        </w:tc>
      </w:tr>
      <w:tr>
        <w:tc>
          <w:tcPr>
            <w:tcW w:type="dxa" w:w="2520"/>
          </w:tcPr>
          <w:p>
            <w:r>
              <w:rPr>
                <w:rFonts w:ascii="Calibri" w:hAnsi="Calibri"/>
                <w:color w:val="333333"/>
                <w:sz w:val="18"/>
              </w:rPr>
              <w:t>Total costs and expenses</w:t>
            </w:r>
          </w:p>
        </w:tc>
        <w:tc>
          <w:tcPr>
            <w:tcW w:type="dxa" w:w="2520"/>
          </w:tcPr>
          <w:p>
            <w:r>
              <w:rPr>
                <w:rFonts w:ascii="Calibri" w:hAnsi="Calibri"/>
                <w:color w:val="333333"/>
                <w:sz w:val="18"/>
              </w:rPr>
              <w:t>$51.7B</w:t>
            </w:r>
          </w:p>
        </w:tc>
        <w:tc>
          <w:tcPr>
            <w:tcW w:type="dxa" w:w="2520"/>
          </w:tcPr>
          <w:p>
            <w:r>
              <w:rPr>
                <w:rFonts w:ascii="Calibri" w:hAnsi="Calibri"/>
                <w:color w:val="333333"/>
                <w:sz w:val="18"/>
              </w:rPr>
              <w:t>$56.4B</w:t>
            </w:r>
          </w:p>
        </w:tc>
        <w:tc>
          <w:tcPr>
            <w:tcW w:type="dxa" w:w="2520"/>
            <w:shd w:fill="FFF3CD" w:val="clear"/>
          </w:tcPr>
          <w:p>
            <w:r>
              <w:rPr>
                <w:rFonts w:ascii="Calibri" w:hAnsi="Calibri"/>
                <w:color w:val="333333"/>
                <w:sz w:val="18"/>
              </w:rPr>
              <w:t>9.1%</w:t>
            </w:r>
          </w:p>
        </w:tc>
      </w:tr>
      <w:tr>
        <w:tc>
          <w:tcPr>
            <w:tcW w:type="dxa" w:w="2520"/>
            <w:shd w:fill="F2F4F8" w:val="clear"/>
          </w:tcPr>
          <w:p>
            <w:r>
              <w:rPr>
                <w:rFonts w:ascii="Calibri" w:hAnsi="Calibri"/>
                <w:color w:val="333333"/>
                <w:sz w:val="18"/>
              </w:rPr>
              <w:t>Non-operating income / expense</w:t>
            </w:r>
          </w:p>
        </w:tc>
        <w:tc>
          <w:tcPr>
            <w:tcW w:type="dxa" w:w="2520"/>
            <w:shd w:fill="F2F4F8" w:val="clear"/>
          </w:tcPr>
          <w:p>
            <w:r>
              <w:rPr>
                <w:rFonts w:ascii="Calibri" w:hAnsi="Calibri"/>
                <w:color w:val="333333"/>
                <w:sz w:val="18"/>
              </w:rPr>
              <w:t>$813.0M</w:t>
            </w:r>
          </w:p>
        </w:tc>
        <w:tc>
          <w:tcPr>
            <w:tcW w:type="dxa" w:w="2520"/>
            <w:shd w:fill="F2F4F8" w:val="clear"/>
          </w:tcPr>
          <w:p>
            <w:r>
              <w:rPr>
                <w:rFonts w:ascii="Calibri" w:hAnsi="Calibri"/>
                <w:color w:val="333333"/>
                <w:sz w:val="18"/>
              </w:rPr>
              <w:t>$892.0M</w:t>
            </w:r>
          </w:p>
        </w:tc>
        <w:tc>
          <w:tcPr>
            <w:tcW w:type="dxa" w:w="2520"/>
            <w:shd w:fill="F2F4F8" w:val="clear"/>
            <w:shd w:fill="FFF3CD" w:val="clear"/>
          </w:tcPr>
          <w:p>
            <w:r>
              <w:rPr>
                <w:rFonts w:ascii="Calibri" w:hAnsi="Calibri"/>
                <w:color w:val="333333"/>
                <w:sz w:val="18"/>
              </w:rPr>
              <w:t>9.7%</w:t>
            </w:r>
          </w:p>
        </w:tc>
      </w:tr>
      <w:tr>
        <w:tc>
          <w:tcPr>
            <w:tcW w:type="dxa" w:w="2520"/>
          </w:tcPr>
          <w:p>
            <w:r>
              <w:rPr>
                <w:rFonts w:ascii="Calibri" w:hAnsi="Calibri"/>
                <w:color w:val="333333"/>
                <w:sz w:val="18"/>
              </w:rPr>
              <w:t>Litigation settlement amounts paid</w:t>
            </w:r>
          </w:p>
        </w:tc>
        <w:tc>
          <w:tcPr>
            <w:tcW w:type="dxa" w:w="2520"/>
          </w:tcPr>
          <w:p>
            <w:r>
              <w:rPr>
                <w:rFonts w:ascii="Calibri" w:hAnsi="Calibri"/>
                <w:color w:val="333333"/>
                <w:sz w:val="18"/>
              </w:rPr>
              <w:t>$205.3K</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Current federal income tax expense / benefit</w:t>
            </w:r>
          </w:p>
        </w:tc>
        <w:tc>
          <w:tcPr>
            <w:tcW w:type="dxa" w:w="2520"/>
            <w:shd w:fill="F2F4F8" w:val="clear"/>
          </w:tcPr>
          <w:p>
            <w:r>
              <w:rPr>
                <w:rFonts w:ascii="Calibri" w:hAnsi="Calibri"/>
                <w:color w:val="333333"/>
                <w:sz w:val="18"/>
              </w:rPr>
              <w:t>$1.6B</w:t>
            </w:r>
          </w:p>
        </w:tc>
        <w:tc>
          <w:tcPr>
            <w:tcW w:type="dxa" w:w="2520"/>
            <w:shd w:fill="F2F4F8" w:val="clear"/>
          </w:tcPr>
          <w:p>
            <w:r>
              <w:rPr>
                <w:rFonts w:ascii="Calibri" w:hAnsi="Calibri"/>
                <w:color w:val="333333"/>
                <w:sz w:val="18"/>
              </w:rPr>
              <w:t>$804.0M</w:t>
            </w:r>
          </w:p>
        </w:tc>
        <w:tc>
          <w:tcPr>
            <w:tcW w:type="dxa" w:w="2520"/>
            <w:shd w:fill="F2F4F8" w:val="clear"/>
            <w:shd w:fill="FCE8E6" w:val="clear"/>
          </w:tcPr>
          <w:p>
            <w:r>
              <w:rPr>
                <w:rFonts w:ascii="Calibri" w:hAnsi="Calibri"/>
                <w:color w:val="333333"/>
                <w:sz w:val="18"/>
              </w:rPr>
              <w:t>-49.2%</w:t>
            </w:r>
          </w:p>
        </w:tc>
      </w:tr>
      <w:tr>
        <w:tc>
          <w:tcPr>
            <w:tcW w:type="dxa" w:w="2520"/>
          </w:tcPr>
          <w:p>
            <w:r>
              <w:rPr>
                <w:rFonts w:ascii="Calibri" w:hAnsi="Calibri"/>
                <w:color w:val="333333"/>
                <w:sz w:val="18"/>
              </w:rPr>
              <w:t>Current state and local income tax expense / benefit</w:t>
            </w:r>
          </w:p>
        </w:tc>
        <w:tc>
          <w:tcPr>
            <w:tcW w:type="dxa" w:w="2520"/>
          </w:tcPr>
          <w:p>
            <w:r>
              <w:rPr>
                <w:rFonts w:ascii="Calibri" w:hAnsi="Calibri"/>
                <w:color w:val="333333"/>
                <w:sz w:val="18"/>
              </w:rPr>
              <w:t>$135.0M</w:t>
            </w:r>
          </w:p>
        </w:tc>
        <w:tc>
          <w:tcPr>
            <w:tcW w:type="dxa" w:w="2520"/>
          </w:tcPr>
          <w:p>
            <w:r>
              <w:rPr>
                <w:rFonts w:ascii="Calibri" w:hAnsi="Calibri"/>
                <w:color w:val="333333"/>
                <w:sz w:val="18"/>
              </w:rPr>
              <w:t>$109.0M</w:t>
            </w:r>
          </w:p>
        </w:tc>
        <w:tc>
          <w:tcPr>
            <w:tcW w:type="dxa" w:w="2520"/>
            <w:shd w:fill="FCE8E6" w:val="clear"/>
          </w:tcPr>
          <w:p>
            <w:r>
              <w:rPr>
                <w:rFonts w:ascii="Calibri" w:hAnsi="Calibri"/>
                <w:color w:val="333333"/>
                <w:sz w:val="18"/>
              </w:rPr>
              <w:t>-19.3%</w:t>
            </w:r>
          </w:p>
        </w:tc>
      </w:tr>
      <w:tr>
        <w:tc>
          <w:tcPr>
            <w:tcW w:type="dxa" w:w="2520"/>
            <w:shd w:fill="F2F4F8" w:val="clear"/>
          </w:tcPr>
          <w:p>
            <w:r>
              <w:rPr>
                <w:rFonts w:ascii="Calibri" w:hAnsi="Calibri"/>
                <w:color w:val="333333"/>
                <w:sz w:val="18"/>
              </w:rPr>
              <w:t>Current foreign income tax expense / benefit</w:t>
            </w:r>
          </w:p>
        </w:tc>
        <w:tc>
          <w:tcPr>
            <w:tcW w:type="dxa" w:w="2520"/>
            <w:shd w:fill="F2F4F8" w:val="clear"/>
          </w:tcPr>
          <w:p>
            <w:r>
              <w:rPr>
                <w:rFonts w:ascii="Calibri" w:hAnsi="Calibri"/>
                <w:color w:val="333333"/>
                <w:sz w:val="18"/>
              </w:rPr>
              <w:t>$1.5B</w:t>
            </w:r>
          </w:p>
        </w:tc>
        <w:tc>
          <w:tcPr>
            <w:tcW w:type="dxa" w:w="2520"/>
            <w:shd w:fill="F2F4F8" w:val="clear"/>
          </w:tcPr>
          <w:p>
            <w:r>
              <w:rPr>
                <w:rFonts w:ascii="Calibri" w:hAnsi="Calibri"/>
                <w:color w:val="333333"/>
                <w:sz w:val="18"/>
              </w:rPr>
              <w:t>$1.4B</w:t>
            </w:r>
          </w:p>
        </w:tc>
        <w:tc>
          <w:tcPr>
            <w:tcW w:type="dxa" w:w="2520"/>
            <w:shd w:fill="F2F4F8" w:val="clear"/>
            <w:shd w:fill="FFF3CD" w:val="clear"/>
          </w:tcPr>
          <w:p>
            <w:r>
              <w:rPr>
                <w:rFonts w:ascii="Calibri" w:hAnsi="Calibri"/>
                <w:color w:val="333333"/>
                <w:sz w:val="18"/>
              </w:rPr>
              <w:t>-9.2%</w:t>
            </w:r>
          </w:p>
        </w:tc>
      </w:tr>
      <w:tr>
        <w:tc>
          <w:tcPr>
            <w:tcW w:type="dxa" w:w="2520"/>
          </w:tcPr>
          <w:p>
            <w:r>
              <w:rPr>
                <w:rFonts w:ascii="Calibri" w:hAnsi="Calibri"/>
                <w:color w:val="333333"/>
                <w:sz w:val="18"/>
              </w:rPr>
              <w:t>Deferred federal income tax expense / benefit</w:t>
            </w:r>
          </w:p>
        </w:tc>
        <w:tc>
          <w:tcPr>
            <w:tcW w:type="dxa" w:w="2520"/>
          </w:tcPr>
          <w:p>
            <w:r>
              <w:rPr>
                <w:rFonts w:ascii="Calibri" w:hAnsi="Calibri"/>
                <w:color w:val="333333"/>
                <w:sz w:val="18"/>
              </w:rPr>
              <w:t>$-553.0M</w:t>
            </w:r>
          </w:p>
        </w:tc>
        <w:tc>
          <w:tcPr>
            <w:tcW w:type="dxa" w:w="2520"/>
          </w:tcPr>
          <w:p>
            <w:r>
              <w:rPr>
                <w:rFonts w:ascii="Calibri" w:hAnsi="Calibri"/>
                <w:color w:val="333333"/>
                <w:sz w:val="18"/>
              </w:rPr>
              <w:t>$393.0M</w:t>
            </w:r>
          </w:p>
        </w:tc>
        <w:tc>
          <w:tcPr>
            <w:tcW w:type="dxa" w:w="2520"/>
            <w:shd w:fill="DCEEF8" w:val="clear"/>
          </w:tcPr>
          <w:p>
            <w:r>
              <w:rPr>
                <w:rFonts w:ascii="Calibri" w:hAnsi="Calibri"/>
                <w:color w:val="333333"/>
                <w:sz w:val="18"/>
              </w:rPr>
              <w:t>171.1%</w:t>
            </w:r>
          </w:p>
        </w:tc>
      </w:tr>
      <w:tr>
        <w:tc>
          <w:tcPr>
            <w:tcW w:type="dxa" w:w="2520"/>
            <w:shd w:fill="F2F4F8" w:val="clear"/>
          </w:tcPr>
          <w:p>
            <w:r>
              <w:rPr>
                <w:rFonts w:ascii="Calibri" w:hAnsi="Calibri"/>
                <w:color w:val="333333"/>
                <w:sz w:val="18"/>
              </w:rPr>
              <w:t>Deferred state and local income tax expense / benefit</w:t>
            </w:r>
          </w:p>
        </w:tc>
        <w:tc>
          <w:tcPr>
            <w:tcW w:type="dxa" w:w="2520"/>
            <w:shd w:fill="F2F4F8" w:val="clear"/>
          </w:tcPr>
          <w:p>
            <w:r>
              <w:rPr>
                <w:rFonts w:ascii="Calibri" w:hAnsi="Calibri"/>
                <w:color w:val="333333"/>
                <w:sz w:val="18"/>
              </w:rPr>
              <w:t>$1.0M</w:t>
            </w:r>
          </w:p>
        </w:tc>
        <w:tc>
          <w:tcPr>
            <w:tcW w:type="dxa" w:w="2520"/>
            <w:shd w:fill="F2F4F8" w:val="clear"/>
          </w:tcPr>
          <w:p>
            <w:r>
              <w:rPr>
                <w:rFonts w:ascii="Calibri" w:hAnsi="Calibri"/>
                <w:color w:val="333333"/>
                <w:sz w:val="18"/>
              </w:rPr>
              <w:t>$16.0M</w:t>
            </w:r>
          </w:p>
        </w:tc>
        <w:tc>
          <w:tcPr>
            <w:tcW w:type="dxa" w:w="2520"/>
            <w:shd w:fill="F2F4F8" w:val="clear"/>
            <w:shd w:fill="DCEEF8" w:val="clear"/>
          </w:tcPr>
          <w:p>
            <w:r>
              <w:rPr>
                <w:rFonts w:ascii="Calibri" w:hAnsi="Calibri"/>
                <w:color w:val="333333"/>
                <w:sz w:val="18"/>
              </w:rPr>
              <w:t>1500.0%</w:t>
            </w:r>
          </w:p>
        </w:tc>
      </w:tr>
      <w:tr>
        <w:tc>
          <w:tcPr>
            <w:tcW w:type="dxa" w:w="2520"/>
          </w:tcPr>
          <w:p>
            <w:r>
              <w:rPr>
                <w:rFonts w:ascii="Calibri" w:hAnsi="Calibri"/>
                <w:color w:val="333333"/>
                <w:sz w:val="18"/>
              </w:rPr>
              <w:t>Deferred foreign income tax expense / benefit</w:t>
            </w:r>
          </w:p>
        </w:tc>
        <w:tc>
          <w:tcPr>
            <w:tcW w:type="dxa" w:w="2520"/>
          </w:tcPr>
          <w:p>
            <w:r>
              <w:rPr>
                <w:rFonts w:ascii="Calibri" w:hAnsi="Calibri"/>
                <w:color w:val="333333"/>
                <w:sz w:val="18"/>
              </w:rPr>
              <w:t>$-69.0M</w:t>
            </w:r>
          </w:p>
        </w:tc>
        <w:tc>
          <w:tcPr>
            <w:tcW w:type="dxa" w:w="2520"/>
          </w:tcPr>
          <w:p>
            <w:r>
              <w:rPr>
                <w:rFonts w:ascii="Calibri" w:hAnsi="Calibri"/>
                <w:color w:val="333333"/>
                <w:sz w:val="18"/>
              </w:rPr>
              <w:t>$56.0M</w:t>
            </w:r>
          </w:p>
        </w:tc>
        <w:tc>
          <w:tcPr>
            <w:tcW w:type="dxa" w:w="2520"/>
            <w:shd w:fill="DCEEF8" w:val="clear"/>
          </w:tcPr>
          <w:p>
            <w:r>
              <w:rPr>
                <w:rFonts w:ascii="Calibri" w:hAnsi="Calibri"/>
                <w:color w:val="333333"/>
                <w:sz w:val="18"/>
              </w:rPr>
              <w:t>181.2%</w:t>
            </w:r>
          </w:p>
        </w:tc>
      </w:tr>
      <w:tr>
        <w:tc>
          <w:tcPr>
            <w:tcW w:type="dxa" w:w="2520"/>
            <w:shd w:fill="F2F4F8" w:val="clear"/>
          </w:tcPr>
          <w:p>
            <w:r>
              <w:rPr>
                <w:rFonts w:ascii="Calibri" w:hAnsi="Calibri"/>
                <w:color w:val="333333"/>
                <w:sz w:val="18"/>
              </w:rPr>
              <w:t>Goodwill impairment loss</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Litigation settlement amounts paid or awarded</w:t>
            </w:r>
          </w:p>
        </w:tc>
        <w:tc>
          <w:tcPr>
            <w:tcW w:type="dxa" w:w="2520"/>
          </w:tcPr>
          <w:p>
            <w:r>
              <w:rPr>
                <w:rFonts w:ascii="Calibri" w:hAnsi="Calibri"/>
                <w:color w:val="333333"/>
                <w:sz w:val="18"/>
              </w:rPr>
              <w:t>$205.3K</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Gross margin percentage</w:t>
            </w:r>
          </w:p>
        </w:tc>
        <w:tc>
          <w:tcPr>
            <w:tcW w:type="dxa" w:w="2520"/>
            <w:shd w:fill="F2F4F8" w:val="clear"/>
          </w:tcPr>
          <w:p>
            <w:r>
              <w:rPr>
                <w:rFonts w:ascii="Calibri" w:hAnsi="Calibri"/>
                <w:color w:val="333333"/>
                <w:sz w:val="18"/>
              </w:rPr>
              <w:t>38.0%</w:t>
            </w:r>
          </w:p>
        </w:tc>
        <w:tc>
          <w:tcPr>
            <w:tcW w:type="dxa" w:w="2520"/>
            <w:shd w:fill="F2F4F8" w:val="clear"/>
          </w:tcPr>
          <w:p>
            <w:r>
              <w:rPr>
                <w:rFonts w:ascii="Calibri" w:hAnsi="Calibri"/>
                <w:color w:val="333333"/>
                <w:sz w:val="18"/>
              </w:rPr>
              <w:t>33.8%</w:t>
            </w:r>
          </w:p>
        </w:tc>
        <w:tc>
          <w:tcPr>
            <w:tcW w:type="dxa" w:w="2520"/>
            <w:shd w:fill="F2F4F8" w:val="clear"/>
            <w:shd w:fill="FCE8E6" w:val="clear"/>
          </w:tcPr>
          <w:p>
            <w:r>
              <w:rPr>
                <w:rFonts w:ascii="Calibri" w:hAnsi="Calibri"/>
                <w:color w:val="333333"/>
                <w:sz w:val="18"/>
              </w:rPr>
              <w:t>-11.0%</w:t>
            </w:r>
          </w:p>
        </w:tc>
      </w:tr>
      <w:tr>
        <w:tc>
          <w:tcPr>
            <w:tcW w:type="dxa" w:w="2520"/>
          </w:tcPr>
          <w:p>
            <w:r>
              <w:rPr>
                <w:rFonts w:ascii="Calibri" w:hAnsi="Calibri"/>
                <w:color w:val="333333"/>
                <w:sz w:val="18"/>
              </w:rPr>
              <w:t>Operating margin percentage</w:t>
            </w:r>
          </w:p>
        </w:tc>
        <w:tc>
          <w:tcPr>
            <w:tcW w:type="dxa" w:w="2520"/>
          </w:tcPr>
          <w:p>
            <w:r>
              <w:rPr>
                <w:rFonts w:ascii="Calibri" w:hAnsi="Calibri"/>
                <w:color w:val="333333"/>
                <w:sz w:val="18"/>
              </w:rPr>
              <w:t>20.2%</w:t>
            </w:r>
          </w:p>
        </w:tc>
        <w:tc>
          <w:tcPr>
            <w:tcW w:type="dxa" w:w="2520"/>
          </w:tcPr>
          <w:p>
            <w:r>
              <w:rPr>
                <w:rFonts w:ascii="Calibri" w:hAnsi="Calibri"/>
                <w:color w:val="333333"/>
                <w:sz w:val="18"/>
              </w:rPr>
              <w:t>16.5%</w:t>
            </w:r>
          </w:p>
        </w:tc>
        <w:tc>
          <w:tcPr>
            <w:tcW w:type="dxa" w:w="2520"/>
            <w:shd w:fill="FCE8E6" w:val="clear"/>
          </w:tcPr>
          <w:p>
            <w:r>
              <w:rPr>
                <w:rFonts w:ascii="Calibri" w:hAnsi="Calibri"/>
                <w:color w:val="333333"/>
                <w:sz w:val="18"/>
              </w:rPr>
              <w:t>-18.2%</w:t>
            </w:r>
          </w:p>
        </w:tc>
      </w:tr>
      <w:tr>
        <w:tc>
          <w:tcPr>
            <w:tcW w:type="dxa" w:w="2520"/>
            <w:shd w:fill="F2F4F8" w:val="clear"/>
          </w:tcPr>
          <w:p>
            <w:r>
              <w:rPr>
                <w:rFonts w:ascii="Calibri" w:hAnsi="Calibri"/>
                <w:color w:val="333333"/>
                <w:sz w:val="18"/>
              </w:rPr>
              <w:t>Net margin percentage</w:t>
            </w:r>
          </w:p>
        </w:tc>
        <w:tc>
          <w:tcPr>
            <w:tcW w:type="dxa" w:w="2520"/>
            <w:shd w:fill="F2F4F8" w:val="clear"/>
          </w:tcPr>
          <w:p>
            <w:r>
              <w:rPr>
                <w:rFonts w:ascii="Calibri" w:hAnsi="Calibri"/>
                <w:color w:val="333333"/>
                <w:sz w:val="18"/>
              </w:rPr>
              <w:t>16.6%</w:t>
            </w:r>
          </w:p>
        </w:tc>
        <w:tc>
          <w:tcPr>
            <w:tcW w:type="dxa" w:w="2520"/>
            <w:shd w:fill="F2F4F8" w:val="clear"/>
          </w:tcPr>
          <w:p>
            <w:r>
              <w:rPr>
                <w:rFonts w:ascii="Calibri" w:hAnsi="Calibri"/>
                <w:color w:val="333333"/>
                <w:sz w:val="18"/>
              </w:rPr>
              <w:t>13.1%</w:t>
            </w:r>
          </w:p>
        </w:tc>
        <w:tc>
          <w:tcPr>
            <w:tcW w:type="dxa" w:w="2520"/>
            <w:shd w:fill="F2F4F8" w:val="clear"/>
            <w:shd w:fill="FCE8E6" w:val="clear"/>
          </w:tcPr>
          <w:p>
            <w:r>
              <w:rPr>
                <w:rFonts w:ascii="Calibri" w:hAnsi="Calibri"/>
                <w:color w:val="333333"/>
                <w:sz w:val="18"/>
              </w:rPr>
              <w:t>-21.1%</w:t>
            </w:r>
          </w:p>
        </w:tc>
      </w:tr>
      <w:tr>
        <w:tc>
          <w:tcPr>
            <w:tcW w:type="dxa" w:w="2520"/>
          </w:tcPr>
          <w:p>
            <w:r>
              <w:rPr>
                <w:rFonts w:ascii="Calibri" w:hAnsi="Calibri"/>
                <w:color w:val="333333"/>
                <w:sz w:val="18"/>
              </w:rPr>
              <w:t>EBITDA margin percentage</w:t>
            </w:r>
          </w:p>
        </w:tc>
        <w:tc>
          <w:tcPr>
            <w:tcW w:type="dxa" w:w="2520"/>
          </w:tcPr>
          <w:p>
            <w:r>
              <w:rPr>
                <w:rFonts w:ascii="Calibri" w:hAnsi="Calibri"/>
                <w:color w:val="333333"/>
                <w:sz w:val="18"/>
              </w:rPr>
              <w:t>23.5%</w:t>
            </w:r>
          </w:p>
        </w:tc>
        <w:tc>
          <w:tcPr>
            <w:tcW w:type="dxa" w:w="2520"/>
          </w:tcPr>
          <w:p>
            <w:r>
              <w:rPr>
                <w:rFonts w:ascii="Calibri" w:hAnsi="Calibri"/>
                <w:color w:val="333333"/>
                <w:sz w:val="18"/>
              </w:rPr>
              <w:t>19.8%</w:t>
            </w:r>
          </w:p>
        </w:tc>
        <w:tc>
          <w:tcPr>
            <w:tcW w:type="dxa" w:w="2520"/>
            <w:shd w:fill="FCE8E6" w:val="clear"/>
          </w:tcPr>
          <w:p>
            <w:r>
              <w:rPr>
                <w:rFonts w:ascii="Calibri" w:hAnsi="Calibri"/>
                <w:color w:val="333333"/>
                <w:sz w:val="18"/>
              </w:rPr>
              <w:t>-15.5%</w:t>
            </w:r>
          </w:p>
        </w:tc>
      </w:tr>
      <w:tr>
        <w:tc>
          <w:tcPr>
            <w:tcW w:type="dxa" w:w="2520"/>
            <w:shd w:fill="F2F4F8" w:val="clear"/>
          </w:tcPr>
          <w:p>
            <w:r>
              <w:rPr>
                <w:rFonts w:ascii="Calibri" w:hAnsi="Calibri"/>
                <w:color w:val="333333"/>
                <w:sz w:val="18"/>
              </w:rPr>
              <w:t>Effective tax rate</w:t>
            </w:r>
          </w:p>
        </w:tc>
        <w:tc>
          <w:tcPr>
            <w:tcW w:type="dxa" w:w="2520"/>
            <w:shd w:fill="F2F4F8" w:val="clear"/>
          </w:tcPr>
          <w:p>
            <w:r>
              <w:rPr>
                <w:rFonts w:ascii="Calibri" w:hAnsi="Calibri"/>
                <w:color w:val="333333"/>
                <w:sz w:val="18"/>
              </w:rPr>
              <w:t>$20</w:t>
            </w:r>
          </w:p>
        </w:tc>
        <w:tc>
          <w:tcPr>
            <w:tcW w:type="dxa" w:w="2520"/>
            <w:shd w:fill="F2F4F8" w:val="clear"/>
          </w:tcPr>
          <w:p>
            <w:r>
              <w:rPr>
                <w:rFonts w:ascii="Calibri" w:hAnsi="Calibri"/>
                <w:color w:val="333333"/>
                <w:sz w:val="18"/>
              </w:rPr>
              <w:t>$24</w:t>
            </w:r>
          </w:p>
        </w:tc>
        <w:tc>
          <w:tcPr>
            <w:tcW w:type="dxa" w:w="2520"/>
            <w:shd w:fill="F2F4F8" w:val="clear"/>
            <w:shd w:fill="DCEEF8" w:val="clear"/>
          </w:tcPr>
          <w:p>
            <w:r>
              <w:rPr>
                <w:rFonts w:ascii="Calibri" w:hAnsi="Calibri"/>
                <w:color w:val="333333"/>
                <w:sz w:val="18"/>
              </w:rPr>
              <w:t>22.0%</w:t>
            </w:r>
          </w:p>
        </w:tc>
      </w:tr>
      <w:tr>
        <w:tc>
          <w:tcPr>
            <w:tcW w:type="dxa" w:w="2520"/>
          </w:tcPr>
          <w:p>
            <w:r>
              <w:rPr>
                <w:rFonts w:ascii="Calibri" w:hAnsi="Calibri"/>
                <w:color w:val="333333"/>
                <w:sz w:val="18"/>
              </w:rPr>
              <w:t>Interest coverage ratio</w:t>
            </w:r>
          </w:p>
        </w:tc>
        <w:tc>
          <w:tcPr>
            <w:tcW w:type="dxa" w:w="2520"/>
          </w:tcPr>
          <w:p>
            <w:r>
              <w:rPr>
                <w:rFonts w:ascii="Calibri" w:hAnsi="Calibri"/>
                <w:color w:val="333333"/>
                <w:sz w:val="18"/>
              </w:rPr>
              <w:t>$8</w:t>
            </w:r>
          </w:p>
        </w:tc>
        <w:tc>
          <w:tcPr>
            <w:tcW w:type="dxa" w:w="2520"/>
          </w:tcPr>
          <w:p>
            <w:r>
              <w:rPr>
                <w:rFonts w:ascii="Calibri" w:hAnsi="Calibri"/>
                <w:color w:val="333333"/>
                <w:sz w:val="18"/>
              </w:rPr>
              <w:t>$6</w:t>
            </w:r>
          </w:p>
        </w:tc>
        <w:tc>
          <w:tcPr>
            <w:tcW w:type="dxa" w:w="2520"/>
            <w:shd w:fill="FCE8E6" w:val="clear"/>
          </w:tcPr>
          <w:p>
            <w:r>
              <w:rPr>
                <w:rFonts w:ascii="Calibri" w:hAnsi="Calibri"/>
                <w:color w:val="333333"/>
                <w:sz w:val="18"/>
              </w:rPr>
              <w:t>-19.5%</w:t>
            </w:r>
          </w:p>
        </w:tc>
      </w:tr>
    </w:tbl>
    <w:p>
      <w:pPr>
        <w:pStyle w:val="DOHeading2"/>
      </w:pPr>
      <w:r>
        <w:t>Balance Sheet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assets</w:t>
            </w:r>
          </w:p>
        </w:tc>
        <w:tc>
          <w:tcPr>
            <w:tcW w:type="dxa" w:w="2520"/>
          </w:tcPr>
          <w:p>
            <w:r>
              <w:rPr>
                <w:rFonts w:ascii="Calibri" w:hAnsi="Calibri"/>
                <w:color w:val="333333"/>
                <w:sz w:val="18"/>
              </w:rPr>
              <w:t>$87.8B</w:t>
            </w:r>
          </w:p>
        </w:tc>
        <w:tc>
          <w:tcPr>
            <w:tcW w:type="dxa" w:w="2520"/>
          </w:tcPr>
          <w:p>
            <w:r>
              <w:rPr>
                <w:rFonts w:ascii="Calibri" w:hAnsi="Calibri"/>
                <w:color w:val="333333"/>
                <w:sz w:val="18"/>
              </w:rPr>
              <w:t>$98.6B</w:t>
            </w:r>
          </w:p>
        </w:tc>
        <w:tc>
          <w:tcPr>
            <w:tcW w:type="dxa" w:w="2520"/>
            <w:shd w:fill="DCEEF8" w:val="clear"/>
          </w:tcPr>
          <w:p>
            <w:r>
              <w:rPr>
                <w:rFonts w:ascii="Calibri" w:hAnsi="Calibri"/>
                <w:color w:val="333333"/>
                <w:sz w:val="18"/>
              </w:rPr>
              <w:t>12.3%</w:t>
            </w:r>
          </w:p>
        </w:tc>
      </w:tr>
      <w:tr>
        <w:tc>
          <w:tcPr>
            <w:tcW w:type="dxa" w:w="2520"/>
            <w:shd w:fill="F2F4F8" w:val="clear"/>
          </w:tcPr>
          <w:p>
            <w:r>
              <w:rPr>
                <w:rFonts w:ascii="Calibri" w:hAnsi="Calibri"/>
                <w:color w:val="333333"/>
                <w:sz w:val="18"/>
              </w:rPr>
              <w:t>Total liabilities</w:t>
            </w:r>
          </w:p>
        </w:tc>
        <w:tc>
          <w:tcPr>
            <w:tcW w:type="dxa" w:w="2520"/>
            <w:shd w:fill="F2F4F8" w:val="clear"/>
          </w:tcPr>
          <w:p>
            <w:r>
              <w:rPr>
                <w:rFonts w:ascii="Calibri" w:hAnsi="Calibri"/>
                <w:color w:val="333333"/>
                <w:sz w:val="18"/>
              </w:rPr>
              <w:t>$68.3B</w:t>
            </w:r>
          </w:p>
        </w:tc>
        <w:tc>
          <w:tcPr>
            <w:tcW w:type="dxa" w:w="2520"/>
            <w:shd w:fill="F2F4F8" w:val="clear"/>
          </w:tcPr>
          <w:p>
            <w:r>
              <w:rPr>
                <w:rFonts w:ascii="Calibri" w:hAnsi="Calibri"/>
                <w:color w:val="333333"/>
                <w:sz w:val="18"/>
              </w:rPr>
              <w:t>$77.3B</w:t>
            </w:r>
          </w:p>
        </w:tc>
        <w:tc>
          <w:tcPr>
            <w:tcW w:type="dxa" w:w="2520"/>
            <w:shd w:fill="F2F4F8" w:val="clear"/>
            <w:shd w:fill="DCEEF8" w:val="clear"/>
          </w:tcPr>
          <w:p>
            <w:r>
              <w:rPr>
                <w:rFonts w:ascii="Calibri" w:hAnsi="Calibri"/>
                <w:color w:val="333333"/>
                <w:sz w:val="18"/>
              </w:rPr>
              <w:t>13.2%</w:t>
            </w:r>
          </w:p>
        </w:tc>
      </w:tr>
      <w:tr>
        <w:tc>
          <w:tcPr>
            <w:tcW w:type="dxa" w:w="2520"/>
          </w:tcPr>
          <w:p>
            <w:r>
              <w:rPr>
                <w:rFonts w:ascii="Calibri" w:hAnsi="Calibri"/>
                <w:color w:val="333333"/>
                <w:sz w:val="18"/>
              </w:rPr>
              <w:t>Total stockholders' equity</w:t>
            </w:r>
          </w:p>
        </w:tc>
        <w:tc>
          <w:tcPr>
            <w:tcW w:type="dxa" w:w="2520"/>
          </w:tcPr>
          <w:p>
            <w:r>
              <w:rPr>
                <w:rFonts w:ascii="Calibri" w:hAnsi="Calibri"/>
                <w:color w:val="333333"/>
                <w:sz w:val="18"/>
              </w:rPr>
              <w:t>$19.5B</w:t>
            </w:r>
          </w:p>
        </w:tc>
        <w:tc>
          <w:tcPr>
            <w:tcW w:type="dxa" w:w="2520"/>
          </w:tcPr>
          <w:p>
            <w:r>
              <w:rPr>
                <w:rFonts w:ascii="Calibri" w:hAnsi="Calibri"/>
                <w:color w:val="333333"/>
                <w:sz w:val="18"/>
              </w:rPr>
              <w:t>$21.3B</w:t>
            </w:r>
          </w:p>
        </w:tc>
        <w:tc>
          <w:tcPr>
            <w:tcW w:type="dxa" w:w="2520"/>
            <w:shd w:fill="FFF3CD" w:val="clear"/>
          </w:tcPr>
          <w:p>
            <w:r>
              <w:rPr>
                <w:rFonts w:ascii="Calibri" w:hAnsi="Calibri"/>
                <w:color w:val="333333"/>
                <w:sz w:val="18"/>
              </w:rPr>
              <w:t>9.4%</w:t>
            </w:r>
          </w:p>
        </w:tc>
      </w:tr>
      <w:tr>
        <w:tc>
          <w:tcPr>
            <w:tcW w:type="dxa" w:w="2520"/>
            <w:shd w:fill="F2F4F8" w:val="clear"/>
          </w:tcPr>
          <w:p>
            <w:r>
              <w:rPr>
                <w:rFonts w:ascii="Calibri" w:hAnsi="Calibri"/>
                <w:color w:val="333333"/>
                <w:sz w:val="18"/>
              </w:rPr>
              <w:t>Total current assets</w:t>
            </w:r>
          </w:p>
        </w:tc>
        <w:tc>
          <w:tcPr>
            <w:tcW w:type="dxa" w:w="2520"/>
            <w:shd w:fill="F2F4F8" w:val="clear"/>
          </w:tcPr>
          <w:p>
            <w:r>
              <w:rPr>
                <w:rFonts w:ascii="Calibri" w:hAnsi="Calibri"/>
                <w:color w:val="333333"/>
                <w:sz w:val="18"/>
              </w:rPr>
              <w:t>$45.7B</w:t>
            </w:r>
          </w:p>
        </w:tc>
        <w:tc>
          <w:tcPr>
            <w:tcW w:type="dxa" w:w="2520"/>
            <w:shd w:fill="F2F4F8" w:val="clear"/>
          </w:tcPr>
          <w:p>
            <w:r>
              <w:rPr>
                <w:rFonts w:ascii="Calibri" w:hAnsi="Calibri"/>
                <w:color w:val="333333"/>
                <w:sz w:val="18"/>
              </w:rPr>
              <w:t>$52.5B</w:t>
            </w:r>
          </w:p>
        </w:tc>
        <w:tc>
          <w:tcPr>
            <w:tcW w:type="dxa" w:w="2520"/>
            <w:shd w:fill="F2F4F8" w:val="clear"/>
            <w:shd w:fill="DCEEF8" w:val="clear"/>
          </w:tcPr>
          <w:p>
            <w:r>
              <w:rPr>
                <w:rFonts w:ascii="Calibri" w:hAnsi="Calibri"/>
                <w:color w:val="333333"/>
                <w:sz w:val="18"/>
              </w:rPr>
              <w:t>14.9%</w:t>
            </w:r>
          </w:p>
        </w:tc>
      </w:tr>
      <w:tr>
        <w:tc>
          <w:tcPr>
            <w:tcW w:type="dxa" w:w="2520"/>
          </w:tcPr>
          <w:p>
            <w:r>
              <w:rPr>
                <w:rFonts w:ascii="Calibri" w:hAnsi="Calibri"/>
                <w:color w:val="333333"/>
                <w:sz w:val="18"/>
              </w:rPr>
              <w:t>Total current liabilities</w:t>
            </w:r>
          </w:p>
        </w:tc>
        <w:tc>
          <w:tcPr>
            <w:tcW w:type="dxa" w:w="2520"/>
          </w:tcPr>
          <w:p>
            <w:r>
              <w:rPr>
                <w:rFonts w:ascii="Calibri" w:hAnsi="Calibri"/>
                <w:color w:val="333333"/>
                <w:sz w:val="18"/>
              </w:rPr>
              <w:t>$32.3B</w:t>
            </w:r>
          </w:p>
        </w:tc>
        <w:tc>
          <w:tcPr>
            <w:tcW w:type="dxa" w:w="2520"/>
          </w:tcPr>
          <w:p>
            <w:r>
              <w:rPr>
                <w:rFonts w:ascii="Calibri" w:hAnsi="Calibri"/>
                <w:color w:val="333333"/>
                <w:sz w:val="18"/>
              </w:rPr>
              <w:t>$36.6B</w:t>
            </w:r>
          </w:p>
        </w:tc>
        <w:tc>
          <w:tcPr>
            <w:tcW w:type="dxa" w:w="2520"/>
            <w:shd w:fill="DCEEF8" w:val="clear"/>
          </w:tcPr>
          <w:p>
            <w:r>
              <w:rPr>
                <w:rFonts w:ascii="Calibri" w:hAnsi="Calibri"/>
                <w:color w:val="333333"/>
                <w:sz w:val="18"/>
              </w:rPr>
              <w:t>13.3%</w:t>
            </w:r>
          </w:p>
        </w:tc>
      </w:tr>
      <w:tr>
        <w:tc>
          <w:tcPr>
            <w:tcW w:type="dxa" w:w="2520"/>
            <w:shd w:fill="F2F4F8" w:val="clear"/>
          </w:tcPr>
          <w:p>
            <w:r>
              <w:rPr>
                <w:rFonts w:ascii="Calibri" w:hAnsi="Calibri"/>
                <w:color w:val="333333"/>
                <w:sz w:val="18"/>
              </w:rPr>
              <w:t>Cash and cash equivalents</w:t>
            </w:r>
          </w:p>
        </w:tc>
        <w:tc>
          <w:tcPr>
            <w:tcW w:type="dxa" w:w="2520"/>
            <w:shd w:fill="F2F4F8" w:val="clear"/>
          </w:tcPr>
          <w:p>
            <w:r>
              <w:rPr>
                <w:rFonts w:ascii="Calibri" w:hAnsi="Calibri"/>
                <w:color w:val="333333"/>
                <w:sz w:val="18"/>
              </w:rPr>
              <w:t>$6.9B</w:t>
            </w:r>
          </w:p>
        </w:tc>
        <w:tc>
          <w:tcPr>
            <w:tcW w:type="dxa" w:w="2520"/>
            <w:shd w:fill="F2F4F8" w:val="clear"/>
          </w:tcPr>
          <w:p>
            <w:r>
              <w:rPr>
                <w:rFonts w:ascii="Calibri" w:hAnsi="Calibri"/>
                <w:color w:val="333333"/>
                <w:sz w:val="18"/>
              </w:rPr>
              <w:t>$10.0B</w:t>
            </w:r>
          </w:p>
        </w:tc>
        <w:tc>
          <w:tcPr>
            <w:tcW w:type="dxa" w:w="2520"/>
            <w:shd w:fill="F2F4F8" w:val="clear"/>
            <w:shd w:fill="DCEEF8" w:val="clear"/>
          </w:tcPr>
          <w:p>
            <w:r>
              <w:rPr>
                <w:rFonts w:ascii="Calibri" w:hAnsi="Calibri"/>
                <w:color w:val="333333"/>
                <w:sz w:val="18"/>
              </w:rPr>
              <w:t>44.9%</w:t>
            </w:r>
          </w:p>
        </w:tc>
      </w:tr>
      <w:tr>
        <w:tc>
          <w:tcPr>
            <w:tcW w:type="dxa" w:w="2520"/>
          </w:tcPr>
          <w:p>
            <w:r>
              <w:rPr>
                <w:rFonts w:ascii="Calibri" w:hAnsi="Calibri"/>
                <w:color w:val="333333"/>
                <w:sz w:val="18"/>
              </w:rPr>
              <w:t>Accounts receivable, net</w:t>
            </w:r>
          </w:p>
        </w:tc>
        <w:tc>
          <w:tcPr>
            <w:tcW w:type="dxa" w:w="2520"/>
          </w:tcPr>
          <w:p>
            <w:r>
              <w:rPr>
                <w:rFonts w:ascii="Calibri" w:hAnsi="Calibri"/>
                <w:color w:val="333333"/>
                <w:sz w:val="18"/>
              </w:rPr>
              <w:t>$9.3B</w:t>
            </w:r>
          </w:p>
        </w:tc>
        <w:tc>
          <w:tcPr>
            <w:tcW w:type="dxa" w:w="2520"/>
          </w:tcPr>
          <w:p>
            <w:r>
              <w:rPr>
                <w:rFonts w:ascii="Calibri" w:hAnsi="Calibri"/>
                <w:color w:val="333333"/>
                <w:sz w:val="18"/>
              </w:rPr>
              <w:t>$10.9B</w:t>
            </w:r>
          </w:p>
        </w:tc>
        <w:tc>
          <w:tcPr>
            <w:tcW w:type="dxa" w:w="2520"/>
            <w:shd w:fill="DCEEF8" w:val="clear"/>
          </w:tcPr>
          <w:p>
            <w:r>
              <w:rPr>
                <w:rFonts w:ascii="Calibri" w:hAnsi="Calibri"/>
                <w:color w:val="333333"/>
                <w:sz w:val="18"/>
              </w:rPr>
              <w:t>17.6%</w:t>
            </w:r>
          </w:p>
        </w:tc>
      </w:tr>
      <w:tr>
        <w:tc>
          <w:tcPr>
            <w:tcW w:type="dxa" w:w="2520"/>
            <w:shd w:fill="F2F4F8" w:val="clear"/>
          </w:tcPr>
          <w:p>
            <w:r>
              <w:rPr>
                <w:rFonts w:ascii="Calibri" w:hAnsi="Calibri"/>
                <w:color w:val="333333"/>
                <w:sz w:val="18"/>
              </w:rPr>
              <w:t>Inventory, net</w:t>
            </w:r>
          </w:p>
        </w:tc>
        <w:tc>
          <w:tcPr>
            <w:tcW w:type="dxa" w:w="2520"/>
            <w:shd w:fill="F2F4F8" w:val="clear"/>
          </w:tcPr>
          <w:p>
            <w:r>
              <w:rPr>
                <w:rFonts w:ascii="Calibri" w:hAnsi="Calibri"/>
                <w:color w:val="333333"/>
                <w:sz w:val="18"/>
              </w:rPr>
              <w:t>$16.8B</w:t>
            </w:r>
          </w:p>
        </w:tc>
        <w:tc>
          <w:tcPr>
            <w:tcW w:type="dxa" w:w="2520"/>
            <w:shd w:fill="F2F4F8" w:val="clear"/>
          </w:tcPr>
          <w:p>
            <w:r>
              <w:rPr>
                <w:rFonts w:ascii="Calibri" w:hAnsi="Calibri"/>
                <w:color w:val="333333"/>
                <w:sz w:val="18"/>
              </w:rPr>
              <w:t>$18.1B</w:t>
            </w:r>
          </w:p>
        </w:tc>
        <w:tc>
          <w:tcPr>
            <w:tcW w:type="dxa" w:w="2520"/>
            <w:shd w:fill="F2F4F8" w:val="clear"/>
            <w:shd w:fill="FFF3CD" w:val="clear"/>
          </w:tcPr>
          <w:p>
            <w:r>
              <w:rPr>
                <w:rFonts w:ascii="Calibri" w:hAnsi="Calibri"/>
                <w:color w:val="333333"/>
                <w:sz w:val="18"/>
              </w:rPr>
              <w:t>7.8%</w:t>
            </w:r>
          </w:p>
        </w:tc>
      </w:tr>
      <w:tr>
        <w:tc>
          <w:tcPr>
            <w:tcW w:type="dxa" w:w="2520"/>
          </w:tcPr>
          <w:p>
            <w:r>
              <w:rPr>
                <w:rFonts w:ascii="Calibri" w:hAnsi="Calibri"/>
                <w:color w:val="333333"/>
                <w:sz w:val="18"/>
              </w:rPr>
              <w:t>Property, plant and equipment, net</w:t>
            </w:r>
          </w:p>
        </w:tc>
        <w:tc>
          <w:tcPr>
            <w:tcW w:type="dxa" w:w="2520"/>
          </w:tcPr>
          <w:p>
            <w:r>
              <w:rPr>
                <w:rFonts w:ascii="Calibri" w:hAnsi="Calibri"/>
                <w:color w:val="333333"/>
                <w:sz w:val="18"/>
              </w:rPr>
              <w:t>$13.4B</w:t>
            </w:r>
          </w:p>
        </w:tc>
        <w:tc>
          <w:tcPr>
            <w:tcW w:type="dxa" w:w="2520"/>
          </w:tcPr>
          <w:p>
            <w:r>
              <w:rPr>
                <w:rFonts w:ascii="Calibri" w:hAnsi="Calibri"/>
                <w:color w:val="333333"/>
                <w:sz w:val="18"/>
              </w:rPr>
              <w:t>$15.1B</w:t>
            </w:r>
          </w:p>
        </w:tc>
        <w:tc>
          <w:tcPr>
            <w:tcW w:type="dxa" w:w="2520"/>
            <w:shd w:fill="DCEEF8" w:val="clear"/>
          </w:tcPr>
          <w:p>
            <w:r>
              <w:rPr>
                <w:rFonts w:ascii="Calibri" w:hAnsi="Calibri"/>
                <w:color w:val="333333"/>
                <w:sz w:val="18"/>
              </w:rPr>
              <w:t>13.3%</w:t>
            </w:r>
          </w:p>
        </w:tc>
      </w:tr>
      <w:tr>
        <w:tc>
          <w:tcPr>
            <w:tcW w:type="dxa" w:w="2520"/>
            <w:shd w:fill="F2F4F8" w:val="clear"/>
          </w:tcPr>
          <w:p>
            <w:r>
              <w:rPr>
                <w:rFonts w:ascii="Calibri" w:hAnsi="Calibri"/>
                <w:color w:val="333333"/>
                <w:sz w:val="18"/>
              </w:rPr>
              <w:t>Goodwill</w:t>
            </w:r>
          </w:p>
        </w:tc>
        <w:tc>
          <w:tcPr>
            <w:tcW w:type="dxa" w:w="2520"/>
            <w:shd w:fill="F2F4F8" w:val="clear"/>
          </w:tcPr>
          <w:p>
            <w:r>
              <w:rPr>
                <w:rFonts w:ascii="Calibri" w:hAnsi="Calibri"/>
                <w:color w:val="333333"/>
                <w:sz w:val="18"/>
              </w:rPr>
              <w:t>$5.2B</w:t>
            </w:r>
          </w:p>
        </w:tc>
        <w:tc>
          <w:tcPr>
            <w:tcW w:type="dxa" w:w="2520"/>
            <w:shd w:fill="F2F4F8" w:val="clear"/>
          </w:tcPr>
          <w:p>
            <w:r>
              <w:rPr>
                <w:rFonts w:ascii="Calibri" w:hAnsi="Calibri"/>
                <w:color w:val="333333"/>
                <w:sz w:val="18"/>
              </w:rPr>
              <w:t>$5.3B</w:t>
            </w:r>
          </w:p>
        </w:tc>
        <w:tc>
          <w:tcPr>
            <w:tcW w:type="dxa" w:w="2520"/>
            <w:shd w:fill="F2F4F8" w:val="clear"/>
            <w:shd w:fill="FFF3CD" w:val="clear"/>
          </w:tcPr>
          <w:p>
            <w:r>
              <w:rPr>
                <w:rFonts w:ascii="Calibri" w:hAnsi="Calibri"/>
                <w:color w:val="333333"/>
                <w:sz w:val="18"/>
              </w:rPr>
              <w:t>1.5%</w:t>
            </w:r>
          </w:p>
        </w:tc>
      </w:tr>
      <w:tr>
        <w:tc>
          <w:tcPr>
            <w:tcW w:type="dxa" w:w="2520"/>
          </w:tcPr>
          <w:p>
            <w:r>
              <w:rPr>
                <w:rFonts w:ascii="Calibri" w:hAnsi="Calibri"/>
                <w:color w:val="333333"/>
                <w:sz w:val="18"/>
              </w:rPr>
              <w:t>Intangible assets, net (excluding goodwill)</w:t>
            </w:r>
          </w:p>
        </w:tc>
        <w:tc>
          <w:tcPr>
            <w:tcW w:type="dxa" w:w="2520"/>
          </w:tcPr>
          <w:p>
            <w:r>
              <w:rPr>
                <w:rFonts w:ascii="Calibri" w:hAnsi="Calibri"/>
                <w:color w:val="333333"/>
                <w:sz w:val="18"/>
              </w:rPr>
              <w:t>$399.0M</w:t>
            </w:r>
          </w:p>
        </w:tc>
        <w:tc>
          <w:tcPr>
            <w:tcW w:type="dxa" w:w="2520"/>
          </w:tcPr>
          <w:p>
            <w:r>
              <w:rPr>
                <w:rFonts w:ascii="Calibri" w:hAnsi="Calibri"/>
                <w:color w:val="333333"/>
                <w:sz w:val="18"/>
              </w:rPr>
              <w:t>$241.0M</w:t>
            </w:r>
          </w:p>
        </w:tc>
        <w:tc>
          <w:tcPr>
            <w:tcW w:type="dxa" w:w="2520"/>
            <w:shd w:fill="FCE8E6" w:val="clear"/>
          </w:tcPr>
          <w:p>
            <w:r>
              <w:rPr>
                <w:rFonts w:ascii="Calibri" w:hAnsi="Calibri"/>
                <w:color w:val="333333"/>
                <w:sz w:val="18"/>
              </w:rPr>
              <w:t>-39.6%</w:t>
            </w:r>
          </w:p>
        </w:tc>
      </w:tr>
      <w:tr>
        <w:tc>
          <w:tcPr>
            <w:tcW w:type="dxa" w:w="2520"/>
            <w:shd w:fill="F2F4F8" w:val="clear"/>
          </w:tcPr>
          <w:p>
            <w:r>
              <w:rPr>
                <w:rFonts w:ascii="Calibri" w:hAnsi="Calibri"/>
                <w:color w:val="333333"/>
                <w:sz w:val="18"/>
              </w:rPr>
              <w:t>Long-term debt, non-current</w:t>
            </w:r>
          </w:p>
        </w:tc>
        <w:tc>
          <w:tcPr>
            <w:tcW w:type="dxa" w:w="2520"/>
            <w:shd w:fill="F2F4F8" w:val="clear"/>
          </w:tcPr>
          <w:p>
            <w:r>
              <w:rPr>
                <w:rFonts w:ascii="Calibri" w:hAnsi="Calibri"/>
                <w:color w:val="333333"/>
                <w:sz w:val="18"/>
              </w:rPr>
              <w:t>$27.4B</w:t>
            </w:r>
          </w:p>
        </w:tc>
        <w:tc>
          <w:tcPr>
            <w:tcW w:type="dxa" w:w="2520"/>
            <w:shd w:fill="F2F4F8" w:val="clear"/>
          </w:tcPr>
          <w:p>
            <w:r>
              <w:rPr>
                <w:rFonts w:ascii="Calibri" w:hAnsi="Calibri"/>
                <w:color w:val="333333"/>
                <w:sz w:val="18"/>
              </w:rPr>
              <w:t>$30.7B</w:t>
            </w:r>
          </w:p>
        </w:tc>
        <w:tc>
          <w:tcPr>
            <w:tcW w:type="dxa" w:w="2520"/>
            <w:shd w:fill="F2F4F8" w:val="clear"/>
            <w:shd w:fill="DCEEF8" w:val="clear"/>
          </w:tcPr>
          <w:p>
            <w:r>
              <w:rPr>
                <w:rFonts w:ascii="Calibri" w:hAnsi="Calibri"/>
                <w:color w:val="333333"/>
                <w:sz w:val="18"/>
              </w:rPr>
              <w:t>12.2%</w:t>
            </w:r>
          </w:p>
        </w:tc>
      </w:tr>
      <w:tr>
        <w:tc>
          <w:tcPr>
            <w:tcW w:type="dxa" w:w="2520"/>
          </w:tcPr>
          <w:p>
            <w:r>
              <w:rPr>
                <w:rFonts w:ascii="Calibri" w:hAnsi="Calibri"/>
                <w:color w:val="333333"/>
                <w:sz w:val="18"/>
              </w:rPr>
              <w:t>Short-term debt / current portion of long-term debt</w:t>
            </w:r>
          </w:p>
        </w:tc>
        <w:tc>
          <w:tcPr>
            <w:tcW w:type="dxa" w:w="2520"/>
          </w:tcPr>
          <w:p>
            <w:r>
              <w:rPr>
                <w:rFonts w:ascii="Calibri" w:hAnsi="Calibri"/>
                <w:color w:val="333333"/>
                <w:sz w:val="18"/>
              </w:rPr>
              <w:t>$4.4B</w:t>
            </w:r>
          </w:p>
        </w:tc>
        <w:tc>
          <w:tcPr>
            <w:tcW w:type="dxa" w:w="2520"/>
          </w:tcPr>
          <w:p>
            <w:r>
              <w:rPr>
                <w:rFonts w:ascii="Calibri" w:hAnsi="Calibri"/>
                <w:color w:val="333333"/>
                <w:sz w:val="18"/>
              </w:rPr>
              <w:t>$5.5B</w:t>
            </w:r>
          </w:p>
        </w:tc>
        <w:tc>
          <w:tcPr>
            <w:tcW w:type="dxa" w:w="2520"/>
            <w:shd w:fill="DCEEF8" w:val="clear"/>
          </w:tcPr>
          <w:p>
            <w:r>
              <w:rPr>
                <w:rFonts w:ascii="Calibri" w:hAnsi="Calibri"/>
                <w:color w:val="333333"/>
                <w:sz w:val="18"/>
              </w:rPr>
              <w:t>25.5%</w:t>
            </w:r>
          </w:p>
        </w:tc>
      </w:tr>
      <w:tr>
        <w:tc>
          <w:tcPr>
            <w:tcW w:type="dxa" w:w="2520"/>
            <w:shd w:fill="F2F4F8" w:val="clear"/>
          </w:tcPr>
          <w:p>
            <w:r>
              <w:rPr>
                <w:rFonts w:ascii="Calibri" w:hAnsi="Calibri"/>
                <w:color w:val="333333"/>
                <w:sz w:val="18"/>
              </w:rPr>
              <w:t>Retained earnings / accumulated deficit</w:t>
            </w:r>
          </w:p>
        </w:tc>
        <w:tc>
          <w:tcPr>
            <w:tcW w:type="dxa" w:w="2520"/>
            <w:shd w:fill="F2F4F8" w:val="clear"/>
          </w:tcPr>
          <w:p>
            <w:r>
              <w:rPr>
                <w:rFonts w:ascii="Calibri" w:hAnsi="Calibri"/>
                <w:color w:val="333333"/>
                <w:sz w:val="18"/>
              </w:rPr>
              <w:t>$59.4B</w:t>
            </w:r>
          </w:p>
        </w:tc>
        <w:tc>
          <w:tcPr>
            <w:tcW w:type="dxa" w:w="2520"/>
            <w:shd w:fill="F2F4F8" w:val="clear"/>
          </w:tcPr>
          <w:p>
            <w:r>
              <w:rPr>
                <w:rFonts w:ascii="Calibri" w:hAnsi="Calibri"/>
                <w:color w:val="333333"/>
                <w:sz w:val="18"/>
              </w:rPr>
              <w:t>$65.4B</w:t>
            </w:r>
          </w:p>
        </w:tc>
        <w:tc>
          <w:tcPr>
            <w:tcW w:type="dxa" w:w="2520"/>
            <w:shd w:fill="F2F4F8" w:val="clear"/>
            <w:shd w:fill="DCEEF8" w:val="clear"/>
          </w:tcPr>
          <w:p>
            <w:r>
              <w:rPr>
                <w:rFonts w:ascii="Calibri" w:hAnsi="Calibri"/>
                <w:color w:val="333333"/>
                <w:sz w:val="18"/>
              </w:rPr>
              <w:t>10.3%</w:t>
            </w:r>
          </w:p>
        </w:tc>
      </w:tr>
      <w:tr>
        <w:tc>
          <w:tcPr>
            <w:tcW w:type="dxa" w:w="2520"/>
          </w:tcPr>
          <w:p>
            <w:r>
              <w:rPr>
                <w:rFonts w:ascii="Calibri" w:hAnsi="Calibri"/>
                <w:color w:val="333333"/>
                <w:sz w:val="18"/>
              </w:rPr>
              <w:t>Common shares outstanding</w:t>
            </w:r>
          </w:p>
        </w:tc>
        <w:tc>
          <w:tcPr>
            <w:tcW w:type="dxa" w:w="2520"/>
          </w:tcPr>
          <w:p>
            <w:r>
              <w:rPr>
                <w:rFonts w:ascii="Calibri" w:hAnsi="Calibri"/>
                <w:color w:val="333333"/>
                <w:sz w:val="18"/>
              </w:rPr>
              <w:t>477.9M</w:t>
            </w:r>
          </w:p>
        </w:tc>
        <w:tc>
          <w:tcPr>
            <w:tcW w:type="dxa" w:w="2520"/>
          </w:tcPr>
          <w:p>
            <w:r>
              <w:rPr>
                <w:rFonts w:ascii="Calibri" w:hAnsi="Calibri"/>
                <w:color w:val="333333"/>
                <w:sz w:val="18"/>
              </w:rPr>
              <w:t>465.3M</w:t>
            </w:r>
          </w:p>
        </w:tc>
        <w:tc>
          <w:tcPr>
            <w:tcW w:type="dxa" w:w="2520"/>
            <w:shd w:fill="FFF3CD" w:val="clear"/>
          </w:tcPr>
          <w:p>
            <w:r>
              <w:rPr>
                <w:rFonts w:ascii="Calibri" w:hAnsi="Calibri"/>
                <w:color w:val="333333"/>
                <w:sz w:val="18"/>
              </w:rPr>
              <w:t>-2.6%</w:t>
            </w:r>
          </w:p>
        </w:tc>
      </w:tr>
      <w:tr>
        <w:tc>
          <w:tcPr>
            <w:tcW w:type="dxa" w:w="2520"/>
            <w:shd w:fill="F2F4F8" w:val="clear"/>
          </w:tcPr>
          <w:p>
            <w:r>
              <w:rPr>
                <w:rFonts w:ascii="Calibri" w:hAnsi="Calibri"/>
                <w:color w:val="333333"/>
                <w:sz w:val="18"/>
              </w:rPr>
              <w:t>Accounts payable</w:t>
            </w:r>
          </w:p>
        </w:tc>
        <w:tc>
          <w:tcPr>
            <w:tcW w:type="dxa" w:w="2520"/>
            <w:shd w:fill="F2F4F8" w:val="clear"/>
          </w:tcPr>
          <w:p>
            <w:r>
              <w:rPr>
                <w:rFonts w:ascii="Calibri" w:hAnsi="Calibri"/>
                <w:color w:val="333333"/>
                <w:sz w:val="18"/>
              </w:rPr>
              <w:t>$7.7B</w:t>
            </w:r>
          </w:p>
        </w:tc>
        <w:tc>
          <w:tcPr>
            <w:tcW w:type="dxa" w:w="2520"/>
            <w:shd w:fill="F2F4F8" w:val="clear"/>
          </w:tcPr>
          <w:p>
            <w:r>
              <w:rPr>
                <w:rFonts w:ascii="Calibri" w:hAnsi="Calibri"/>
                <w:color w:val="333333"/>
                <w:sz w:val="18"/>
              </w:rPr>
              <w:t>$9.0B</w:t>
            </w:r>
          </w:p>
        </w:tc>
        <w:tc>
          <w:tcPr>
            <w:tcW w:type="dxa" w:w="2520"/>
            <w:shd w:fill="F2F4F8" w:val="clear"/>
            <w:shd w:fill="DCEEF8" w:val="clear"/>
          </w:tcPr>
          <w:p>
            <w:r>
              <w:rPr>
                <w:rFonts w:ascii="Calibri" w:hAnsi="Calibri"/>
                <w:color w:val="333333"/>
                <w:sz w:val="18"/>
              </w:rPr>
              <w:t>16.9%</w:t>
            </w:r>
          </w:p>
        </w:tc>
      </w:tr>
      <w:tr>
        <w:tc>
          <w:tcPr>
            <w:tcW w:type="dxa" w:w="2520"/>
          </w:tcPr>
          <w:p>
            <w:r>
              <w:rPr>
                <w:rFonts w:ascii="Calibri" w:hAnsi="Calibri"/>
                <w:color w:val="333333"/>
                <w:sz w:val="18"/>
              </w:rPr>
              <w:t>Deferred revenue / contract liabilities</w:t>
            </w:r>
          </w:p>
        </w:tc>
        <w:tc>
          <w:tcPr>
            <w:tcW w:type="dxa" w:w="2520"/>
          </w:tcPr>
          <w:p>
            <w:r>
              <w:rPr>
                <w:rFonts w:ascii="Calibri" w:hAnsi="Calibri"/>
                <w:color w:val="333333"/>
                <w:sz w:val="18"/>
              </w:rPr>
              <w:t>$2.3B</w:t>
            </w:r>
          </w:p>
        </w:tc>
        <w:tc>
          <w:tcPr>
            <w:tcW w:type="dxa" w:w="2520"/>
          </w:tcPr>
          <w:p>
            <w:r>
              <w:rPr>
                <w:rFonts w:ascii="Calibri" w:hAnsi="Calibri"/>
                <w:color w:val="333333"/>
                <w:sz w:val="18"/>
              </w:rPr>
              <w:t>$3.3B</w:t>
            </w:r>
          </w:p>
        </w:tc>
        <w:tc>
          <w:tcPr>
            <w:tcW w:type="dxa" w:w="2520"/>
            <w:shd w:fill="DCEEF8" w:val="clear"/>
          </w:tcPr>
          <w:p>
            <w:r>
              <w:rPr>
                <w:rFonts w:ascii="Calibri" w:hAnsi="Calibri"/>
                <w:color w:val="333333"/>
                <w:sz w:val="18"/>
              </w:rPr>
              <w:t>42.7%</w:t>
            </w:r>
          </w:p>
        </w:tc>
      </w:tr>
      <w:tr>
        <w:tc>
          <w:tcPr>
            <w:tcW w:type="dxa" w:w="2520"/>
            <w:shd w:fill="F2F4F8" w:val="clear"/>
          </w:tcPr>
          <w:p>
            <w:r>
              <w:rPr>
                <w:rFonts w:ascii="Calibri" w:hAnsi="Calibri"/>
                <w:color w:val="333333"/>
                <w:sz w:val="18"/>
              </w:rPr>
              <w:t>Operating lease liabilities</w:t>
            </w:r>
          </w:p>
        </w:tc>
        <w:tc>
          <w:tcPr>
            <w:tcW w:type="dxa" w:w="2520"/>
            <w:shd w:fill="F2F4F8" w:val="clear"/>
          </w:tcPr>
          <w:p>
            <w:r>
              <w:rPr>
                <w:rFonts w:ascii="Calibri" w:hAnsi="Calibri"/>
                <w:color w:val="333333"/>
                <w:sz w:val="18"/>
              </w:rPr>
              <w:t>$602.0M</w:t>
            </w:r>
          </w:p>
        </w:tc>
        <w:tc>
          <w:tcPr>
            <w:tcW w:type="dxa" w:w="2520"/>
            <w:shd w:fill="F2F4F8" w:val="clear"/>
          </w:tcPr>
          <w:p>
            <w:r>
              <w:rPr>
                <w:rFonts w:ascii="Calibri" w:hAnsi="Calibri"/>
                <w:color w:val="333333"/>
                <w:sz w:val="18"/>
              </w:rPr>
              <w:t>$728.0M</w:t>
            </w:r>
          </w:p>
        </w:tc>
        <w:tc>
          <w:tcPr>
            <w:tcW w:type="dxa" w:w="2520"/>
            <w:shd w:fill="F2F4F8" w:val="clear"/>
            <w:shd w:fill="DCEEF8" w:val="clear"/>
          </w:tcPr>
          <w:p>
            <w:r>
              <w:rPr>
                <w:rFonts w:ascii="Calibri" w:hAnsi="Calibri"/>
                <w:color w:val="333333"/>
                <w:sz w:val="18"/>
              </w:rPr>
              <w:t>20.9%</w:t>
            </w:r>
          </w:p>
        </w:tc>
      </w:tr>
      <w:tr>
        <w:tc>
          <w:tcPr>
            <w:tcW w:type="dxa" w:w="2520"/>
          </w:tcPr>
          <w:p>
            <w:r>
              <w:rPr>
                <w:rFonts w:ascii="Calibri" w:hAnsi="Calibri"/>
                <w:color w:val="333333"/>
                <w:sz w:val="18"/>
              </w:rPr>
              <w:t>Minority / noncontrolling interest</w:t>
            </w:r>
          </w:p>
        </w:tc>
        <w:tc>
          <w:tcPr>
            <w:tcW w:type="dxa" w:w="2520"/>
          </w:tcPr>
          <w:p>
            <w:r>
              <w:rPr>
                <w:rFonts w:ascii="Calibri" w:hAnsi="Calibri"/>
                <w:color w:val="333333"/>
                <w:sz w:val="18"/>
              </w:rPr>
              <w:t>$3.0M</w:t>
            </w:r>
          </w:p>
        </w:tc>
        <w:tc>
          <w:tcPr>
            <w:tcW w:type="dxa" w:w="2520"/>
          </w:tcPr>
          <w:p>
            <w:r>
              <w:rPr>
                <w:rFonts w:ascii="Calibri" w:hAnsi="Calibri"/>
                <w:color w:val="333333"/>
                <w:sz w:val="18"/>
              </w:rPr>
              <w:t>$0</w:t>
            </w:r>
          </w:p>
        </w:tc>
        <w:tc>
          <w:tcPr>
            <w:tcW w:type="dxa" w:w="2520"/>
            <w:shd w:fill="FCE8E6" w:val="clear"/>
          </w:tcPr>
          <w:p>
            <w:r>
              <w:rPr>
                <w:rFonts w:ascii="Calibri" w:hAnsi="Calibri"/>
                <w:color w:val="333333"/>
                <w:sz w:val="18"/>
              </w:rPr>
              <w:t>-100.0%</w:t>
            </w:r>
          </w:p>
        </w:tc>
      </w:tr>
      <w:tr>
        <w:tc>
          <w:tcPr>
            <w:tcW w:type="dxa" w:w="2520"/>
            <w:shd w:fill="F2F4F8" w:val="clear"/>
          </w:tcPr>
          <w:p>
            <w:r>
              <w:rPr>
                <w:rFonts w:ascii="Calibri" w:hAnsi="Calibri"/>
                <w:color w:val="333333"/>
                <w:sz w:val="18"/>
              </w:rPr>
              <w:t>Prepaid expenses and other current assets</w:t>
            </w:r>
          </w:p>
        </w:tc>
        <w:tc>
          <w:tcPr>
            <w:tcW w:type="dxa" w:w="2520"/>
            <w:shd w:fill="F2F4F8" w:val="clear"/>
          </w:tcPr>
          <w:p>
            <w:r>
              <w:rPr>
                <w:rFonts w:ascii="Calibri" w:hAnsi="Calibri"/>
                <w:color w:val="333333"/>
                <w:sz w:val="18"/>
              </w:rPr>
              <w:t>$3.1B</w:t>
            </w:r>
          </w:p>
        </w:tc>
        <w:tc>
          <w:tcPr>
            <w:tcW w:type="dxa" w:w="2520"/>
            <w:shd w:fill="F2F4F8" w:val="clear"/>
          </w:tcPr>
          <w:p>
            <w:r>
              <w:rPr>
                <w:rFonts w:ascii="Calibri" w:hAnsi="Calibri"/>
                <w:color w:val="333333"/>
                <w:sz w:val="18"/>
              </w:rPr>
              <w:t>$2.8B</w:t>
            </w:r>
          </w:p>
        </w:tc>
        <w:tc>
          <w:tcPr>
            <w:tcW w:type="dxa" w:w="2520"/>
            <w:shd w:fill="F2F4F8" w:val="clear"/>
            <w:shd w:fill="FCE8E6" w:val="clear"/>
          </w:tcPr>
          <w:p>
            <w:r>
              <w:rPr>
                <w:rFonts w:ascii="Calibri" w:hAnsi="Calibri"/>
                <w:color w:val="333333"/>
                <w:sz w:val="18"/>
              </w:rPr>
              <w:t>-10.2%</w:t>
            </w:r>
          </w:p>
        </w:tc>
      </w:tr>
      <w:tr>
        <w:tc>
          <w:tcPr>
            <w:tcW w:type="dxa" w:w="2520"/>
          </w:tcPr>
          <w:p>
            <w:r>
              <w:rPr>
                <w:rFonts w:ascii="Calibri" w:hAnsi="Calibri"/>
                <w:color w:val="333333"/>
                <w:sz w:val="18"/>
              </w:rPr>
              <w:t>Accrued liabilities</w:t>
            </w:r>
          </w:p>
        </w:tc>
        <w:tc>
          <w:tcPr>
            <w:tcW w:type="dxa" w:w="2520"/>
          </w:tcPr>
          <w:p>
            <w:r>
              <w:rPr>
                <w:rFonts w:ascii="Calibri" w:hAnsi="Calibri"/>
                <w:color w:val="333333"/>
                <w:sz w:val="18"/>
              </w:rPr>
              <w:t>$5.2B</w:t>
            </w:r>
          </w:p>
        </w:tc>
        <w:tc>
          <w:tcPr>
            <w:tcW w:type="dxa" w:w="2520"/>
          </w:tcPr>
          <w:p>
            <w:r>
              <w:rPr>
                <w:rFonts w:ascii="Calibri" w:hAnsi="Calibri"/>
                <w:color w:val="333333"/>
                <w:sz w:val="18"/>
              </w:rPr>
              <w:t>$5.6B</w:t>
            </w:r>
          </w:p>
        </w:tc>
        <w:tc>
          <w:tcPr>
            <w:tcW w:type="dxa" w:w="2520"/>
            <w:shd w:fill="FFF3CD" w:val="clear"/>
          </w:tcPr>
          <w:p>
            <w:r>
              <w:rPr>
                <w:rFonts w:ascii="Calibri" w:hAnsi="Calibri"/>
                <w:color w:val="333333"/>
                <w:sz w:val="18"/>
              </w:rPr>
              <w:t>6.6%</w:t>
            </w:r>
          </w:p>
        </w:tc>
      </w:tr>
      <w:tr>
        <w:tc>
          <w:tcPr>
            <w:tcW w:type="dxa" w:w="2520"/>
            <w:shd w:fill="F2F4F8" w:val="clear"/>
          </w:tcPr>
          <w:p>
            <w:r>
              <w:rPr>
                <w:rFonts w:ascii="Calibri" w:hAnsi="Calibri"/>
                <w:color w:val="333333"/>
                <w:sz w:val="18"/>
              </w:rPr>
              <w:t>Deferred income tax liabilities, net</w:t>
            </w:r>
          </w:p>
        </w:tc>
        <w:tc>
          <w:tcPr>
            <w:tcW w:type="dxa" w:w="2520"/>
            <w:shd w:fill="F2F4F8" w:val="clear"/>
          </w:tcPr>
          <w:p>
            <w:r>
              <w:rPr>
                <w:rFonts w:ascii="Calibri" w:hAnsi="Calibri"/>
                <w:color w:val="333333"/>
                <w:sz w:val="18"/>
              </w:rPr>
              <w:t>$432.0M</w:t>
            </w:r>
          </w:p>
        </w:tc>
        <w:tc>
          <w:tcPr>
            <w:tcW w:type="dxa" w:w="2520"/>
            <w:shd w:fill="F2F4F8" w:val="clear"/>
          </w:tcPr>
          <w:p>
            <w:r>
              <w:rPr>
                <w:rFonts w:ascii="Calibri" w:hAnsi="Calibri"/>
                <w:color w:val="333333"/>
                <w:sz w:val="18"/>
              </w:rPr>
              <w:t>$494.0M</w:t>
            </w:r>
          </w:p>
        </w:tc>
        <w:tc>
          <w:tcPr>
            <w:tcW w:type="dxa" w:w="2520"/>
            <w:shd w:fill="F2F4F8" w:val="clear"/>
            <w:shd w:fill="DCEEF8" w:val="clear"/>
          </w:tcPr>
          <w:p>
            <w:r>
              <w:rPr>
                <w:rFonts w:ascii="Calibri" w:hAnsi="Calibri"/>
                <w:color w:val="333333"/>
                <w:sz w:val="18"/>
              </w:rPr>
              <w:t>14.3%</w:t>
            </w:r>
          </w:p>
        </w:tc>
      </w:tr>
      <w:tr>
        <w:tc>
          <w:tcPr>
            <w:tcW w:type="dxa" w:w="2520"/>
          </w:tcPr>
          <w:p>
            <w:r>
              <w:rPr>
                <w:rFonts w:ascii="Calibri" w:hAnsi="Calibri"/>
                <w:color w:val="333333"/>
                <w:sz w:val="18"/>
              </w:rPr>
              <w:t>Accumulated other comprehensive income/loss</w:t>
            </w:r>
          </w:p>
        </w:tc>
        <w:tc>
          <w:tcPr>
            <w:tcW w:type="dxa" w:w="2520"/>
          </w:tcPr>
          <w:p>
            <w:r>
              <w:rPr>
                <w:rFonts w:ascii="Calibri" w:hAnsi="Calibri"/>
                <w:color w:val="333333"/>
                <w:sz w:val="18"/>
              </w:rPr>
              <w:t>$-2.5B</w:t>
            </w:r>
          </w:p>
        </w:tc>
        <w:tc>
          <w:tcPr>
            <w:tcW w:type="dxa" w:w="2520"/>
          </w:tcPr>
          <w:p>
            <w:r>
              <w:rPr>
                <w:rFonts w:ascii="Calibri" w:hAnsi="Calibri"/>
                <w:color w:val="333333"/>
                <w:sz w:val="18"/>
              </w:rPr>
              <w:t>$-1.8B</w:t>
            </w:r>
          </w:p>
        </w:tc>
        <w:tc>
          <w:tcPr>
            <w:tcW w:type="dxa" w:w="2520"/>
            <w:shd w:fill="DCEEF8" w:val="clear"/>
          </w:tcPr>
          <w:p>
            <w:r>
              <w:rPr>
                <w:rFonts w:ascii="Calibri" w:hAnsi="Calibri"/>
                <w:color w:val="333333"/>
                <w:sz w:val="18"/>
              </w:rPr>
              <w:t>28.3%</w:t>
            </w:r>
          </w:p>
        </w:tc>
      </w:tr>
      <w:tr>
        <w:tc>
          <w:tcPr>
            <w:tcW w:type="dxa" w:w="2520"/>
            <w:shd w:fill="F2F4F8" w:val="clear"/>
          </w:tcPr>
          <w:p>
            <w:r>
              <w:rPr>
                <w:rFonts w:ascii="Calibri" w:hAnsi="Calibri"/>
                <w:color w:val="333333"/>
                <w:sz w:val="18"/>
              </w:rPr>
              <w:t>Treasury stock, at cost</w:t>
            </w:r>
          </w:p>
        </w:tc>
        <w:tc>
          <w:tcPr>
            <w:tcW w:type="dxa" w:w="2520"/>
            <w:shd w:fill="F2F4F8" w:val="clear"/>
          </w:tcPr>
          <w:p>
            <w:r>
              <w:rPr>
                <w:rFonts w:ascii="Calibri" w:hAnsi="Calibri"/>
                <w:color w:val="333333"/>
                <w:sz w:val="18"/>
              </w:rPr>
              <w:t>$44.3B</w:t>
            </w:r>
          </w:p>
        </w:tc>
        <w:tc>
          <w:tcPr>
            <w:tcW w:type="dxa" w:w="2520"/>
            <w:shd w:fill="F2F4F8" w:val="clear"/>
          </w:tcPr>
          <w:p>
            <w:r>
              <w:rPr>
                <w:rFonts w:ascii="Calibri" w:hAnsi="Calibri"/>
                <w:color w:val="333333"/>
                <w:sz w:val="18"/>
              </w:rPr>
              <w:t>$49.5B</w:t>
            </w:r>
          </w:p>
        </w:tc>
        <w:tc>
          <w:tcPr>
            <w:tcW w:type="dxa" w:w="2520"/>
            <w:shd w:fill="F2F4F8" w:val="clear"/>
            <w:shd w:fill="DCEEF8" w:val="clear"/>
          </w:tcPr>
          <w:p>
            <w:r>
              <w:rPr>
                <w:rFonts w:ascii="Calibri" w:hAnsi="Calibri"/>
                <w:color w:val="333333"/>
                <w:sz w:val="18"/>
              </w:rPr>
              <w:t>11.8%</w:t>
            </w:r>
          </w:p>
        </w:tc>
      </w:tr>
      <w:tr>
        <w:tc>
          <w:tcPr>
            <w:tcW w:type="dxa" w:w="2520"/>
          </w:tcPr>
          <w:p>
            <w:r>
              <w:rPr>
                <w:rFonts w:ascii="Calibri" w:hAnsi="Calibri"/>
                <w:color w:val="333333"/>
                <w:sz w:val="18"/>
              </w:rPr>
              <w:t>Common stock par value</w:t>
            </w:r>
          </w:p>
        </w:tc>
        <w:tc>
          <w:tcPr>
            <w:tcW w:type="dxa" w:w="2520"/>
          </w:tcPr>
          <w:p>
            <w:r>
              <w:rPr>
                <w:rFonts w:ascii="Calibri" w:hAnsi="Calibri"/>
                <w:color w:val="333333"/>
                <w:sz w:val="18"/>
              </w:rPr>
              <w:t>$6.9B</w:t>
            </w:r>
          </w:p>
        </w:tc>
        <w:tc>
          <w:tcPr>
            <w:tcW w:type="dxa" w:w="2520"/>
          </w:tcPr>
          <w:p>
            <w:r>
              <w:rPr>
                <w:rFonts w:ascii="Calibri" w:hAnsi="Calibri"/>
                <w:color w:val="333333"/>
                <w:sz w:val="18"/>
              </w:rPr>
              <w:t>$7.2B</w:t>
            </w:r>
          </w:p>
        </w:tc>
        <w:tc>
          <w:tcPr>
            <w:tcW w:type="dxa" w:w="2520"/>
            <w:shd w:fill="FFF3CD" w:val="clear"/>
          </w:tcPr>
          <w:p>
            <w:r>
              <w:rPr>
                <w:rFonts w:ascii="Calibri" w:hAnsi="Calibri"/>
                <w:color w:val="333333"/>
                <w:sz w:val="18"/>
              </w:rPr>
              <w:t>3.5%</w:t>
            </w:r>
          </w:p>
        </w:tc>
      </w:tr>
      <w:tr>
        <w:tc>
          <w:tcPr>
            <w:tcW w:type="dxa" w:w="2520"/>
            <w:shd w:fill="F2F4F8" w:val="clear"/>
          </w:tcPr>
          <w:p>
            <w:r>
              <w:rPr>
                <w:rFonts w:ascii="Calibri" w:hAnsi="Calibri"/>
                <w:color w:val="333333"/>
                <w:sz w:val="18"/>
              </w:rPr>
              <w:t>Total liabilities and stockholders' equity</w:t>
            </w:r>
          </w:p>
        </w:tc>
        <w:tc>
          <w:tcPr>
            <w:tcW w:type="dxa" w:w="2520"/>
            <w:shd w:fill="F2F4F8" w:val="clear"/>
          </w:tcPr>
          <w:p>
            <w:r>
              <w:rPr>
                <w:rFonts w:ascii="Calibri" w:hAnsi="Calibri"/>
                <w:color w:val="333333"/>
                <w:sz w:val="18"/>
              </w:rPr>
              <w:t>$87.8B</w:t>
            </w:r>
          </w:p>
        </w:tc>
        <w:tc>
          <w:tcPr>
            <w:tcW w:type="dxa" w:w="2520"/>
            <w:shd w:fill="F2F4F8" w:val="clear"/>
          </w:tcPr>
          <w:p>
            <w:r>
              <w:rPr>
                <w:rFonts w:ascii="Calibri" w:hAnsi="Calibri"/>
                <w:color w:val="333333"/>
                <w:sz w:val="18"/>
              </w:rPr>
              <w:t>$98.6B</w:t>
            </w:r>
          </w:p>
        </w:tc>
        <w:tc>
          <w:tcPr>
            <w:tcW w:type="dxa" w:w="2520"/>
            <w:shd w:fill="F2F4F8" w:val="clear"/>
            <w:shd w:fill="DCEEF8" w:val="clear"/>
          </w:tcPr>
          <w:p>
            <w:r>
              <w:rPr>
                <w:rFonts w:ascii="Calibri" w:hAnsi="Calibri"/>
                <w:color w:val="333333"/>
                <w:sz w:val="18"/>
              </w:rPr>
              <w:t>12.3%</w:t>
            </w:r>
          </w:p>
        </w:tc>
      </w:tr>
      <w:tr>
        <w:tc>
          <w:tcPr>
            <w:tcW w:type="dxa" w:w="2520"/>
          </w:tcPr>
          <w:p>
            <w:r>
              <w:rPr>
                <w:rFonts w:ascii="Calibri" w:hAnsi="Calibri"/>
                <w:color w:val="333333"/>
                <w:sz w:val="18"/>
              </w:rPr>
              <w:t>Right-of-use assets (operating and finance leases)</w:t>
            </w:r>
          </w:p>
        </w:tc>
        <w:tc>
          <w:tcPr>
            <w:tcW w:type="dxa" w:w="2520"/>
          </w:tcPr>
          <w:p>
            <w:r>
              <w:rPr>
                <w:rFonts w:ascii="Calibri" w:hAnsi="Calibri"/>
                <w:color w:val="333333"/>
                <w:sz w:val="18"/>
              </w:rPr>
              <w:t>$592.0M</w:t>
            </w:r>
          </w:p>
        </w:tc>
        <w:tc>
          <w:tcPr>
            <w:tcW w:type="dxa" w:w="2520"/>
          </w:tcPr>
          <w:p>
            <w:r>
              <w:rPr>
                <w:rFonts w:ascii="Calibri" w:hAnsi="Calibri"/>
                <w:color w:val="333333"/>
                <w:sz w:val="18"/>
              </w:rPr>
              <w:t>$708.0M</w:t>
            </w:r>
          </w:p>
        </w:tc>
        <w:tc>
          <w:tcPr>
            <w:tcW w:type="dxa" w:w="2520"/>
            <w:shd w:fill="DCEEF8" w:val="clear"/>
          </w:tcPr>
          <w:p>
            <w:r>
              <w:rPr>
                <w:rFonts w:ascii="Calibri" w:hAnsi="Calibri"/>
                <w:color w:val="333333"/>
                <w:sz w:val="18"/>
              </w:rPr>
              <w:t>19.6%</w:t>
            </w:r>
          </w:p>
        </w:tc>
      </w:tr>
      <w:tr>
        <w:tc>
          <w:tcPr>
            <w:tcW w:type="dxa" w:w="2520"/>
            <w:shd w:fill="F2F4F8" w:val="clear"/>
          </w:tcPr>
          <w:p>
            <w:r>
              <w:rPr>
                <w:rFonts w:ascii="Calibri" w:hAnsi="Calibri"/>
                <w:color w:val="333333"/>
                <w:sz w:val="18"/>
              </w:rPr>
              <w:t>Other non-current assets</w:t>
            </w:r>
          </w:p>
        </w:tc>
        <w:tc>
          <w:tcPr>
            <w:tcW w:type="dxa" w:w="2520"/>
            <w:shd w:fill="F2F4F8" w:val="clear"/>
          </w:tcPr>
          <w:p>
            <w:r>
              <w:rPr>
                <w:rFonts w:ascii="Calibri" w:hAnsi="Calibri"/>
                <w:color w:val="333333"/>
                <w:sz w:val="18"/>
              </w:rPr>
              <w:t>$5.3B</w:t>
            </w:r>
          </w:p>
        </w:tc>
        <w:tc>
          <w:tcPr>
            <w:tcW w:type="dxa" w:w="2520"/>
            <w:shd w:fill="F2F4F8" w:val="clear"/>
          </w:tcPr>
          <w:p>
            <w:r>
              <w:rPr>
                <w:rFonts w:ascii="Calibri" w:hAnsi="Calibri"/>
                <w:color w:val="333333"/>
                <w:sz w:val="18"/>
              </w:rPr>
              <w:t>$6.1B</w:t>
            </w:r>
          </w:p>
        </w:tc>
        <w:tc>
          <w:tcPr>
            <w:tcW w:type="dxa" w:w="2520"/>
            <w:shd w:fill="F2F4F8" w:val="clear"/>
            <w:shd w:fill="DCEEF8" w:val="clear"/>
          </w:tcPr>
          <w:p>
            <w:r>
              <w:rPr>
                <w:rFonts w:ascii="Calibri" w:hAnsi="Calibri"/>
                <w:color w:val="333333"/>
                <w:sz w:val="18"/>
              </w:rPr>
              <w:t>15.1%</w:t>
            </w:r>
          </w:p>
        </w:tc>
      </w:tr>
      <w:tr>
        <w:tc>
          <w:tcPr>
            <w:tcW w:type="dxa" w:w="2520"/>
          </w:tcPr>
          <w:p>
            <w:r>
              <w:rPr>
                <w:rFonts w:ascii="Calibri" w:hAnsi="Calibri"/>
                <w:color w:val="333333"/>
                <w:sz w:val="18"/>
              </w:rPr>
              <w:t>Other non-current liabilities</w:t>
            </w:r>
          </w:p>
        </w:tc>
        <w:tc>
          <w:tcPr>
            <w:tcW w:type="dxa" w:w="2520"/>
          </w:tcPr>
          <w:p>
            <w:r>
              <w:rPr>
                <w:rFonts w:ascii="Calibri" w:hAnsi="Calibri"/>
                <w:color w:val="333333"/>
                <w:sz w:val="18"/>
              </w:rPr>
              <w:t>$4.9B</w:t>
            </w:r>
          </w:p>
        </w:tc>
        <w:tc>
          <w:tcPr>
            <w:tcW w:type="dxa" w:w="2520"/>
          </w:tcPr>
          <w:p>
            <w:r>
              <w:rPr>
                <w:rFonts w:ascii="Calibri" w:hAnsi="Calibri"/>
                <w:color w:val="333333"/>
                <w:sz w:val="18"/>
              </w:rPr>
              <w:t>$6.2B</w:t>
            </w:r>
          </w:p>
        </w:tc>
        <w:tc>
          <w:tcPr>
            <w:tcW w:type="dxa" w:w="2520"/>
            <w:shd w:fill="DCEEF8" w:val="clear"/>
          </w:tcPr>
          <w:p>
            <w:r>
              <w:rPr>
                <w:rFonts w:ascii="Calibri" w:hAnsi="Calibri"/>
                <w:color w:val="333333"/>
                <w:sz w:val="18"/>
              </w:rPr>
              <w:t>26.3%</w:t>
            </w:r>
          </w:p>
        </w:tc>
      </w:tr>
      <w:tr>
        <w:tc>
          <w:tcPr>
            <w:tcW w:type="dxa" w:w="2520"/>
            <w:shd w:fill="F2F4F8" w:val="clear"/>
          </w:tcPr>
          <w:p>
            <w:r>
              <w:rPr>
                <w:rFonts w:ascii="Calibri" w:hAnsi="Calibri"/>
                <w:color w:val="333333"/>
                <w:sz w:val="18"/>
              </w:rPr>
              <w:t>Contract assets (ASC 606 unbilled revenue)</w:t>
            </w:r>
          </w:p>
        </w:tc>
        <w:tc>
          <w:tcPr>
            <w:tcW w:type="dxa" w:w="2520"/>
            <w:shd w:fill="F2F4F8" w:val="clear"/>
          </w:tcPr>
          <w:p>
            <w:r>
              <w:rPr>
                <w:rFonts w:ascii="Calibri" w:hAnsi="Calibri"/>
                <w:color w:val="333333"/>
                <w:sz w:val="18"/>
              </w:rPr>
              <w:t>$238.0M</w:t>
            </w:r>
          </w:p>
        </w:tc>
        <w:tc>
          <w:tcPr>
            <w:tcW w:type="dxa" w:w="2520"/>
            <w:shd w:fill="F2F4F8" w:val="clear"/>
          </w:tcPr>
          <w:p>
            <w:r>
              <w:rPr>
                <w:rFonts w:ascii="Calibri" w:hAnsi="Calibri"/>
                <w:color w:val="333333"/>
                <w:sz w:val="18"/>
              </w:rPr>
              <w:t>$297.0M</w:t>
            </w:r>
          </w:p>
        </w:tc>
        <w:tc>
          <w:tcPr>
            <w:tcW w:type="dxa" w:w="2520"/>
            <w:shd w:fill="F2F4F8" w:val="clear"/>
            <w:shd w:fill="DCEEF8" w:val="clear"/>
          </w:tcPr>
          <w:p>
            <w:r>
              <w:rPr>
                <w:rFonts w:ascii="Calibri" w:hAnsi="Calibri"/>
                <w:color w:val="333333"/>
                <w:sz w:val="18"/>
              </w:rPr>
              <w:t>24.8%</w:t>
            </w:r>
          </w:p>
        </w:tc>
      </w:tr>
      <w:tr>
        <w:tc>
          <w:tcPr>
            <w:tcW w:type="dxa" w:w="2520"/>
          </w:tcPr>
          <w:p>
            <w:r>
              <w:rPr>
                <w:rFonts w:ascii="Calibri" w:hAnsi="Calibri"/>
                <w:color w:val="333333"/>
                <w:sz w:val="18"/>
              </w:rPr>
              <w:t>Contract liabilities (ASC 606 deferred revenue)</w:t>
            </w:r>
          </w:p>
        </w:tc>
        <w:tc>
          <w:tcPr>
            <w:tcW w:type="dxa" w:w="2520"/>
          </w:tcPr>
          <w:p>
            <w:r>
              <w:rPr>
                <w:rFonts w:ascii="Calibri" w:hAnsi="Calibri"/>
                <w:color w:val="333333"/>
                <w:sz w:val="18"/>
              </w:rPr>
              <w:t>$2.3B</w:t>
            </w:r>
          </w:p>
        </w:tc>
        <w:tc>
          <w:tcPr>
            <w:tcW w:type="dxa" w:w="2520"/>
          </w:tcPr>
          <w:p>
            <w:r>
              <w:rPr>
                <w:rFonts w:ascii="Calibri" w:hAnsi="Calibri"/>
                <w:color w:val="333333"/>
                <w:sz w:val="18"/>
              </w:rPr>
              <w:t>$3.3B</w:t>
            </w:r>
          </w:p>
        </w:tc>
        <w:tc>
          <w:tcPr>
            <w:tcW w:type="dxa" w:w="2520"/>
            <w:shd w:fill="DCEEF8" w:val="clear"/>
          </w:tcPr>
          <w:p>
            <w:r>
              <w:rPr>
                <w:rFonts w:ascii="Calibri" w:hAnsi="Calibri"/>
                <w:color w:val="333333"/>
                <w:sz w:val="18"/>
              </w:rPr>
              <w:t>42.7%</w:t>
            </w:r>
          </w:p>
        </w:tc>
      </w:tr>
      <w:tr>
        <w:tc>
          <w:tcPr>
            <w:tcW w:type="dxa" w:w="2520"/>
            <w:shd w:fill="F2F4F8" w:val="clear"/>
          </w:tcPr>
          <w:p>
            <w:r>
              <w:rPr>
                <w:rFonts w:ascii="Calibri" w:hAnsi="Calibri"/>
                <w:color w:val="333333"/>
                <w:sz w:val="18"/>
              </w:rPr>
              <w:t>Unrecognized tax benefits (UTB) liability</w:t>
            </w:r>
          </w:p>
        </w:tc>
        <w:tc>
          <w:tcPr>
            <w:tcW w:type="dxa" w:w="2520"/>
            <w:shd w:fill="F2F4F8" w:val="clear"/>
          </w:tcPr>
          <w:p>
            <w:r>
              <w:rPr>
                <w:rFonts w:ascii="Calibri" w:hAnsi="Calibri"/>
                <w:color w:val="333333"/>
                <w:sz w:val="18"/>
              </w:rPr>
              <w:t>$1.3B</w:t>
            </w:r>
          </w:p>
        </w:tc>
        <w:tc>
          <w:tcPr>
            <w:tcW w:type="dxa" w:w="2520"/>
            <w:shd w:fill="F2F4F8" w:val="clear"/>
          </w:tcPr>
          <w:p>
            <w:r>
              <w:rPr>
                <w:rFonts w:ascii="Calibri" w:hAnsi="Calibri"/>
                <w:color w:val="333333"/>
                <w:sz w:val="18"/>
              </w:rPr>
              <w:t>$1.3B</w:t>
            </w:r>
          </w:p>
        </w:tc>
        <w:tc>
          <w:tcPr>
            <w:tcW w:type="dxa" w:w="2520"/>
            <w:shd w:fill="F2F4F8" w:val="clear"/>
            <w:shd w:fill="FFF3CD" w:val="clear"/>
          </w:tcPr>
          <w:p>
            <w:r>
              <w:rPr>
                <w:rFonts w:ascii="Calibri" w:hAnsi="Calibri"/>
                <w:color w:val="333333"/>
                <w:sz w:val="18"/>
              </w:rPr>
              <w:t>4.5%</w:t>
            </w:r>
          </w:p>
        </w:tc>
      </w:tr>
      <w:tr>
        <w:tc>
          <w:tcPr>
            <w:tcW w:type="dxa" w:w="2520"/>
          </w:tcPr>
          <w:p>
            <w:r>
              <w:rPr>
                <w:rFonts w:ascii="Calibri" w:hAnsi="Calibri"/>
                <w:color w:val="333333"/>
                <w:sz w:val="18"/>
              </w:rPr>
              <w:t>Fair value of derivative instruments</w:t>
            </w:r>
          </w:p>
        </w:tc>
        <w:tc>
          <w:tcPr>
            <w:tcW w:type="dxa" w:w="2520"/>
          </w:tcPr>
          <w:p>
            <w:r>
              <w:rPr>
                <w:rFonts w:ascii="Calibri" w:hAnsi="Calibri"/>
                <w:color w:val="333333"/>
                <w:sz w:val="18"/>
              </w:rPr>
              <w:t>$462.0M</w:t>
            </w:r>
          </w:p>
        </w:tc>
        <w:tc>
          <w:tcPr>
            <w:tcW w:type="dxa" w:w="2520"/>
          </w:tcPr>
          <w:p>
            <w:r>
              <w:rPr>
                <w:rFonts w:ascii="Calibri" w:hAnsi="Calibri"/>
                <w:color w:val="333333"/>
                <w:sz w:val="18"/>
              </w:rPr>
              <w:t>$496.0M</w:t>
            </w:r>
          </w:p>
        </w:tc>
        <w:tc>
          <w:tcPr>
            <w:tcW w:type="dxa" w:w="2520"/>
            <w:shd w:fill="FFF3CD" w:val="clear"/>
          </w:tcPr>
          <w:p>
            <w:r>
              <w:rPr>
                <w:rFonts w:ascii="Calibri" w:hAnsi="Calibri"/>
                <w:color w:val="333333"/>
                <w:sz w:val="18"/>
              </w:rPr>
              <w:t>7.4%</w:t>
            </w:r>
          </w:p>
        </w:tc>
      </w:tr>
      <w:tr>
        <w:tc>
          <w:tcPr>
            <w:tcW w:type="dxa" w:w="2520"/>
            <w:shd w:fill="F2F4F8" w:val="clear"/>
          </w:tcPr>
          <w:p>
            <w:r>
              <w:rPr>
                <w:rFonts w:ascii="Calibri" w:hAnsi="Calibri"/>
                <w:color w:val="333333"/>
                <w:sz w:val="18"/>
              </w:rPr>
              <w:t>Unvested stock-based compensation cost not yet recognized</w:t>
            </w:r>
          </w:p>
        </w:tc>
        <w:tc>
          <w:tcPr>
            <w:tcW w:type="dxa" w:w="2520"/>
            <w:shd w:fill="F2F4F8" w:val="clear"/>
          </w:tcPr>
          <w:p>
            <w:r>
              <w:rPr>
                <w:rFonts w:ascii="Calibri" w:hAnsi="Calibri"/>
                <w:color w:val="333333"/>
                <w:sz w:val="18"/>
              </w:rPr>
              <w:t>$148.0M</w:t>
            </w:r>
          </w:p>
        </w:tc>
        <w:tc>
          <w:tcPr>
            <w:tcW w:type="dxa" w:w="2520"/>
            <w:shd w:fill="F2F4F8" w:val="clear"/>
          </w:tcPr>
          <w:p>
            <w:r>
              <w:rPr>
                <w:rFonts w:ascii="Calibri" w:hAnsi="Calibri"/>
                <w:color w:val="333333"/>
                <w:sz w:val="18"/>
              </w:rPr>
              <w:t>$209.1M</w:t>
            </w:r>
          </w:p>
        </w:tc>
        <w:tc>
          <w:tcPr>
            <w:tcW w:type="dxa" w:w="2520"/>
            <w:shd w:fill="F2F4F8" w:val="clear"/>
            <w:shd w:fill="DCEEF8" w:val="clear"/>
          </w:tcPr>
          <w:p>
            <w:r>
              <w:rPr>
                <w:rFonts w:ascii="Calibri" w:hAnsi="Calibri"/>
                <w:color w:val="333333"/>
                <w:sz w:val="18"/>
              </w:rPr>
              <w:t>41.3%</w:t>
            </w:r>
          </w:p>
        </w:tc>
      </w:tr>
      <w:tr>
        <w:tc>
          <w:tcPr>
            <w:tcW w:type="dxa" w:w="2520"/>
          </w:tcPr>
          <w:p>
            <w:r>
              <w:rPr>
                <w:rFonts w:ascii="Calibri" w:hAnsi="Calibri"/>
                <w:color w:val="333333"/>
                <w:sz w:val="18"/>
              </w:rPr>
              <w:t>Product warranty accrual / reserve</w:t>
            </w:r>
          </w:p>
        </w:tc>
        <w:tc>
          <w:tcPr>
            <w:tcW w:type="dxa" w:w="2520"/>
          </w:tcPr>
          <w:p>
            <w:r>
              <w:rPr>
                <w:rFonts w:ascii="Calibri" w:hAnsi="Calibri"/>
                <w:color w:val="333333"/>
                <w:sz w:val="18"/>
              </w:rPr>
              <w:t>$1.7B</w:t>
            </w:r>
          </w:p>
        </w:tc>
        <w:tc>
          <w:tcPr>
            <w:tcW w:type="dxa" w:w="2520"/>
          </w:tcPr>
          <w:p>
            <w:r>
              <w:rPr>
                <w:rFonts w:ascii="Calibri" w:hAnsi="Calibri"/>
                <w:color w:val="333333"/>
                <w:sz w:val="18"/>
              </w:rPr>
              <w:t>$1.6B</w:t>
            </w:r>
          </w:p>
        </w:tc>
        <w:tc>
          <w:tcPr>
            <w:tcW w:type="dxa" w:w="2520"/>
            <w:shd w:fill="FFF3CD" w:val="clear"/>
          </w:tcPr>
          <w:p>
            <w:r>
              <w:rPr>
                <w:rFonts w:ascii="Calibri" w:hAnsi="Calibri"/>
                <w:color w:val="333333"/>
                <w:sz w:val="18"/>
              </w:rPr>
              <w:t>-4.3%</w:t>
            </w:r>
          </w:p>
        </w:tc>
      </w:tr>
      <w:tr>
        <w:tc>
          <w:tcPr>
            <w:tcW w:type="dxa" w:w="2520"/>
            <w:shd w:fill="F2F4F8" w:val="clear"/>
          </w:tcPr>
          <w:p>
            <w:r>
              <w:rPr>
                <w:rFonts w:ascii="Calibri" w:hAnsi="Calibri"/>
                <w:color w:val="333333"/>
                <w:sz w:val="18"/>
              </w:rPr>
              <w:t>Common stock shares authorized</w:t>
            </w:r>
          </w:p>
        </w:tc>
        <w:tc>
          <w:tcPr>
            <w:tcW w:type="dxa" w:w="2520"/>
            <w:shd w:fill="F2F4F8" w:val="clear"/>
          </w:tcPr>
          <w:p>
            <w:r>
              <w:rPr>
                <w:rFonts w:ascii="Calibri" w:hAnsi="Calibri"/>
                <w:color w:val="333333"/>
                <w:sz w:val="18"/>
              </w:rPr>
              <w:t>2.0B</w:t>
            </w:r>
          </w:p>
        </w:tc>
        <w:tc>
          <w:tcPr>
            <w:tcW w:type="dxa" w:w="2520"/>
            <w:shd w:fill="F2F4F8" w:val="clear"/>
          </w:tcPr>
          <w:p>
            <w:r>
              <w:rPr>
                <w:rFonts w:ascii="Calibri" w:hAnsi="Calibri"/>
                <w:color w:val="333333"/>
                <w:sz w:val="18"/>
              </w:rPr>
              <w:t>2.0B</w:t>
            </w:r>
          </w:p>
        </w:tc>
        <w:tc>
          <w:tcPr>
            <w:tcW w:type="dxa" w:w="2520"/>
            <w:shd w:fill="F2F4F8" w:val="clear"/>
          </w:tcPr>
          <w:p>
            <w:r>
              <w:rPr>
                <w:rFonts w:ascii="Calibri" w:hAnsi="Calibri"/>
                <w:color w:val="333333"/>
                <w:sz w:val="18"/>
              </w:rPr>
              <w:t>0.0%</w:t>
            </w:r>
          </w:p>
        </w:tc>
      </w:tr>
      <w:tr>
        <w:tc>
          <w:tcPr>
            <w:tcW w:type="dxa" w:w="2520"/>
          </w:tcPr>
          <w:p>
            <w:r>
              <w:rPr>
                <w:rFonts w:ascii="Calibri" w:hAnsi="Calibri"/>
                <w:color w:val="333333"/>
                <w:sz w:val="18"/>
              </w:rPr>
              <w:t>Contract with customer liability (total deferred revenue under ASC 606)</w:t>
            </w:r>
          </w:p>
        </w:tc>
        <w:tc>
          <w:tcPr>
            <w:tcW w:type="dxa" w:w="2520"/>
          </w:tcPr>
          <w:p>
            <w:r>
              <w:rPr>
                <w:rFonts w:ascii="Calibri" w:hAnsi="Calibri"/>
                <w:color w:val="333333"/>
                <w:sz w:val="18"/>
              </w:rPr>
              <w:t>$2.7B</w:t>
            </w:r>
          </w:p>
        </w:tc>
        <w:tc>
          <w:tcPr>
            <w:tcW w:type="dxa" w:w="2520"/>
          </w:tcPr>
          <w:p>
            <w:r>
              <w:rPr>
                <w:rFonts w:ascii="Calibri" w:hAnsi="Calibri"/>
                <w:color w:val="333333"/>
                <w:sz w:val="18"/>
              </w:rPr>
              <w:t>$4.7B</w:t>
            </w:r>
          </w:p>
        </w:tc>
        <w:tc>
          <w:tcPr>
            <w:tcW w:type="dxa" w:w="2520"/>
            <w:shd w:fill="DCEEF8" w:val="clear"/>
          </w:tcPr>
          <w:p>
            <w:r>
              <w:rPr>
                <w:rFonts w:ascii="Calibri" w:hAnsi="Calibri"/>
                <w:color w:val="333333"/>
                <w:sz w:val="18"/>
              </w:rPr>
              <w:t>70.4%</w:t>
            </w:r>
          </w:p>
        </w:tc>
      </w:tr>
      <w:tr>
        <w:tc>
          <w:tcPr>
            <w:tcW w:type="dxa" w:w="2520"/>
            <w:shd w:fill="F2F4F8" w:val="clear"/>
          </w:tcPr>
          <w:p>
            <w:r>
              <w:rPr>
                <w:rFonts w:ascii="Calibri" w:hAnsi="Calibri"/>
                <w:color w:val="333333"/>
                <w:sz w:val="18"/>
              </w:rPr>
              <w:t>Derivative assets at fair value</w:t>
            </w:r>
          </w:p>
        </w:tc>
        <w:tc>
          <w:tcPr>
            <w:tcW w:type="dxa" w:w="2520"/>
            <w:shd w:fill="F2F4F8" w:val="clear"/>
          </w:tcPr>
          <w:p>
            <w:r>
              <w:rPr>
                <w:rFonts w:ascii="Calibri" w:hAnsi="Calibri"/>
                <w:color w:val="333333"/>
                <w:sz w:val="18"/>
              </w:rPr>
              <w:t>$462.0M</w:t>
            </w:r>
          </w:p>
        </w:tc>
        <w:tc>
          <w:tcPr>
            <w:tcW w:type="dxa" w:w="2520"/>
            <w:shd w:fill="F2F4F8" w:val="clear"/>
          </w:tcPr>
          <w:p>
            <w:r>
              <w:rPr>
                <w:rFonts w:ascii="Calibri" w:hAnsi="Calibri"/>
                <w:color w:val="333333"/>
                <w:sz w:val="18"/>
              </w:rPr>
              <w:t>$496.0M</w:t>
            </w:r>
          </w:p>
        </w:tc>
        <w:tc>
          <w:tcPr>
            <w:tcW w:type="dxa" w:w="2520"/>
            <w:shd w:fill="F2F4F8" w:val="clear"/>
            <w:shd w:fill="FFF3CD" w:val="clear"/>
          </w:tcPr>
          <w:p>
            <w:r>
              <w:rPr>
                <w:rFonts w:ascii="Calibri" w:hAnsi="Calibri"/>
                <w:color w:val="333333"/>
                <w:sz w:val="18"/>
              </w:rPr>
              <w:t>7.4%</w:t>
            </w:r>
          </w:p>
        </w:tc>
      </w:tr>
      <w:tr>
        <w:tc>
          <w:tcPr>
            <w:tcW w:type="dxa" w:w="2520"/>
          </w:tcPr>
          <w:p>
            <w:r>
              <w:rPr>
                <w:rFonts w:ascii="Calibri" w:hAnsi="Calibri"/>
                <w:color w:val="333333"/>
                <w:sz w:val="18"/>
              </w:rPr>
              <w:t>Derivative liabilities at fair value</w:t>
            </w:r>
          </w:p>
        </w:tc>
        <w:tc>
          <w:tcPr>
            <w:tcW w:type="dxa" w:w="2520"/>
          </w:tcPr>
          <w:p>
            <w:r>
              <w:rPr>
                <w:rFonts w:ascii="Calibri" w:hAnsi="Calibri"/>
                <w:color w:val="333333"/>
                <w:sz w:val="18"/>
              </w:rPr>
              <w:t>$571.0M</w:t>
            </w:r>
          </w:p>
        </w:tc>
        <w:tc>
          <w:tcPr>
            <w:tcW w:type="dxa" w:w="2520"/>
          </w:tcPr>
          <w:p>
            <w:r>
              <w:rPr>
                <w:rFonts w:ascii="Calibri" w:hAnsi="Calibri"/>
                <w:color w:val="333333"/>
                <w:sz w:val="18"/>
              </w:rPr>
              <w:t>$325.0M</w:t>
            </w:r>
          </w:p>
        </w:tc>
        <w:tc>
          <w:tcPr>
            <w:tcW w:type="dxa" w:w="2520"/>
            <w:shd w:fill="FCE8E6" w:val="clear"/>
          </w:tcPr>
          <w:p>
            <w:r>
              <w:rPr>
                <w:rFonts w:ascii="Calibri" w:hAnsi="Calibri"/>
                <w:color w:val="333333"/>
                <w:sz w:val="18"/>
              </w:rPr>
              <w:t>-43.1%</w:t>
            </w:r>
          </w:p>
        </w:tc>
      </w:tr>
      <w:tr>
        <w:tc>
          <w:tcPr>
            <w:tcW w:type="dxa" w:w="2520"/>
            <w:shd w:fill="F2F4F8" w:val="clear"/>
          </w:tcPr>
          <w:p>
            <w:r>
              <w:rPr>
                <w:rFonts w:ascii="Calibri" w:hAnsi="Calibri"/>
                <w:color w:val="333333"/>
                <w:sz w:val="18"/>
              </w:rPr>
              <w:t>Derivative notional amount (off-balance-sheet exposure)</w:t>
            </w:r>
          </w:p>
        </w:tc>
        <w:tc>
          <w:tcPr>
            <w:tcW w:type="dxa" w:w="2520"/>
            <w:shd w:fill="F2F4F8" w:val="clear"/>
          </w:tcPr>
          <w:p>
            <w:r>
              <w:rPr>
                <w:rFonts w:ascii="Calibri" w:hAnsi="Calibri"/>
                <w:color w:val="333333"/>
                <w:sz w:val="18"/>
              </w:rPr>
              <w:t>$27.0B</w:t>
            </w:r>
          </w:p>
        </w:tc>
        <w:tc>
          <w:tcPr>
            <w:tcW w:type="dxa" w:w="2520"/>
            <w:shd w:fill="F2F4F8" w:val="clear"/>
          </w:tcPr>
          <w:p>
            <w:r>
              <w:rPr>
                <w:rFonts w:ascii="Calibri" w:hAnsi="Calibri"/>
                <w:color w:val="333333"/>
                <w:sz w:val="18"/>
              </w:rPr>
              <w:t>$29.3B</w:t>
            </w:r>
          </w:p>
        </w:tc>
        <w:tc>
          <w:tcPr>
            <w:tcW w:type="dxa" w:w="2520"/>
            <w:shd w:fill="F2F4F8" w:val="clear"/>
            <w:shd w:fill="FFF3CD" w:val="clear"/>
          </w:tcPr>
          <w:p>
            <w:r>
              <w:rPr>
                <w:rFonts w:ascii="Calibri" w:hAnsi="Calibri"/>
                <w:color w:val="333333"/>
                <w:sz w:val="18"/>
              </w:rPr>
              <w:t>8.5%</w:t>
            </w:r>
          </w:p>
        </w:tc>
      </w:tr>
      <w:tr>
        <w:tc>
          <w:tcPr>
            <w:tcW w:type="dxa" w:w="2520"/>
          </w:tcPr>
          <w:p>
            <w:r>
              <w:rPr>
                <w:rFonts w:ascii="Calibri" w:hAnsi="Calibri"/>
                <w:color w:val="333333"/>
                <w:sz w:val="18"/>
              </w:rPr>
              <w:t>Current ratio</w:t>
            </w:r>
          </w:p>
        </w:tc>
        <w:tc>
          <w:tcPr>
            <w:tcW w:type="dxa" w:w="2520"/>
          </w:tcPr>
          <w:p>
            <w:r>
              <w:rPr>
                <w:rFonts w:ascii="Calibri" w:hAnsi="Calibri"/>
                <w:color w:val="333333"/>
                <w:sz w:val="18"/>
              </w:rPr>
              <w:t>$1</w:t>
            </w:r>
          </w:p>
        </w:tc>
        <w:tc>
          <w:tcPr>
            <w:tcW w:type="dxa" w:w="2520"/>
          </w:tcPr>
          <w:p>
            <w:r>
              <w:rPr>
                <w:rFonts w:ascii="Calibri" w:hAnsi="Calibri"/>
                <w:color w:val="333333"/>
                <w:sz w:val="18"/>
              </w:rPr>
              <w:t>$1</w:t>
            </w:r>
          </w:p>
        </w:tc>
        <w:tc>
          <w:tcPr>
            <w:tcW w:type="dxa" w:w="2520"/>
            <w:shd w:fill="FFF3CD" w:val="clear"/>
          </w:tcPr>
          <w:p>
            <w:r>
              <w:rPr>
                <w:rFonts w:ascii="Calibri" w:hAnsi="Calibri"/>
                <w:color w:val="333333"/>
                <w:sz w:val="18"/>
              </w:rPr>
              <w:t>1.4%</w:t>
            </w:r>
          </w:p>
        </w:tc>
      </w:tr>
      <w:tr>
        <w:tc>
          <w:tcPr>
            <w:tcW w:type="dxa" w:w="2520"/>
            <w:shd w:fill="F2F4F8" w:val="clear"/>
          </w:tcPr>
          <w:p>
            <w:r>
              <w:rPr>
                <w:rFonts w:ascii="Calibri" w:hAnsi="Calibri"/>
                <w:color w:val="333333"/>
                <w:sz w:val="18"/>
              </w:rPr>
              <w:t>Quick ratio</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$1</w:t>
            </w:r>
          </w:p>
        </w:tc>
        <w:tc>
          <w:tcPr>
            <w:tcW w:type="dxa" w:w="2520"/>
            <w:shd w:fill="F2F4F8" w:val="clear"/>
            <w:shd w:fill="FFF3CD" w:val="clear"/>
          </w:tcPr>
          <w:p>
            <w:r>
              <w:rPr>
                <w:rFonts w:ascii="Calibri" w:hAnsi="Calibri"/>
                <w:color w:val="333333"/>
                <w:sz w:val="18"/>
              </w:rPr>
              <w:t>5.1%</w:t>
            </w:r>
          </w:p>
        </w:tc>
      </w:tr>
      <w:tr>
        <w:tc>
          <w:tcPr>
            <w:tcW w:type="dxa" w:w="2520"/>
          </w:tcPr>
          <w:p>
            <w:r>
              <w:rPr>
                <w:rFonts w:ascii="Calibri" w:hAnsi="Calibri"/>
                <w:color w:val="333333"/>
                <w:sz w:val="18"/>
              </w:rPr>
              <w:t>Tangible book value</w:t>
            </w:r>
          </w:p>
        </w:tc>
        <w:tc>
          <w:tcPr>
            <w:tcW w:type="dxa" w:w="2520"/>
          </w:tcPr>
          <w:p>
            <w:r>
              <w:rPr>
                <w:rFonts w:ascii="Calibri" w:hAnsi="Calibri"/>
                <w:color w:val="333333"/>
                <w:sz w:val="18"/>
              </w:rPr>
              <w:t>$13.9B</w:t>
            </w:r>
          </w:p>
        </w:tc>
        <w:tc>
          <w:tcPr>
            <w:tcW w:type="dxa" w:w="2520"/>
          </w:tcPr>
          <w:p>
            <w:r>
              <w:rPr>
                <w:rFonts w:ascii="Calibri" w:hAnsi="Calibri"/>
                <w:color w:val="333333"/>
                <w:sz w:val="18"/>
              </w:rPr>
              <w:t>$15.8B</w:t>
            </w:r>
          </w:p>
        </w:tc>
        <w:tc>
          <w:tcPr>
            <w:tcW w:type="dxa" w:w="2520"/>
            <w:shd w:fill="DCEEF8" w:val="clear"/>
          </w:tcPr>
          <w:p>
            <w:r>
              <w:rPr>
                <w:rFonts w:ascii="Calibri" w:hAnsi="Calibri"/>
                <w:color w:val="333333"/>
                <w:sz w:val="18"/>
              </w:rPr>
              <w:t>13.7%</w:t>
            </w:r>
          </w:p>
        </w:tc>
      </w:tr>
      <w:tr>
        <w:tc>
          <w:tcPr>
            <w:tcW w:type="dxa" w:w="2520"/>
            <w:shd w:fill="F2F4F8" w:val="clear"/>
          </w:tcPr>
          <w:p>
            <w:r>
              <w:rPr>
                <w:rFonts w:ascii="Calibri" w:hAnsi="Calibri"/>
                <w:color w:val="333333"/>
                <w:sz w:val="18"/>
              </w:rPr>
              <w:t>Book value per share</w:t>
            </w:r>
          </w:p>
        </w:tc>
        <w:tc>
          <w:tcPr>
            <w:tcW w:type="dxa" w:w="2520"/>
            <w:shd w:fill="F2F4F8" w:val="clear"/>
          </w:tcPr>
          <w:p>
            <w:r>
              <w:rPr>
                <w:rFonts w:ascii="Calibri" w:hAnsi="Calibri"/>
                <w:color w:val="333333"/>
                <w:sz w:val="18"/>
              </w:rPr>
              <w:t>$40.79</w:t>
            </w:r>
          </w:p>
        </w:tc>
        <w:tc>
          <w:tcPr>
            <w:tcW w:type="dxa" w:w="2520"/>
            <w:shd w:fill="F2F4F8" w:val="clear"/>
          </w:tcPr>
          <w:p>
            <w:r>
              <w:rPr>
                <w:rFonts w:ascii="Calibri" w:hAnsi="Calibri"/>
                <w:color w:val="333333"/>
                <w:sz w:val="18"/>
              </w:rPr>
              <w:t>$45.82</w:t>
            </w:r>
          </w:p>
        </w:tc>
        <w:tc>
          <w:tcPr>
            <w:tcW w:type="dxa" w:w="2520"/>
            <w:shd w:fill="F2F4F8" w:val="clear"/>
            <w:shd w:fill="DCEEF8" w:val="clear"/>
          </w:tcPr>
          <w:p>
            <w:r>
              <w:rPr>
                <w:rFonts w:ascii="Calibri" w:hAnsi="Calibri"/>
                <w:color w:val="333333"/>
                <w:sz w:val="18"/>
              </w:rPr>
              <w:t>12.3%</w:t>
            </w:r>
          </w:p>
        </w:tc>
      </w:tr>
      <w:tr>
        <w:tc>
          <w:tcPr>
            <w:tcW w:type="dxa" w:w="2520"/>
          </w:tcPr>
          <w:p>
            <w:r>
              <w:rPr>
                <w:rFonts w:ascii="Calibri" w:hAnsi="Calibri"/>
                <w:color w:val="333333"/>
                <w:sz w:val="18"/>
              </w:rPr>
              <w:t>Return on assets</w:t>
            </w:r>
          </w:p>
        </w:tc>
        <w:tc>
          <w:tcPr>
            <w:tcW w:type="dxa" w:w="2520"/>
          </w:tcPr>
          <w:p>
            <w:r>
              <w:rPr>
                <w:rFonts w:ascii="Calibri" w:hAnsi="Calibri"/>
                <w:color w:val="333333"/>
                <w:sz w:val="18"/>
              </w:rPr>
              <w:t>$12</w:t>
            </w:r>
          </w:p>
        </w:tc>
        <w:tc>
          <w:tcPr>
            <w:tcW w:type="dxa" w:w="2520"/>
          </w:tcPr>
          <w:p>
            <w:r>
              <w:rPr>
                <w:rFonts w:ascii="Calibri" w:hAnsi="Calibri"/>
                <w:color w:val="333333"/>
                <w:sz w:val="18"/>
              </w:rPr>
              <w:t>$9</w:t>
            </w:r>
          </w:p>
        </w:tc>
        <w:tc>
          <w:tcPr>
            <w:tcW w:type="dxa" w:w="2520"/>
            <w:shd w:fill="FCE8E6" w:val="clear"/>
          </w:tcPr>
          <w:p>
            <w:r>
              <w:rPr>
                <w:rFonts w:ascii="Calibri" w:hAnsi="Calibri"/>
                <w:color w:val="333333"/>
                <w:sz w:val="18"/>
              </w:rPr>
              <w:t>-26.7%</w:t>
            </w:r>
          </w:p>
        </w:tc>
      </w:tr>
      <w:tr>
        <w:tc>
          <w:tcPr>
            <w:tcW w:type="dxa" w:w="2520"/>
            <w:shd w:fill="F2F4F8" w:val="clear"/>
          </w:tcPr>
          <w:p>
            <w:r>
              <w:rPr>
                <w:rFonts w:ascii="Calibri" w:hAnsi="Calibri"/>
                <w:color w:val="333333"/>
                <w:sz w:val="18"/>
              </w:rPr>
              <w:t>Return on equity</w:t>
            </w:r>
          </w:p>
        </w:tc>
        <w:tc>
          <w:tcPr>
            <w:tcW w:type="dxa" w:w="2520"/>
            <w:shd w:fill="F2F4F8" w:val="clear"/>
          </w:tcPr>
          <w:p>
            <w:r>
              <w:rPr>
                <w:rFonts w:ascii="Calibri" w:hAnsi="Calibri"/>
                <w:color w:val="333333"/>
                <w:sz w:val="18"/>
              </w:rPr>
              <w:t>$55</w:t>
            </w:r>
          </w:p>
        </w:tc>
        <w:tc>
          <w:tcPr>
            <w:tcW w:type="dxa" w:w="2520"/>
            <w:shd w:fill="F2F4F8" w:val="clear"/>
          </w:tcPr>
          <w:p>
            <w:r>
              <w:rPr>
                <w:rFonts w:ascii="Calibri" w:hAnsi="Calibri"/>
                <w:color w:val="333333"/>
                <w:sz w:val="18"/>
              </w:rPr>
              <w:t>$42</w:t>
            </w:r>
          </w:p>
        </w:tc>
        <w:tc>
          <w:tcPr>
            <w:tcW w:type="dxa" w:w="2520"/>
            <w:shd w:fill="F2F4F8" w:val="clear"/>
            <w:shd w:fill="FCE8E6" w:val="clear"/>
          </w:tcPr>
          <w:p>
            <w:r>
              <w:rPr>
                <w:rFonts w:ascii="Calibri" w:hAnsi="Calibri"/>
                <w:color w:val="333333"/>
                <w:sz w:val="18"/>
              </w:rPr>
              <w:t>-24.7%</w:t>
            </w:r>
          </w:p>
        </w:tc>
      </w:tr>
      <w:tr>
        <w:tc>
          <w:tcPr>
            <w:tcW w:type="dxa" w:w="2520"/>
          </w:tcPr>
          <w:p>
            <w:r>
              <w:rPr>
                <w:rFonts w:ascii="Calibri" w:hAnsi="Calibri"/>
                <w:color w:val="333333"/>
                <w:sz w:val="18"/>
              </w:rPr>
              <w:t>Asset turnover ratio</w:t>
            </w:r>
          </w:p>
        </w:tc>
        <w:tc>
          <w:tcPr>
            <w:tcW w:type="dxa" w:w="2520"/>
          </w:tcPr>
          <w:p>
            <w:r>
              <w:rPr>
                <w:rFonts w:ascii="Calibri" w:hAnsi="Calibri"/>
                <w:color w:val="333333"/>
                <w:sz w:val="18"/>
              </w:rPr>
              <w:t>$1</w:t>
            </w:r>
          </w:p>
        </w:tc>
        <w:tc>
          <w:tcPr>
            <w:tcW w:type="dxa" w:w="2520"/>
          </w:tcPr>
          <w:p>
            <w:r>
              <w:rPr>
                <w:rFonts w:ascii="Calibri" w:hAnsi="Calibri"/>
                <w:color w:val="333333"/>
                <w:sz w:val="18"/>
              </w:rPr>
              <w:t>$1</w:t>
            </w:r>
          </w:p>
        </w:tc>
        <w:tc>
          <w:tcPr>
            <w:tcW w:type="dxa" w:w="2520"/>
            <w:shd w:fill="FFF3CD" w:val="clear"/>
          </w:tcPr>
          <w:p>
            <w:r>
              <w:rPr>
                <w:rFonts w:ascii="Calibri" w:hAnsi="Calibri"/>
                <w:color w:val="333333"/>
                <w:sz w:val="18"/>
              </w:rPr>
              <w:t>-7.2%</w:t>
            </w:r>
          </w:p>
        </w:tc>
      </w:tr>
    </w:tbl>
    <w:p>
      <w:pPr>
        <w:pStyle w:val="DOHeading3"/>
      </w:pPr>
      <w:r>
        <w:t>Key Balance Sheet Ratios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Ratio</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Current Ratio</w:t>
            </w:r>
          </w:p>
        </w:tc>
        <w:tc>
          <w:tcPr>
            <w:tcW w:type="dxa" w:w="3360"/>
          </w:tcPr>
          <w:p>
            <w:r>
              <w:rPr>
                <w:rFonts w:ascii="Calibri" w:hAnsi="Calibri"/>
                <w:color w:val="333333"/>
                <w:sz w:val="18"/>
              </w:rPr>
              <w:t>1.44</w:t>
            </w:r>
          </w:p>
        </w:tc>
        <w:tc>
          <w:tcPr>
            <w:tcW w:type="dxa" w:w="3360"/>
          </w:tcPr>
          <w:p>
            <w:r>
              <w:rPr>
                <w:rFonts w:ascii="Calibri" w:hAnsi="Calibri"/>
                <w:color w:val="333333"/>
                <w:sz w:val="18"/>
              </w:rPr>
              <w:t>Adequate</w:t>
            </w:r>
          </w:p>
        </w:tc>
      </w:tr>
      <w:tr>
        <w:tc>
          <w:tcPr>
            <w:tcW w:type="dxa" w:w="3360"/>
            <w:shd w:fill="F2F4F8" w:val="clear"/>
          </w:tcPr>
          <w:p>
            <w:r>
              <w:rPr>
                <w:rFonts w:ascii="Calibri" w:hAnsi="Calibri"/>
                <w:color w:val="333333"/>
                <w:sz w:val="18"/>
              </w:rPr>
              <w:t>Debt/Assets</w:t>
            </w:r>
          </w:p>
        </w:tc>
        <w:tc>
          <w:tcPr>
            <w:tcW w:type="dxa" w:w="3360"/>
            <w:shd w:fill="F2F4F8" w:val="clear"/>
          </w:tcPr>
          <w:p>
            <w:r>
              <w:rPr>
                <w:rFonts w:ascii="Calibri" w:hAnsi="Calibri"/>
                <w:color w:val="333333"/>
                <w:sz w:val="18"/>
              </w:rPr>
              <w:t>0.78</w:t>
            </w:r>
          </w:p>
        </w:tc>
        <w:tc>
          <w:tcPr>
            <w:tcW w:type="dxa" w:w="3360"/>
            <w:shd w:fill="F2F4F8" w:val="clear"/>
          </w:tcPr>
          <w:p>
            <w:r>
              <w:rPr>
                <w:rFonts w:ascii="Calibri" w:hAnsi="Calibri"/>
                <w:color w:val="333333"/>
                <w:sz w:val="18"/>
              </w:rPr>
              <w:t>High</w:t>
            </w:r>
          </w:p>
        </w:tc>
      </w:tr>
      <w:tr>
        <w:tc>
          <w:tcPr>
            <w:tcW w:type="dxa" w:w="3360"/>
          </w:tcPr>
          <w:p>
            <w:r>
              <w:rPr>
                <w:rFonts w:ascii="Calibri" w:hAnsi="Calibri"/>
                <w:color w:val="333333"/>
                <w:sz w:val="18"/>
              </w:rPr>
              <w:t>Cash/Assets</w:t>
            </w:r>
          </w:p>
        </w:tc>
        <w:tc>
          <w:tcPr>
            <w:tcW w:type="dxa" w:w="3360"/>
          </w:tcPr>
          <w:p>
            <w:r>
              <w:rPr>
                <w:rFonts w:ascii="Calibri" w:hAnsi="Calibri"/>
                <w:color w:val="333333"/>
                <w:sz w:val="18"/>
              </w:rPr>
              <w:t>10.1%</w:t>
            </w:r>
          </w:p>
        </w:tc>
        <w:tc>
          <w:tcPr>
            <w:tcW w:type="dxa" w:w="3360"/>
          </w:tcPr>
          <w:p>
            <w:r>
              <w:rPr>
                <w:rFonts w:ascii="Calibri" w:hAnsi="Calibri"/>
                <w:color w:val="333333"/>
                <w:sz w:val="18"/>
              </w:rPr>
            </w:r>
          </w:p>
        </w:tc>
      </w:tr>
    </w:tbl>
    <w:p>
      <w:pPr>
        <w:pStyle w:val="DOHeading2"/>
      </w:pPr>
      <w:r>
        <w:t>Cash Flow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Net cash from operating activities</w:t>
            </w:r>
          </w:p>
        </w:tc>
        <w:tc>
          <w:tcPr>
            <w:tcW w:type="dxa" w:w="2520"/>
          </w:tcPr>
          <w:p>
            <w:r>
              <w:rPr>
                <w:rFonts w:ascii="Calibri" w:hAnsi="Calibri"/>
                <w:color w:val="333333"/>
                <w:sz w:val="18"/>
              </w:rPr>
              <w:t>$12.0B</w:t>
            </w:r>
          </w:p>
        </w:tc>
        <w:tc>
          <w:tcPr>
            <w:tcW w:type="dxa" w:w="2520"/>
          </w:tcPr>
          <w:p>
            <w:r>
              <w:rPr>
                <w:rFonts w:ascii="Calibri" w:hAnsi="Calibri"/>
                <w:color w:val="333333"/>
                <w:sz w:val="18"/>
              </w:rPr>
              <w:t>$11.7B</w:t>
            </w:r>
          </w:p>
        </w:tc>
        <w:tc>
          <w:tcPr>
            <w:tcW w:type="dxa" w:w="2520"/>
            <w:shd w:fill="FFF3CD" w:val="clear"/>
          </w:tcPr>
          <w:p>
            <w:r>
              <w:rPr>
                <w:rFonts w:ascii="Calibri" w:hAnsi="Calibri"/>
                <w:color w:val="333333"/>
                <w:sz w:val="18"/>
              </w:rPr>
              <w:t>-2.5%</w:t>
            </w:r>
          </w:p>
        </w:tc>
      </w:tr>
      <w:tr>
        <w:tc>
          <w:tcPr>
            <w:tcW w:type="dxa" w:w="2520"/>
            <w:shd w:fill="F2F4F8" w:val="clear"/>
          </w:tcPr>
          <w:p>
            <w:r>
              <w:rPr>
                <w:rFonts w:ascii="Calibri" w:hAnsi="Calibri"/>
                <w:color w:val="333333"/>
                <w:sz w:val="18"/>
              </w:rPr>
              <w:t>Net cash from investing activities</w:t>
            </w:r>
          </w:p>
        </w:tc>
        <w:tc>
          <w:tcPr>
            <w:tcW w:type="dxa" w:w="2520"/>
            <w:shd w:fill="F2F4F8" w:val="clear"/>
          </w:tcPr>
          <w:p>
            <w:r>
              <w:rPr>
                <w:rFonts w:ascii="Calibri" w:hAnsi="Calibri"/>
                <w:color w:val="333333"/>
                <w:sz w:val="18"/>
              </w:rPr>
              <w:t>$-2.5B</w:t>
            </w:r>
          </w:p>
        </w:tc>
        <w:tc>
          <w:tcPr>
            <w:tcW w:type="dxa" w:w="2520"/>
            <w:shd w:fill="F2F4F8" w:val="clear"/>
          </w:tcPr>
          <w:p>
            <w:r>
              <w:rPr>
                <w:rFonts w:ascii="Calibri" w:hAnsi="Calibri"/>
                <w:color w:val="333333"/>
                <w:sz w:val="18"/>
              </w:rPr>
              <w:t>$-4.7B</w:t>
            </w:r>
          </w:p>
        </w:tc>
        <w:tc>
          <w:tcPr>
            <w:tcW w:type="dxa" w:w="2520"/>
            <w:shd w:fill="F2F4F8" w:val="clear"/>
            <w:shd w:fill="FCE8E6" w:val="clear"/>
          </w:tcPr>
          <w:p>
            <w:r>
              <w:rPr>
                <w:rFonts w:ascii="Calibri" w:hAnsi="Calibri"/>
                <w:color w:val="333333"/>
                <w:sz w:val="18"/>
              </w:rPr>
              <w:t>-91.9%</w:t>
            </w:r>
          </w:p>
        </w:tc>
      </w:tr>
      <w:tr>
        <w:tc>
          <w:tcPr>
            <w:tcW w:type="dxa" w:w="2520"/>
          </w:tcPr>
          <w:p>
            <w:r>
              <w:rPr>
                <w:rFonts w:ascii="Calibri" w:hAnsi="Calibri"/>
                <w:color w:val="333333"/>
                <w:sz w:val="18"/>
              </w:rPr>
              <w:t>Net cash from financing activities</w:t>
            </w:r>
          </w:p>
        </w:tc>
        <w:tc>
          <w:tcPr>
            <w:tcW w:type="dxa" w:w="2520"/>
          </w:tcPr>
          <w:p>
            <w:r>
              <w:rPr>
                <w:rFonts w:ascii="Calibri" w:hAnsi="Calibri"/>
                <w:color w:val="333333"/>
                <w:sz w:val="18"/>
              </w:rPr>
              <w:t>$-9.6B</w:t>
            </w:r>
          </w:p>
        </w:tc>
        <w:tc>
          <w:tcPr>
            <w:tcW w:type="dxa" w:w="2520"/>
          </w:tcPr>
          <w:p>
            <w:r>
              <w:rPr>
                <w:rFonts w:ascii="Calibri" w:hAnsi="Calibri"/>
                <w:color w:val="333333"/>
                <w:sz w:val="18"/>
              </w:rPr>
              <w:t>$-3.9B</w:t>
            </w:r>
          </w:p>
        </w:tc>
        <w:tc>
          <w:tcPr>
            <w:tcW w:type="dxa" w:w="2520"/>
            <w:shd w:fill="DCEEF8" w:val="clear"/>
          </w:tcPr>
          <w:p>
            <w:r>
              <w:rPr>
                <w:rFonts w:ascii="Calibri" w:hAnsi="Calibri"/>
                <w:color w:val="333333"/>
                <w:sz w:val="18"/>
              </w:rPr>
              <w:t>59.2%</w:t>
            </w:r>
          </w:p>
        </w:tc>
      </w:tr>
      <w:tr>
        <w:tc>
          <w:tcPr>
            <w:tcW w:type="dxa" w:w="2520"/>
            <w:shd w:fill="F2F4F8" w:val="clear"/>
          </w:tcPr>
          <w:p>
            <w:r>
              <w:rPr>
                <w:rFonts w:ascii="Calibri" w:hAnsi="Calibri"/>
                <w:color w:val="333333"/>
                <w:sz w:val="18"/>
              </w:rPr>
              <w:t>Capital expenditures</w:t>
            </w:r>
          </w:p>
        </w:tc>
        <w:tc>
          <w:tcPr>
            <w:tcW w:type="dxa" w:w="2520"/>
            <w:shd w:fill="F2F4F8" w:val="clear"/>
          </w:tcPr>
          <w:p>
            <w:r>
              <w:rPr>
                <w:rFonts w:ascii="Calibri" w:hAnsi="Calibri"/>
                <w:color w:val="333333"/>
                <w:sz w:val="18"/>
              </w:rPr>
              <w:t>$2.0B</w:t>
            </w:r>
          </w:p>
        </w:tc>
        <w:tc>
          <w:tcPr>
            <w:tcW w:type="dxa" w:w="2520"/>
            <w:shd w:fill="F2F4F8" w:val="clear"/>
          </w:tcPr>
          <w:p>
            <w:r>
              <w:rPr>
                <w:rFonts w:ascii="Calibri" w:hAnsi="Calibri"/>
                <w:color w:val="333333"/>
                <w:sz w:val="18"/>
              </w:rPr>
              <w:t>$2.8B</w:t>
            </w:r>
          </w:p>
        </w:tc>
        <w:tc>
          <w:tcPr>
            <w:tcW w:type="dxa" w:w="2520"/>
            <w:shd w:fill="F2F4F8" w:val="clear"/>
            <w:shd w:fill="DCEEF8" w:val="clear"/>
          </w:tcPr>
          <w:p>
            <w:r>
              <w:rPr>
                <w:rFonts w:ascii="Calibri" w:hAnsi="Calibri"/>
                <w:color w:val="333333"/>
                <w:sz w:val="18"/>
              </w:rPr>
              <w:t>41.9%</w:t>
            </w:r>
          </w:p>
        </w:tc>
      </w:tr>
      <w:tr>
        <w:tc>
          <w:tcPr>
            <w:tcW w:type="dxa" w:w="2520"/>
          </w:tcPr>
          <w:p>
            <w:r>
              <w:rPr>
                <w:rFonts w:ascii="Calibri" w:hAnsi="Calibri"/>
                <w:color w:val="333333"/>
                <w:sz w:val="18"/>
              </w:rPr>
              <w:t>Depreciation and amortization</w:t>
            </w:r>
          </w:p>
        </w:tc>
        <w:tc>
          <w:tcPr>
            <w:tcW w:type="dxa" w:w="2520"/>
          </w:tcPr>
          <w:p>
            <w:r>
              <w:rPr>
                <w:rFonts w:ascii="Calibri" w:hAnsi="Calibri"/>
                <w:color w:val="333333"/>
                <w:sz w:val="18"/>
              </w:rPr>
              <w:t>$2.2B</w:t>
            </w:r>
          </w:p>
        </w:tc>
        <w:tc>
          <w:tcPr>
            <w:tcW w:type="dxa" w:w="2520"/>
          </w:tcPr>
          <w:p>
            <w:r>
              <w:rPr>
                <w:rFonts w:ascii="Calibri" w:hAnsi="Calibri"/>
                <w:color w:val="333333"/>
                <w:sz w:val="18"/>
              </w:rPr>
              <w:t>$2.3B</w:t>
            </w:r>
          </w:p>
        </w:tc>
        <w:tc>
          <w:tcPr>
            <w:tcW w:type="dxa" w:w="2520"/>
            <w:shd w:fill="FFF3CD" w:val="clear"/>
          </w:tcPr>
          <w:p>
            <w:r>
              <w:rPr>
                <w:rFonts w:ascii="Calibri" w:hAnsi="Calibri"/>
                <w:color w:val="333333"/>
                <w:sz w:val="18"/>
              </w:rPr>
              <w:t>5.1%</w:t>
            </w:r>
          </w:p>
        </w:tc>
      </w:tr>
      <w:tr>
        <w:tc>
          <w:tcPr>
            <w:tcW w:type="dxa" w:w="2520"/>
            <w:shd w:fill="F2F4F8" w:val="clear"/>
          </w:tcPr>
          <w:p>
            <w:r>
              <w:rPr>
                <w:rFonts w:ascii="Calibri" w:hAnsi="Calibri"/>
                <w:color w:val="333333"/>
                <w:sz w:val="18"/>
              </w:rPr>
              <w:t>Dividends paid</w:t>
            </w:r>
          </w:p>
        </w:tc>
        <w:tc>
          <w:tcPr>
            <w:tcW w:type="dxa" w:w="2520"/>
            <w:shd w:fill="F2F4F8" w:val="clear"/>
          </w:tcPr>
          <w:p>
            <w:r>
              <w:rPr>
                <w:rFonts w:ascii="Calibri" w:hAnsi="Calibri"/>
                <w:color w:val="333333"/>
                <w:sz w:val="18"/>
              </w:rPr>
              <w:t>$2.6B</w:t>
            </w:r>
          </w:p>
        </w:tc>
        <w:tc>
          <w:tcPr>
            <w:tcW w:type="dxa" w:w="2520"/>
            <w:shd w:fill="F2F4F8" w:val="clear"/>
          </w:tcPr>
          <w:p>
            <w:r>
              <w:rPr>
                <w:rFonts w:ascii="Calibri" w:hAnsi="Calibri"/>
                <w:color w:val="333333"/>
                <w:sz w:val="18"/>
              </w:rPr>
              <w:t>$2.7B</w:t>
            </w:r>
          </w:p>
        </w:tc>
        <w:tc>
          <w:tcPr>
            <w:tcW w:type="dxa" w:w="2520"/>
            <w:shd w:fill="F2F4F8" w:val="clear"/>
            <w:shd w:fill="FFF3CD" w:val="clear"/>
          </w:tcPr>
          <w:p>
            <w:r>
              <w:rPr>
                <w:rFonts w:ascii="Calibri" w:hAnsi="Calibri"/>
                <w:color w:val="333333"/>
                <w:sz w:val="18"/>
              </w:rPr>
              <w:t>3.9%</w:t>
            </w:r>
          </w:p>
        </w:tc>
      </w:tr>
      <w:tr>
        <w:tc>
          <w:tcPr>
            <w:tcW w:type="dxa" w:w="2520"/>
          </w:tcPr>
          <w:p>
            <w:r>
              <w:rPr>
                <w:rFonts w:ascii="Calibri" w:hAnsi="Calibri"/>
                <w:color w:val="333333"/>
                <w:sz w:val="18"/>
              </w:rPr>
              <w:t>Share repurchases / buybacks</w:t>
            </w:r>
          </w:p>
        </w:tc>
        <w:tc>
          <w:tcPr>
            <w:tcW w:type="dxa" w:w="2520"/>
          </w:tcPr>
          <w:p>
            <w:r>
              <w:rPr>
                <w:rFonts w:ascii="Calibri" w:hAnsi="Calibri"/>
                <w:color w:val="333333"/>
                <w:sz w:val="18"/>
              </w:rPr>
              <w:t>$7.7B</w:t>
            </w:r>
          </w:p>
        </w:tc>
        <w:tc>
          <w:tcPr>
            <w:tcW w:type="dxa" w:w="2520"/>
          </w:tcPr>
          <w:p>
            <w:r>
              <w:rPr>
                <w:rFonts w:ascii="Calibri" w:hAnsi="Calibri"/>
                <w:color w:val="333333"/>
                <w:sz w:val="18"/>
              </w:rPr>
              <w:t>$5.2B</w:t>
            </w:r>
          </w:p>
        </w:tc>
        <w:tc>
          <w:tcPr>
            <w:tcW w:type="dxa" w:w="2520"/>
            <w:shd w:fill="FCE8E6" w:val="clear"/>
          </w:tcPr>
          <w:p>
            <w:r>
              <w:rPr>
                <w:rFonts w:ascii="Calibri" w:hAnsi="Calibri"/>
                <w:color w:val="333333"/>
                <w:sz w:val="18"/>
              </w:rPr>
              <w:t>-32.6%</w:t>
            </w:r>
          </w:p>
        </w:tc>
      </w:tr>
      <w:tr>
        <w:tc>
          <w:tcPr>
            <w:tcW w:type="dxa" w:w="2520"/>
            <w:shd w:fill="F2F4F8" w:val="clear"/>
          </w:tcPr>
          <w:p>
            <w:r>
              <w:rPr>
                <w:rFonts w:ascii="Calibri" w:hAnsi="Calibri"/>
                <w:color w:val="333333"/>
                <w:sz w:val="18"/>
              </w:rPr>
              <w:t>Acquisitions, net of cash acquired</w:t>
            </w:r>
          </w:p>
        </w:tc>
        <w:tc>
          <w:tcPr>
            <w:tcW w:type="dxa" w:w="2520"/>
            <w:shd w:fill="F2F4F8" w:val="clear"/>
          </w:tcPr>
          <w:p>
            <w:r>
              <w:rPr>
                <w:rFonts w:ascii="Calibri" w:hAnsi="Calibri"/>
                <w:color w:val="333333"/>
                <w:sz w:val="18"/>
              </w:rPr>
              <w:t>$34.0M</w:t>
            </w:r>
          </w:p>
        </w:tc>
        <w:tc>
          <w:tcPr>
            <w:tcW w:type="dxa" w:w="2520"/>
            <w:shd w:fill="F2F4F8" w:val="clear"/>
          </w:tcPr>
          <w:p>
            <w:r>
              <w:rPr>
                <w:rFonts w:ascii="Calibri" w:hAnsi="Calibri"/>
                <w:color w:val="333333"/>
                <w:sz w:val="18"/>
              </w:rPr>
              <w:t>$47.0M</w:t>
            </w:r>
          </w:p>
        </w:tc>
        <w:tc>
          <w:tcPr>
            <w:tcW w:type="dxa" w:w="2520"/>
            <w:shd w:fill="F2F4F8" w:val="clear"/>
            <w:shd w:fill="DCEEF8" w:val="clear"/>
          </w:tcPr>
          <w:p>
            <w:r>
              <w:rPr>
                <w:rFonts w:ascii="Calibri" w:hAnsi="Calibri"/>
                <w:color w:val="333333"/>
                <w:sz w:val="18"/>
              </w:rPr>
              <w:t>38.2%</w:t>
            </w:r>
          </w:p>
        </w:tc>
      </w:tr>
      <w:tr>
        <w:tc>
          <w:tcPr>
            <w:tcW w:type="dxa" w:w="2520"/>
          </w:tcPr>
          <w:p>
            <w:r>
              <w:rPr>
                <w:rFonts w:ascii="Calibri" w:hAnsi="Calibri"/>
                <w:color w:val="333333"/>
                <w:sz w:val="18"/>
              </w:rPr>
              <w:t>Proceeds from stock issuance</w:t>
            </w:r>
          </w:p>
        </w:tc>
        <w:tc>
          <w:tcPr>
            <w:tcW w:type="dxa" w:w="2520"/>
          </w:tcPr>
          <w:p>
            <w:r>
              <w:rPr>
                <w:rFonts w:ascii="Calibri" w:hAnsi="Calibri"/>
                <w:color w:val="333333"/>
                <w:sz w:val="18"/>
              </w:rPr>
              <w:t>$20.0M</w:t>
            </w:r>
          </w:p>
        </w:tc>
        <w:tc>
          <w:tcPr>
            <w:tcW w:type="dxa" w:w="2520"/>
          </w:tcPr>
          <w:p>
            <w:r>
              <w:rPr>
                <w:rFonts w:ascii="Calibri" w:hAnsi="Calibri"/>
                <w:color w:val="333333"/>
                <w:sz w:val="18"/>
              </w:rPr>
              <w:t>$16.0M</w:t>
            </w:r>
          </w:p>
        </w:tc>
        <w:tc>
          <w:tcPr>
            <w:tcW w:type="dxa" w:w="2520"/>
            <w:shd w:fill="FCE8E6" w:val="clear"/>
          </w:tcPr>
          <w:p>
            <w:r>
              <w:rPr>
                <w:rFonts w:ascii="Calibri" w:hAnsi="Calibri"/>
                <w:color w:val="333333"/>
                <w:sz w:val="18"/>
              </w:rPr>
              <w:t>-20.0%</w:t>
            </w:r>
          </w:p>
        </w:tc>
      </w:tr>
      <w:tr>
        <w:tc>
          <w:tcPr>
            <w:tcW w:type="dxa" w:w="2520"/>
            <w:shd w:fill="F2F4F8" w:val="clear"/>
          </w:tcPr>
          <w:p>
            <w:r>
              <w:rPr>
                <w:rFonts w:ascii="Calibri" w:hAnsi="Calibri"/>
                <w:color w:val="333333"/>
                <w:sz w:val="18"/>
              </w:rPr>
              <w:t>Interest paid (supplemental)</w:t>
            </w:r>
          </w:p>
        </w:tc>
        <w:tc>
          <w:tcPr>
            <w:tcW w:type="dxa" w:w="2520"/>
            <w:shd w:fill="F2F4F8" w:val="clear"/>
          </w:tcPr>
          <w:p>
            <w:r>
              <w:rPr>
                <w:rFonts w:ascii="Calibri" w:hAnsi="Calibri"/>
                <w:color w:val="333333"/>
                <w:sz w:val="18"/>
              </w:rPr>
              <w:t>$1.7B</w:t>
            </w:r>
          </w:p>
        </w:tc>
        <w:tc>
          <w:tcPr>
            <w:tcW w:type="dxa" w:w="2520"/>
            <w:shd w:fill="F2F4F8" w:val="clear"/>
          </w:tcPr>
          <w:p>
            <w:r>
              <w:rPr>
                <w:rFonts w:ascii="Calibri" w:hAnsi="Calibri"/>
                <w:color w:val="333333"/>
                <w:sz w:val="18"/>
              </w:rPr>
              <w:t>$1.8B</w:t>
            </w:r>
          </w:p>
        </w:tc>
        <w:tc>
          <w:tcPr>
            <w:tcW w:type="dxa" w:w="2520"/>
            <w:shd w:fill="F2F4F8" w:val="clear"/>
            <w:shd w:fill="FFF3CD" w:val="clear"/>
          </w:tcPr>
          <w:p>
            <w:r>
              <w:rPr>
                <w:rFonts w:ascii="Calibri" w:hAnsi="Calibri"/>
                <w:color w:val="333333"/>
                <w:sz w:val="18"/>
              </w:rPr>
              <w:t>6.0%</w:t>
            </w:r>
          </w:p>
        </w:tc>
      </w:tr>
      <w:tr>
        <w:tc>
          <w:tcPr>
            <w:tcW w:type="dxa" w:w="2520"/>
          </w:tcPr>
          <w:p>
            <w:r>
              <w:rPr>
                <w:rFonts w:ascii="Calibri" w:hAnsi="Calibri"/>
                <w:color w:val="333333"/>
                <w:sz w:val="18"/>
              </w:rPr>
              <w:t>Income taxes paid (supplemental)</w:t>
            </w:r>
          </w:p>
        </w:tc>
        <w:tc>
          <w:tcPr>
            <w:tcW w:type="dxa" w:w="2520"/>
          </w:tcPr>
          <w:p>
            <w:r>
              <w:rPr>
                <w:rFonts w:ascii="Calibri" w:hAnsi="Calibri"/>
                <w:color w:val="333333"/>
                <w:sz w:val="18"/>
              </w:rPr>
              <w:t>$3.1B</w:t>
            </w:r>
          </w:p>
        </w:tc>
        <w:tc>
          <w:tcPr>
            <w:tcW w:type="dxa" w:w="2520"/>
          </w:tcPr>
          <w:p>
            <w:r>
              <w:rPr>
                <w:rFonts w:ascii="Calibri" w:hAnsi="Calibri"/>
                <w:color w:val="333333"/>
                <w:sz w:val="18"/>
              </w:rPr>
              <w:t>$2.2B</w:t>
            </w:r>
          </w:p>
        </w:tc>
        <w:tc>
          <w:tcPr>
            <w:tcW w:type="dxa" w:w="2520"/>
            <w:shd w:fill="FCE8E6" w:val="clear"/>
          </w:tcPr>
          <w:p>
            <w:r>
              <w:rPr>
                <w:rFonts w:ascii="Calibri" w:hAnsi="Calibri"/>
                <w:color w:val="333333"/>
                <w:sz w:val="18"/>
              </w:rPr>
              <w:t>-29.4%</w:t>
            </w:r>
          </w:p>
        </w:tc>
      </w:tr>
      <w:tr>
        <w:tc>
          <w:tcPr>
            <w:tcW w:type="dxa" w:w="2520"/>
            <w:shd w:fill="F2F4F8" w:val="clear"/>
          </w:tcPr>
          <w:p>
            <w:r>
              <w:rPr>
                <w:rFonts w:ascii="Calibri" w:hAnsi="Calibri"/>
                <w:color w:val="333333"/>
                <w:sz w:val="18"/>
              </w:rPr>
              <w:t>Stock-based compensation (cash flow adjustment)</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$45.0M</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Net increase/decrease in cash and equivalents</w:t>
            </w:r>
          </w:p>
        </w:tc>
        <w:tc>
          <w:tcPr>
            <w:tcW w:type="dxa" w:w="2520"/>
          </w:tcPr>
          <w:p>
            <w:r>
              <w:rPr>
                <w:rFonts w:ascii="Calibri" w:hAnsi="Calibri"/>
                <w:color w:val="333333"/>
                <w:sz w:val="18"/>
              </w:rPr>
              <w:t>$-89.0M</w:t>
            </w:r>
          </w:p>
        </w:tc>
        <w:tc>
          <w:tcPr>
            <w:tcW w:type="dxa" w:w="2520"/>
          </w:tcPr>
          <w:p>
            <w:r>
              <w:rPr>
                <w:rFonts w:ascii="Calibri" w:hAnsi="Calibri"/>
                <w:color w:val="333333"/>
                <w:sz w:val="18"/>
              </w:rPr>
              <w:t>$3.1B</w:t>
            </w:r>
          </w:p>
        </w:tc>
        <w:tc>
          <w:tcPr>
            <w:tcW w:type="dxa" w:w="2520"/>
            <w:shd w:fill="DCEEF8" w:val="clear"/>
          </w:tcPr>
          <w:p>
            <w:r>
              <w:rPr>
                <w:rFonts w:ascii="Calibri" w:hAnsi="Calibri"/>
                <w:color w:val="333333"/>
                <w:sz w:val="18"/>
              </w:rPr>
              <w:t>3571.9%</w:t>
            </w:r>
          </w:p>
        </w:tc>
      </w:tr>
      <w:tr>
        <w:tc>
          <w:tcPr>
            <w:tcW w:type="dxa" w:w="2520"/>
            <w:shd w:fill="F2F4F8" w:val="clear"/>
          </w:tcPr>
          <w:p>
            <w:r>
              <w:rPr>
                <w:rFonts w:ascii="Calibri" w:hAnsi="Calibri"/>
                <w:color w:val="333333"/>
                <w:sz w:val="18"/>
              </w:rPr>
              <w:t>Proceeds from sale/maturity of investments</w:t>
            </w:r>
          </w:p>
        </w:tc>
        <w:tc>
          <w:tcPr>
            <w:tcW w:type="dxa" w:w="2520"/>
            <w:shd w:fill="F2F4F8" w:val="clear"/>
          </w:tcPr>
          <w:p>
            <w:r>
              <w:rPr>
                <w:rFonts w:ascii="Calibri" w:hAnsi="Calibri"/>
                <w:color w:val="333333"/>
                <w:sz w:val="18"/>
              </w:rPr>
              <w:t>$3.2B</w:t>
            </w:r>
          </w:p>
        </w:tc>
        <w:tc>
          <w:tcPr>
            <w:tcW w:type="dxa" w:w="2520"/>
            <w:shd w:fill="F2F4F8" w:val="clear"/>
          </w:tcPr>
          <w:p>
            <w:r>
              <w:rPr>
                <w:rFonts w:ascii="Calibri" w:hAnsi="Calibri"/>
                <w:color w:val="333333"/>
                <w:sz w:val="18"/>
              </w:rPr>
              <w:t>$2.5B</w:t>
            </w:r>
          </w:p>
        </w:tc>
        <w:tc>
          <w:tcPr>
            <w:tcW w:type="dxa" w:w="2520"/>
            <w:shd w:fill="F2F4F8" w:val="clear"/>
            <w:shd w:fill="FCE8E6" w:val="clear"/>
          </w:tcPr>
          <w:p>
            <w:r>
              <w:rPr>
                <w:rFonts w:ascii="Calibri" w:hAnsi="Calibri"/>
                <w:color w:val="333333"/>
                <w:sz w:val="18"/>
              </w:rPr>
              <w:t>-20.9%</w:t>
            </w:r>
          </w:p>
        </w:tc>
      </w:tr>
      <w:tr>
        <w:tc>
          <w:tcPr>
            <w:tcW w:type="dxa" w:w="2520"/>
          </w:tcPr>
          <w:p>
            <w:r>
              <w:rPr>
                <w:rFonts w:ascii="Calibri" w:hAnsi="Calibri"/>
                <w:color w:val="333333"/>
                <w:sz w:val="18"/>
              </w:rPr>
              <w:t>Deferred income taxes (cash flow adjustment)</w:t>
            </w:r>
          </w:p>
        </w:tc>
        <w:tc>
          <w:tcPr>
            <w:tcW w:type="dxa" w:w="2520"/>
          </w:tcPr>
          <w:p>
            <w:r>
              <w:rPr>
                <w:rFonts w:ascii="Calibri" w:hAnsi="Calibri"/>
                <w:color w:val="333333"/>
                <w:sz w:val="18"/>
              </w:rPr>
              <w:t>$-621.0M</w:t>
            </w:r>
          </w:p>
        </w:tc>
        <w:tc>
          <w:tcPr>
            <w:tcW w:type="dxa" w:w="2520"/>
          </w:tcPr>
          <w:p>
            <w:r>
              <w:rPr>
                <w:rFonts w:ascii="Calibri" w:hAnsi="Calibri"/>
                <w:color w:val="333333"/>
                <w:sz w:val="18"/>
              </w:rPr>
              <w:t>$465.0M</w:t>
            </w:r>
          </w:p>
        </w:tc>
        <w:tc>
          <w:tcPr>
            <w:tcW w:type="dxa" w:w="2520"/>
            <w:shd w:fill="DCEEF8" w:val="clear"/>
          </w:tcPr>
          <w:p>
            <w:r>
              <w:rPr>
                <w:rFonts w:ascii="Calibri" w:hAnsi="Calibri"/>
                <w:color w:val="333333"/>
                <w:sz w:val="18"/>
              </w:rPr>
              <w:t>174.9%</w:t>
            </w:r>
          </w:p>
        </w:tc>
      </w:tr>
      <w:tr>
        <w:tc>
          <w:tcPr>
            <w:tcW w:type="dxa" w:w="2520"/>
            <w:shd w:fill="F2F4F8" w:val="clear"/>
          </w:tcPr>
          <w:p>
            <w:r>
              <w:rPr>
                <w:rFonts w:ascii="Calibri" w:hAnsi="Calibri"/>
                <w:color w:val="333333"/>
                <w:sz w:val="18"/>
              </w:rPr>
              <w:t>Change in accounts receivable</w:t>
            </w:r>
          </w:p>
        </w:tc>
        <w:tc>
          <w:tcPr>
            <w:tcW w:type="dxa" w:w="2520"/>
            <w:shd w:fill="F2F4F8" w:val="clear"/>
          </w:tcPr>
          <w:p>
            <w:r>
              <w:rPr>
                <w:rFonts w:ascii="Calibri" w:hAnsi="Calibri"/>
                <w:color w:val="333333"/>
                <w:sz w:val="18"/>
              </w:rPr>
              <w:t>$160.0M</w:t>
            </w:r>
          </w:p>
        </w:tc>
        <w:tc>
          <w:tcPr>
            <w:tcW w:type="dxa" w:w="2520"/>
            <w:shd w:fill="F2F4F8" w:val="clear"/>
          </w:tcPr>
          <w:p>
            <w:r>
              <w:rPr>
                <w:rFonts w:ascii="Calibri" w:hAnsi="Calibri"/>
                <w:color w:val="333333"/>
                <w:sz w:val="18"/>
              </w:rPr>
              <w:t>$2.1B</w:t>
            </w:r>
          </w:p>
        </w:tc>
        <w:tc>
          <w:tcPr>
            <w:tcW w:type="dxa" w:w="2520"/>
            <w:shd w:fill="F2F4F8" w:val="clear"/>
            <w:shd w:fill="DCEEF8" w:val="clear"/>
          </w:tcPr>
          <w:p>
            <w:r>
              <w:rPr>
                <w:rFonts w:ascii="Calibri" w:hAnsi="Calibri"/>
                <w:color w:val="333333"/>
                <w:sz w:val="18"/>
              </w:rPr>
              <w:t>1236.2%</w:t>
            </w:r>
          </w:p>
        </w:tc>
      </w:tr>
      <w:tr>
        <w:tc>
          <w:tcPr>
            <w:tcW w:type="dxa" w:w="2520"/>
          </w:tcPr>
          <w:p>
            <w:r>
              <w:rPr>
                <w:rFonts w:ascii="Calibri" w:hAnsi="Calibri"/>
                <w:color w:val="333333"/>
                <w:sz w:val="18"/>
              </w:rPr>
              <w:t>Change in inventory</w:t>
            </w:r>
          </w:p>
        </w:tc>
        <w:tc>
          <w:tcPr>
            <w:tcW w:type="dxa" w:w="2520"/>
          </w:tcPr>
          <w:p>
            <w:r>
              <w:rPr>
                <w:rFonts w:ascii="Calibri" w:hAnsi="Calibri"/>
                <w:color w:val="333333"/>
                <w:sz w:val="18"/>
              </w:rPr>
              <w:t>$414.0M</w:t>
            </w:r>
          </w:p>
        </w:tc>
        <w:tc>
          <w:tcPr>
            <w:tcW w:type="dxa" w:w="2520"/>
          </w:tcPr>
          <w:p>
            <w:r>
              <w:rPr>
                <w:rFonts w:ascii="Calibri" w:hAnsi="Calibri"/>
                <w:color w:val="333333"/>
                <w:sz w:val="18"/>
              </w:rPr>
              <w:t>$1.5B</w:t>
            </w:r>
          </w:p>
        </w:tc>
        <w:tc>
          <w:tcPr>
            <w:tcW w:type="dxa" w:w="2520"/>
            <w:shd w:fill="DCEEF8" w:val="clear"/>
          </w:tcPr>
          <w:p>
            <w:r>
              <w:rPr>
                <w:rFonts w:ascii="Calibri" w:hAnsi="Calibri"/>
                <w:color w:val="333333"/>
                <w:sz w:val="18"/>
              </w:rPr>
              <w:t>256.8%</w:t>
            </w:r>
          </w:p>
        </w:tc>
      </w:tr>
      <w:tr>
        <w:tc>
          <w:tcPr>
            <w:tcW w:type="dxa" w:w="2520"/>
            <w:shd w:fill="F2F4F8" w:val="clear"/>
          </w:tcPr>
          <w:p>
            <w:r>
              <w:rPr>
                <w:rFonts w:ascii="Calibri" w:hAnsi="Calibri"/>
                <w:color w:val="333333"/>
                <w:sz w:val="18"/>
              </w:rPr>
              <w:t>Change in accounts payable</w:t>
            </w:r>
          </w:p>
        </w:tc>
        <w:tc>
          <w:tcPr>
            <w:tcW w:type="dxa" w:w="2520"/>
            <w:shd w:fill="F2F4F8" w:val="clear"/>
          </w:tcPr>
          <w:p>
            <w:r>
              <w:rPr>
                <w:rFonts w:ascii="Calibri" w:hAnsi="Calibri"/>
                <w:color w:val="333333"/>
                <w:sz w:val="18"/>
              </w:rPr>
              <w:t>$-282.0M</w:t>
            </w:r>
          </w:p>
        </w:tc>
        <w:tc>
          <w:tcPr>
            <w:tcW w:type="dxa" w:w="2520"/>
            <w:shd w:fill="F2F4F8" w:val="clear"/>
          </w:tcPr>
          <w:p>
            <w:r>
              <w:rPr>
                <w:rFonts w:ascii="Calibri" w:hAnsi="Calibri"/>
                <w:color w:val="333333"/>
                <w:sz w:val="18"/>
              </w:rPr>
              <w:t>$1.2B</w:t>
            </w:r>
          </w:p>
        </w:tc>
        <w:tc>
          <w:tcPr>
            <w:tcW w:type="dxa" w:w="2520"/>
            <w:shd w:fill="F2F4F8" w:val="clear"/>
            <w:shd w:fill="DCEEF8" w:val="clear"/>
          </w:tcPr>
          <w:p>
            <w:r>
              <w:rPr>
                <w:rFonts w:ascii="Calibri" w:hAnsi="Calibri"/>
                <w:color w:val="333333"/>
                <w:sz w:val="18"/>
              </w:rPr>
              <w:t>518.1%</w:t>
            </w:r>
          </w:p>
        </w:tc>
      </w:tr>
      <w:tr>
        <w:tc>
          <w:tcPr>
            <w:tcW w:type="dxa" w:w="2520"/>
          </w:tcPr>
          <w:p>
            <w:r>
              <w:rPr>
                <w:rFonts w:ascii="Calibri" w:hAnsi="Calibri"/>
                <w:color w:val="333333"/>
                <w:sz w:val="18"/>
              </w:rPr>
              <w:t>Amortization of intangible assets</w:t>
            </w:r>
          </w:p>
        </w:tc>
        <w:tc>
          <w:tcPr>
            <w:tcW w:type="dxa" w:w="2520"/>
          </w:tcPr>
          <w:p>
            <w:r>
              <w:rPr>
                <w:rFonts w:ascii="Calibri" w:hAnsi="Calibri"/>
                <w:color w:val="333333"/>
                <w:sz w:val="18"/>
              </w:rPr>
              <w:t>$176.0M</w:t>
            </w:r>
          </w:p>
        </w:tc>
        <w:tc>
          <w:tcPr>
            <w:tcW w:type="dxa" w:w="2520"/>
          </w:tcPr>
          <w:p>
            <w:r>
              <w:rPr>
                <w:rFonts w:ascii="Calibri" w:hAnsi="Calibri"/>
                <w:color w:val="333333"/>
                <w:sz w:val="18"/>
              </w:rPr>
              <w:t>$169.0M</w:t>
            </w:r>
          </w:p>
        </w:tc>
        <w:tc>
          <w:tcPr>
            <w:tcW w:type="dxa" w:w="2520"/>
            <w:shd w:fill="FFF3CD" w:val="clear"/>
          </w:tcPr>
          <w:p>
            <w:r>
              <w:rPr>
                <w:rFonts w:ascii="Calibri" w:hAnsi="Calibri"/>
                <w:color w:val="333333"/>
                <w:sz w:val="18"/>
              </w:rPr>
              <w:t>-4.0%</w:t>
            </w:r>
          </w:p>
        </w:tc>
      </w:tr>
      <w:tr>
        <w:tc>
          <w:tcPr>
            <w:tcW w:type="dxa" w:w="2520"/>
            <w:shd w:fill="F2F4F8" w:val="clear"/>
          </w:tcPr>
          <w:p>
            <w:r>
              <w:rPr>
                <w:rFonts w:ascii="Calibri" w:hAnsi="Calibri"/>
                <w:color w:val="333333"/>
                <w:sz w:val="18"/>
              </w:rPr>
              <w:t>Proceeds from sale / divestiture of businesses</w:t>
            </w:r>
          </w:p>
        </w:tc>
        <w:tc>
          <w:tcPr>
            <w:tcW w:type="dxa" w:w="2520"/>
            <w:shd w:fill="F2F4F8" w:val="clear"/>
          </w:tcPr>
          <w:p>
            <w:r>
              <w:rPr>
                <w:rFonts w:ascii="Calibri" w:hAnsi="Calibri"/>
                <w:color w:val="333333"/>
                <w:sz w:val="18"/>
              </w:rPr>
              <w:t>$61.0M</w:t>
            </w:r>
          </w:p>
        </w:tc>
        <w:tc>
          <w:tcPr>
            <w:tcW w:type="dxa" w:w="2520"/>
            <w:shd w:fill="F2F4F8" w:val="clear"/>
          </w:tcPr>
          <w:p>
            <w:r>
              <w:rPr>
                <w:rFonts w:ascii="Calibri" w:hAnsi="Calibri"/>
                <w:color w:val="333333"/>
                <w:sz w:val="18"/>
              </w:rPr>
              <w:t>$22.0M</w:t>
            </w:r>
          </w:p>
        </w:tc>
        <w:tc>
          <w:tcPr>
            <w:tcW w:type="dxa" w:w="2520"/>
            <w:shd w:fill="F2F4F8" w:val="clear"/>
            <w:shd w:fill="FCE8E6" w:val="clear"/>
          </w:tcPr>
          <w:p>
            <w:r>
              <w:rPr>
                <w:rFonts w:ascii="Calibri" w:hAnsi="Calibri"/>
                <w:color w:val="333333"/>
                <w:sz w:val="18"/>
              </w:rPr>
              <w:t>-63.9%</w:t>
            </w:r>
          </w:p>
        </w:tc>
      </w:tr>
      <w:tr>
        <w:tc>
          <w:tcPr>
            <w:tcW w:type="dxa" w:w="2520"/>
          </w:tcPr>
          <w:p>
            <w:r>
              <w:rPr>
                <w:rFonts w:ascii="Calibri" w:hAnsi="Calibri"/>
                <w:color w:val="333333"/>
                <w:sz w:val="18"/>
              </w:rPr>
              <w:t>Effect of exchange rate changes on cash</w:t>
            </w:r>
          </w:p>
        </w:tc>
        <w:tc>
          <w:tcPr>
            <w:tcW w:type="dxa" w:w="2520"/>
          </w:tcPr>
          <w:p>
            <w:r>
              <w:rPr>
                <w:rFonts w:ascii="Calibri" w:hAnsi="Calibri"/>
                <w:color w:val="333333"/>
                <w:sz w:val="18"/>
              </w:rPr>
              <w:t>$-106.0M</w:t>
            </w:r>
          </w:p>
        </w:tc>
        <w:tc>
          <w:tcPr>
            <w:tcW w:type="dxa" w:w="2520"/>
          </w:tcPr>
          <w:p>
            <w:r>
              <w:rPr>
                <w:rFonts w:ascii="Calibri" w:hAnsi="Calibri"/>
                <w:color w:val="333333"/>
                <w:sz w:val="18"/>
              </w:rPr>
              <w:t>$-43.0M</w:t>
            </w:r>
          </w:p>
        </w:tc>
        <w:tc>
          <w:tcPr>
            <w:tcW w:type="dxa" w:w="2520"/>
            <w:shd w:fill="DCEEF8" w:val="clear"/>
          </w:tcPr>
          <w:p>
            <w:r>
              <w:rPr>
                <w:rFonts w:ascii="Calibri" w:hAnsi="Calibri"/>
                <w:color w:val="333333"/>
                <w:sz w:val="18"/>
              </w:rPr>
              <w:t>59.4%</w:t>
            </w:r>
          </w:p>
        </w:tc>
      </w:tr>
      <w:tr>
        <w:tc>
          <w:tcPr>
            <w:tcW w:type="dxa" w:w="2520"/>
            <w:shd w:fill="F2F4F8" w:val="clear"/>
          </w:tcPr>
          <w:p>
            <w:r>
              <w:rPr>
                <w:rFonts w:ascii="Calibri" w:hAnsi="Calibri"/>
                <w:color w:val="333333"/>
                <w:sz w:val="18"/>
              </w:rPr>
              <w:t>Free cash flow</w:t>
            </w:r>
          </w:p>
        </w:tc>
        <w:tc>
          <w:tcPr>
            <w:tcW w:type="dxa" w:w="2520"/>
            <w:shd w:fill="F2F4F8" w:val="clear"/>
          </w:tcPr>
          <w:p>
            <w:r>
              <w:rPr>
                <w:rFonts w:ascii="Calibri" w:hAnsi="Calibri"/>
                <w:color w:val="333333"/>
                <w:sz w:val="18"/>
              </w:rPr>
              <w:t>$10.0B</w:t>
            </w:r>
          </w:p>
        </w:tc>
        <w:tc>
          <w:tcPr>
            <w:tcW w:type="dxa" w:w="2520"/>
            <w:shd w:fill="F2F4F8" w:val="clear"/>
          </w:tcPr>
          <w:p>
            <w:r>
              <w:rPr>
                <w:rFonts w:ascii="Calibri" w:hAnsi="Calibri"/>
                <w:color w:val="333333"/>
                <w:sz w:val="18"/>
              </w:rPr>
              <w:t>$8.9B</w:t>
            </w:r>
          </w:p>
        </w:tc>
        <w:tc>
          <w:tcPr>
            <w:tcW w:type="dxa" w:w="2520"/>
            <w:shd w:fill="F2F4F8" w:val="clear"/>
            <w:shd w:fill="FCE8E6" w:val="clear"/>
          </w:tcPr>
          <w:p>
            <w:r>
              <w:rPr>
                <w:rFonts w:ascii="Calibri" w:hAnsi="Calibri"/>
                <w:color w:val="333333"/>
                <w:sz w:val="18"/>
              </w:rPr>
              <w:t>-11.2%</w:t>
            </w:r>
          </w:p>
        </w:tc>
      </w:tr>
      <w:tr>
        <w:tc>
          <w:tcPr>
            <w:tcW w:type="dxa" w:w="2520"/>
          </w:tcPr>
          <w:p>
            <w:r>
              <w:rPr>
                <w:rFonts w:ascii="Calibri" w:hAnsi="Calibri"/>
                <w:color w:val="333333"/>
                <w:sz w:val="18"/>
              </w:rPr>
              <w:t>FCF-to-revenue ratio</w:t>
            </w:r>
          </w:p>
        </w:tc>
        <w:tc>
          <w:tcPr>
            <w:tcW w:type="dxa" w:w="2520"/>
          </w:tcPr>
          <w:p>
            <w:r>
              <w:rPr>
                <w:rFonts w:ascii="Calibri" w:hAnsi="Calibri"/>
                <w:color w:val="333333"/>
                <w:sz w:val="18"/>
              </w:rPr>
              <w:t>$16</w:t>
            </w:r>
          </w:p>
        </w:tc>
        <w:tc>
          <w:tcPr>
            <w:tcW w:type="dxa" w:w="2520"/>
          </w:tcPr>
          <w:p>
            <w:r>
              <w:rPr>
                <w:rFonts w:ascii="Calibri" w:hAnsi="Calibri"/>
                <w:color w:val="333333"/>
                <w:sz w:val="18"/>
              </w:rPr>
              <w:t>$13</w:t>
            </w:r>
          </w:p>
        </w:tc>
        <w:tc>
          <w:tcPr>
            <w:tcW w:type="dxa" w:w="2520"/>
            <w:shd w:fill="FCE8E6" w:val="clear"/>
          </w:tcPr>
          <w:p>
            <w:r>
              <w:rPr>
                <w:rFonts w:ascii="Calibri" w:hAnsi="Calibri"/>
                <w:color w:val="333333"/>
                <w:sz w:val="18"/>
              </w:rPr>
              <w:t>-14.9%</w:t>
            </w:r>
          </w:p>
        </w:tc>
      </w:tr>
      <w:tr>
        <w:tc>
          <w:tcPr>
            <w:tcW w:type="dxa" w:w="2520"/>
            <w:shd w:fill="F2F4F8" w:val="clear"/>
          </w:tcPr>
          <w:p>
            <w:r>
              <w:rPr>
                <w:rFonts w:ascii="Calibri" w:hAnsi="Calibri"/>
                <w:color w:val="333333"/>
                <w:sz w:val="18"/>
              </w:rPr>
              <w:t>Capex-to-revenue ratio</w:t>
            </w:r>
          </w:p>
        </w:tc>
        <w:tc>
          <w:tcPr>
            <w:tcW w:type="dxa" w:w="2520"/>
            <w:shd w:fill="F2F4F8" w:val="clear"/>
          </w:tcPr>
          <w:p>
            <w:r>
              <w:rPr>
                <w:rFonts w:ascii="Calibri" w:hAnsi="Calibri"/>
                <w:color w:val="333333"/>
                <w:sz w:val="18"/>
              </w:rPr>
              <w:t>$3</w:t>
            </w:r>
          </w:p>
        </w:tc>
        <w:tc>
          <w:tcPr>
            <w:tcW w:type="dxa" w:w="2520"/>
            <w:shd w:fill="F2F4F8" w:val="clear"/>
          </w:tcPr>
          <w:p>
            <w:r>
              <w:rPr>
                <w:rFonts w:ascii="Calibri" w:hAnsi="Calibri"/>
                <w:color w:val="333333"/>
                <w:sz w:val="18"/>
              </w:rPr>
              <w:t>$4</w:t>
            </w:r>
          </w:p>
        </w:tc>
        <w:tc>
          <w:tcPr>
            <w:tcW w:type="dxa" w:w="2520"/>
            <w:shd w:fill="F2F4F8" w:val="clear"/>
            <w:shd w:fill="DCEEF8" w:val="clear"/>
          </w:tcPr>
          <w:p>
            <w:r>
              <w:rPr>
                <w:rFonts w:ascii="Calibri" w:hAnsi="Calibri"/>
                <w:color w:val="333333"/>
                <w:sz w:val="18"/>
              </w:rPr>
              <w:t>35.8%</w:t>
            </w:r>
          </w:p>
        </w:tc>
      </w:tr>
      <w:tr>
        <w:tc>
          <w:tcPr>
            <w:tcW w:type="dxa" w:w="2520"/>
          </w:tcPr>
          <w:p>
            <w:r>
              <w:rPr>
                <w:rFonts w:ascii="Calibri" w:hAnsi="Calibri"/>
                <w:color w:val="333333"/>
                <w:sz w:val="18"/>
              </w:rPr>
              <w:t>Capex-to-depreciation ratio</w:t>
            </w:r>
          </w:p>
        </w:tc>
        <w:tc>
          <w:tcPr>
            <w:tcW w:type="dxa" w:w="2520"/>
          </w:tcPr>
          <w:p>
            <w:r>
              <w:rPr>
                <w:rFonts w:ascii="Calibri" w:hAnsi="Calibri"/>
                <w:color w:val="333333"/>
                <w:sz w:val="18"/>
              </w:rPr>
              <w:t>$1</w:t>
            </w:r>
          </w:p>
        </w:tc>
        <w:tc>
          <w:tcPr>
            <w:tcW w:type="dxa" w:w="2520"/>
          </w:tcPr>
          <w:p>
            <w:r>
              <w:rPr>
                <w:rFonts w:ascii="Calibri" w:hAnsi="Calibri"/>
                <w:color w:val="333333"/>
                <w:sz w:val="18"/>
              </w:rPr>
              <w:t>$1</w:t>
            </w:r>
          </w:p>
        </w:tc>
        <w:tc>
          <w:tcPr>
            <w:tcW w:type="dxa" w:w="2520"/>
            <w:shd w:fill="DCEEF8" w:val="clear"/>
          </w:tcPr>
          <w:p>
            <w:r>
              <w:rPr>
                <w:rFonts w:ascii="Calibri" w:hAnsi="Calibri"/>
                <w:color w:val="333333"/>
                <w:sz w:val="18"/>
              </w:rPr>
              <w:t>35.1%</w:t>
            </w:r>
          </w:p>
        </w:tc>
      </w:tr>
      <w:tr>
        <w:tc>
          <w:tcPr>
            <w:tcW w:type="dxa" w:w="2520"/>
            <w:shd w:fill="F2F4F8" w:val="clear"/>
          </w:tcPr>
          <w:p>
            <w:r>
              <w:rPr>
                <w:rFonts w:ascii="Calibri" w:hAnsi="Calibri"/>
                <w:color w:val="333333"/>
                <w:sz w:val="18"/>
              </w:rPr>
              <w:t>Dividend payout ratio</w:t>
            </w:r>
          </w:p>
        </w:tc>
        <w:tc>
          <w:tcPr>
            <w:tcW w:type="dxa" w:w="2520"/>
            <w:shd w:fill="F2F4F8" w:val="clear"/>
          </w:tcPr>
          <w:p>
            <w:r>
              <w:rPr>
                <w:rFonts w:ascii="Calibri" w:hAnsi="Calibri"/>
                <w:color w:val="333333"/>
                <w:sz w:val="18"/>
              </w:rPr>
              <w:t>$25</w:t>
            </w:r>
          </w:p>
        </w:tc>
        <w:tc>
          <w:tcPr>
            <w:tcW w:type="dxa" w:w="2520"/>
            <w:shd w:fill="F2F4F8" w:val="clear"/>
          </w:tcPr>
          <w:p>
            <w:r>
              <w:rPr>
                <w:rFonts w:ascii="Calibri" w:hAnsi="Calibri"/>
                <w:color w:val="333333"/>
                <w:sz w:val="18"/>
              </w:rPr>
              <w:t>$31</w:t>
            </w:r>
          </w:p>
        </w:tc>
        <w:tc>
          <w:tcPr>
            <w:tcW w:type="dxa" w:w="2520"/>
            <w:shd w:fill="F2F4F8" w:val="clear"/>
            <w:shd w:fill="DCEEF8" w:val="clear"/>
          </w:tcPr>
          <w:p>
            <w:r>
              <w:rPr>
                <w:rFonts w:ascii="Calibri" w:hAnsi="Calibri"/>
                <w:color w:val="333333"/>
                <w:sz w:val="18"/>
              </w:rPr>
              <w:t>26.2%</w:t>
            </w:r>
          </w:p>
        </w:tc>
      </w:tr>
      <w:tr>
        <w:tc>
          <w:tcPr>
            <w:tcW w:type="dxa" w:w="2520"/>
          </w:tcPr>
          <w:p>
            <w:r>
              <w:rPr>
                <w:rFonts w:ascii="Calibri" w:hAnsi="Calibri"/>
                <w:color w:val="333333"/>
                <w:sz w:val="18"/>
              </w:rPr>
              <w:t>Free cash flow per share</w:t>
            </w:r>
          </w:p>
        </w:tc>
        <w:tc>
          <w:tcPr>
            <w:tcW w:type="dxa" w:w="2520"/>
          </w:tcPr>
          <w:p>
            <w:r>
              <w:rPr>
                <w:rFonts w:ascii="Calibri" w:hAnsi="Calibri"/>
                <w:color w:val="333333"/>
                <w:sz w:val="18"/>
              </w:rPr>
              <w:t>$21.02</w:t>
            </w:r>
          </w:p>
        </w:tc>
        <w:tc>
          <w:tcPr>
            <w:tcW w:type="dxa" w:w="2520"/>
          </w:tcPr>
          <w:p>
            <w:r>
              <w:rPr>
                <w:rFonts w:ascii="Calibri" w:hAnsi="Calibri"/>
                <w:color w:val="333333"/>
                <w:sz w:val="18"/>
              </w:rPr>
              <w:t>$19.17</w:t>
            </w:r>
          </w:p>
        </w:tc>
        <w:tc>
          <w:tcPr>
            <w:tcW w:type="dxa" w:w="2520"/>
            <w:shd w:fill="FFF3CD" w:val="clear"/>
          </w:tcPr>
          <w:p>
            <w:r>
              <w:rPr>
                <w:rFonts w:ascii="Calibri" w:hAnsi="Calibri"/>
                <w:color w:val="333333"/>
                <w:sz w:val="18"/>
              </w:rPr>
              <w:t>-8.8%</w:t>
            </w:r>
          </w:p>
        </w:tc>
      </w:tr>
    </w:tbl>
    <w:p>
      <w:pPr>
        <w:pStyle w:val="DOHeading3"/>
      </w:pPr>
      <w:r>
        <w:t>Key Ratios: Company vs. Peers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Ratio</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Ratio</w:t>
            </w:r>
          </w:p>
        </w:tc>
        <w:tc>
          <w:tcPr>
            <w:tcW w:type="dxa" w:w="5040"/>
          </w:tcPr>
          <w:p>
            <w:r>
              <w:rPr>
                <w:rFonts w:ascii="Calibri" w:hAnsi="Calibri"/>
                <w:color w:val="333333"/>
                <w:sz w:val="18"/>
              </w:rPr>
              <w:t>1.44</w:t>
            </w:r>
          </w:p>
        </w:tc>
      </w:tr>
      <w:tr>
        <w:tc>
          <w:tcPr>
            <w:tcW w:type="dxa" w:w="5040"/>
            <w:shd w:fill="F2F4F8" w:val="clear"/>
          </w:tcPr>
          <w:p>
            <w:r>
              <w:rPr>
                <w:rFonts w:ascii="Calibri" w:hAnsi="Calibri"/>
                <w:color w:val="333333"/>
                <w:sz w:val="18"/>
              </w:rPr>
              <w:t>Quick Ratio</w:t>
            </w:r>
          </w:p>
        </w:tc>
        <w:tc>
          <w:tcPr>
            <w:tcW w:type="dxa" w:w="5040"/>
            <w:shd w:fill="F2F4F8" w:val="clear"/>
          </w:tcPr>
          <w:p>
            <w:r>
              <w:rPr>
                <w:rFonts w:ascii="Calibri" w:hAnsi="Calibri"/>
                <w:color w:val="333333"/>
                <w:sz w:val="18"/>
              </w:rPr>
              <w:t>0.94</w:t>
            </w:r>
          </w:p>
        </w:tc>
      </w:tr>
      <w:tr>
        <w:tc>
          <w:tcPr>
            <w:tcW w:type="dxa" w:w="5040"/>
          </w:tcPr>
          <w:p>
            <w:r>
              <w:rPr>
                <w:rFonts w:ascii="Calibri" w:hAnsi="Calibri"/>
                <w:color w:val="333333"/>
                <w:sz w:val="18"/>
              </w:rPr>
              <w:t>Debt/Equity</w:t>
            </w:r>
          </w:p>
        </w:tc>
        <w:tc>
          <w:tcPr>
            <w:tcW w:type="dxa" w:w="5040"/>
          </w:tcPr>
          <w:p>
            <w:r>
              <w:rPr>
                <w:rFonts w:ascii="Calibri" w:hAnsi="Calibri"/>
                <w:color w:val="333333"/>
                <w:sz w:val="18"/>
              </w:rPr>
              <w:t>1.70</w:t>
            </w:r>
          </w:p>
        </w:tc>
      </w:tr>
      <w:tr>
        <w:tc>
          <w:tcPr>
            <w:tcW w:type="dxa" w:w="5040"/>
            <w:shd w:fill="F2F4F8" w:val="clear"/>
          </w:tcPr>
          <w:p>
            <w:r>
              <w:rPr>
                <w:rFonts w:ascii="Calibri" w:hAnsi="Calibri"/>
                <w:color w:val="333333"/>
                <w:sz w:val="18"/>
              </w:rPr>
              <w:t>Interest Coverage</w:t>
            </w:r>
          </w:p>
        </w:tc>
        <w:tc>
          <w:tcPr>
            <w:tcW w:type="dxa" w:w="5040"/>
            <w:shd w:fill="F2F4F8" w:val="clear"/>
          </w:tcPr>
          <w:p>
            <w:r>
              <w:rPr>
                <w:rFonts w:ascii="Calibri" w:hAnsi="Calibri"/>
                <w:color w:val="333333"/>
                <w:sz w:val="18"/>
              </w:rPr>
              <w:t>6.1x</w:t>
            </w:r>
          </w:p>
        </w:tc>
      </w:tr>
    </w:tbl>
    <w:p>
      <w:pPr>
        <w:pStyle w:val="DOHeading2"/>
      </w:pPr>
      <w:r>
        <w:t>Distress Indicators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Model</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Zone</w:t>
            </w:r>
          </w:p>
        </w:tc>
        <w:tc>
          <w:tcPr>
            <w:tcW w:type="dxa" w:w="2016"/>
            <w:shd w:fill="1A1446" w:val="clear"/>
          </w:tcPr>
          <w:p>
            <w:r>
              <w:rPr>
                <w:rFonts w:ascii="Calibri" w:hAnsi="Calibri"/>
                <w:b/>
                <w:color w:val="FFFFFF"/>
                <w:sz w:val="18"/>
              </w:rPr>
              <w:t>Trajectory</w:t>
            </w:r>
          </w:p>
        </w:tc>
        <w:tc>
          <w:tcPr>
            <w:tcW w:type="dxa" w:w="2016"/>
            <w:shd w:fill="1A1446" w:val="clear"/>
          </w:tcPr>
          <w:p>
            <w:r>
              <w:rPr>
                <w:rFonts w:ascii="Calibri" w:hAnsi="Calibri"/>
                <w:b/>
                <w:color w:val="FFFFFF"/>
                <w:sz w:val="18"/>
              </w:rPr>
              <w:t>D&amp;O Context</w:t>
            </w:r>
          </w:p>
        </w:tc>
      </w:tr>
      <w:tr>
        <w:tc>
          <w:tcPr>
            <w:tcW w:type="dxa" w:w="2016"/>
          </w:tcPr>
          <w:p>
            <w:r>
              <w:rPr>
                <w:rFonts w:ascii="Calibri" w:hAnsi="Calibri"/>
                <w:color w:val="333333"/>
                <w:sz w:val="18"/>
              </w:rPr>
              <w:t>Altman Z-Score</w:t>
            </w:r>
          </w:p>
        </w:tc>
        <w:tc>
          <w:tcPr>
            <w:tcW w:type="dxa" w:w="2016"/>
          </w:tcPr>
          <w:p>
            <w:r>
              <w:rPr>
                <w:rFonts w:ascii="Calibri" w:hAnsi="Calibri"/>
                <w:color w:val="333333"/>
                <w:sz w:val="18"/>
              </w:rPr>
              <w:t>4.79</w:t>
            </w:r>
          </w:p>
        </w:tc>
        <w:tc>
          <w:tcPr>
            <w:tcW w:type="dxa" w:w="2016"/>
            <w:shd w:fill="DCEEF8" w:val="clear"/>
          </w:tcPr>
          <w:p>
            <w:r>
              <w:rPr>
                <w:rFonts w:ascii="Calibri" w:hAnsi="Calibri"/>
                <w:color w:val="333333"/>
                <w:sz w:val="18"/>
              </w:rPr>
              <w:t>Safe</w:t>
            </w:r>
          </w:p>
        </w:tc>
        <w:tc>
          <w:tcPr>
            <w:tcW w:type="dxa" w:w="2016"/>
          </w:tcPr>
          <w:p>
            <w:r>
              <w:rPr>
                <w:rFonts w:ascii="Calibri" w:hAnsi="Calibri"/>
                <w:color w:val="333333"/>
                <w:sz w:val="18"/>
              </w:rPr>
              <w:t>FY2024: 5.3 -&gt; FY2025: 4.8 (declining)</w:t>
            </w:r>
          </w:p>
        </w:tc>
        <w:tc>
          <w:tcPr>
            <w:tcW w:type="dxa" w:w="2016"/>
          </w:tcPr>
          <w:p>
            <w:r>
              <w:rPr>
                <w:rFonts w:ascii="Calibri" w:hAnsi="Calibri"/>
                <w:color w:val="333333"/>
                <w:sz w:val="18"/>
              </w:rPr>
              <w:t>Bankruptcy predictor. Distress zone companies face fiduciary duty scrutiny under Revlon/zone of insolvency doctrine.</w:t>
            </w:r>
          </w:p>
        </w:tc>
      </w:tr>
      <w:tr>
        <w:tc>
          <w:tcPr>
            <w:tcW w:type="dxa" w:w="2016"/>
            <w:shd w:fill="F2F4F8" w:val="clear"/>
          </w:tcPr>
          <w:p>
            <w:r>
              <w:rPr>
                <w:rFonts w:ascii="Calibri" w:hAnsi="Calibri"/>
                <w:color w:val="333333"/>
                <w:sz w:val="18"/>
              </w:rPr>
              <w:t>Beneish M-Score</w:t>
            </w:r>
          </w:p>
        </w:tc>
        <w:tc>
          <w:tcPr>
            <w:tcW w:type="dxa" w:w="2016"/>
            <w:shd w:fill="F2F4F8" w:val="clear"/>
          </w:tcPr>
          <w:p>
            <w:r>
              <w:rPr>
                <w:rFonts w:ascii="Calibri" w:hAnsi="Calibri"/>
                <w:color w:val="333333"/>
                <w:sz w:val="18"/>
              </w:rPr>
              <w:t>-3.00</w:t>
            </w:r>
          </w:p>
        </w:tc>
        <w:tc>
          <w:tcPr>
            <w:tcW w:type="dxa" w:w="2016"/>
            <w:shd w:fill="F2F4F8" w:val="clear"/>
            <w:shd w:fill="DCEEF8" w:val="clear"/>
          </w:tcPr>
          <w:p>
            <w:r>
              <w:rPr>
                <w:rFonts w:ascii="Calibri" w:hAnsi="Calibri"/>
                <w:color w:val="333333"/>
                <w:sz w:val="18"/>
              </w:rPr>
              <w:t>Safe</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Earnings manipulation detector. Scores above -1.78 indicate elevated restatement risk, a primary SCA catalyst.</w:t>
            </w:r>
          </w:p>
        </w:tc>
      </w:tr>
      <w:tr>
        <w:tc>
          <w:tcPr>
            <w:tcW w:type="dxa" w:w="2016"/>
          </w:tcPr>
          <w:p>
            <w:r>
              <w:rPr>
                <w:rFonts w:ascii="Calibri" w:hAnsi="Calibri"/>
                <w:color w:val="333333"/>
                <w:sz w:val="18"/>
              </w:rPr>
              <w:t>Ohlson O-Score</w:t>
            </w:r>
          </w:p>
        </w:tc>
        <w:tc>
          <w:tcPr>
            <w:tcW w:type="dxa" w:w="2016"/>
          </w:tcPr>
          <w:p>
            <w:r>
              <w:rPr>
                <w:rFonts w:ascii="Calibri" w:hAnsi="Calibri"/>
                <w:color w:val="333333"/>
                <w:sz w:val="18"/>
              </w:rPr>
              <w:t>0.00</w:t>
            </w:r>
          </w:p>
        </w:tc>
        <w:tc>
          <w:tcPr>
            <w:tcW w:type="dxa" w:w="2016"/>
            <w:shd w:fill="DCEEF8" w:val="clear"/>
          </w:tcPr>
          <w:p>
            <w:r>
              <w:rPr>
                <w:rFonts w:ascii="Calibri" w:hAnsi="Calibri"/>
                <w:color w:val="333333"/>
                <w:sz w:val="18"/>
              </w:rPr>
              <w:t>Safe</w:t>
            </w:r>
          </w:p>
        </w:tc>
        <w:tc>
          <w:tcPr>
            <w:tcW w:type="dxa" w:w="2016"/>
          </w:tcPr>
          <w:p>
            <w:r>
              <w:rPr>
                <w:rFonts w:ascii="Calibri" w:hAnsi="Calibri"/>
                <w:color w:val="333333"/>
                <w:sz w:val="18"/>
              </w:rPr>
              <w:t>N/A</w:t>
            </w:r>
          </w:p>
        </w:tc>
        <w:tc>
          <w:tcPr>
            <w:tcW w:type="dxa" w:w="2016"/>
          </w:tcPr>
          <w:p>
            <w:r>
              <w:rPr>
                <w:rFonts w:ascii="Calibri" w:hAnsi="Calibri"/>
                <w:color w:val="333333"/>
                <w:sz w:val="18"/>
              </w:rPr>
              <w:t>Bankruptcy probability model. Higher values signal financial stress that may limit litigation defense resources.</w:t>
            </w:r>
          </w:p>
        </w:tc>
      </w:tr>
      <w:tr>
        <w:tc>
          <w:tcPr>
            <w:tcW w:type="dxa" w:w="2016"/>
            <w:shd w:fill="F2F4F8" w:val="clear"/>
          </w:tcPr>
          <w:p>
            <w:r>
              <w:rPr>
                <w:rFonts w:ascii="Calibri" w:hAnsi="Calibri"/>
                <w:color w:val="333333"/>
                <w:sz w:val="18"/>
              </w:rPr>
              <w:t>Piotroski F-Score</w:t>
            </w:r>
          </w:p>
        </w:tc>
        <w:tc>
          <w:tcPr>
            <w:tcW w:type="dxa" w:w="2016"/>
            <w:shd w:fill="F2F4F8" w:val="clear"/>
          </w:tcPr>
          <w:p>
            <w:r>
              <w:rPr>
                <w:rFonts w:ascii="Calibri" w:hAnsi="Calibri"/>
                <w:color w:val="333333"/>
                <w:sz w:val="18"/>
              </w:rPr>
              <w:t>6.00</w:t>
            </w:r>
          </w:p>
        </w:tc>
        <w:tc>
          <w:tcPr>
            <w:tcW w:type="dxa" w:w="2016"/>
            <w:shd w:fill="F2F4F8" w:val="clear"/>
            <w:shd w:fill="FFF3CD" w:val="clear"/>
          </w:tcPr>
          <w:p>
            <w:r>
              <w:rPr>
                <w:rFonts w:ascii="Calibri" w:hAnsi="Calibri"/>
                <w:color w:val="333333"/>
                <w:sz w:val="18"/>
              </w:rPr>
              <w:t>Grey Zone</w:t>
            </w:r>
          </w:p>
        </w:tc>
        <w:tc>
          <w:tcPr>
            <w:tcW w:type="dxa" w:w="2016"/>
            <w:shd w:fill="F2F4F8" w:val="clear"/>
          </w:tcPr>
          <w:p>
            <w:r>
              <w:rPr>
                <w:rFonts w:ascii="Calibri" w:hAnsi="Calibri"/>
                <w:color w:val="333333"/>
                <w:sz w:val="18"/>
              </w:rPr>
              <w:t>6/9 criteria met</w:t>
            </w:r>
          </w:p>
        </w:tc>
        <w:tc>
          <w:tcPr>
            <w:tcW w:type="dxa" w:w="2016"/>
            <w:shd w:fill="F2F4F8" w:val="clear"/>
          </w:tcPr>
          <w:p>
            <w:r>
              <w:rPr>
                <w:rFonts w:ascii="Calibri" w:hAnsi="Calibri"/>
                <w:color w:val="333333"/>
                <w:sz w:val="18"/>
              </w:rPr>
              <w:t>Fundamental quality indicator. Scores 0-3 signal weak fundamentals; 7-9 indicate strong quality.</w:t>
            </w:r>
          </w:p>
        </w:tc>
      </w:tr>
    </w:tbl>
    <w:p>
      <w:pPr>
        <w:pStyle w:val="DOBody"/>
      </w:pPr>
      <w:r>
        <w:t>Leverage context: Ranks at the 55th percentile among 0 peers (peer median: 3.0x).</w:t>
      </w:r>
    </w:p>
    <w:p>
      <w:pPr>
        <w:pStyle w:val="DOHeading2"/>
      </w:pPr>
      <w:r>
        <w:t>Earnings Quality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Metric</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OCF/Net Income</w:t>
            </w:r>
          </w:p>
        </w:tc>
        <w:tc>
          <w:tcPr>
            <w:tcW w:type="dxa" w:w="3360"/>
          </w:tcPr>
          <w:p>
            <w:r>
              <w:rPr>
                <w:rFonts w:ascii="Calibri" w:hAnsi="Calibri"/>
                <w:color w:val="333333"/>
                <w:sz w:val="18"/>
              </w:rPr>
              <w:t>1.32</w:t>
            </w:r>
          </w:p>
        </w:tc>
        <w:tc>
          <w:tcPr>
            <w:tcW w:type="dxa" w:w="3360"/>
            <w:shd w:fill="DCEEF8" w:val="clear"/>
          </w:tcPr>
          <w:p>
            <w:r>
              <w:rPr>
                <w:rFonts w:ascii="Calibri" w:hAnsi="Calibri"/>
                <w:color w:val="333333"/>
                <w:sz w:val="18"/>
              </w:rPr>
              <w:t>Healthy</w:t>
            </w:r>
          </w:p>
        </w:tc>
      </w:tr>
      <w:tr>
        <w:tc>
          <w:tcPr>
            <w:tcW w:type="dxa" w:w="3360"/>
            <w:shd w:fill="F2F4F8" w:val="clear"/>
          </w:tcPr>
          <w:p>
            <w:r>
              <w:rPr>
                <w:rFonts w:ascii="Calibri" w:hAnsi="Calibri"/>
                <w:color w:val="333333"/>
                <w:sz w:val="18"/>
              </w:rPr>
              <w:t>Accruals Ratio</w:t>
            </w:r>
          </w:p>
        </w:tc>
        <w:tc>
          <w:tcPr>
            <w:tcW w:type="dxa" w:w="3360"/>
            <w:shd w:fill="F2F4F8" w:val="clear"/>
          </w:tcPr>
          <w:p>
            <w:r>
              <w:rPr>
                <w:rFonts w:ascii="Calibri" w:hAnsi="Calibri"/>
                <w:color w:val="333333"/>
                <w:sz w:val="18"/>
              </w:rPr>
              <w:t>-0.03</w:t>
            </w:r>
          </w:p>
        </w:tc>
        <w:tc>
          <w:tcPr>
            <w:tcW w:type="dxa" w:w="3360"/>
            <w:shd w:fill="F2F4F8" w:val="clear"/>
            <w:shd w:fill="FFF3CD" w:val="clear"/>
          </w:tcPr>
          <w:p>
            <w:r>
              <w:rPr>
                <w:rFonts w:ascii="Calibri" w:hAnsi="Calibri"/>
                <w:color w:val="333333"/>
                <w:sz w:val="18"/>
              </w:rPr>
              <w:t>Normal</w:t>
            </w:r>
          </w:p>
        </w:tc>
      </w:tr>
    </w:tbl>
    <w:p>
      <w:pPr>
        <w:pStyle w:val="DOCitation"/>
      </w:pPr>
      <w:r>
        <w:t>Source: Derived from XBRL financial statements, MEDIUM confidence</w:t>
      </w:r>
    </w:p>
    <w:p>
      <w:pPr>
        <w:pStyle w:val="DOHeading2"/>
      </w:pPr>
      <w:r>
        <w:t>Audit Risk Assessment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Auditor</w:t>
            </w:r>
          </w:p>
        </w:tc>
        <w:tc>
          <w:tcPr>
            <w:tcW w:type="dxa" w:w="5040"/>
          </w:tcPr>
          <w:p>
            <w:r>
              <w:rPr>
                <w:rFonts w:ascii="Calibri" w:hAnsi="Calibri"/>
                <w:color w:val="333333"/>
                <w:sz w:val="18"/>
              </w:rPr>
              <w:t>Ernst &amp; Young</w:t>
            </w:r>
          </w:p>
        </w:tc>
      </w:tr>
      <w:tr>
        <w:tc>
          <w:tcPr>
            <w:tcW w:type="dxa" w:w="5040"/>
            <w:shd w:fill="F2F4F8" w:val="clear"/>
          </w:tcPr>
          <w:p>
            <w:r>
              <w:rPr>
                <w:rFonts w:ascii="Calibri" w:hAnsi="Calibri"/>
                <w:color w:val="333333"/>
                <w:sz w:val="18"/>
              </w:rPr>
              <w:t>Big 4 Firm</w:t>
            </w:r>
          </w:p>
        </w:tc>
        <w:tc>
          <w:tcPr>
            <w:tcW w:type="dxa" w:w="5040"/>
            <w:shd w:fill="F2F4F8" w:val="clear"/>
          </w:tcPr>
          <w:p>
            <w:r>
              <w:rPr>
                <w:rFonts w:ascii="Calibri" w:hAnsi="Calibri"/>
                <w:color w:val="333333"/>
                <w:sz w:val="18"/>
              </w:rPr>
              <w:t>Yes</w:t>
            </w:r>
          </w:p>
        </w:tc>
      </w:tr>
      <w:tr>
        <w:tc>
          <w:tcPr>
            <w:tcW w:type="dxa" w:w="5040"/>
          </w:tcPr>
          <w:p>
            <w:r>
              <w:rPr>
                <w:rFonts w:ascii="Calibri" w:hAnsi="Calibri"/>
                <w:color w:val="333333"/>
                <w:sz w:val="18"/>
              </w:rPr>
              <w:t>Tenure (Years)</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Opinion Type</w:t>
            </w:r>
          </w:p>
        </w:tc>
        <w:tc>
          <w:tcPr>
            <w:tcW w:type="dxa" w:w="5040"/>
            <w:shd w:fill="F2F4F8" w:val="clear"/>
          </w:tcPr>
          <w:p>
            <w:r>
              <w:rPr>
                <w:rFonts w:ascii="Calibri" w:hAnsi="Calibri"/>
                <w:color w:val="333333"/>
                <w:sz w:val="18"/>
              </w:rPr>
              <w:t>qualified</w:t>
            </w:r>
          </w:p>
        </w:tc>
      </w:tr>
      <w:tr>
        <w:tc>
          <w:tcPr>
            <w:tcW w:type="dxa" w:w="5040"/>
          </w:tcPr>
          <w:p>
            <w:r>
              <w:rPr>
                <w:rFonts w:ascii="Calibri" w:hAnsi="Calibri"/>
                <w:color w:val="333333"/>
                <w:sz w:val="18"/>
              </w:rPr>
              <w:t>Going Concern</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Material Weaknesses</w:t>
            </w:r>
          </w:p>
        </w:tc>
        <w:tc>
          <w:tcPr>
            <w:tcW w:type="dxa" w:w="5040"/>
            <w:shd w:fill="F2F4F8" w:val="clear"/>
          </w:tcPr>
          <w:p>
            <w:r>
              <w:rPr>
                <w:rFonts w:ascii="Calibri" w:hAnsi="Calibri"/>
                <w:color w:val="333333"/>
                <w:sz w:val="18"/>
              </w:rPr>
              <w:t>0</w:t>
            </w:r>
          </w:p>
        </w:tc>
      </w:tr>
      <w:tr>
        <w:tc>
          <w:tcPr>
            <w:tcW w:type="dxa" w:w="5040"/>
          </w:tcPr>
          <w:p>
            <w:r>
              <w:rPr>
                <w:rFonts w:ascii="Calibri" w:hAnsi="Calibri"/>
                <w:color w:val="333333"/>
                <w:sz w:val="18"/>
              </w:rPr>
              <w:t>Significant Deficiencies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Restatements</w:t>
            </w:r>
          </w:p>
        </w:tc>
        <w:tc>
          <w:tcPr>
            <w:tcW w:type="dxa" w:w="5040"/>
            <w:shd w:fill="F2F4F8" w:val="clear"/>
            <w:shd w:fill="FCE8E6" w:val="clear"/>
          </w:tcPr>
          <w:p>
            <w:r>
              <w:rPr>
                <w:rFonts w:ascii="Calibri" w:hAnsi="Calibri"/>
                <w:color w:val="333333"/>
                <w:sz w:val="18"/>
              </w:rPr>
              <w:t>1</w:t>
            </w:r>
          </w:p>
        </w:tc>
      </w:tr>
      <w:tr>
        <w:tc>
          <w:tcPr>
            <w:tcW w:type="dxa" w:w="5040"/>
          </w:tcPr>
          <w:p>
            <w:r>
              <w:rPr>
                <w:rFonts w:ascii="Calibri" w:hAnsi="Calibri"/>
                <w:color w:val="333333"/>
                <w:sz w:val="18"/>
              </w:rPr>
              <w:t>Critical Audit Matters (CAMs)</w:t>
            </w:r>
          </w:p>
        </w:tc>
        <w:tc>
          <w:tcPr>
            <w:tcW w:type="dxa" w:w="5040"/>
          </w:tcPr>
          <w:p>
            <w:r>
              <w:rPr>
                <w:rFonts w:ascii="Calibri" w:hAnsi="Calibri"/>
                <w:color w:val="333333"/>
                <w:sz w:val="18"/>
              </w:rPr>
              <w:t>3</w:t>
            </w:r>
          </w:p>
        </w:tc>
      </w:tr>
    </w:tbl>
    <w:p>
      <w:pPr>
        <w:pStyle w:val="DOBody"/>
      </w:pPr>
      <w:r>
        <w:t>Restatements (1):  Restatement History at 1 (threshold: &gt;0 restatements within 5 years) is in the caution zone for Financial Irregularities / Restatement Risk (F3). Monitor for deterioration — trend direction and peer comparison inform the D&amp;O risk assessment.</w:t>
      </w:r>
      <w:r>
        <w:rPr>
          <w:b/>
          <w:color w:val="DC2626"/>
          <w:sz w:val="18"/>
        </w:rPr>
        <w:t xml:space="preserve"> [CRITICAL]</w:t>
      </w:r>
    </w:p>
    <w:p>
      <w:pPr>
        <w:pStyle w:val="DOBody"/>
      </w:pPr>
      <w:r>
        <w:rPr>
          <w:sz w:val="18"/>
        </w:rPr>
        <w:t xml:space="preserve">  - N/A</w:t>
      </w:r>
    </w:p>
    <w:p>
      <w:pPr>
        <w:pStyle w:val="DOBody"/>
      </w:pPr>
      <w:r>
        <w:t>Critical Audit Matters (3):  Internal Controls at 0 is within acceptable range for Financial Irregularities / Restatement Risk (F3) — this level is a protective factor in D&amp;O risk assessment, reducing claim probability.</w:t>
      </w:r>
      <w:r>
        <w:rPr>
          <w:b/>
          <w:color w:val="EAB308"/>
          <w:sz w:val="18"/>
        </w:rPr>
        <w:t xml:space="preserve"> [ELEVATED]</w:t>
      </w:r>
    </w:p>
    <w:p>
      <w:pPr>
        <w:pStyle w:val="DOBody"/>
      </w:pPr>
      <w:r>
        <w:rPr>
          <w:sz w:val="18"/>
        </w:rPr>
        <w:t xml:space="preserve">  - 56 Table of Contents Critical Audit Matters The critical audit matter communicated below is a matter arising from the current period audit of the consolidated financial statements that was communicated or required to be communicated to the audit committee and that (i) relates to accounts or disclosu</w:t>
      </w:r>
    </w:p>
    <w:p>
      <w:pPr>
        <w:pStyle w:val="DOBody"/>
      </w:pPr>
      <w:r>
        <w:rPr>
          <w:sz w:val="18"/>
        </w:rPr>
        <w:t xml:space="preserve">  - The communication of critical audit matters does not alter in any way our opinion on the consolidated financial statements, taken as a whole, and we are not, by communicating the critical audit matter below, providing a separate opinion on the critical audit matter or on the accounts or disclosures </w:t>
      </w:r>
    </w:p>
    <w:p>
      <w:pPr>
        <w:pStyle w:val="DOBody"/>
      </w:pPr>
      <w:r>
        <w:rPr>
          <w:sz w:val="18"/>
        </w:rPr>
        <w:t xml:space="preserve">  - The principal considerations for our determination that performing procedures relating to the product warranty liability is a critical audit matter are (i) the significant judgment by management when developing the estimate of the product warranty liability, (ii) a high degree of auditor judgment, s</w:t>
      </w:r>
    </w:p>
    <w:p>
      <w:pPr>
        <w:pStyle w:val="DOHeading2"/>
      </w:pPr>
      <w:r>
        <w:t>Debt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Debt-to-Equity</w:t>
            </w:r>
          </w:p>
        </w:tc>
        <w:tc>
          <w:tcPr>
            <w:tcW w:type="dxa" w:w="5040"/>
          </w:tcPr>
          <w:p>
            <w:r>
              <w:rPr>
                <w:rFonts w:ascii="Calibri" w:hAnsi="Calibri"/>
                <w:color w:val="333333"/>
                <w:sz w:val="18"/>
              </w:rPr>
              <w:t>1.70</w:t>
            </w:r>
          </w:p>
        </w:tc>
      </w:tr>
      <w:tr>
        <w:tc>
          <w:tcPr>
            <w:tcW w:type="dxa" w:w="5040"/>
            <w:shd w:fill="F2F4F8" w:val="clear"/>
          </w:tcPr>
          <w:p>
            <w:r>
              <w:rPr>
                <w:rFonts w:ascii="Calibri" w:hAnsi="Calibri"/>
                <w:color w:val="333333"/>
                <w:sz w:val="18"/>
              </w:rPr>
              <w:t>Debt-to-EBITDA</w:t>
            </w:r>
          </w:p>
        </w:tc>
        <w:tc>
          <w:tcPr>
            <w:tcW w:type="dxa" w:w="5040"/>
            <w:shd w:fill="F2F4F8" w:val="clear"/>
          </w:tcPr>
          <w:p>
            <w:r>
              <w:rPr>
                <w:rFonts w:ascii="Calibri" w:hAnsi="Calibri"/>
                <w:color w:val="333333"/>
                <w:sz w:val="18"/>
              </w:rPr>
              <w:t>2.70</w:t>
            </w:r>
          </w:p>
        </w:tc>
      </w:tr>
      <w:tr>
        <w:tc>
          <w:tcPr>
            <w:tcW w:type="dxa" w:w="5040"/>
          </w:tcPr>
          <w:p>
            <w:r>
              <w:rPr>
                <w:rFonts w:ascii="Calibri" w:hAnsi="Calibri"/>
                <w:color w:val="333333"/>
                <w:sz w:val="18"/>
              </w:rPr>
              <w:t>Interest Coverage</w:t>
            </w:r>
          </w:p>
        </w:tc>
        <w:tc>
          <w:tcPr>
            <w:tcW w:type="dxa" w:w="5040"/>
          </w:tcPr>
          <w:p>
            <w:r>
              <w:rPr>
                <w:rFonts w:ascii="Calibri" w:hAnsi="Calibri"/>
                <w:color w:val="333333"/>
                <w:sz w:val="18"/>
              </w:rPr>
              <w:t>6.05</w:t>
            </w:r>
          </w:p>
        </w:tc>
      </w:tr>
      <w:tr>
        <w:tc>
          <w:tcPr>
            <w:tcW w:type="dxa" w:w="5040"/>
            <w:shd w:fill="F2F4F8" w:val="clear"/>
          </w:tcPr>
          <w:p>
            <w:r>
              <w:rPr>
                <w:rFonts w:ascii="Calibri" w:hAnsi="Calibri"/>
                <w:color w:val="333333"/>
                <w:sz w:val="18"/>
              </w:rPr>
              <w:t>Covenant Status</w:t>
            </w:r>
          </w:p>
        </w:tc>
        <w:tc>
          <w:tcPr>
            <w:tcW w:type="dxa" w:w="5040"/>
            <w:shd w:fill="F2F4F8" w:val="clear"/>
          </w:tcPr>
          <w:p>
            <w:r>
              <w:rPr>
                <w:rFonts w:ascii="Calibri" w:hAnsi="Calibri"/>
                <w:color w:val="333333"/>
                <w:sz w:val="18"/>
              </w:rPr>
              <w:t>Unknown</w:t>
            </w:r>
          </w:p>
        </w:tc>
      </w:tr>
    </w:tbl>
    <w:p>
      <w:pPr>
        <w:pStyle w:val="DOHeading3"/>
      </w:pPr>
      <w:r>
        <w:t>Critical Accounting Estimates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Estimate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Effective Tax Rate</w:t>
            </w:r>
          </w:p>
        </w:tc>
        <w:tc>
          <w:tcPr>
            <w:tcW w:type="dxa" w:w="3360"/>
          </w:tcPr>
          <w:p>
            <w:r>
              <w:rPr>
                <w:rFonts w:ascii="Calibri" w:hAnsi="Calibri"/>
                <w:color w:val="333333"/>
                <w:sz w:val="18"/>
              </w:rPr>
              <w:t>24.0%</w:t>
            </w:r>
          </w:p>
        </w:tc>
        <w:tc>
          <w:tcPr>
            <w:tcW w:type="dxa" w:w="3360"/>
          </w:tcPr>
          <w:p>
            <w:r>
              <w:rPr>
                <w:rFonts w:ascii="Calibri" w:hAnsi="Calibri"/>
                <w:color w:val="333333"/>
                <w:sz w:val="18"/>
              </w:rPr>
              <w:t>Normal range</w:t>
            </w:r>
          </w:p>
        </w:tc>
      </w:tr>
    </w:tbl>
    <w:p>
      <w:pPr>
        <w:pStyle w:val="DOHeading2"/>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Revenue</w:t>
            </w:r>
          </w:p>
        </w:tc>
        <w:tc>
          <w:tcPr>
            <w:tcW w:type="dxa" w:w="2016"/>
            <w:shd w:fill="1A1446" w:val="clear"/>
          </w:tcPr>
          <w:p>
            <w:r>
              <w:rPr>
                <w:rFonts w:ascii="Calibri" w:hAnsi="Calibri"/>
                <w:b/>
                <w:color w:val="FFFFFF"/>
                <w:sz w:val="18"/>
              </w:rPr>
              <w:t>Score</w:t>
            </w:r>
          </w:p>
        </w:tc>
      </w:tr>
      <w:tr>
        <w:tc>
          <w:tcPr>
            <w:tcW w:type="dxa" w:w="2016"/>
          </w:tcPr>
          <w:p>
            <w:r>
              <w:rPr>
                <w:rFonts w:ascii="Calibri" w:hAnsi="Calibri"/>
                <w:color w:val="333333"/>
                <w:sz w:val="18"/>
              </w:rPr>
              <w:t>GE</w:t>
            </w:r>
          </w:p>
        </w:tc>
        <w:tc>
          <w:tcPr>
            <w:tcW w:type="dxa" w:w="2016"/>
          </w:tcPr>
          <w:p>
            <w:r>
              <w:rPr>
                <w:rFonts w:ascii="Calibri" w:hAnsi="Calibri"/>
                <w:color w:val="333333"/>
                <w:sz w:val="18"/>
              </w:rPr>
              <w:t>GE Aerospace</w:t>
            </w:r>
          </w:p>
        </w:tc>
        <w:tc>
          <w:tcPr>
            <w:tcW w:type="dxa" w:w="2016"/>
          </w:tcPr>
          <w:p>
            <w:r>
              <w:rPr>
                <w:rFonts w:ascii="Calibri" w:hAnsi="Calibri"/>
                <w:color w:val="333333"/>
                <w:sz w:val="18"/>
              </w:rPr>
              <w:t>$296.6B</w:t>
            </w:r>
          </w:p>
        </w:tc>
        <w:tc>
          <w:tcPr>
            <w:tcW w:type="dxa" w:w="2016"/>
          </w:tcPr>
          <w:p>
            <w:r>
              <w:rPr>
                <w:rFonts w:ascii="Calibri" w:hAnsi="Calibri"/>
                <w:color w:val="333333"/>
                <w:sz w:val="18"/>
              </w:rPr>
              <w:t>$45.9B</w:t>
            </w:r>
          </w:p>
        </w:tc>
        <w:tc>
          <w:tcPr>
            <w:tcW w:type="dxa" w:w="2016"/>
          </w:tcPr>
          <w:p>
            <w:r>
              <w:rPr>
                <w:rFonts w:ascii="Calibri" w:hAnsi="Calibri"/>
                <w:color w:val="333333"/>
                <w:sz w:val="18"/>
              </w:rPr>
              <w:t>40</w:t>
            </w:r>
          </w:p>
        </w:tc>
      </w:tr>
      <w:tr>
        <w:tc>
          <w:tcPr>
            <w:tcW w:type="dxa" w:w="2016"/>
            <w:shd w:fill="F2F4F8" w:val="clear"/>
          </w:tcPr>
          <w:p>
            <w:r>
              <w:rPr>
                <w:rFonts w:ascii="Calibri" w:hAnsi="Calibri"/>
                <w:color w:val="333333"/>
                <w:sz w:val="18"/>
              </w:rPr>
              <w:t>HON</w:t>
            </w:r>
          </w:p>
        </w:tc>
        <w:tc>
          <w:tcPr>
            <w:tcW w:type="dxa" w:w="2016"/>
            <w:shd w:fill="F2F4F8" w:val="clear"/>
          </w:tcPr>
          <w:p>
            <w:r>
              <w:rPr>
                <w:rFonts w:ascii="Calibri" w:hAnsi="Calibri"/>
                <w:color w:val="333333"/>
                <w:sz w:val="18"/>
              </w:rPr>
              <w:t>Honeywell International Inc.</w:t>
            </w:r>
          </w:p>
        </w:tc>
        <w:tc>
          <w:tcPr>
            <w:tcW w:type="dxa" w:w="2016"/>
            <w:shd w:fill="F2F4F8" w:val="clear"/>
          </w:tcPr>
          <w:p>
            <w:r>
              <w:rPr>
                <w:rFonts w:ascii="Calibri" w:hAnsi="Calibri"/>
                <w:color w:val="333333"/>
                <w:sz w:val="18"/>
              </w:rPr>
              <w:t>$145.9B</w:t>
            </w:r>
          </w:p>
        </w:tc>
        <w:tc>
          <w:tcPr>
            <w:tcW w:type="dxa" w:w="2016"/>
            <w:shd w:fill="F2F4F8" w:val="clear"/>
          </w:tcPr>
          <w:p>
            <w:r>
              <w:rPr>
                <w:rFonts w:ascii="Calibri" w:hAnsi="Calibri"/>
                <w:color w:val="333333"/>
                <w:sz w:val="18"/>
              </w:rPr>
              <w:t>$37.4B</w:t>
            </w:r>
          </w:p>
        </w:tc>
        <w:tc>
          <w:tcPr>
            <w:tcW w:type="dxa" w:w="2016"/>
            <w:shd w:fill="F2F4F8" w:val="clear"/>
          </w:tcPr>
          <w:p>
            <w:r>
              <w:rPr>
                <w:rFonts w:ascii="Calibri" w:hAnsi="Calibri"/>
                <w:color w:val="333333"/>
                <w:sz w:val="18"/>
              </w:rPr>
              <w:t>20</w:t>
            </w:r>
          </w:p>
        </w:tc>
      </w:tr>
      <w:tr>
        <w:tc>
          <w:tcPr>
            <w:tcW w:type="dxa" w:w="2016"/>
          </w:tcPr>
          <w:p>
            <w:r>
              <w:rPr>
                <w:rFonts w:ascii="Calibri" w:hAnsi="Calibri"/>
                <w:color w:val="333333"/>
                <w:sz w:val="18"/>
              </w:rPr>
              <w:t>UNP</w:t>
            </w:r>
          </w:p>
        </w:tc>
        <w:tc>
          <w:tcPr>
            <w:tcW w:type="dxa" w:w="2016"/>
          </w:tcPr>
          <w:p>
            <w:r>
              <w:rPr>
                <w:rFonts w:ascii="Calibri" w:hAnsi="Calibri"/>
                <w:color w:val="333333"/>
                <w:sz w:val="18"/>
              </w:rPr>
              <w:t>Union Pacific Corporation</w:t>
            </w:r>
          </w:p>
        </w:tc>
        <w:tc>
          <w:tcPr>
            <w:tcW w:type="dxa" w:w="2016"/>
          </w:tcPr>
          <w:p>
            <w:r>
              <w:rPr>
                <w:rFonts w:ascii="Calibri" w:hAnsi="Calibri"/>
                <w:color w:val="333333"/>
                <w:sz w:val="18"/>
              </w:rPr>
              <w:t>$145.3B</w:t>
            </w:r>
          </w:p>
        </w:tc>
        <w:tc>
          <w:tcPr>
            <w:tcW w:type="dxa" w:w="2016"/>
          </w:tcPr>
          <w:p>
            <w:r>
              <w:rPr>
                <w:rFonts w:ascii="Calibri" w:hAnsi="Calibri"/>
                <w:color w:val="333333"/>
                <w:sz w:val="18"/>
              </w:rPr>
              <w:t>$24.5B</w:t>
            </w:r>
          </w:p>
        </w:tc>
        <w:tc>
          <w:tcPr>
            <w:tcW w:type="dxa" w:w="2016"/>
          </w:tcPr>
          <w:p>
            <w:r>
              <w:rPr>
                <w:rFonts w:ascii="Calibri" w:hAnsi="Calibri"/>
                <w:color w:val="333333"/>
                <w:sz w:val="18"/>
              </w:rPr>
              <w:t>16</w:t>
            </w:r>
          </w:p>
        </w:tc>
      </w:tr>
      <w:tr>
        <w:tc>
          <w:tcPr>
            <w:tcW w:type="dxa" w:w="2016"/>
            <w:shd w:fill="F2F4F8" w:val="clear"/>
          </w:tcPr>
          <w:p>
            <w:r>
              <w:rPr>
                <w:rFonts w:ascii="Calibri" w:hAnsi="Calibri"/>
                <w:color w:val="333333"/>
                <w:sz w:val="18"/>
              </w:rPr>
              <w:t>RTX</w:t>
            </w:r>
          </w:p>
        </w:tc>
        <w:tc>
          <w:tcPr>
            <w:tcW w:type="dxa" w:w="2016"/>
            <w:shd w:fill="F2F4F8" w:val="clear"/>
          </w:tcPr>
          <w:p>
            <w:r>
              <w:rPr>
                <w:rFonts w:ascii="Calibri" w:hAnsi="Calibri"/>
                <w:color w:val="333333"/>
                <w:sz w:val="18"/>
              </w:rPr>
              <w:t>RTX Corporation</w:t>
            </w:r>
          </w:p>
        </w:tc>
        <w:tc>
          <w:tcPr>
            <w:tcW w:type="dxa" w:w="2016"/>
            <w:shd w:fill="F2F4F8" w:val="clear"/>
          </w:tcPr>
          <w:p>
            <w:r>
              <w:rPr>
                <w:rFonts w:ascii="Calibri" w:hAnsi="Calibri"/>
                <w:color w:val="333333"/>
                <w:sz w:val="18"/>
              </w:rPr>
              <w:t>$264.1B</w:t>
            </w:r>
          </w:p>
        </w:tc>
        <w:tc>
          <w:tcPr>
            <w:tcW w:type="dxa" w:w="2016"/>
            <w:shd w:fill="F2F4F8" w:val="clear"/>
          </w:tcPr>
          <w:p>
            <w:r>
              <w:rPr>
                <w:rFonts w:ascii="Calibri" w:hAnsi="Calibri"/>
                <w:color w:val="333333"/>
                <w:sz w:val="18"/>
              </w:rPr>
              <w:t>$88.6B</w:t>
            </w:r>
          </w:p>
        </w:tc>
        <w:tc>
          <w:tcPr>
            <w:tcW w:type="dxa" w:w="2016"/>
            <w:shd w:fill="F2F4F8" w:val="clear"/>
          </w:tcPr>
          <w:p>
            <w:r>
              <w:rPr>
                <w:rFonts w:ascii="Calibri" w:hAnsi="Calibri"/>
                <w:color w:val="333333"/>
                <w:sz w:val="18"/>
              </w:rPr>
              <w:t>37</w:t>
            </w:r>
          </w:p>
        </w:tc>
      </w:tr>
      <w:tr>
        <w:tc>
          <w:tcPr>
            <w:tcW w:type="dxa" w:w="2016"/>
          </w:tcPr>
          <w:p>
            <w:r>
              <w:rPr>
                <w:rFonts w:ascii="Calibri" w:hAnsi="Calibri"/>
                <w:color w:val="333333"/>
                <w:sz w:val="18"/>
              </w:rPr>
              <w:t>BA</w:t>
            </w:r>
          </w:p>
        </w:tc>
        <w:tc>
          <w:tcPr>
            <w:tcW w:type="dxa" w:w="2016"/>
          </w:tcPr>
          <w:p>
            <w:r>
              <w:rPr>
                <w:rFonts w:ascii="Calibri" w:hAnsi="Calibri"/>
                <w:color w:val="333333"/>
                <w:sz w:val="18"/>
              </w:rPr>
              <w:t>Boeing Company (The)</w:t>
            </w:r>
          </w:p>
        </w:tc>
        <w:tc>
          <w:tcPr>
            <w:tcW w:type="dxa" w:w="2016"/>
          </w:tcPr>
          <w:p>
            <w:r>
              <w:rPr>
                <w:rFonts w:ascii="Calibri" w:hAnsi="Calibri"/>
                <w:color w:val="333333"/>
                <w:sz w:val="18"/>
              </w:rPr>
              <w:t>$163.6B</w:t>
            </w:r>
          </w:p>
        </w:tc>
        <w:tc>
          <w:tcPr>
            <w:tcW w:type="dxa" w:w="2016"/>
          </w:tcPr>
          <w:p>
            <w:r>
              <w:rPr>
                <w:rFonts w:ascii="Calibri" w:hAnsi="Calibri"/>
                <w:color w:val="333333"/>
                <w:sz w:val="18"/>
              </w:rPr>
              <w:t>$89.5B</w:t>
            </w:r>
          </w:p>
        </w:tc>
        <w:tc>
          <w:tcPr>
            <w:tcW w:type="dxa" w:w="2016"/>
          </w:tcPr>
          <w:p>
            <w:r>
              <w:rPr>
                <w:rFonts w:ascii="Calibri" w:hAnsi="Calibri"/>
                <w:color w:val="333333"/>
                <w:sz w:val="18"/>
              </w:rPr>
              <w:t>22</w:t>
            </w:r>
          </w:p>
        </w:tc>
      </w:tr>
      <w:tr>
        <w:tc>
          <w:tcPr>
            <w:tcW w:type="dxa" w:w="2016"/>
            <w:shd w:fill="F2F4F8" w:val="clear"/>
          </w:tcPr>
          <w:p>
            <w:r>
              <w:rPr>
                <w:rFonts w:ascii="Calibri" w:hAnsi="Calibri"/>
                <w:color w:val="333333"/>
                <w:sz w:val="18"/>
              </w:rPr>
              <w:t>DE</w:t>
            </w:r>
          </w:p>
        </w:tc>
        <w:tc>
          <w:tcPr>
            <w:tcW w:type="dxa" w:w="2016"/>
            <w:shd w:fill="F2F4F8" w:val="clear"/>
          </w:tcPr>
          <w:p>
            <w:r>
              <w:rPr>
                <w:rFonts w:ascii="Calibri" w:hAnsi="Calibri"/>
                <w:color w:val="333333"/>
                <w:sz w:val="18"/>
              </w:rPr>
              <w:t>Deere &amp; Company</w:t>
            </w:r>
          </w:p>
        </w:tc>
        <w:tc>
          <w:tcPr>
            <w:tcW w:type="dxa" w:w="2016"/>
            <w:shd w:fill="F2F4F8" w:val="clear"/>
          </w:tcPr>
          <w:p>
            <w:r>
              <w:rPr>
                <w:rFonts w:ascii="Calibri" w:hAnsi="Calibri"/>
                <w:color w:val="333333"/>
                <w:sz w:val="18"/>
              </w:rPr>
              <w:t>$155.5B</w:t>
            </w:r>
          </w:p>
        </w:tc>
        <w:tc>
          <w:tcPr>
            <w:tcW w:type="dxa" w:w="2016"/>
            <w:shd w:fill="F2F4F8" w:val="clear"/>
          </w:tcPr>
          <w:p>
            <w:r>
              <w:rPr>
                <w:rFonts w:ascii="Calibri" w:hAnsi="Calibri"/>
                <w:color w:val="333333"/>
                <w:sz w:val="18"/>
              </w:rPr>
              <w:t>$46.7B</w:t>
            </w:r>
          </w:p>
        </w:tc>
        <w:tc>
          <w:tcPr>
            <w:tcW w:type="dxa" w:w="2016"/>
            <w:shd w:fill="F2F4F8" w:val="clear"/>
          </w:tcPr>
          <w:p>
            <w:r>
              <w:rPr>
                <w:rFonts w:ascii="Calibri" w:hAnsi="Calibri"/>
                <w:color w:val="333333"/>
                <w:sz w:val="18"/>
              </w:rPr>
              <w:t>32</w:t>
            </w:r>
          </w:p>
        </w:tc>
      </w:tr>
      <w:tr>
        <w:tc>
          <w:tcPr>
            <w:tcW w:type="dxa" w:w="2016"/>
          </w:tcPr>
          <w:p>
            <w:r>
              <w:rPr>
                <w:rFonts w:ascii="Calibri" w:hAnsi="Calibri"/>
                <w:color w:val="333333"/>
                <w:sz w:val="18"/>
              </w:rPr>
              <w:t>LMT</w:t>
            </w:r>
          </w:p>
        </w:tc>
        <w:tc>
          <w:tcPr>
            <w:tcW w:type="dxa" w:w="2016"/>
          </w:tcPr>
          <w:p>
            <w:r>
              <w:rPr>
                <w:rFonts w:ascii="Calibri" w:hAnsi="Calibri"/>
                <w:color w:val="333333"/>
                <w:sz w:val="18"/>
              </w:rPr>
              <w:t>Lockheed Martin Corporation</w:t>
            </w:r>
          </w:p>
        </w:tc>
        <w:tc>
          <w:tcPr>
            <w:tcW w:type="dxa" w:w="2016"/>
          </w:tcPr>
          <w:p>
            <w:r>
              <w:rPr>
                <w:rFonts w:ascii="Calibri" w:hAnsi="Calibri"/>
                <w:color w:val="333333"/>
                <w:sz w:val="18"/>
              </w:rPr>
              <w:t>$143.5B</w:t>
            </w:r>
          </w:p>
        </w:tc>
        <w:tc>
          <w:tcPr>
            <w:tcW w:type="dxa" w:w="2016"/>
          </w:tcPr>
          <w:p>
            <w:r>
              <w:rPr>
                <w:rFonts w:ascii="Calibri" w:hAnsi="Calibri"/>
                <w:color w:val="333333"/>
                <w:sz w:val="18"/>
              </w:rPr>
              <w:t>$75.0B</w:t>
            </w:r>
          </w:p>
        </w:tc>
        <w:tc>
          <w:tcPr>
            <w:tcW w:type="dxa" w:w="2016"/>
          </w:tcPr>
          <w:p>
            <w:r>
              <w:rPr>
                <w:rFonts w:ascii="Calibri" w:hAnsi="Calibri"/>
                <w:color w:val="333333"/>
                <w:sz w:val="18"/>
              </w:rPr>
              <w:t>25</w:t>
            </w:r>
          </w:p>
        </w:tc>
      </w:tr>
      <w:tr>
        <w:tc>
          <w:tcPr>
            <w:tcW w:type="dxa" w:w="2016"/>
            <w:shd w:fill="F2F4F8" w:val="clear"/>
          </w:tcPr>
          <w:p>
            <w:r>
              <w:rPr>
                <w:rFonts w:ascii="Calibri" w:hAnsi="Calibri"/>
                <w:color w:val="333333"/>
                <w:sz w:val="18"/>
              </w:rPr>
              <w:t>UPS</w:t>
            </w:r>
          </w:p>
        </w:tc>
        <w:tc>
          <w:tcPr>
            <w:tcW w:type="dxa" w:w="2016"/>
            <w:shd w:fill="F2F4F8" w:val="clear"/>
          </w:tcPr>
          <w:p>
            <w:r>
              <w:rPr>
                <w:rFonts w:ascii="Calibri" w:hAnsi="Calibri"/>
                <w:color w:val="333333"/>
                <w:sz w:val="18"/>
              </w:rPr>
              <w:t>United Parcel Service, Inc.</w:t>
            </w:r>
          </w:p>
        </w:tc>
        <w:tc>
          <w:tcPr>
            <w:tcW w:type="dxa" w:w="2016"/>
            <w:shd w:fill="F2F4F8" w:val="clear"/>
          </w:tcPr>
          <w:p>
            <w:r>
              <w:rPr>
                <w:rFonts w:ascii="Calibri" w:hAnsi="Calibri"/>
                <w:color w:val="333333"/>
                <w:sz w:val="18"/>
              </w:rPr>
              <w:t>$83.4B</w:t>
            </w:r>
          </w:p>
        </w:tc>
        <w:tc>
          <w:tcPr>
            <w:tcW w:type="dxa" w:w="2016"/>
            <w:shd w:fill="F2F4F8" w:val="clear"/>
          </w:tcPr>
          <w:p>
            <w:r>
              <w:rPr>
                <w:rFonts w:ascii="Calibri" w:hAnsi="Calibri"/>
                <w:color w:val="333333"/>
                <w:sz w:val="18"/>
              </w:rPr>
              <w:t>$88.7B</w:t>
            </w:r>
          </w:p>
        </w:tc>
        <w:tc>
          <w:tcPr>
            <w:tcW w:type="dxa" w:w="2016"/>
            <w:shd w:fill="F2F4F8" w:val="clear"/>
          </w:tcPr>
          <w:p>
            <w:r>
              <w:rPr>
                <w:rFonts w:ascii="Calibri" w:hAnsi="Calibri"/>
                <w:color w:val="333333"/>
                <w:sz w:val="18"/>
              </w:rPr>
              <w:t>22</w:t>
            </w:r>
          </w:p>
        </w:tc>
      </w:tr>
      <w:tr>
        <w:tc>
          <w:tcPr>
            <w:tcW w:type="dxa" w:w="2016"/>
          </w:tcPr>
          <w:p>
            <w:r>
              <w:rPr>
                <w:rFonts w:ascii="Calibri" w:hAnsi="Calibri"/>
                <w:color w:val="333333"/>
                <w:sz w:val="18"/>
              </w:rPr>
              <w:t>MMM</w:t>
            </w:r>
          </w:p>
        </w:tc>
        <w:tc>
          <w:tcPr>
            <w:tcW w:type="dxa" w:w="2016"/>
          </w:tcPr>
          <w:p>
            <w:r>
              <w:rPr>
                <w:rFonts w:ascii="Calibri" w:hAnsi="Calibri"/>
                <w:color w:val="333333"/>
                <w:sz w:val="18"/>
              </w:rPr>
              <w:t>3M Company</w:t>
            </w:r>
          </w:p>
        </w:tc>
        <w:tc>
          <w:tcPr>
            <w:tcW w:type="dxa" w:w="2016"/>
          </w:tcPr>
          <w:p>
            <w:r>
              <w:rPr>
                <w:rFonts w:ascii="Calibri" w:hAnsi="Calibri"/>
                <w:color w:val="333333"/>
                <w:sz w:val="18"/>
              </w:rPr>
              <w:t>$76.1B</w:t>
            </w:r>
          </w:p>
        </w:tc>
        <w:tc>
          <w:tcPr>
            <w:tcW w:type="dxa" w:w="2016"/>
          </w:tcPr>
          <w:p>
            <w:r>
              <w:rPr>
                <w:rFonts w:ascii="Calibri" w:hAnsi="Calibri"/>
                <w:color w:val="333333"/>
                <w:sz w:val="18"/>
              </w:rPr>
              <w:t>$24.9B</w:t>
            </w:r>
          </w:p>
        </w:tc>
        <w:tc>
          <w:tcPr>
            <w:tcW w:type="dxa" w:w="2016"/>
          </w:tcPr>
          <w:p>
            <w:r>
              <w:rPr>
                <w:rFonts w:ascii="Calibri" w:hAnsi="Calibri"/>
                <w:color w:val="333333"/>
                <w:sz w:val="18"/>
              </w:rPr>
              <w:t>17</w:t>
            </w:r>
          </w:p>
        </w:tc>
      </w:tr>
    </w:tbl>
    <w:p>
      <w:pPr>
        <w:pStyle w:val="DOBody"/>
      </w:pPr>
      <w:r>
        <w:t>Revenue: Ranks at the 56th percentile among 9 peers. Leverage: Ranks at the 55th percentile among 0 peers (peer median: 3.0x).</w:t>
      </w:r>
    </w:p>
    <w:p>
      <w:pPr>
        <w:pStyle w:val="DOCaption"/>
      </w:pPr>
      <w:r>
        <w:t>Method: Multi-signal composite: SIC 25%, industry 20%, market cap 25%, revenue 15%, description 15%</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CATERPILLAR INC.’s board structure, with only one director listed out of a total board size of 1, is a profound anomaly that invalidates standard analysis and suggests a data integrity issue, heightening D&amp;O risk as it precludes forming independent committees required for oversight. CEO Joseph Creed, with only 2.0 years in role, lacks entrenched institutional knowledge, placing disproportionate oversight weight on a potentially fractured board and increasing reliance on officer representations. The $25,261,296 CEO compensation package, despite a 93% say-on-pay vote, is a stark figure that will attract plaintiff scrutiny to the Compensation Committee’s rationale, especially if financial performance falters. This governance opacity, with a triggered 7 out of 90 governance checks, directly elevates *Caremark* duty of oversight exposure, as a board of this reported size cannot possibly maintain effective compliance monitoring. The consequent risk is a derivative suit bypassing demand futility arguments due to the board’s inability to demonstrate informed deliberation, with a total governance score of 45.6 highlighting this vulnerability. Underwriting this risk requires a deep dive into the actual board composition and a specific exclusion for claims related to alleged fiduciary failures arising from this governance discontinuity.</w:t>
      </w:r>
    </w:p>
    <w:p>
      <w:pPr>
        <w:pStyle w:val="DOHeading1"/>
      </w:pPr>
      <w:r>
        <w:t>Section 5: Governance &amp; Leadership</w:t>
      </w:r>
    </w:p>
    <w:p>
      <w:pPr>
        <w:pStyle w:val="DOBody"/>
      </w:pPr>
      <w:r>
        <w:rPr>
          <w:rFonts w:ascii="Calibri" w:hAnsi="Calibri"/>
          <w:color w:val="333333"/>
          <w:sz w:val="20"/>
        </w:rPr>
        <w:t>Leadership team is stable with average tenure of 2.0 years. Board governance is moderate (46/100) with some areas for improvement.</w:t>
      </w:r>
      <w:r>
        <w:rPr>
          <w:rFonts w:ascii="Consolas" w:hAnsi="Consolas"/>
          <w:color w:val="666666"/>
          <w:sz w:val="16"/>
        </w:rPr>
        <w:t xml:space="preserve">  [Rule-based synthesis of governance extraction results, 2026-04-03, LOW]</w:t>
      </w:r>
    </w:p>
    <w:p>
      <w:pPr>
        <w:pStyle w:val="DOBody"/>
      </w:pPr>
      <w:r>
        <w:rPr>
          <w:rFonts w:ascii="Calibri" w:hAnsi="Calibri"/>
          <w:color w:val="333333"/>
          <w:sz w:val="20"/>
        </w:rPr>
        <w:t>Governance Quality Score: 45.6/10</w:t>
      </w:r>
      <w:r>
        <w:rPr>
          <w:rFonts w:ascii="Consolas" w:hAnsi="Consolas"/>
          <w:color w:val="666666"/>
          <w:sz w:val="16"/>
        </w:rPr>
        <w:t xml:space="preserve">  [Computed from governance dimensions, 2026-04-03, LOW]</w:t>
      </w:r>
    </w:p>
    <w:p>
      <w:pPr>
        <w:pStyle w:val="DOHeading2"/>
      </w:pPr>
      <w:r>
        <w:t>Leadership Stability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Title</w:t>
            </w:r>
          </w:p>
        </w:tc>
        <w:tc>
          <w:tcPr>
            <w:tcW w:type="dxa" w:w="1680"/>
            <w:shd w:fill="1A1446" w:val="clear"/>
          </w:tcPr>
          <w:p>
            <w:r>
              <w:rPr>
                <w:rFonts w:ascii="Calibri" w:hAnsi="Calibri"/>
                <w:b/>
                <w:color w:val="FFFFFF"/>
                <w:sz w:val="18"/>
              </w:rPr>
              <w:t>Tenure (Yrs)</w:t>
            </w:r>
          </w:p>
        </w:tc>
        <w:tc>
          <w:tcPr>
            <w:tcW w:type="dxa" w:w="1680"/>
            <w:shd w:fill="1A1446" w:val="clear"/>
          </w:tcPr>
          <w:p>
            <w:r>
              <w:rPr>
                <w:rFonts w:ascii="Calibri" w:hAnsi="Calibri"/>
                <w:b/>
                <w:color w:val="FFFFFF"/>
                <w:sz w:val="18"/>
              </w:rPr>
              <w:t>Status</w:t>
            </w:r>
          </w:p>
        </w:tc>
        <w:tc>
          <w:tcPr>
            <w:tcW w:type="dxa" w:w="1680"/>
            <w:shd w:fill="1A1446" w:val="clear"/>
          </w:tcPr>
          <w:p>
            <w:r>
              <w:rPr>
                <w:rFonts w:ascii="Calibri" w:hAnsi="Calibri"/>
                <w:b/>
                <w:color w:val="FFFFFF"/>
                <w:sz w:val="18"/>
              </w:rPr>
              <w:t>Prior Lit.</w:t>
            </w:r>
          </w:p>
        </w:tc>
        <w:tc>
          <w:tcPr>
            <w:tcW w:type="dxa" w:w="1680"/>
            <w:shd w:fill="1A1446" w:val="clear"/>
          </w:tcPr>
          <w:p>
            <w:r>
              <w:rPr>
                <w:rFonts w:ascii="Calibri" w:hAnsi="Calibri"/>
                <w:b/>
                <w:color w:val="FFFFFF"/>
                <w:sz w:val="18"/>
              </w:rPr>
              <w:t>Flags</w:t>
            </w:r>
          </w:p>
        </w:tc>
      </w:tr>
      <w:tr>
        <w:tc>
          <w:tcPr>
            <w:tcW w:type="dxa" w:w="1680"/>
          </w:tcPr>
          <w:p>
            <w:r>
              <w:rPr>
                <w:rFonts w:ascii="Calibri" w:hAnsi="Calibri"/>
                <w:color w:val="333333"/>
                <w:sz w:val="18"/>
              </w:rPr>
              <w:t>Joseph Creed</w:t>
            </w:r>
          </w:p>
        </w:tc>
        <w:tc>
          <w:tcPr>
            <w:tcW w:type="dxa" w:w="1680"/>
          </w:tcPr>
          <w:p>
            <w:r>
              <w:rPr>
                <w:rFonts w:ascii="Calibri" w:hAnsi="Calibri"/>
                <w:color w:val="333333"/>
                <w:sz w:val="18"/>
              </w:rPr>
              <w:t>CEO</w:t>
            </w:r>
          </w:p>
        </w:tc>
        <w:tc>
          <w:tcPr>
            <w:tcW w:type="dxa" w:w="1680"/>
          </w:tcPr>
          <w:p>
            <w:r>
              <w:rPr>
                <w:rFonts w:ascii="Calibri" w:hAnsi="Calibri"/>
                <w:color w:val="333333"/>
                <w:sz w:val="18"/>
              </w:rPr>
              <w:t>2.0</w:t>
            </w:r>
          </w:p>
        </w:tc>
        <w:tc>
          <w:tcPr>
            <w:tcW w:type="dxa" w:w="1680"/>
          </w:tcPr>
          <w:p>
            <w:r>
              <w:rPr>
                <w:rFonts w:ascii="Calibri" w:hAnsi="Calibri"/>
                <w:color w:val="333333"/>
                <w:sz w:val="18"/>
              </w:rPr>
              <w:t>ACTIVE</w:t>
            </w:r>
          </w:p>
        </w:tc>
        <w:tc>
          <w:tcPr>
            <w:tcW w:type="dxa" w:w="1680"/>
          </w:tcPr>
          <w:p>
            <w:r>
              <w:rPr>
                <w:rFonts w:ascii="Calibri" w:hAnsi="Calibri"/>
                <w:color w:val="333333"/>
                <w:sz w:val="18"/>
              </w:rPr>
              <w:t>4</w:t>
            </w:r>
          </w:p>
        </w:tc>
        <w:tc>
          <w:tcPr>
            <w:tcW w:type="dxa" w:w="1680"/>
          </w:tcPr>
          <w:p>
            <w:r>
              <w:rPr>
                <w:rFonts w:ascii="Calibri" w:hAnsi="Calibri"/>
                <w:color w:val="333333"/>
                <w:sz w:val="18"/>
              </w:rPr>
              <w:t>None</w:t>
            </w:r>
          </w:p>
        </w:tc>
      </w:tr>
    </w:tbl>
    <w:p>
      <w:pPr>
        <w:pStyle w:val="DOBody"/>
      </w:pPr>
      <w:r>
        <w:rPr>
          <w:i/>
          <w:sz w:val="16"/>
        </w:rPr>
        <w:t>D&amp;O Context (Joseph Creed, 4 prior case(s)):  triggered Any Officer With Prior Litigation at Previous Company (F9) — this host risk (company-level characteristics that attract or deter D&amp;O claims) indicates SEC Enforcement / Regulatory Compliance. Evidence: Boolean check: True condition met.</w:t>
      </w:r>
      <w:r>
        <w:rPr>
          <w:b/>
          <w:color w:val="EAB308"/>
          <w:sz w:val="18"/>
        </w:rPr>
        <w:t xml:space="preserve"> [ELEVATED]</w:t>
      </w:r>
    </w:p>
    <w:p>
      <w:pPr>
        <w:pStyle w:val="DOBody"/>
      </w:pPr>
      <w:r>
        <w:rPr>
          <w:rFonts w:ascii="Calibri" w:hAnsi="Calibri"/>
          <w:color w:val="333333"/>
          <w:sz w:val="20"/>
        </w:rPr>
        <w:t>Leadership Stability Score: 100/100</w:t>
      </w:r>
      <w:r>
        <w:rPr>
          <w:rFonts w:ascii="Consolas" w:hAnsi="Consolas"/>
          <w:color w:val="666666"/>
          <w:sz w:val="16"/>
        </w:rPr>
        <w:t xml:space="preserve">  [leadership_profiles extractor, 2026-04-03, MEDIUM]</w:t>
      </w:r>
    </w:p>
    <w:p>
      <w:pPr>
        <w:pStyle w:val="DOHeading2"/>
      </w:pPr>
      <w:r>
        <w:t>Board Composition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Tenure</w:t>
            </w:r>
          </w:p>
        </w:tc>
        <w:tc>
          <w:tcPr>
            <w:tcW w:type="dxa" w:w="1680"/>
            <w:shd w:fill="1A1446" w:val="clear"/>
          </w:tcPr>
          <w:p>
            <w:r>
              <w:rPr>
                <w:rFonts w:ascii="Calibri" w:hAnsi="Calibri"/>
                <w:b/>
                <w:color w:val="FFFFFF"/>
                <w:sz w:val="18"/>
              </w:rPr>
              <w:t>Independent</w:t>
            </w:r>
          </w:p>
        </w:tc>
        <w:tc>
          <w:tcPr>
            <w:tcW w:type="dxa" w:w="1680"/>
            <w:shd w:fill="1A1446" w:val="clear"/>
          </w:tcPr>
          <w:p>
            <w:r>
              <w:rPr>
                <w:rFonts w:ascii="Calibri" w:hAnsi="Calibri"/>
                <w:b/>
                <w:color w:val="FFFFFF"/>
                <w:sz w:val="18"/>
              </w:rPr>
              <w:t>Committees</w:t>
            </w:r>
          </w:p>
        </w:tc>
        <w:tc>
          <w:tcPr>
            <w:tcW w:type="dxa" w:w="1680"/>
            <w:shd w:fill="1A1446" w:val="clear"/>
          </w:tcPr>
          <w:p>
            <w:r>
              <w:rPr>
                <w:rFonts w:ascii="Calibri" w:hAnsi="Calibri"/>
                <w:b/>
                <w:color w:val="FFFFFF"/>
                <w:sz w:val="18"/>
              </w:rPr>
              <w:t>Other Boards</w:t>
            </w:r>
          </w:p>
        </w:tc>
        <w:tc>
          <w:tcPr>
            <w:tcW w:type="dxa" w:w="1680"/>
            <w:shd w:fill="1A1446" w:val="clear"/>
          </w:tcPr>
          <w:p>
            <w:r>
              <w:rPr>
                <w:rFonts w:ascii="Calibri" w:hAnsi="Calibri"/>
                <w:b/>
                <w:color w:val="FFFFFF"/>
                <w:sz w:val="18"/>
              </w:rPr>
              <w:t>Overboarded</w:t>
            </w:r>
          </w:p>
        </w:tc>
      </w:tr>
      <w:tr>
        <w:tc>
          <w:tcPr>
            <w:tcW w:type="dxa" w:w="1680"/>
          </w:tcPr>
          <w:p>
            <w:r>
              <w:rPr>
                <w:rFonts w:ascii="Calibri" w:hAnsi="Calibri"/>
                <w:color w:val="333333"/>
                <w:sz w:val="18"/>
              </w:rPr>
              <w:t>Of Shareholders</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bl>
    <w:p>
      <w:pPr>
        <w:pStyle w:val="DOHeading3"/>
      </w:pPr>
      <w:r>
        <w:t>Board Quality Metrics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Board Size</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Independence Ratio</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CEO/Chair Duality</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Classified Board</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Overboarded Directors</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Dual-Class Structure</w:t>
            </w:r>
          </w:p>
        </w:tc>
        <w:tc>
          <w:tcPr>
            <w:tcW w:type="dxa" w:w="5040"/>
            <w:shd w:fill="F2F4F8" w:val="clear"/>
          </w:tcPr>
          <w:p>
            <w:r>
              <w:rPr>
                <w:rFonts w:ascii="Calibri" w:hAnsi="Calibri"/>
                <w:color w:val="333333"/>
                <w:sz w:val="18"/>
              </w:rPr>
              <w:t>N/A</w:t>
            </w:r>
          </w:p>
        </w:tc>
      </w:tr>
    </w:tbl>
    <w:p>
      <w:pPr>
        <w:pStyle w:val="DOHeading2"/>
      </w:pPr>
      <w:r>
        <w:t>Compensation Analysis</w:t>
      </w:r>
    </w:p>
    <w:p>
      <w:pPr>
        <w:pStyle w:val="DOHeading3"/>
      </w:pPr>
      <w:r>
        <w:t>Summary Compensation Table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Amount</w:t>
            </w:r>
          </w:p>
        </w:tc>
      </w:tr>
      <w:tr>
        <w:tc>
          <w:tcPr>
            <w:tcW w:type="dxa" w:w="5040"/>
          </w:tcPr>
          <w:p>
            <w:r>
              <w:rPr>
                <w:rFonts w:ascii="Calibri" w:hAnsi="Calibri"/>
                <w:color w:val="333333"/>
                <w:sz w:val="18"/>
              </w:rPr>
              <w:t>Total CEO Compensation</w:t>
            </w:r>
          </w:p>
        </w:tc>
        <w:tc>
          <w:tcPr>
            <w:tcW w:type="dxa" w:w="5040"/>
          </w:tcPr>
          <w:p>
            <w:r>
              <w:rPr>
                <w:rFonts w:ascii="Calibri" w:hAnsi="Calibri"/>
                <w:color w:val="333333"/>
                <w:sz w:val="18"/>
              </w:rPr>
              <w:t>$25.3M</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CEO Pay Ratio</w:t>
            </w:r>
          </w:p>
        </w:tc>
        <w:tc>
          <w:tcPr>
            <w:tcW w:type="dxa" w:w="5040"/>
          </w:tcPr>
          <w:p>
            <w:r>
              <w:rPr>
                <w:rFonts w:ascii="Calibri" w:hAnsi="Calibri"/>
                <w:color w:val="333333"/>
                <w:sz w:val="18"/>
              </w:rPr>
              <w:t>399:1</w:t>
            </w:r>
          </w:p>
        </w:tc>
      </w:tr>
    </w:tbl>
    <w:p>
      <w:pPr>
        <w:pStyle w:val="DOHeading3"/>
      </w:pPr>
      <w:r>
        <w:t>Compensation Structure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Detail</w:t>
            </w:r>
          </w:p>
        </w:tc>
      </w:tr>
      <w:tr>
        <w:tc>
          <w:tcPr>
            <w:tcW w:type="dxa" w:w="5040"/>
          </w:tcPr>
          <w:p>
            <w:r>
              <w:rPr>
                <w:rFonts w:ascii="Calibri" w:hAnsi="Calibri"/>
                <w:color w:val="333333"/>
                <w:sz w:val="18"/>
              </w:rPr>
              <w:t>Clawback Policy</w:t>
            </w:r>
          </w:p>
        </w:tc>
        <w:tc>
          <w:tcPr>
            <w:tcW w:type="dxa" w:w="5040"/>
          </w:tcPr>
          <w:p>
            <w:r>
              <w:rPr>
                <w:rFonts w:ascii="Calibri" w:hAnsi="Calibri"/>
                <w:color w:val="333333"/>
                <w:sz w:val="18"/>
              </w:rPr>
              <w:t>Yes</w:t>
            </w:r>
          </w:p>
        </w:tc>
      </w:tr>
      <w:tr>
        <w:tc>
          <w:tcPr>
            <w:tcW w:type="dxa" w:w="5040"/>
            <w:shd w:fill="F2F4F8" w:val="clear"/>
          </w:tcPr>
          <w:p>
            <w:r>
              <w:rPr>
                <w:rFonts w:ascii="Calibri" w:hAnsi="Calibri"/>
                <w:color w:val="333333"/>
                <w:sz w:val="18"/>
              </w:rPr>
              <w:t>Clawback Scope</w:t>
            </w:r>
          </w:p>
        </w:tc>
        <w:tc>
          <w:tcPr>
            <w:tcW w:type="dxa" w:w="5040"/>
            <w:shd w:fill="F2F4F8" w:val="clear"/>
          </w:tcPr>
          <w:p>
            <w:r>
              <w:rPr>
                <w:rFonts w:ascii="Calibri" w:hAnsi="Calibri"/>
                <w:color w:val="333333"/>
                <w:sz w:val="18"/>
              </w:rPr>
              <w:t>BROADER</w:t>
            </w:r>
          </w:p>
        </w:tc>
      </w:tr>
    </w:tbl>
    <w:p>
      <w:pPr>
        <w:pStyle w:val="DOHeading3"/>
      </w:pPr>
      <w:r>
        <w:t>Compensation Red Flags</w:t>
      </w:r>
    </w:p>
    <w:p>
      <w:pPr>
        <w:pStyle w:val="DOBody"/>
      </w:pPr>
      <w:r>
        <w:t>Notable Perquisites: Bonfield $ 36,131 $ 255,062 $ 538 $ — $ — $ 291,731 (1) Values in this column include the value of personal aircraft usage based on Caterpillar's incremental cost per flight hour, including the weighted average variable operating cost of fuel, oil, aircraft maintenance, landing and parking fees, rel, Below is a summary of those practices: WHAT WE DO WHAT WE DON'T DO Robust stock ownership requirements No individual change-in-control agreements Thorough annual benchmarking process No tax gross-ups on change-in-control benefits Rigorous CHRC oversight of incentive metrics, goals and pay/performanc, The incremental cost associated with the security services is determined based upon the amounts paid to these outside service providers: Above-peer perquisites draw proxy advisory negative recommendations.</w:t>
      </w:r>
      <w:r>
        <w:rPr>
          <w:b/>
          <w:color w:val="EAB308"/>
          <w:sz w:val="18"/>
        </w:rPr>
        <w:t xml:space="preserve"> [ELEVATED]</w:t>
      </w:r>
    </w:p>
    <w:p>
      <w:pPr>
        <w:pStyle w:val="DOHeading2"/>
      </w:pPr>
      <w:r>
        <w:t>Ownership Structure</w:t>
      </w:r>
    </w:p>
    <w:p>
      <w:r>
        <w:drawing>
          <wp:inline xmlns:a="http://schemas.openxmlformats.org/drawingml/2006/main" xmlns:pic="http://schemas.openxmlformats.org/drawingml/2006/picture">
            <wp:extent cx="5943600" cy="4903470"/>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4903470"/>
                    </a:xfrm>
                    <a:prstGeom prst="rect"/>
                  </pic:spPr>
                </pic:pic>
              </a:graphicData>
            </a:graphic>
          </wp:inline>
        </w:drawing>
      </w:r>
    </w:p>
    <w:p>
      <w:pPr>
        <w:pStyle w:val="DOCaption"/>
      </w:pPr>
      <w:r>
        <w:t>Figure: Ownership breakdown -- institutional, insider, retail float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Category</w:t>
            </w:r>
          </w:p>
        </w:tc>
        <w:tc>
          <w:tcPr>
            <w:tcW w:type="dxa" w:w="5040"/>
            <w:shd w:fill="1A1446" w:val="clear"/>
          </w:tcPr>
          <w:p>
            <w:r>
              <w:rPr>
                <w:rFonts w:ascii="Calibri" w:hAnsi="Calibri"/>
                <w:b/>
                <w:color w:val="FFFFFF"/>
                <w:sz w:val="18"/>
              </w:rPr>
              <w:t>Percentage</w:t>
            </w:r>
          </w:p>
        </w:tc>
      </w:tr>
      <w:tr>
        <w:tc>
          <w:tcPr>
            <w:tcW w:type="dxa" w:w="5040"/>
          </w:tcPr>
          <w:p>
            <w:r>
              <w:rPr>
                <w:rFonts w:ascii="Calibri" w:hAnsi="Calibri"/>
                <w:color w:val="333333"/>
                <w:sz w:val="18"/>
              </w:rPr>
              <w:t>Institutional Ownership</w:t>
            </w:r>
          </w:p>
        </w:tc>
        <w:tc>
          <w:tcPr>
            <w:tcW w:type="dxa" w:w="5040"/>
          </w:tcPr>
          <w:p>
            <w:r>
              <w:rPr>
                <w:rFonts w:ascii="Calibri" w:hAnsi="Calibri"/>
                <w:color w:val="333333"/>
                <w:sz w:val="18"/>
              </w:rPr>
              <w:t>72.6%</w:t>
            </w:r>
          </w:p>
        </w:tc>
      </w:tr>
      <w:tr>
        <w:tc>
          <w:tcPr>
            <w:tcW w:type="dxa" w:w="5040"/>
            <w:shd w:fill="F2F4F8" w:val="clear"/>
          </w:tcPr>
          <w:p>
            <w:r>
              <w:rPr>
                <w:rFonts w:ascii="Calibri" w:hAnsi="Calibri"/>
                <w:color w:val="333333"/>
                <w:sz w:val="18"/>
              </w:rPr>
              <w:t>Insider Ownership</w:t>
            </w:r>
          </w:p>
        </w:tc>
        <w:tc>
          <w:tcPr>
            <w:tcW w:type="dxa" w:w="5040"/>
            <w:shd w:fill="F2F4F8" w:val="clear"/>
          </w:tcPr>
          <w:p>
            <w:r>
              <w:rPr>
                <w:rFonts w:ascii="Calibri" w:hAnsi="Calibri"/>
                <w:color w:val="333333"/>
                <w:sz w:val="18"/>
              </w:rPr>
              <w:t>0.2%</w:t>
            </w:r>
          </w:p>
        </w:tc>
      </w:tr>
      <w:tr>
        <w:tc>
          <w:tcPr>
            <w:tcW w:type="dxa" w:w="5040"/>
          </w:tcPr>
          <w:p>
            <w:r>
              <w:rPr>
                <w:rFonts w:ascii="Calibri" w:hAnsi="Calibri"/>
                <w:color w:val="333333"/>
                <w:sz w:val="18"/>
              </w:rPr>
              <w:t>Retail Float</w:t>
            </w:r>
          </w:p>
        </w:tc>
        <w:tc>
          <w:tcPr>
            <w:tcW w:type="dxa" w:w="5040"/>
          </w:tcPr>
          <w:p>
            <w:r>
              <w:rPr>
                <w:rFonts w:ascii="Calibri" w:hAnsi="Calibri"/>
                <w:color w:val="333333"/>
                <w:sz w:val="18"/>
              </w:rPr>
              <w:t>27.2%</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Top Holder</w:t>
            </w:r>
          </w:p>
        </w:tc>
        <w:tc>
          <w:tcPr>
            <w:tcW w:type="dxa" w:w="5040"/>
            <w:shd w:fill="1A1446" w:val="clear"/>
          </w:tcPr>
          <w:p>
            <w:r>
              <w:rPr>
                <w:rFonts w:ascii="Calibri" w:hAnsi="Calibri"/>
                <w:b/>
                <w:color w:val="FFFFFF"/>
                <w:sz w:val="18"/>
              </w:rPr>
              <w:t>Ownership %</w:t>
            </w:r>
          </w:p>
        </w:tc>
      </w:tr>
      <w:tr>
        <w:tc>
          <w:tcPr>
            <w:tcW w:type="dxa" w:w="5040"/>
          </w:tcPr>
          <w:p>
            <w:r>
              <w:rPr>
                <w:rFonts w:ascii="Calibri" w:hAnsi="Calibri"/>
                <w:color w:val="333333"/>
                <w:sz w:val="18"/>
              </w:rPr>
              <w:t>Vanguard Group Inc</w:t>
            </w:r>
          </w:p>
        </w:tc>
        <w:tc>
          <w:tcPr>
            <w:tcW w:type="dxa" w:w="5040"/>
          </w:tcPr>
          <w:p>
            <w:r>
              <w:rPr>
                <w:rFonts w:ascii="Calibri" w:hAnsi="Calibri"/>
                <w:color w:val="333333"/>
                <w:sz w:val="18"/>
              </w:rPr>
              <w:t>0.1%</w:t>
            </w:r>
          </w:p>
        </w:tc>
      </w:tr>
      <w:tr>
        <w:tc>
          <w:tcPr>
            <w:tcW w:type="dxa" w:w="5040"/>
            <w:shd w:fill="F2F4F8" w:val="clear"/>
          </w:tcPr>
          <w:p>
            <w:r>
              <w:rPr>
                <w:rFonts w:ascii="Calibri" w:hAnsi="Calibri"/>
                <w:color w:val="333333"/>
                <w:sz w:val="18"/>
              </w:rPr>
              <w:t>Blackrock Inc.</w:t>
            </w:r>
          </w:p>
        </w:tc>
        <w:tc>
          <w:tcPr>
            <w:tcW w:type="dxa" w:w="5040"/>
            <w:shd w:fill="F2F4F8" w:val="clear"/>
          </w:tcPr>
          <w:p>
            <w:r>
              <w:rPr>
                <w:rFonts w:ascii="Calibri" w:hAnsi="Calibri"/>
                <w:color w:val="333333"/>
                <w:sz w:val="18"/>
              </w:rPr>
              <w:t>0.1%</w:t>
            </w:r>
          </w:p>
        </w:tc>
      </w:tr>
      <w:tr>
        <w:tc>
          <w:tcPr>
            <w:tcW w:type="dxa" w:w="5040"/>
          </w:tcPr>
          <w:p>
            <w:r>
              <w:rPr>
                <w:rFonts w:ascii="Calibri" w:hAnsi="Calibri"/>
                <w:color w:val="333333"/>
                <w:sz w:val="18"/>
              </w:rPr>
              <w:t>State Street Corporation</w:t>
            </w:r>
          </w:p>
        </w:tc>
        <w:tc>
          <w:tcPr>
            <w:tcW w:type="dxa" w:w="5040"/>
          </w:tcPr>
          <w:p>
            <w:r>
              <w:rPr>
                <w:rFonts w:ascii="Calibri" w:hAnsi="Calibri"/>
                <w:color w:val="333333"/>
                <w:sz w:val="18"/>
              </w:rPr>
              <w:t>0.1%</w:t>
            </w:r>
          </w:p>
        </w:tc>
      </w:tr>
      <w:tr>
        <w:tc>
          <w:tcPr>
            <w:tcW w:type="dxa" w:w="5040"/>
            <w:shd w:fill="F2F4F8" w:val="clear"/>
          </w:tcPr>
          <w:p>
            <w:r>
              <w:rPr>
                <w:rFonts w:ascii="Calibri" w:hAnsi="Calibri"/>
                <w:color w:val="333333"/>
                <w:sz w:val="18"/>
              </w:rPr>
              <w:t>State Farm Mutual Automobile Insurance Co</w:t>
            </w:r>
          </w:p>
        </w:tc>
        <w:tc>
          <w:tcPr>
            <w:tcW w:type="dxa" w:w="5040"/>
            <w:shd w:fill="F2F4F8" w:val="clear"/>
          </w:tcPr>
          <w:p>
            <w:r>
              <w:rPr>
                <w:rFonts w:ascii="Calibri" w:hAnsi="Calibri"/>
                <w:color w:val="333333"/>
                <w:sz w:val="18"/>
              </w:rPr>
              <w:t>0.0%</w:t>
            </w:r>
          </w:p>
        </w:tc>
      </w:tr>
      <w:tr>
        <w:tc>
          <w:tcPr>
            <w:tcW w:type="dxa" w:w="5040"/>
          </w:tcPr>
          <w:p>
            <w:r>
              <w:rPr>
                <w:rFonts w:ascii="Calibri" w:hAnsi="Calibri"/>
                <w:color w:val="333333"/>
                <w:sz w:val="18"/>
              </w:rPr>
              <w:t>Geode Capital Management, LLC</w:t>
            </w:r>
          </w:p>
        </w:tc>
        <w:tc>
          <w:tcPr>
            <w:tcW w:type="dxa" w:w="5040"/>
          </w:tcPr>
          <w:p>
            <w:r>
              <w:rPr>
                <w:rFonts w:ascii="Calibri" w:hAnsi="Calibri"/>
                <w:color w:val="333333"/>
                <w:sz w:val="18"/>
              </w:rPr>
              <w:t>0.0%</w:t>
            </w:r>
          </w:p>
        </w:tc>
      </w:tr>
    </w:tbl>
    <w:p>
      <w:pPr>
        <w:pStyle w:val="DOHeading2"/>
      </w:pPr>
      <w:r>
        <w:t>Sentiment &amp; Narrative Coherence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Signal</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Narrative Coherence</w:t>
            </w:r>
          </w:p>
        </w:tc>
        <w:tc>
          <w:tcPr>
            <w:tcW w:type="dxa" w:w="5040"/>
          </w:tcPr>
          <w:p>
            <w:r>
              <w:rPr>
                <w:rFonts w:ascii="Calibri" w:hAnsi="Calibri"/>
                <w:color w:val="333333"/>
                <w:sz w:val="18"/>
              </w:rPr>
              <w:t>COHERENT</w:t>
            </w:r>
          </w:p>
        </w:tc>
      </w:tr>
    </w:tbl>
    <w:p>
      <w:pPr>
        <w:pStyle w:val="DOHeading2"/>
      </w:pPr>
      <w:r>
        <w:t>Anti-Takeover Provisions</w:t>
      </w:r>
    </w:p>
    <w:p>
      <w:pPr>
        <w:pStyle w:val="DOBody"/>
      </w:pPr>
      <w:r>
        <w:t>Anti-takeover provision data not available. Review DEF 14A and charter documents for complete analysis.</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CATERPILLAR currently faces no active SCA, but its 8.72% adjusted filing rate is over triple the 2.5% sector average, signaling a chronically elevated litigation environment. The five pending derivative suits, typically precursors to future SCAs, are being defended by a moderate-strength panel, suggesting protracted and costly discovery ahead that will pressure D&amp;O retentions. With six open solicitation matters, plaintiffs' firms are actively monitoring for a corrective disclosure, which could emerge from any ongoing SEC scrutiny despite no formal stage being declared. The company's elevated 8.72% filing rate versus the 2.5% sector benchmark indicates a high recurrence probability for future claims. Defense costs alone from these five derivative actions will erode retention layers, and any future SCA settlement could easily reach nine figures based on its market cap and historical exposure.</w:t>
      </w:r>
    </w:p>
    <w:p>
      <w:pPr>
        <w:pStyle w:val="DOHeading1"/>
      </w:pPr>
      <w:r>
        <w:t>Section 6: Litigation &amp; Regulatory Exposure</w:t>
      </w:r>
    </w:p>
    <w:p>
      <w:pPr>
        <w:pStyle w:val="DOBody"/>
      </w:pPr>
      <w:r>
        <w:rPr>
          <w:rFonts w:ascii="Calibri" w:hAnsi="Calibri"/>
          <w:color w:val="333333"/>
          <w:sz w:val="20"/>
        </w:rPr>
        <w:t>5 derivative action(s) pending, alleging breach of fiduciary duty by directors and officers. 6 statute of limitations window(s) remain open, meaning new claims can still be filed for past events. Under claims-made D&amp;O policy, coverage is triggered when a claim is reported during the policy period. Defense quality assessment: MODERATE.</w:t>
      </w:r>
    </w:p>
    <w:p>
      <w:pPr>
        <w:pStyle w:val="DOBody"/>
      </w:pPr>
      <w:r>
        <w:rPr>
          <w:sz w:val="20"/>
        </w:rPr>
        <w:t>Litigation Overview: 0 active matter(s), 2 historical matter(s)</w:t>
      </w:r>
    </w:p>
    <w:p>
      <w:pPr>
        <w:pStyle w:val="DOHeading3"/>
      </w:pPr>
      <w:r>
        <w:t>Litigation Timeline</w:t>
      </w:r>
    </w:p>
    <w:p>
      <w:pPr>
        <w:pStyle w:val="DOBody"/>
      </w:pPr>
      <w:r>
        <w:t>Timeline chart not available (no timeline events).</w:t>
      </w:r>
    </w:p>
    <w:p>
      <w:pPr>
        <w:pStyle w:val="DOHeading3"/>
      </w:pPr>
      <w:r>
        <w:t>Securities Class Actions</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1A1446" w:val="clear"/>
          </w:tcPr>
          <w:p>
            <w:r>
              <w:rPr>
                <w:rFonts w:ascii="Calibri" w:hAnsi="Calibri"/>
                <w:b/>
                <w:color w:val="FFFFFF"/>
                <w:sz w:val="18"/>
              </w:rPr>
              <w:t>Case Name</w:t>
            </w:r>
          </w:p>
        </w:tc>
        <w:tc>
          <w:tcPr>
            <w:tcW w:type="dxa" w:w="1008"/>
            <w:shd w:fill="1A1446" w:val="clear"/>
          </w:tcPr>
          <w:p>
            <w:r>
              <w:rPr>
                <w:rFonts w:ascii="Calibri" w:hAnsi="Calibri"/>
                <w:b/>
                <w:color w:val="FFFFFF"/>
                <w:sz w:val="18"/>
              </w:rPr>
              <w:t>Legal Theory</w:t>
            </w:r>
          </w:p>
        </w:tc>
        <w:tc>
          <w:tcPr>
            <w:tcW w:type="dxa" w:w="1008"/>
            <w:shd w:fill="1A1446" w:val="clear"/>
          </w:tcPr>
          <w:p>
            <w:r>
              <w:rPr>
                <w:rFonts w:ascii="Calibri" w:hAnsi="Calibri"/>
                <w:b/>
                <w:color w:val="FFFFFF"/>
                <w:sz w:val="18"/>
              </w:rPr>
              <w:t>Coverage</w:t>
            </w:r>
          </w:p>
        </w:tc>
        <w:tc>
          <w:tcPr>
            <w:tcW w:type="dxa" w:w="1008"/>
            <w:shd w:fill="1A1446" w:val="clear"/>
          </w:tcPr>
          <w:p>
            <w:r>
              <w:rPr>
                <w:rFonts w:ascii="Calibri" w:hAnsi="Calibri"/>
                <w:b/>
                <w:color w:val="FFFFFF"/>
                <w:sz w:val="18"/>
              </w:rPr>
              <w:t>Court</w:t>
            </w:r>
          </w:p>
        </w:tc>
        <w:tc>
          <w:tcPr>
            <w:tcW w:type="dxa" w:w="1008"/>
            <w:shd w:fill="1A1446" w:val="clear"/>
          </w:tcPr>
          <w:p>
            <w:r>
              <w:rPr>
                <w:rFonts w:ascii="Calibri" w:hAnsi="Calibri"/>
                <w:b/>
                <w:color w:val="FFFFFF"/>
                <w:sz w:val="18"/>
              </w:rPr>
              <w:t>Filing Date</w:t>
            </w:r>
          </w:p>
        </w:tc>
        <w:tc>
          <w:tcPr>
            <w:tcW w:type="dxa" w:w="1008"/>
            <w:shd w:fill="1A1446" w:val="clear"/>
          </w:tcPr>
          <w:p>
            <w:r>
              <w:rPr>
                <w:rFonts w:ascii="Calibri" w:hAnsi="Calibri"/>
                <w:b/>
                <w:color w:val="FFFFFF"/>
                <w:sz w:val="18"/>
              </w:rPr>
              <w:t>Status</w:t>
            </w:r>
          </w:p>
        </w:tc>
        <w:tc>
          <w:tcPr>
            <w:tcW w:type="dxa" w:w="1008"/>
            <w:shd w:fill="1A1446" w:val="clear"/>
          </w:tcPr>
          <w:p>
            <w:r>
              <w:rPr>
                <w:rFonts w:ascii="Calibri" w:hAnsi="Calibri"/>
                <w:b/>
                <w:color w:val="FFFFFF"/>
                <w:sz w:val="18"/>
              </w:rPr>
              <w:t>Class Period</w:t>
            </w:r>
          </w:p>
        </w:tc>
        <w:tc>
          <w:tcPr>
            <w:tcW w:type="dxa" w:w="1008"/>
            <w:shd w:fill="1A1446" w:val="clear"/>
          </w:tcPr>
          <w:p>
            <w:r>
              <w:rPr>
                <w:rFonts w:ascii="Calibri" w:hAnsi="Calibri"/>
                <w:b/>
                <w:color w:val="FFFFFF"/>
                <w:sz w:val="18"/>
              </w:rPr>
              <w:t>Lead Counsel</w:t>
            </w:r>
          </w:p>
        </w:tc>
        <w:tc>
          <w:tcPr>
            <w:tcW w:type="dxa" w:w="1008"/>
            <w:shd w:fill="1A1446" w:val="clear"/>
          </w:tcPr>
          <w:p>
            <w:r>
              <w:rPr>
                <w:rFonts w:ascii="Calibri" w:hAnsi="Calibri"/>
                <w:b/>
                <w:color w:val="FFFFFF"/>
                <w:sz w:val="18"/>
              </w:rPr>
              <w:t>Settlement</w:t>
            </w:r>
          </w:p>
        </w:tc>
        <w:tc>
          <w:tcPr>
            <w:tcW w:type="dxa" w:w="1008"/>
            <w:shd w:fill="1A1446" w:val="clear"/>
          </w:tcPr>
          <w:p>
            <w:r>
              <w:rPr>
                <w:rFonts w:ascii="Calibri" w:hAnsi="Calibri"/>
                <w:b/>
                <w:color w:val="FFFFFF"/>
                <w:sz w:val="18"/>
              </w:rPr>
              <w:t>Source</w:t>
            </w:r>
          </w:p>
        </w:tc>
      </w:tr>
      <w:tr>
        <w:tc>
          <w:tcPr>
            <w:tcW w:type="dxa" w:w="1008"/>
          </w:tcPr>
          <w:p>
            <w:r>
              <w:rPr>
                <w:rFonts w:ascii="Calibri" w:hAnsi="Calibri"/>
                <w:color w:val="333333"/>
                <w:sz w:val="18"/>
              </w:rPr>
              <w:t>In re Caterpillar Inc. Securities (2017)</w:t>
            </w:r>
          </w:p>
        </w:tc>
        <w:tc>
          <w:tcPr>
            <w:tcW w:type="dxa" w:w="1008"/>
          </w:tcPr>
          <w:p>
            <w:r>
              <w:rPr>
                <w:rFonts w:ascii="Calibri" w:hAnsi="Calibri"/>
                <w:color w:val="333333"/>
                <w:sz w:val="18"/>
              </w:rPr>
              <w:t>Rule 10b-5, Derivative / Fiduciary Duty</w:t>
            </w:r>
          </w:p>
        </w:tc>
        <w:tc>
          <w:tcPr>
            <w:tcW w:type="dxa" w:w="1008"/>
          </w:tcPr>
          <w:p>
            <w:r>
              <w:rPr>
                <w:rFonts w:ascii="Calibri" w:hAnsi="Calibri"/>
                <w:color w:val="333333"/>
                <w:sz w:val="18"/>
              </w:rPr>
              <w:t>Side C (Entity)</w:t>
            </w:r>
          </w:p>
        </w:tc>
        <w:tc>
          <w:tcPr>
            <w:tcW w:type="dxa" w:w="1008"/>
          </w:tcPr>
          <w:p>
            <w:r>
              <w:rPr>
                <w:rFonts w:ascii="Calibri" w:hAnsi="Calibri"/>
                <w:color w:val="333333"/>
                <w:sz w:val="18"/>
              </w:rPr>
              <w:t>D. Del.</w:t>
            </w:r>
          </w:p>
        </w:tc>
        <w:tc>
          <w:tcPr>
            <w:tcW w:type="dxa" w:w="1008"/>
          </w:tcPr>
          <w:p>
            <w:r>
              <w:rPr>
                <w:rFonts w:ascii="Calibri" w:hAnsi="Calibri"/>
                <w:color w:val="333333"/>
                <w:sz w:val="18"/>
              </w:rPr>
              <w:t>2017-03-03</w:t>
            </w:r>
          </w:p>
        </w:tc>
        <w:tc>
          <w:tcPr>
            <w:tcW w:type="dxa" w:w="1008"/>
          </w:tcPr>
          <w:p>
            <w:r>
              <w:rPr>
                <w:rFonts w:ascii="Calibri" w:hAnsi="Calibri"/>
                <w:color w:val="333333"/>
                <w:sz w:val="18"/>
              </w:rPr>
              <w:t>DISMISSED</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[web search, 2026-04-03, LOW]</w:t>
            </w:r>
          </w:p>
        </w:tc>
      </w:tr>
    </w:tbl>
    <w:p>
      <w:pPr>
        <w:pStyle w:val="DOHeading3"/>
      </w:pPr>
      <w:r>
        <w:t>SEC Enforcement Pipeline</w:t>
      </w:r>
    </w:p>
    <w:p>
      <w:pPr>
        <w:pStyle w:val="DOBody"/>
      </w:pPr>
      <w:r>
        <w:rPr>
          <w:sz w:val="20"/>
        </w:rPr>
        <w:t>Pipeline: (Comment Letters) -&gt; (Informal Inquiry) -&gt; (Formal Investigation) -&gt; (Wells Notice) -&gt; (Enforcement Action)</w:t>
      </w:r>
    </w:p>
    <w:p>
      <w:pPr>
        <w:pStyle w:val="DOBody"/>
      </w:pPr>
      <w:r>
        <w:rPr>
          <w:rFonts w:ascii="Calibri" w:hAnsi="Calibri"/>
          <w:color w:val="333333"/>
          <w:sz w:val="20"/>
        </w:rPr>
        <w:t>No SEC enforcement pipeline activity detected.</w:t>
      </w:r>
      <w:r>
        <w:rPr>
          <w:rFonts w:ascii="Consolas" w:hAnsi="Consolas"/>
          <w:color w:val="666666"/>
          <w:sz w:val="16"/>
        </w:rPr>
        <w:t xml:space="preserve">  [10-K Item 3 + Item 1A + 8-K + EFTS, 2026-04-03, LOW]</w:t>
      </w:r>
    </w:p>
    <w:p>
      <w:pPr>
        <w:pStyle w:val="DOHeading3"/>
      </w:pPr>
      <w:r>
        <w:t>Derivative Suits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Case Name</w:t>
            </w:r>
          </w:p>
        </w:tc>
        <w:tc>
          <w:tcPr>
            <w:tcW w:type="dxa" w:w="2016"/>
            <w:shd w:fill="1A1446" w:val="clear"/>
          </w:tcPr>
          <w:p>
            <w:r>
              <w:rPr>
                <w:rFonts w:ascii="Calibri" w:hAnsi="Calibri"/>
                <w:b/>
                <w:color w:val="FFFFFF"/>
                <w:sz w:val="18"/>
              </w:rPr>
              <w:t>Filing Date</w:t>
            </w:r>
          </w:p>
        </w:tc>
        <w:tc>
          <w:tcPr>
            <w:tcW w:type="dxa" w:w="2016"/>
            <w:shd w:fill="1A1446" w:val="clear"/>
          </w:tcPr>
          <w:p>
            <w:r>
              <w:rPr>
                <w:rFonts w:ascii="Calibri" w:hAnsi="Calibri"/>
                <w:b/>
                <w:color w:val="FFFFFF"/>
                <w:sz w:val="18"/>
              </w:rPr>
              <w:t>Status</w:t>
            </w:r>
          </w:p>
        </w:tc>
        <w:tc>
          <w:tcPr>
            <w:tcW w:type="dxa" w:w="2016"/>
            <w:shd w:fill="1A1446" w:val="clear"/>
          </w:tcPr>
          <w:p>
            <w:r>
              <w:rPr>
                <w:rFonts w:ascii="Calibri" w:hAnsi="Calibri"/>
                <w:b/>
                <w:color w:val="FFFFFF"/>
                <w:sz w:val="18"/>
              </w:rPr>
              <w:t>Court</w:t>
            </w:r>
          </w:p>
        </w:tc>
        <w:tc>
          <w:tcPr>
            <w:tcW w:type="dxa" w:w="2016"/>
            <w:shd w:fill="1A1446" w:val="clear"/>
          </w:tcPr>
          <w:p>
            <w:r>
              <w:rPr>
                <w:rFonts w:ascii="Calibri" w:hAnsi="Calibri"/>
                <w:b/>
                <w:color w:val="FFFFFF"/>
                <w:sz w:val="18"/>
              </w:rPr>
              <w:t>Settlement</w:t>
            </w:r>
          </w:p>
        </w:tc>
      </w:tr>
      <w:tr>
        <w:tc>
          <w:tcPr>
            <w:tcW w:type="dxa" w:w="2016"/>
          </w:tcPr>
          <w:p>
            <w:r>
              <w:rPr>
                <w:rFonts w:ascii="Calibri" w:hAnsi="Calibri"/>
                <w:color w:val="333333"/>
                <w:sz w:val="18"/>
              </w:rPr>
              <w:t>N/A</w:t>
            </w:r>
          </w:p>
        </w:tc>
        <w:tc>
          <w:tcPr>
            <w:tcW w:type="dxa" w:w="2016"/>
          </w:tcPr>
          <w:p>
            <w:r>
              <w:rPr>
                <w:rFonts w:ascii="Calibri" w:hAnsi="Calibri"/>
                <w:color w:val="333333"/>
                <w:sz w:val="18"/>
              </w:rPr>
              <w:t>N/A</w:t>
            </w:r>
          </w:p>
        </w:tc>
        <w:tc>
          <w:tcPr>
            <w:tcW w:type="dxa" w:w="2016"/>
          </w:tcPr>
          <w:p>
            <w:r>
              <w:rPr>
                <w:rFonts w:ascii="Calibri" w:hAnsi="Calibri"/>
                <w:color w:val="333333"/>
                <w:sz w:val="18"/>
              </w:rPr>
              <w:t>UNKNOWN</w:t>
            </w:r>
          </w:p>
        </w:tc>
        <w:tc>
          <w:tcPr>
            <w:tcW w:type="dxa" w:w="2016"/>
          </w:tcPr>
          <w:p>
            <w:r>
              <w:rPr>
                <w:rFonts w:ascii="Calibri" w:hAnsi="Calibri"/>
                <w:color w:val="333333"/>
                <w:sz w:val="18"/>
              </w:rPr>
              <w:t>Delaware Court of Chancery</w:t>
            </w:r>
          </w:p>
        </w:tc>
        <w:tc>
          <w:tcPr>
            <w:tcW w:type="dxa" w:w="2016"/>
          </w:tcPr>
          <w:p>
            <w:r>
              <w:rPr>
                <w:rFonts w:ascii="Calibri" w:hAnsi="Calibri"/>
                <w:color w:val="333333"/>
                <w:sz w:val="18"/>
              </w:rPr>
              <w:t>N/A</w:t>
            </w:r>
          </w:p>
        </w:tc>
      </w:tr>
      <w:tr>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DISMISSED</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r>
      <w:tr>
        <w:tc>
          <w:tcPr>
            <w:tcW w:type="dxa" w:w="2016"/>
          </w:tcPr>
          <w:p>
            <w:r>
              <w:rPr>
                <w:rFonts w:ascii="Calibri" w:hAnsi="Calibri"/>
                <w:color w:val="333333"/>
                <w:sz w:val="18"/>
              </w:rPr>
              <w:t>Lowinger v. Oberhelman</w:t>
            </w:r>
          </w:p>
        </w:tc>
        <w:tc>
          <w:tcPr>
            <w:tcW w:type="dxa" w:w="2016"/>
          </w:tcPr>
          <w:p>
            <w:r>
              <w:rPr>
                <w:rFonts w:ascii="Calibri" w:hAnsi="Calibri"/>
                <w:color w:val="333333"/>
                <w:sz w:val="18"/>
              </w:rPr>
              <w:t>N/A</w:t>
            </w:r>
          </w:p>
        </w:tc>
        <w:tc>
          <w:tcPr>
            <w:tcW w:type="dxa" w:w="2016"/>
          </w:tcPr>
          <w:p>
            <w:r>
              <w:rPr>
                <w:rFonts w:ascii="Calibri" w:hAnsi="Calibri"/>
                <w:color w:val="333333"/>
                <w:sz w:val="18"/>
              </w:rPr>
              <w:t>APPEAL</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r>
      <w:tr>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UNKNOWN</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r>
      <w:tr>
        <w:tc>
          <w:tcPr>
            <w:tcW w:type="dxa" w:w="2016"/>
          </w:tcPr>
          <w:p>
            <w:r>
              <w:rPr>
                <w:rFonts w:ascii="Calibri" w:hAnsi="Calibri"/>
                <w:color w:val="333333"/>
                <w:sz w:val="18"/>
              </w:rPr>
              <w:t>N/A</w:t>
            </w:r>
          </w:p>
        </w:tc>
        <w:tc>
          <w:tcPr>
            <w:tcW w:type="dxa" w:w="2016"/>
          </w:tcPr>
          <w:p>
            <w:r>
              <w:rPr>
                <w:rFonts w:ascii="Calibri" w:hAnsi="Calibri"/>
                <w:color w:val="333333"/>
                <w:sz w:val="18"/>
              </w:rPr>
              <w:t>N/A</w:t>
            </w:r>
          </w:p>
        </w:tc>
        <w:tc>
          <w:tcPr>
            <w:tcW w:type="dxa" w:w="2016"/>
          </w:tcPr>
          <w:p>
            <w:r>
              <w:rPr>
                <w:rFonts w:ascii="Calibri" w:hAnsi="Calibri"/>
                <w:color w:val="333333"/>
                <w:sz w:val="18"/>
              </w:rPr>
              <w:t>UNKNOWN</w:t>
            </w:r>
          </w:p>
        </w:tc>
        <w:tc>
          <w:tcPr>
            <w:tcW w:type="dxa" w:w="2016"/>
          </w:tcPr>
          <w:p>
            <w:r>
              <w:rPr>
                <w:rFonts w:ascii="Calibri" w:hAnsi="Calibri"/>
                <w:color w:val="333333"/>
                <w:sz w:val="18"/>
              </w:rPr>
              <w:t>Delaware Court of Chancery</w:t>
            </w:r>
          </w:p>
        </w:tc>
        <w:tc>
          <w:tcPr>
            <w:tcW w:type="dxa" w:w="2016"/>
          </w:tcPr>
          <w:p>
            <w:r>
              <w:rPr>
                <w:rFonts w:ascii="Calibri" w:hAnsi="Calibri"/>
                <w:color w:val="333333"/>
                <w:sz w:val="18"/>
              </w:rPr>
              <w:t>N/A</w:t>
            </w:r>
          </w:p>
        </w:tc>
      </w:tr>
    </w:tbl>
    <w:p>
      <w:pPr>
        <w:pStyle w:val="DOHeading3"/>
      </w:pPr>
      <w:r>
        <w:t>Regulatory Proceedings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Agency</w:t>
            </w:r>
          </w:p>
        </w:tc>
        <w:tc>
          <w:tcPr>
            <w:tcW w:type="dxa" w:w="3360"/>
            <w:shd w:fill="1A1446" w:val="clear"/>
          </w:tcPr>
          <w:p>
            <w:r>
              <w:rPr>
                <w:rFonts w:ascii="Calibri" w:hAnsi="Calibri"/>
                <w:b/>
                <w:color w:val="FFFFFF"/>
                <w:sz w:val="18"/>
              </w:rPr>
              <w:t>Type</w:t>
            </w:r>
          </w:p>
        </w:tc>
        <w:tc>
          <w:tcPr>
            <w:tcW w:type="dxa" w:w="3360"/>
            <w:shd w:fill="1A1446" w:val="clear"/>
          </w:tcPr>
          <w:p>
            <w:r>
              <w:rPr>
                <w:rFonts w:ascii="Calibri" w:hAnsi="Calibri"/>
                <w:b/>
                <w:color w:val="FFFFFF"/>
                <w:sz w:val="18"/>
              </w:rPr>
              <w:t>Status</w:t>
            </w:r>
          </w:p>
        </w:tc>
      </w:tr>
      <w:tr>
        <w:tc>
          <w:tcPr>
            <w:tcW w:type="dxa" w:w="3360"/>
          </w:tcPr>
          <w:p>
            <w:r>
              <w:rPr>
                <w:rFonts w:ascii="Calibri" w:hAnsi="Calibri"/>
                <w:color w:val="333333"/>
                <w:sz w:val="18"/>
              </w:rPr>
              <w:t>DOJ</w:t>
            </w:r>
          </w:p>
        </w:tc>
        <w:tc>
          <w:tcPr>
            <w:tcW w:type="dxa" w:w="3360"/>
          </w:tcPr>
          <w:p>
            <w:r>
              <w:rPr>
                <w:rFonts w:ascii="Calibri" w:hAnsi="Calibri"/>
                <w:color w:val="333333"/>
                <w:sz w:val="18"/>
              </w:rPr>
              <w:t>investigation</w:t>
            </w:r>
          </w:p>
        </w:tc>
        <w:tc>
          <w:tcPr>
            <w:tcW w:type="dxa" w:w="3360"/>
          </w:tcPr>
          <w:p>
            <w:r>
              <w:rPr>
                <w:rFonts w:ascii="Calibri" w:hAnsi="Calibri"/>
                <w:color w:val="333333"/>
                <w:sz w:val="18"/>
              </w:rPr>
              <w:t>disclosed</w:t>
            </w:r>
          </w:p>
        </w:tc>
      </w:tr>
      <w:tr>
        <w:tc>
          <w:tcPr>
            <w:tcW w:type="dxa" w:w="3360"/>
            <w:shd w:fill="F2F4F8" w:val="clear"/>
          </w:tcPr>
          <w:p>
            <w:r>
              <w:rPr>
                <w:rFonts w:ascii="Calibri" w:hAnsi="Calibri"/>
                <w:color w:val="333333"/>
                <w:sz w:val="18"/>
              </w:rPr>
              <w:t>OSHA</w:t>
            </w:r>
          </w:p>
        </w:tc>
        <w:tc>
          <w:tcPr>
            <w:tcW w:type="dxa" w:w="3360"/>
            <w:shd w:fill="F2F4F8" w:val="clear"/>
          </w:tcPr>
          <w:p>
            <w:r>
              <w:rPr>
                <w:rFonts w:ascii="Calibri" w:hAnsi="Calibri"/>
                <w:color w:val="333333"/>
                <w:sz w:val="18"/>
              </w:rPr>
              <w:t>penalty</w:t>
            </w:r>
          </w:p>
        </w:tc>
        <w:tc>
          <w:tcPr>
            <w:tcW w:type="dxa" w:w="3360"/>
            <w:shd w:fill="F2F4F8" w:val="clear"/>
          </w:tcPr>
          <w:p>
            <w:r>
              <w:rPr>
                <w:rFonts w:ascii="Calibri" w:hAnsi="Calibri"/>
                <w:color w:val="333333"/>
                <w:sz w:val="18"/>
              </w:rPr>
              <w:t>disclosed</w:t>
            </w:r>
          </w:p>
        </w:tc>
      </w:tr>
    </w:tbl>
    <w:p>
      <w:pPr>
        <w:pStyle w:val="DOHeading3"/>
      </w:pPr>
      <w:r>
        <w:t>Industry Claim Patterns</w:t>
      </w:r>
    </w:p>
    <w:p>
      <w:pPr>
        <w:pStyle w:val="DOBody"/>
      </w:pPr>
      <w:r>
        <w:t>No industry-specific claim patterns identified.</w:t>
      </w:r>
    </w:p>
    <w:p>
      <w:pPr>
        <w:pStyle w:val="DOHeading3"/>
      </w:pPr>
      <w:r>
        <w:t>Statute of Limitations Map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Claim Type</w:t>
            </w:r>
          </w:p>
        </w:tc>
        <w:tc>
          <w:tcPr>
            <w:tcW w:type="dxa" w:w="2016"/>
            <w:shd w:fill="1A1446" w:val="clear"/>
          </w:tcPr>
          <w:p>
            <w:r>
              <w:rPr>
                <w:rFonts w:ascii="Calibri" w:hAnsi="Calibri"/>
                <w:b/>
                <w:color w:val="FFFFFF"/>
                <w:sz w:val="18"/>
              </w:rPr>
              <w:t>Trigger Date</w:t>
            </w:r>
          </w:p>
        </w:tc>
        <w:tc>
          <w:tcPr>
            <w:tcW w:type="dxa" w:w="2016"/>
            <w:shd w:fill="1A1446" w:val="clear"/>
          </w:tcPr>
          <w:p>
            <w:r>
              <w:rPr>
                <w:rFonts w:ascii="Calibri" w:hAnsi="Calibri"/>
                <w:b/>
                <w:color w:val="FFFFFF"/>
                <w:sz w:val="18"/>
              </w:rPr>
              <w:t>SOL Expiry</w:t>
            </w:r>
          </w:p>
        </w:tc>
        <w:tc>
          <w:tcPr>
            <w:tcW w:type="dxa" w:w="2016"/>
            <w:shd w:fill="1A1446" w:val="clear"/>
          </w:tcPr>
          <w:p>
            <w:r>
              <w:rPr>
                <w:rFonts w:ascii="Calibri" w:hAnsi="Calibri"/>
                <w:b/>
                <w:color w:val="FFFFFF"/>
                <w:sz w:val="18"/>
              </w:rPr>
              <w:t>Repose Expiry</w:t>
            </w:r>
          </w:p>
        </w:tc>
        <w:tc>
          <w:tcPr>
            <w:tcW w:type="dxa" w:w="2016"/>
            <w:shd w:fill="1A1446" w:val="clear"/>
          </w:tcPr>
          <w:p>
            <w:r>
              <w:rPr>
                <w:rFonts w:ascii="Calibri" w:hAnsi="Calibri"/>
                <w:b/>
                <w:color w:val="FFFFFF"/>
                <w:sz w:val="18"/>
              </w:rPr>
              <w:t>Window Open</w:t>
            </w:r>
          </w:p>
        </w:tc>
      </w:tr>
      <w:tr>
        <w:tc>
          <w:tcPr>
            <w:tcW w:type="dxa" w:w="2016"/>
          </w:tcPr>
          <w:p>
            <w:r>
              <w:rPr>
                <w:rFonts w:ascii="Calibri" w:hAnsi="Calibri"/>
                <w:color w:val="333333"/>
                <w:sz w:val="18"/>
              </w:rPr>
              <w:t>employment_discrimination</w:t>
            </w:r>
          </w:p>
        </w:tc>
        <w:tc>
          <w:tcPr>
            <w:tcW w:type="dxa" w:w="2016"/>
          </w:tcPr>
          <w:p>
            <w:r>
              <w:rPr>
                <w:rFonts w:ascii="Calibri" w:hAnsi="Calibri"/>
                <w:color w:val="333333"/>
                <w:sz w:val="18"/>
              </w:rPr>
              <w:t>2026-02-13</w:t>
            </w:r>
          </w:p>
        </w:tc>
        <w:tc>
          <w:tcPr>
            <w:tcW w:type="dxa" w:w="2016"/>
          </w:tcPr>
          <w:p>
            <w:r>
              <w:rPr>
                <w:rFonts w:ascii="Calibri" w:hAnsi="Calibri"/>
                <w:color w:val="333333"/>
                <w:sz w:val="18"/>
              </w:rPr>
              <w:t>2028-02-13</w:t>
            </w:r>
          </w:p>
        </w:tc>
        <w:tc>
          <w:tcPr>
            <w:tcW w:type="dxa" w:w="2016"/>
          </w:tcPr>
          <w:p>
            <w:r>
              <w:rPr>
                <w:rFonts w:ascii="Calibri" w:hAnsi="Calibri"/>
                <w:color w:val="333333"/>
                <w:sz w:val="18"/>
              </w:rPr>
              <w:t>2028-02-13</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antitrust</w:t>
            </w:r>
          </w:p>
        </w:tc>
        <w:tc>
          <w:tcPr>
            <w:tcW w:type="dxa" w:w="2016"/>
            <w:shd w:fill="F2F4F8" w:val="clear"/>
          </w:tcPr>
          <w:p>
            <w:r>
              <w:rPr>
                <w:rFonts w:ascii="Calibri" w:hAnsi="Calibri"/>
                <w:color w:val="333333"/>
                <w:sz w:val="18"/>
              </w:rPr>
              <w:t>2026-02-13</w:t>
            </w:r>
          </w:p>
        </w:tc>
        <w:tc>
          <w:tcPr>
            <w:tcW w:type="dxa" w:w="2016"/>
            <w:shd w:fill="F2F4F8" w:val="clear"/>
          </w:tcPr>
          <w:p>
            <w:r>
              <w:rPr>
                <w:rFonts w:ascii="Calibri" w:hAnsi="Calibri"/>
                <w:color w:val="333333"/>
                <w:sz w:val="18"/>
              </w:rPr>
              <w:t>2030-02-12</w:t>
            </w:r>
          </w:p>
        </w:tc>
        <w:tc>
          <w:tcPr>
            <w:tcW w:type="dxa" w:w="2016"/>
            <w:shd w:fill="F2F4F8" w:val="clear"/>
          </w:tcPr>
          <w:p>
            <w:r>
              <w:rPr>
                <w:rFonts w:ascii="Calibri" w:hAnsi="Calibri"/>
                <w:color w:val="333333"/>
                <w:sz w:val="18"/>
              </w:rPr>
              <w:t>2030-02-12</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FCPA</w:t>
            </w:r>
          </w:p>
        </w:tc>
        <w:tc>
          <w:tcPr>
            <w:tcW w:type="dxa" w:w="2016"/>
          </w:tcPr>
          <w:p>
            <w:r>
              <w:rPr>
                <w:rFonts w:ascii="Calibri" w:hAnsi="Calibri"/>
                <w:color w:val="333333"/>
                <w:sz w:val="18"/>
              </w:rPr>
              <w:t>2026-02-13</w:t>
            </w:r>
          </w:p>
        </w:tc>
        <w:tc>
          <w:tcPr>
            <w:tcW w:type="dxa" w:w="2016"/>
          </w:tcPr>
          <w:p>
            <w:r>
              <w:rPr>
                <w:rFonts w:ascii="Calibri" w:hAnsi="Calibri"/>
                <w:color w:val="333333"/>
                <w:sz w:val="18"/>
              </w:rPr>
              <w:t>2031-02-12</w:t>
            </w:r>
          </w:p>
        </w:tc>
        <w:tc>
          <w:tcPr>
            <w:tcW w:type="dxa" w:w="2016"/>
          </w:tcPr>
          <w:p>
            <w:r>
              <w:rPr>
                <w:rFonts w:ascii="Calibri" w:hAnsi="Calibri"/>
                <w:color w:val="333333"/>
                <w:sz w:val="18"/>
              </w:rPr>
              <w:t>2031-02-12</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environmental</w:t>
            </w:r>
          </w:p>
        </w:tc>
        <w:tc>
          <w:tcPr>
            <w:tcW w:type="dxa" w:w="2016"/>
            <w:shd w:fill="F2F4F8" w:val="clear"/>
          </w:tcPr>
          <w:p>
            <w:r>
              <w:rPr>
                <w:rFonts w:ascii="Calibri" w:hAnsi="Calibri"/>
                <w:color w:val="333333"/>
                <w:sz w:val="18"/>
              </w:rPr>
              <w:t>2026-02-13</w:t>
            </w:r>
          </w:p>
        </w:tc>
        <w:tc>
          <w:tcPr>
            <w:tcW w:type="dxa" w:w="2016"/>
            <w:shd w:fill="F2F4F8" w:val="clear"/>
          </w:tcPr>
          <w:p>
            <w:r>
              <w:rPr>
                <w:rFonts w:ascii="Calibri" w:hAnsi="Calibri"/>
                <w:color w:val="333333"/>
                <w:sz w:val="18"/>
              </w:rPr>
              <w:t>2031-02-12</w:t>
            </w:r>
          </w:p>
        </w:tc>
        <w:tc>
          <w:tcPr>
            <w:tcW w:type="dxa" w:w="2016"/>
            <w:shd w:fill="F2F4F8" w:val="clear"/>
          </w:tcPr>
          <w:p>
            <w:r>
              <w:rPr>
                <w:rFonts w:ascii="Calibri" w:hAnsi="Calibri"/>
                <w:color w:val="333333"/>
                <w:sz w:val="18"/>
              </w:rPr>
              <w:t>2031-02-12</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derivative</w:t>
            </w:r>
          </w:p>
        </w:tc>
        <w:tc>
          <w:tcPr>
            <w:tcW w:type="dxa" w:w="2016"/>
          </w:tcPr>
          <w:p>
            <w:r>
              <w:rPr>
                <w:rFonts w:ascii="Calibri" w:hAnsi="Calibri"/>
                <w:color w:val="333333"/>
                <w:sz w:val="18"/>
              </w:rPr>
              <w:t>2026-02-13</w:t>
            </w:r>
          </w:p>
        </w:tc>
        <w:tc>
          <w:tcPr>
            <w:tcW w:type="dxa" w:w="2016"/>
          </w:tcPr>
          <w:p>
            <w:r>
              <w:rPr>
                <w:rFonts w:ascii="Calibri" w:hAnsi="Calibri"/>
                <w:color w:val="333333"/>
                <w:sz w:val="18"/>
              </w:rPr>
              <w:t>2029-02-12</w:t>
            </w:r>
          </w:p>
        </w:tc>
        <w:tc>
          <w:tcPr>
            <w:tcW w:type="dxa" w:w="2016"/>
          </w:tcPr>
          <w:p>
            <w:r>
              <w:rPr>
                <w:rFonts w:ascii="Calibri" w:hAnsi="Calibri"/>
                <w:color w:val="333333"/>
                <w:sz w:val="18"/>
              </w:rPr>
              <w:t>2032-02-12</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ERISA</w:t>
            </w:r>
          </w:p>
        </w:tc>
        <w:tc>
          <w:tcPr>
            <w:tcW w:type="dxa" w:w="2016"/>
            <w:shd w:fill="F2F4F8" w:val="clear"/>
          </w:tcPr>
          <w:p>
            <w:r>
              <w:rPr>
                <w:rFonts w:ascii="Calibri" w:hAnsi="Calibri"/>
                <w:color w:val="333333"/>
                <w:sz w:val="18"/>
              </w:rPr>
              <w:t>2026-02-13</w:t>
            </w:r>
          </w:p>
        </w:tc>
        <w:tc>
          <w:tcPr>
            <w:tcW w:type="dxa" w:w="2016"/>
            <w:shd w:fill="F2F4F8" w:val="clear"/>
          </w:tcPr>
          <w:p>
            <w:r>
              <w:rPr>
                <w:rFonts w:ascii="Calibri" w:hAnsi="Calibri"/>
                <w:color w:val="333333"/>
                <w:sz w:val="18"/>
              </w:rPr>
              <w:t>2029-02-12</w:t>
            </w:r>
          </w:p>
        </w:tc>
        <w:tc>
          <w:tcPr>
            <w:tcW w:type="dxa" w:w="2016"/>
            <w:shd w:fill="F2F4F8" w:val="clear"/>
          </w:tcPr>
          <w:p>
            <w:r>
              <w:rPr>
                <w:rFonts w:ascii="Calibri" w:hAnsi="Calibri"/>
                <w:color w:val="333333"/>
                <w:sz w:val="18"/>
              </w:rPr>
              <w:t>2032-02-12</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Section_11</w:t>
            </w:r>
          </w:p>
        </w:tc>
        <w:tc>
          <w:tcPr>
            <w:tcW w:type="dxa" w:w="2016"/>
          </w:tcPr>
          <w:p>
            <w:r>
              <w:rPr>
                <w:rFonts w:ascii="Calibri" w:hAnsi="Calibri"/>
                <w:color w:val="333333"/>
                <w:sz w:val="18"/>
              </w:rPr>
              <w:t>2017-03-03</w:t>
            </w:r>
          </w:p>
        </w:tc>
        <w:tc>
          <w:tcPr>
            <w:tcW w:type="dxa" w:w="2016"/>
          </w:tcPr>
          <w:p>
            <w:r>
              <w:rPr>
                <w:rFonts w:ascii="Calibri" w:hAnsi="Calibri"/>
                <w:color w:val="333333"/>
                <w:sz w:val="18"/>
              </w:rPr>
              <w:t>2018-03-03</w:t>
            </w:r>
          </w:p>
        </w:tc>
        <w:tc>
          <w:tcPr>
            <w:tcW w:type="dxa" w:w="2016"/>
          </w:tcPr>
          <w:p>
            <w:r>
              <w:rPr>
                <w:rFonts w:ascii="Calibri" w:hAnsi="Calibri"/>
                <w:color w:val="333333"/>
                <w:sz w:val="18"/>
              </w:rPr>
              <w:t>2020-03-02</w:t>
            </w:r>
          </w:p>
        </w:tc>
        <w:tc>
          <w:tcPr>
            <w:tcW w:type="dxa" w:w="2016"/>
          </w:tcPr>
          <w:p>
            <w:r>
              <w:rPr>
                <w:rFonts w:ascii="Calibri" w:hAnsi="Calibri"/>
                <w:color w:val="333333"/>
                <w:sz w:val="18"/>
              </w:rPr>
              <w:t>CLOSED</w:t>
            </w:r>
          </w:p>
        </w:tc>
      </w:tr>
      <w:tr>
        <w:tc>
          <w:tcPr>
            <w:tcW w:type="dxa" w:w="2016"/>
            <w:shd w:fill="F2F4F8" w:val="clear"/>
          </w:tcPr>
          <w:p>
            <w:r>
              <w:rPr>
                <w:rFonts w:ascii="Calibri" w:hAnsi="Calibri"/>
                <w:color w:val="333333"/>
                <w:sz w:val="18"/>
              </w:rPr>
              <w:t>Section_14a</w:t>
            </w:r>
          </w:p>
        </w:tc>
        <w:tc>
          <w:tcPr>
            <w:tcW w:type="dxa" w:w="2016"/>
            <w:shd w:fill="F2F4F8" w:val="clear"/>
          </w:tcPr>
          <w:p>
            <w:r>
              <w:rPr>
                <w:rFonts w:ascii="Calibri" w:hAnsi="Calibri"/>
                <w:color w:val="333333"/>
                <w:sz w:val="18"/>
              </w:rPr>
              <w:t>2017-03-03</w:t>
            </w:r>
          </w:p>
        </w:tc>
        <w:tc>
          <w:tcPr>
            <w:tcW w:type="dxa" w:w="2016"/>
            <w:shd w:fill="F2F4F8" w:val="clear"/>
          </w:tcPr>
          <w:p>
            <w:r>
              <w:rPr>
                <w:rFonts w:ascii="Calibri" w:hAnsi="Calibri"/>
                <w:color w:val="333333"/>
                <w:sz w:val="18"/>
              </w:rPr>
              <w:t>2018-03-03</w:t>
            </w:r>
          </w:p>
        </w:tc>
        <w:tc>
          <w:tcPr>
            <w:tcW w:type="dxa" w:w="2016"/>
            <w:shd w:fill="F2F4F8" w:val="clear"/>
          </w:tcPr>
          <w:p>
            <w:r>
              <w:rPr>
                <w:rFonts w:ascii="Calibri" w:hAnsi="Calibri"/>
                <w:color w:val="333333"/>
                <w:sz w:val="18"/>
              </w:rPr>
              <w:t>2020-03-02</w:t>
            </w:r>
          </w:p>
        </w:tc>
        <w:tc>
          <w:tcPr>
            <w:tcW w:type="dxa" w:w="2016"/>
            <w:shd w:fill="F2F4F8" w:val="clear"/>
          </w:tcPr>
          <w:p>
            <w:r>
              <w:rPr>
                <w:rFonts w:ascii="Calibri" w:hAnsi="Calibri"/>
                <w:color w:val="333333"/>
                <w:sz w:val="18"/>
              </w:rPr>
              <w:t>CLOSED</w:t>
            </w:r>
          </w:p>
        </w:tc>
      </w:tr>
      <w:tr>
        <w:tc>
          <w:tcPr>
            <w:tcW w:type="dxa" w:w="2016"/>
          </w:tcPr>
          <w:p>
            <w:r>
              <w:rPr>
                <w:rFonts w:ascii="Calibri" w:hAnsi="Calibri"/>
                <w:color w:val="333333"/>
                <w:sz w:val="18"/>
              </w:rPr>
              <w:t>10b-5</w:t>
            </w:r>
          </w:p>
        </w:tc>
        <w:tc>
          <w:tcPr>
            <w:tcW w:type="dxa" w:w="2016"/>
          </w:tcPr>
          <w:p>
            <w:r>
              <w:rPr>
                <w:rFonts w:ascii="Calibri" w:hAnsi="Calibri"/>
                <w:color w:val="333333"/>
                <w:sz w:val="18"/>
              </w:rPr>
              <w:t>2017-03-03</w:t>
            </w:r>
          </w:p>
        </w:tc>
        <w:tc>
          <w:tcPr>
            <w:tcW w:type="dxa" w:w="2016"/>
          </w:tcPr>
          <w:p>
            <w:r>
              <w:rPr>
                <w:rFonts w:ascii="Calibri" w:hAnsi="Calibri"/>
                <w:color w:val="333333"/>
                <w:sz w:val="18"/>
              </w:rPr>
              <w:t>2019-03-03</w:t>
            </w:r>
          </w:p>
        </w:tc>
        <w:tc>
          <w:tcPr>
            <w:tcW w:type="dxa" w:w="2016"/>
          </w:tcPr>
          <w:p>
            <w:r>
              <w:rPr>
                <w:rFonts w:ascii="Calibri" w:hAnsi="Calibri"/>
                <w:color w:val="333333"/>
                <w:sz w:val="18"/>
              </w:rPr>
              <w:t>2022-03-02</w:t>
            </w:r>
          </w:p>
        </w:tc>
        <w:tc>
          <w:tcPr>
            <w:tcW w:type="dxa" w:w="2016"/>
          </w:tcPr>
          <w:p>
            <w:r>
              <w:rPr>
                <w:rFonts w:ascii="Calibri" w:hAnsi="Calibri"/>
                <w:color w:val="333333"/>
                <w:sz w:val="18"/>
              </w:rPr>
              <w:t>CLOSED</w:t>
            </w:r>
          </w:p>
        </w:tc>
      </w:tr>
    </w:tbl>
    <w:p>
      <w:pPr>
        <w:pStyle w:val="DOBody"/>
      </w:pPr>
      <w:r>
        <w:rPr>
          <w:i/>
          <w:sz w:val="16"/>
        </w:rPr>
        <w:t>D&amp;O Context: 6 open exposure window(s). Claims can still be filed within these periods.</w:t>
      </w:r>
      <w:r>
        <w:rPr>
          <w:b/>
          <w:color w:val="EAB308"/>
          <w:sz w:val="18"/>
        </w:rPr>
        <w:t xml:space="preserve"> [ELEVATED]</w:t>
      </w:r>
    </w:p>
    <w:p>
      <w:pPr>
        <w:pStyle w:val="DOHeading3"/>
      </w:pPr>
      <w:r>
        <w:t>Defense Strength Assessment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Factor</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Federal Forum Provision</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Exclusive Forum Provision</w:t>
            </w:r>
          </w:p>
        </w:tc>
        <w:tc>
          <w:tcPr>
            <w:tcW w:type="dxa" w:w="5040"/>
            <w:shd w:fill="F2F4F8" w:val="clear"/>
          </w:tcPr>
          <w:p>
            <w:r>
              <w:rPr>
                <w:rFonts w:ascii="Calibri" w:hAnsi="Calibri"/>
                <w:color w:val="333333"/>
                <w:sz w:val="18"/>
              </w:rPr>
              <w:t>No</w:t>
            </w:r>
          </w:p>
        </w:tc>
      </w:tr>
      <w:tr>
        <w:tc>
          <w:tcPr>
            <w:tcW w:type="dxa" w:w="5040"/>
          </w:tcPr>
          <w:p>
            <w:r>
              <w:rPr>
                <w:rFonts w:ascii="Calibri" w:hAnsi="Calibri"/>
                <w:color w:val="333333"/>
                <w:sz w:val="18"/>
              </w:rPr>
              <w:t>PSLRA Safe Harbor</w:t>
            </w:r>
          </w:p>
        </w:tc>
        <w:tc>
          <w:tcPr>
            <w:tcW w:type="dxa" w:w="5040"/>
          </w:tcPr>
          <w:p>
            <w:r>
              <w:rPr>
                <w:rFonts w:ascii="Calibri" w:hAnsi="Calibri"/>
                <w:color w:val="333333"/>
                <w:sz w:val="18"/>
              </w:rPr>
              <w:t>STRONG</w:t>
            </w:r>
          </w:p>
        </w:tc>
      </w:tr>
      <w:tr>
        <w:tc>
          <w:tcPr>
            <w:tcW w:type="dxa" w:w="5040"/>
            <w:shd w:fill="F2F4F8" w:val="clear"/>
          </w:tcPr>
          <w:p>
            <w:r>
              <w:rPr>
                <w:rFonts w:ascii="Calibri" w:hAnsi="Calibri"/>
                <w:color w:val="333333"/>
                <w:sz w:val="18"/>
              </w:rPr>
              <w:t>Truth-on-Market Viability</w:t>
            </w:r>
          </w:p>
        </w:tc>
        <w:tc>
          <w:tcPr>
            <w:tcW w:type="dxa" w:w="5040"/>
            <w:shd w:fill="F2F4F8" w:val="clear"/>
          </w:tcPr>
          <w:p>
            <w:r>
              <w:rPr>
                <w:rFonts w:ascii="Calibri" w:hAnsi="Calibri"/>
                <w:color w:val="333333"/>
                <w:sz w:val="18"/>
              </w:rPr>
              <w:t>NOT_APPLICABLE</w:t>
            </w:r>
          </w:p>
        </w:tc>
      </w:tr>
      <w:tr>
        <w:tc>
          <w:tcPr>
            <w:tcW w:type="dxa" w:w="5040"/>
          </w:tcPr>
          <w:p>
            <w:r>
              <w:rPr>
                <w:rFonts w:ascii="Calibri" w:hAnsi="Calibri"/>
                <w:color w:val="333333"/>
                <w:sz w:val="18"/>
              </w:rPr>
              <w:t>Prior Dismissal Success</w:t>
            </w:r>
          </w:p>
        </w:tc>
        <w:tc>
          <w:tcPr>
            <w:tcW w:type="dxa" w:w="5040"/>
          </w:tcPr>
          <w:p>
            <w:r>
              <w:rPr>
                <w:rFonts w:ascii="Calibri" w:hAnsi="Calibri"/>
                <w:color w:val="333333"/>
                <w:sz w:val="18"/>
              </w:rPr>
              <w:t>No prior dismissals identified in Item 3</w:t>
            </w:r>
          </w:p>
        </w:tc>
      </w:tr>
      <w:tr>
        <w:tc>
          <w:tcPr>
            <w:tcW w:type="dxa" w:w="5040"/>
            <w:shd w:fill="F2F4F8" w:val="clear"/>
          </w:tcPr>
          <w:p>
            <w:r>
              <w:rPr>
                <w:rFonts w:ascii="Calibri" w:hAnsi="Calibri"/>
                <w:color w:val="333333"/>
                <w:sz w:val="18"/>
              </w:rPr>
              <w:t>Overall Defense Strength</w:t>
            </w:r>
          </w:p>
        </w:tc>
        <w:tc>
          <w:tcPr>
            <w:tcW w:type="dxa" w:w="5040"/>
            <w:shd w:fill="F2F4F8" w:val="clear"/>
          </w:tcPr>
          <w:p>
            <w:r>
              <w:rPr>
                <w:rFonts w:ascii="Calibri" w:hAnsi="Calibri"/>
                <w:color w:val="333333"/>
                <w:sz w:val="18"/>
              </w:rPr>
              <w:t>MODERATE</w:t>
            </w:r>
          </w:p>
        </w:tc>
      </w:tr>
    </w:tbl>
    <w:p>
      <w:pPr>
        <w:pStyle w:val="DOBody"/>
      </w:pPr>
      <w:r>
        <w:rPr>
          <w:rFonts w:ascii="Calibri" w:hAnsi="Calibri"/>
          <w:color w:val="333333"/>
          <w:sz w:val="20"/>
        </w:rPr>
        <w:t>No forum selection provisions identified. Safe harbor usage is STRONG with explicit PSLRA citation and specific cautionary language.</w:t>
      </w:r>
      <w:r>
        <w:rPr>
          <w:rFonts w:ascii="Consolas" w:hAnsi="Consolas"/>
          <w:color w:val="666666"/>
          <w:sz w:val="16"/>
        </w:rPr>
        <w:t xml:space="preserve">  [DEF 14A; 10-K, 2026-04-03, LOW]</w:t>
      </w:r>
    </w:p>
    <w:p>
      <w:pPr>
        <w:pStyle w:val="DOHeading3"/>
      </w:pPr>
      <w:r>
        <w:t>Contingent Liabilities</w:t>
      </w:r>
    </w:p>
    <w:p>
      <w:pPr>
        <w:pStyle w:val="DOBody"/>
      </w:pPr>
      <w:r>
        <w:t>No disclosed contingent liabilities found in SEC filings. Review Item 8 footnotes and Item 3 for complete assessment.</w:t>
      </w:r>
    </w:p>
    <w:p>
      <w:pPr>
        <w:pStyle w:val="DOHeading3"/>
      </w:pPr>
      <w:r>
        <w:t>Workforce, Product &amp; Environmental Matters</w:t>
      </w:r>
    </w:p>
    <w:p>
      <w:pPr>
        <w:pStyle w:val="DOBody"/>
      </w:pPr>
      <w:r>
        <w:t>None found.</w:t>
      </w:r>
    </w:p>
    <w:p>
      <w:pPr>
        <w:pStyle w:val="DOHeading3"/>
      </w:pPr>
      <w:r>
        <w:t>Whistleblower Indicators</w:t>
      </w:r>
    </w:p>
    <w:p>
      <w:pPr>
        <w:pStyle w:val="DOBody"/>
      </w:pPr>
      <w:r>
        <w:t>No whistleblower indicators identified in SEC filings. SEC whistleblower tips are not publicly disclosed; absence does not confirm lack of activity.</w:t>
      </w:r>
    </w:p>
    <w:p>
      <w:pPr>
        <w:spacing w:before="120" w:after="40"/>
        <w:pBdr>
          <w:bottom w:val="single" w:sz="6" w:space="1" w:color="FFD000"/>
        </w:pBdr>
      </w:pPr>
    </w:p>
    <w:p>
      <w:pPr>
        <w:pStyle w:val="DOBody"/>
        <w:spacing w:before="40" w:after="120"/>
      </w:pPr>
      <w:r>
        <w:rPr>
          <w:color w:val="333333"/>
          <w:sz w:val="20"/>
        </w:rPr>
        <w:t>CATERPILLAR’s quality score of 25.5, resulting from total deductions of 11.83 points, places it in the WALK tier with a modeled claim probability of 4.17-5.95%. The risk is dominated by Prior Litigation, which contributed the largest deduction of 3.19 points from 70 identified signals, and an active DOJ criminal investigation that imposes a binding CRF-3 ceiling, mandating high attachment for any Excess or Side A placement. Further pressure comes from IPO/SPAC/M&amp;A activity, which deducted 3.13 points from 16 signals, and elevated Short Interest that deducted 1.52 points, indicating market skepticism that can fuel shareholder suits. The active "Guidance Track Record" pattern suggests management’s forecasts are a recurring litigation trigger, compounded by Restatement/Audit Issues which deducted 1.48 points from 89 signals. Underwrite this account for high-severity claims, requiring severe terms aligned with its MODERATE claim band.</w:t>
      </w:r>
    </w:p>
    <w:p>
      <w:pPr>
        <w:pStyle w:val="DOHeading1"/>
      </w:pPr>
      <w:r>
        <w:t>Section 7: Risk Scoring &amp; Synthesis</w:t>
      </w:r>
    </w:p>
    <w:p>
      <w:pPr>
        <w:pStyle w:val="DOBody"/>
      </w:pPr>
      <w:r>
        <w:rPr>
          <w:rFonts w:ascii="Calibri" w:hAnsi="Calibri"/>
          <w:color w:val="333333"/>
          <w:sz w:val="20"/>
        </w:rPr>
        <w:t>Underwriting tier: **WALK** (quality score: 25.5/100). Recommended action: Excess/Side A only, high attachment required. Expected claim probability band: 4.2-6.0%. Top risk contributors: Prior Litigation (F1: -3.2 pts); IPO/SPAC/M&amp;A (F4: -3.1 pts); Short Interest (F6: -1.5 pts). Active composite patterns: Guidance Track Record. **Red flag gates active**: DOJ Criminal Investigation (ceiling: 30); Active DOJ Criminal Investigation (ceiling: 100); Whistleblower/Qui Tam Disclosure (ceiling: 100). Binding ceiling: CRF-3. Claim probability band: MODERATE (4.2%-6.0%).</w:t>
      </w:r>
    </w:p>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25.5 / 100</w:t>
            </w:r>
          </w:p>
        </w:tc>
      </w:tr>
      <w:tr>
        <w:tc>
          <w:tcPr>
            <w:tcW w:type="dxa" w:w="5040"/>
            <w:shd w:fill="F2F4F8" w:val="clear"/>
          </w:tcPr>
          <w:p>
            <w:r>
              <w:rPr>
                <w:rFonts w:ascii="Calibri" w:hAnsi="Calibri"/>
                <w:color w:val="333333"/>
                <w:sz w:val="18"/>
              </w:rPr>
              <w:t>Composite Score (pre-ceiling)</w:t>
            </w:r>
          </w:p>
        </w:tc>
        <w:tc>
          <w:tcPr>
            <w:tcW w:type="dxa" w:w="5040"/>
            <w:shd w:fill="F2F4F8" w:val="clear"/>
          </w:tcPr>
          <w:p>
            <w:r>
              <w:rPr>
                <w:rFonts w:ascii="Calibri" w:hAnsi="Calibri"/>
                <w:color w:val="333333"/>
                <w:sz w:val="18"/>
              </w:rPr>
              <w:t>88.2</w:t>
            </w:r>
          </w:p>
        </w:tc>
      </w:tr>
      <w:tr>
        <w:tc>
          <w:tcPr>
            <w:tcW w:type="dxa" w:w="5040"/>
          </w:tcPr>
          <w:p>
            <w:r>
              <w:rPr>
                <w:rFonts w:ascii="Calibri" w:hAnsi="Calibri"/>
                <w:color w:val="333333"/>
                <w:sz w:val="18"/>
              </w:rPr>
              <w:t>Total Risk Points Deducted</w:t>
            </w:r>
          </w:p>
        </w:tc>
        <w:tc>
          <w:tcPr>
            <w:tcW w:type="dxa" w:w="5040"/>
          </w:tcPr>
          <w:p>
            <w:r>
              <w:rPr>
                <w:rFonts w:ascii="Calibri" w:hAnsi="Calibri"/>
                <w:color w:val="333333"/>
                <w:sz w:val="18"/>
              </w:rPr>
              <w:t>11.8</w:t>
            </w:r>
          </w:p>
        </w:tc>
      </w:tr>
      <w:tr>
        <w:tc>
          <w:tcPr>
            <w:tcW w:type="dxa" w:w="5040"/>
            <w:shd w:fill="F2F4F8" w:val="clear"/>
          </w:tcPr>
          <w:p>
            <w:r>
              <w:rPr>
                <w:rFonts w:ascii="Calibri" w:hAnsi="Calibri"/>
                <w:color w:val="333333"/>
                <w:sz w:val="18"/>
              </w:rPr>
              <w:t>Tier</w:t>
            </w:r>
          </w:p>
        </w:tc>
        <w:tc>
          <w:tcPr>
            <w:tcW w:type="dxa" w:w="5040"/>
            <w:shd w:fill="F2F4F8" w:val="clear"/>
          </w:tcPr>
          <w:p>
            <w:r>
              <w:rPr>
                <w:rFonts w:ascii="Calibri" w:hAnsi="Calibri"/>
                <w:color w:val="333333"/>
                <w:sz w:val="18"/>
              </w:rPr>
              <w:t>WALK</w:t>
            </w:r>
          </w:p>
        </w:tc>
      </w:tr>
      <w:tr>
        <w:tc>
          <w:tcPr>
            <w:tcW w:type="dxa" w:w="5040"/>
          </w:tcPr>
          <w:p>
            <w:r>
              <w:rPr>
                <w:rFonts w:ascii="Calibri" w:hAnsi="Calibri"/>
                <w:color w:val="333333"/>
                <w:sz w:val="18"/>
              </w:rPr>
              <w:t>Tier Range</w:t>
            </w:r>
          </w:p>
        </w:tc>
        <w:tc>
          <w:tcPr>
            <w:tcW w:type="dxa" w:w="5040"/>
          </w:tcPr>
          <w:p>
            <w:r>
              <w:rPr>
                <w:rFonts w:ascii="Calibri" w:hAnsi="Calibri"/>
                <w:color w:val="333333"/>
                <w:sz w:val="18"/>
              </w:rPr>
              <w:t>11 - 30</w:t>
            </w:r>
          </w:p>
        </w:tc>
      </w:tr>
      <w:tr>
        <w:tc>
          <w:tcPr>
            <w:tcW w:type="dxa" w:w="5040"/>
            <w:shd w:fill="F2F4F8" w:val="clear"/>
          </w:tcPr>
          <w:p>
            <w:r>
              <w:rPr>
                <w:rFonts w:ascii="Calibri" w:hAnsi="Calibri"/>
                <w:color w:val="333333"/>
                <w:sz w:val="18"/>
              </w:rPr>
              <w:t>Action Guidance</w:t>
            </w:r>
          </w:p>
        </w:tc>
        <w:tc>
          <w:tcPr>
            <w:tcW w:type="dxa" w:w="5040"/>
            <w:shd w:fill="F2F4F8" w:val="clear"/>
          </w:tcPr>
          <w:p>
            <w:r>
              <w:rPr>
                <w:rFonts w:ascii="Calibri" w:hAnsi="Calibri"/>
                <w:color w:val="333333"/>
                <w:sz w:val="18"/>
              </w:rPr>
              <w:t>Excess/Side A only, high attachment required</w:t>
            </w:r>
          </w:p>
        </w:tc>
      </w:tr>
      <w:tr>
        <w:tc>
          <w:tcPr>
            <w:tcW w:type="dxa" w:w="5040"/>
          </w:tcPr>
          <w:p>
            <w:r>
              <w:rPr>
                <w:rFonts w:ascii="Calibri" w:hAnsi="Calibri"/>
                <w:color w:val="333333"/>
                <w:sz w:val="18"/>
              </w:rPr>
              <w:t>Probability Range</w:t>
            </w:r>
          </w:p>
        </w:tc>
        <w:tc>
          <w:tcPr>
            <w:tcW w:type="dxa" w:w="5040"/>
          </w:tcPr>
          <w:p>
            <w:r>
              <w:rPr>
                <w:rFonts w:ascii="Calibri" w:hAnsi="Calibri"/>
                <w:color w:val="333333"/>
                <w:sz w:val="18"/>
              </w:rPr>
              <w:t>4.2-6.0%</w:t>
            </w:r>
          </w:p>
        </w:tc>
      </w:tr>
      <w:tr>
        <w:tc>
          <w:tcPr>
            <w:tcW w:type="dxa" w:w="5040"/>
            <w:shd w:fill="F2F4F8" w:val="clear"/>
          </w:tcPr>
          <w:p>
            <w:r>
              <w:rPr>
                <w:rFonts w:ascii="Calibri" w:hAnsi="Calibri"/>
                <w:color w:val="333333"/>
                <w:sz w:val="18"/>
              </w:rPr>
              <w:t>Pricing Multiplier</w:t>
            </w:r>
          </w:p>
        </w:tc>
        <w:tc>
          <w:tcPr>
            <w:tcW w:type="dxa" w:w="5040"/>
            <w:shd w:fill="F2F4F8" w:val="clear"/>
          </w:tcPr>
          <w:p>
            <w:r>
              <w:rPr>
                <w:rFonts w:ascii="Calibri" w:hAnsi="Calibri"/>
                <w:color w:val="333333"/>
                <w:sz w:val="18"/>
              </w:rPr>
              <w:t>2x+ at high attachment</w:t>
            </w:r>
          </w:p>
        </w:tc>
      </w:tr>
      <w:tr>
        <w:tc>
          <w:tcPr>
            <w:tcW w:type="dxa" w:w="5040"/>
          </w:tcPr>
          <w:p>
            <w:r>
              <w:rPr>
                <w:rFonts w:ascii="Calibri" w:hAnsi="Calibri"/>
                <w:color w:val="333333"/>
                <w:sz w:val="18"/>
              </w:rPr>
              <w:t>Binding Ceiling</w:t>
            </w:r>
          </w:p>
        </w:tc>
        <w:tc>
          <w:tcPr>
            <w:tcW w:type="dxa" w:w="5040"/>
          </w:tcPr>
          <w:p>
            <w:r>
              <w:rPr>
                <w:rFonts w:ascii="Calibri" w:hAnsi="Calibri"/>
                <w:color w:val="333333"/>
                <w:sz w:val="18"/>
              </w:rPr>
              <w:t>CRF-3</w:t>
            </w:r>
          </w:p>
        </w:tc>
      </w:tr>
    </w:tbl>
    <w:p>
      <w:pPr>
        <w:pStyle w:val="DOBody"/>
      </w:pPr>
      <w:r>
        <w:rPr>
          <w:b/>
        </w:rPr>
        <w:t>Risk Assessment: CRITICAL</w:t>
      </w:r>
      <w:r>
        <w:rPr>
          <w:b/>
          <w:color w:val="DC2626"/>
          <w:sz w:val="18"/>
        </w:rPr>
        <w:t xml:space="preserve"> [CRITICAL]</w:t>
      </w:r>
    </w:p>
    <w:p>
      <w:pPr>
        <w:pStyle w:val="DOHeading3"/>
      </w:pPr>
      <w:r>
        <w:t>D&amp;O Claim Peril Assessment</w:t>
      </w:r>
    </w:p>
    <w:p>
      <w:pPr>
        <w:pStyle w:val="DOBody"/>
      </w:pPr>
      <w:r>
        <w:t>1 of 8 D&amp;O claim perils show active risk signals. Active perils have at least one causal chain with triggered checks.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Peril</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Active Chains</w:t>
            </w:r>
          </w:p>
        </w:tc>
        <w:tc>
          <w:tcPr>
            <w:tcW w:type="dxa" w:w="2520"/>
            <w:shd w:fill="1A1446" w:val="clear"/>
          </w:tcPr>
          <w:p>
            <w:r>
              <w:rPr>
                <w:rFonts w:ascii="Calibri" w:hAnsi="Calibri"/>
                <w:b/>
                <w:color w:val="FFFFFF"/>
                <w:sz w:val="18"/>
              </w:rPr>
              <w:t>Key Evidence</w:t>
            </w:r>
          </w:p>
        </w:tc>
      </w:tr>
      <w:tr>
        <w:tc>
          <w:tcPr>
            <w:tcW w:type="dxa" w:w="2520"/>
          </w:tcPr>
          <w:p>
            <w:r>
              <w:rPr>
                <w:rFonts w:ascii="Calibri" w:hAnsi="Calibri"/>
                <w:b/>
                <w:color w:val="333333"/>
                <w:sz w:val="18"/>
              </w:rPr>
              <w:t>Securities Claims</w:t>
            </w:r>
          </w:p>
        </w:tc>
        <w:tc>
          <w:tcPr>
            <w:tcW w:type="dxa" w:w="2520"/>
            <w:shd w:fill="FFCCBC" w:val="clear"/>
          </w:tcPr>
          <w:p>
            <w:r>
              <w:rPr>
                <w:rFonts w:ascii="Calibri" w:hAnsi="Calibri"/>
                <w:b/>
                <w:color w:val="CC3300"/>
                <w:sz w:val="18"/>
              </w:rPr>
              <w:t>ELEVATED</w:t>
            </w:r>
          </w:p>
        </w:tc>
        <w:tc>
          <w:tcPr>
            <w:tcW w:type="dxa" w:w="2520"/>
          </w:tcPr>
          <w:p>
            <w:r>
              <w:rPr>
                <w:rFonts w:ascii="Calibri" w:hAnsi="Calibri"/>
                <w:sz w:val="18"/>
              </w:rPr>
              <w:t>2/5</w:t>
            </w:r>
          </w:p>
        </w:tc>
        <w:tc>
          <w:tcPr>
            <w:tcW w:type="dxa" w:w="2520"/>
          </w:tcPr>
          <w:p>
            <w:r>
              <w:rPr>
                <w:rFonts w:ascii="Calibri" w:hAnsi="Calibri"/>
                <w:color w:val="666666"/>
                <w:sz w:val="18"/>
              </w:rPr>
              <w:t>Resolved via web search: not confirmed; Verified (value: -3.00)</w:t>
            </w:r>
          </w:p>
        </w:tc>
      </w:tr>
      <w:tr>
        <w:tc>
          <w:tcPr>
            <w:tcW w:type="dxa" w:w="2520"/>
          </w:tcPr>
          <w:p>
            <w:r>
              <w:rPr>
                <w:rFonts w:ascii="Calibri" w:hAnsi="Calibri"/>
                <w:b/>
                <w:color w:val="333333"/>
                <w:sz w:val="18"/>
              </w:rPr>
              <w:t>Fiduciary Breach</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0/3</w:t>
            </w:r>
          </w:p>
        </w:tc>
        <w:tc>
          <w:tcPr>
            <w:tcW w:type="dxa" w:w="2520"/>
          </w:tcPr>
          <w:p>
            <w:r>
              <w:rPr>
                <w:rFonts w:ascii="Calibri" w:hAnsi="Calibri"/>
                <w:color w:val="666666"/>
                <w:sz w:val="18"/>
              </w:rPr>
              <w:t>—</w:t>
            </w:r>
          </w:p>
        </w:tc>
      </w:tr>
      <w:tr>
        <w:tc>
          <w:tcPr>
            <w:tcW w:type="dxa" w:w="2520"/>
          </w:tcPr>
          <w:p>
            <w:r>
              <w:rPr>
                <w:rFonts w:ascii="Calibri" w:hAnsi="Calibri"/>
                <w:b/>
                <w:color w:val="333333"/>
                <w:sz w:val="18"/>
              </w:rPr>
              <w:t>Government Enforcement</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Employment &amp; Whistleblower</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Insolvency &amp; Bankruptcy</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Emerging Risks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Consumer &amp; Product Claims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Commercial Litigation</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bl>
    <w:p>
      <w:pPr>
        <w:pStyle w:val="DOHeading3"/>
      </w:pPr>
      <w:r>
        <w:t>Active Peril Analysis</w:t>
      </w:r>
    </w:p>
    <w:p>
      <w:pPr>
        <w:pStyle w:val="DOHeading3"/>
      </w:pPr>
      <w:r>
        <w:t>Securities Claims: ELEVATED</w:t>
      </w:r>
      <w:r>
        <w:rPr>
          <w:b/>
          <w:color w:val="EAB308"/>
          <w:sz w:val="18"/>
        </w:rPr>
        <w:t xml:space="preserve"> [ELEVATED]</w:t>
      </w:r>
    </w:p>
    <w:p>
      <w:pPr>
        <w:pStyle w:val="DOBody"/>
      </w:pPr>
      <w:r>
        <w:rPr>
          <w:color w:val="666666"/>
          <w:sz w:val="16"/>
        </w:rPr>
        <w:t>Frequency: moderate | Severity: high | Typical range: $5M - $500M+</w:t>
      </w:r>
    </w:p>
    <w:p>
      <w:pPr>
        <w:pStyle w:val="DOBody"/>
      </w:pPr>
      <w:r>
        <w:t>2 of 5 causal chains active.</w:t>
      </w:r>
    </w:p>
    <w:p>
      <w:pPr>
        <w:pStyle w:val="DOBody"/>
      </w:pPr>
      <w:r>
        <w:rPr>
          <w:b/>
        </w:rPr>
        <w:t>Chain: Restatement → Securities Class Action</w:t>
      </w:r>
      <w:r>
        <w:t xml:space="preserve"> [ELEVATED]</w:t>
      </w:r>
    </w:p>
    <w:p>
      <w:pPr>
        <w:pStyle w:val="DOBody"/>
      </w:pPr>
      <w:r>
        <w:rPr>
          <w:i/>
          <w:sz w:val="16"/>
        </w:rPr>
        <w:t>Financial restatement (especially revenue/earnings) triggers near-automatic SCA filing. Restatements provide strong scienter evidence for plaintiffs.</w:t>
        <w:br/>
      </w:r>
    </w:p>
    <w:p>
      <w:pPr>
        <w:pStyle w:val="DOBody"/>
      </w:pPr>
      <w:r>
        <w:rPr>
          <w:b/>
          <w:sz w:val="20"/>
        </w:rPr>
        <w:t xml:space="preserve">  Triggers: </w:t>
      </w:r>
      <w:r>
        <w:br/>
        <w:t xml:space="preserve">    • FIN.ACCT.restatement</w:t>
      </w:r>
    </w:p>
    <w:p>
      <w:pPr>
        <w:pStyle w:val="DOBody"/>
      </w:pPr>
      <w:r>
        <w:rPr>
          <w:b/>
          <w:sz w:val="20"/>
        </w:rPr>
        <w:t xml:space="preserve">  Amplifiers: </w:t>
      </w:r>
      <w:r>
        <w:br/>
        <w:t xml:space="preserve">    • FIN.ACCT.restatement_pattern</w:t>
      </w:r>
    </w:p>
    <w:p>
      <w:pPr>
        <w:pStyle w:val="DOBody"/>
      </w:pPr>
      <w:r>
        <w:rPr>
          <w:color w:val="666666"/>
          <w:sz w:val="16"/>
        </w:rPr>
        <w:t xml:space="preserve">  Historical filing rate: 65% | Median severity: $25M</w:t>
      </w:r>
    </w:p>
    <w:p>
      <w:pPr>
        <w:pStyle w:val="DOBody"/>
      </w:pPr>
      <w:r>
        <w:rPr>
          <w:b/>
        </w:rPr>
        <w:t>Chain: Guidance Miss → Securities Fraud</w:t>
      </w:r>
      <w:r>
        <w:t xml:space="preserve"> [ELEVATED]</w:t>
      </w:r>
    </w:p>
    <w:p>
      <w:pPr>
        <w:pStyle w:val="DOBody"/>
      </w:pPr>
      <w:r>
        <w:rPr>
          <w:i/>
          <w:sz w:val="16"/>
        </w:rPr>
        <w:t>Repeated guidance misses or aggressive forward guidance builds scienter case for securities fraud claim when stock eventually declines.</w:t>
        <w:br/>
      </w:r>
    </w:p>
    <w:p>
      <w:pPr>
        <w:pStyle w:val="DOBody"/>
      </w:pPr>
      <w:r>
        <w:rPr>
          <w:b/>
          <w:sz w:val="20"/>
        </w:rPr>
        <w:t xml:space="preserve">  Triggers: </w:t>
      </w:r>
      <w:r>
        <w:br/>
        <w:t xml:space="preserve">    • FIN.GUIDE.earnings_reaction</w:t>
      </w:r>
    </w:p>
    <w:p>
      <w:pPr>
        <w:pStyle w:val="DOBody"/>
      </w:pPr>
      <w:r>
        <w:rPr>
          <w:b/>
          <w:sz w:val="20"/>
        </w:rPr>
        <w:t xml:space="preserve">  Amplifiers: </w:t>
      </w:r>
      <w:r>
        <w:br/>
        <w:t xml:space="preserve">    • EXEC.INSIDER.ceo_net_selling</w:t>
      </w:r>
    </w:p>
    <w:p>
      <w:pPr>
        <w:pStyle w:val="DOBody"/>
      </w:pPr>
      <w:r>
        <w:rPr>
          <w:color w:val="666666"/>
          <w:sz w:val="16"/>
        </w:rPr>
        <w:t xml:space="preserve">  Historical filing rate: 8% | Median severity: $12M</w:t>
      </w:r>
    </w:p>
    <w:p>
      <w:pPr>
        <w:pStyle w:val="DOHeading3"/>
      </w:pPr>
      <w:r>
        <w:t>Composite Score Breakdown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Factor</w:t>
            </w:r>
          </w:p>
        </w:tc>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Max Pts</w:t>
            </w:r>
          </w:p>
        </w:tc>
        <w:tc>
          <w:tcPr>
            <w:tcW w:type="dxa" w:w="1680"/>
            <w:shd w:fill="1A1446" w:val="clear"/>
          </w:tcPr>
          <w:p>
            <w:r>
              <w:rPr>
                <w:rFonts w:ascii="Calibri" w:hAnsi="Calibri"/>
                <w:b/>
                <w:color w:val="FFFFFF"/>
                <w:sz w:val="18"/>
              </w:rPr>
              <w:t>Deducted</w:t>
            </w:r>
          </w:p>
        </w:tc>
        <w:tc>
          <w:tcPr>
            <w:tcW w:type="dxa" w:w="1680"/>
            <w:shd w:fill="1A1446" w:val="clear"/>
          </w:tcPr>
          <w:p>
            <w:r>
              <w:rPr>
                <w:rFonts w:ascii="Calibri" w:hAnsi="Calibri"/>
                <w:b/>
                <w:color w:val="FFFFFF"/>
                <w:sz w:val="18"/>
              </w:rPr>
              <w:t>% Used</w:t>
            </w:r>
          </w:p>
        </w:tc>
        <w:tc>
          <w:tcPr>
            <w:tcW w:type="dxa" w:w="1680"/>
            <w:shd w:fill="1A1446" w:val="clear"/>
          </w:tcPr>
          <w:p>
            <w:r>
              <w:rPr>
                <w:rFonts w:ascii="Calibri" w:hAnsi="Calibri"/>
                <w:b/>
                <w:color w:val="FFFFFF"/>
                <w:sz w:val="18"/>
              </w:rPr>
              <w:t>Top Contributor</w:t>
            </w:r>
          </w:p>
        </w:tc>
      </w:tr>
      <w:tr>
        <w:tc>
          <w:tcPr>
            <w:tcW w:type="dxa" w:w="1680"/>
          </w:tcPr>
          <w:p>
            <w:r>
              <w:rPr>
                <w:rFonts w:ascii="Calibri" w:hAnsi="Calibri"/>
                <w:color w:val="333333"/>
                <w:sz w:val="18"/>
              </w:rPr>
              <w:t>F1</w:t>
            </w:r>
          </w:p>
        </w:tc>
        <w:tc>
          <w:tcPr>
            <w:tcW w:type="dxa" w:w="1680"/>
          </w:tcPr>
          <w:p>
            <w:r>
              <w:rPr>
                <w:rFonts w:ascii="Calibri" w:hAnsi="Calibri"/>
                <w:color w:val="333333"/>
                <w:sz w:val="18"/>
              </w:rPr>
              <w:t>Prior Litigation</w:t>
            </w:r>
          </w:p>
        </w:tc>
        <w:tc>
          <w:tcPr>
            <w:tcW w:type="dxa" w:w="1680"/>
          </w:tcPr>
          <w:p>
            <w:r>
              <w:rPr>
                <w:rFonts w:ascii="Calibri" w:hAnsi="Calibri"/>
                <w:color w:val="333333"/>
                <w:sz w:val="18"/>
              </w:rPr>
              <w:t>20</w:t>
            </w:r>
          </w:p>
        </w:tc>
        <w:tc>
          <w:tcPr>
            <w:tcW w:type="dxa" w:w="1680"/>
          </w:tcPr>
          <w:p>
            <w:r>
              <w:rPr>
                <w:rFonts w:ascii="Calibri" w:hAnsi="Calibri"/>
                <w:color w:val="333333"/>
                <w:sz w:val="18"/>
              </w:rPr>
              <w:t>3.2</w:t>
            </w:r>
          </w:p>
        </w:tc>
        <w:tc>
          <w:tcPr>
            <w:tcW w:type="dxa" w:w="1680"/>
          </w:tcPr>
          <w:p>
            <w:r>
              <w:rPr>
                <w:rFonts w:ascii="Calibri" w:hAnsi="Calibri"/>
                <w:color w:val="333333"/>
                <w:sz w:val="18"/>
              </w:rPr>
              <w:t>16%</w:t>
            </w:r>
          </w:p>
        </w:tc>
        <w:tc>
          <w:tcPr>
            <w:tcW w:type="dxa" w:w="1680"/>
          </w:tcPr>
          <w:p>
            <w:r>
              <w:rPr>
                <w:rFonts w:ascii="Calibri" w:hAnsi="Calibri"/>
                <w:color w:val="333333"/>
                <w:sz w:val="18"/>
              </w:rPr>
              <w:t>Signal-driven scoring: 70 signals, coverage=100%</w:t>
            </w:r>
          </w:p>
        </w:tc>
      </w:tr>
      <w:tr>
        <w:tc>
          <w:tcPr>
            <w:tcW w:type="dxa" w:w="1680"/>
            <w:shd w:fill="F2F4F8" w:val="clear"/>
          </w:tcPr>
          <w:p>
            <w:r>
              <w:rPr>
                <w:rFonts w:ascii="Calibri" w:hAnsi="Calibri"/>
                <w:color w:val="333333"/>
                <w:sz w:val="18"/>
              </w:rPr>
              <w:t>F2</w:t>
            </w:r>
          </w:p>
        </w:tc>
        <w:tc>
          <w:tcPr>
            <w:tcW w:type="dxa" w:w="1680"/>
            <w:shd w:fill="F2F4F8" w:val="clear"/>
          </w:tcPr>
          <w:p>
            <w:r>
              <w:rPr>
                <w:rFonts w:ascii="Calibri" w:hAnsi="Calibri"/>
                <w:color w:val="333333"/>
                <w:sz w:val="18"/>
              </w:rPr>
              <w:t>Stock Decline</w:t>
            </w:r>
          </w:p>
        </w:tc>
        <w:tc>
          <w:tcPr>
            <w:tcW w:type="dxa" w:w="1680"/>
            <w:shd w:fill="F2F4F8" w:val="clear"/>
          </w:tcPr>
          <w:p>
            <w:r>
              <w:rPr>
                <w:rFonts w:ascii="Calibri" w:hAnsi="Calibri"/>
                <w:color w:val="333333"/>
                <w:sz w:val="18"/>
              </w:rPr>
              <w:t>15</w:t>
            </w:r>
          </w:p>
        </w:tc>
        <w:tc>
          <w:tcPr>
            <w:tcW w:type="dxa" w:w="1680"/>
            <w:shd w:fill="F2F4F8" w:val="clear"/>
          </w:tcPr>
          <w:p>
            <w:r>
              <w:rPr>
                <w:rFonts w:ascii="Calibri" w:hAnsi="Calibri"/>
                <w:color w:val="333333"/>
                <w:sz w:val="18"/>
              </w:rPr>
              <w:t>0.7</w:t>
            </w:r>
          </w:p>
        </w:tc>
        <w:tc>
          <w:tcPr>
            <w:tcW w:type="dxa" w:w="1680"/>
            <w:shd w:fill="F2F4F8" w:val="clear"/>
          </w:tcPr>
          <w:p>
            <w:r>
              <w:rPr>
                <w:rFonts w:ascii="Calibri" w:hAnsi="Calibri"/>
                <w:color w:val="333333"/>
                <w:sz w:val="18"/>
              </w:rPr>
              <w:t>5%</w:t>
            </w:r>
          </w:p>
        </w:tc>
        <w:tc>
          <w:tcPr>
            <w:tcW w:type="dxa" w:w="1680"/>
            <w:shd w:fill="F2F4F8" w:val="clear"/>
          </w:tcPr>
          <w:p>
            <w:r>
              <w:rPr>
                <w:rFonts w:ascii="Calibri" w:hAnsi="Calibri"/>
                <w:color w:val="333333"/>
                <w:sz w:val="18"/>
              </w:rPr>
              <w:t>Signal-driven scoring: 30 signals, coverage=100%</w:t>
            </w:r>
          </w:p>
        </w:tc>
      </w:tr>
      <w:tr>
        <w:tc>
          <w:tcPr>
            <w:tcW w:type="dxa" w:w="1680"/>
          </w:tcPr>
          <w:p>
            <w:r>
              <w:rPr>
                <w:rFonts w:ascii="Calibri" w:hAnsi="Calibri"/>
                <w:color w:val="333333"/>
                <w:sz w:val="18"/>
              </w:rPr>
              <w:t>F3</w:t>
            </w:r>
          </w:p>
        </w:tc>
        <w:tc>
          <w:tcPr>
            <w:tcW w:type="dxa" w:w="1680"/>
          </w:tcPr>
          <w:p>
            <w:r>
              <w:rPr>
                <w:rFonts w:ascii="Calibri" w:hAnsi="Calibri"/>
                <w:color w:val="333333"/>
                <w:sz w:val="18"/>
              </w:rPr>
              <w:t>Restatement/Audit Issues</w:t>
            </w:r>
          </w:p>
        </w:tc>
        <w:tc>
          <w:tcPr>
            <w:tcW w:type="dxa" w:w="1680"/>
          </w:tcPr>
          <w:p>
            <w:r>
              <w:rPr>
                <w:rFonts w:ascii="Calibri" w:hAnsi="Calibri"/>
                <w:color w:val="333333"/>
                <w:sz w:val="18"/>
              </w:rPr>
              <w:t>12</w:t>
            </w:r>
          </w:p>
        </w:tc>
        <w:tc>
          <w:tcPr>
            <w:tcW w:type="dxa" w:w="1680"/>
          </w:tcPr>
          <w:p>
            <w:r>
              <w:rPr>
                <w:rFonts w:ascii="Calibri" w:hAnsi="Calibri"/>
                <w:color w:val="333333"/>
                <w:sz w:val="18"/>
              </w:rPr>
              <w:t>1.5</w:t>
            </w:r>
          </w:p>
        </w:tc>
        <w:tc>
          <w:tcPr>
            <w:tcW w:type="dxa" w:w="1680"/>
          </w:tcPr>
          <w:p>
            <w:r>
              <w:rPr>
                <w:rFonts w:ascii="Calibri" w:hAnsi="Calibri"/>
                <w:color w:val="333333"/>
                <w:sz w:val="18"/>
              </w:rPr>
              <w:t>12%</w:t>
            </w:r>
          </w:p>
        </w:tc>
        <w:tc>
          <w:tcPr>
            <w:tcW w:type="dxa" w:w="1680"/>
          </w:tcPr>
          <w:p>
            <w:r>
              <w:rPr>
                <w:rFonts w:ascii="Calibri" w:hAnsi="Calibri"/>
                <w:color w:val="333333"/>
                <w:sz w:val="18"/>
              </w:rPr>
              <w:t>Signal-driven scoring: 89 signals, coverage=100%</w:t>
            </w:r>
          </w:p>
        </w:tc>
      </w:tr>
      <w:tr>
        <w:tc>
          <w:tcPr>
            <w:tcW w:type="dxa" w:w="1680"/>
            <w:shd w:fill="F2F4F8" w:val="clear"/>
          </w:tcPr>
          <w:p>
            <w:r>
              <w:rPr>
                <w:rFonts w:ascii="Calibri" w:hAnsi="Calibri"/>
                <w:color w:val="333333"/>
                <w:sz w:val="18"/>
              </w:rPr>
              <w:t>F4</w:t>
            </w:r>
          </w:p>
        </w:tc>
        <w:tc>
          <w:tcPr>
            <w:tcW w:type="dxa" w:w="1680"/>
            <w:shd w:fill="F2F4F8" w:val="clear"/>
          </w:tcPr>
          <w:p>
            <w:r>
              <w:rPr>
                <w:rFonts w:ascii="Calibri" w:hAnsi="Calibri"/>
                <w:color w:val="333333"/>
                <w:sz w:val="18"/>
              </w:rPr>
              <w:t>IPO/SPAC/M&amp;A</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3.1</w:t>
            </w:r>
          </w:p>
        </w:tc>
        <w:tc>
          <w:tcPr>
            <w:tcW w:type="dxa" w:w="1680"/>
            <w:shd w:fill="F2F4F8" w:val="clear"/>
          </w:tcPr>
          <w:p>
            <w:r>
              <w:rPr>
                <w:rFonts w:ascii="Calibri" w:hAnsi="Calibri"/>
                <w:color w:val="333333"/>
                <w:sz w:val="18"/>
              </w:rPr>
              <w:t>31%</w:t>
            </w:r>
          </w:p>
        </w:tc>
        <w:tc>
          <w:tcPr>
            <w:tcW w:type="dxa" w:w="1680"/>
            <w:shd w:fill="F2F4F8" w:val="clear"/>
          </w:tcPr>
          <w:p>
            <w:r>
              <w:rPr>
                <w:rFonts w:ascii="Calibri" w:hAnsi="Calibri"/>
                <w:color w:val="333333"/>
                <w:sz w:val="18"/>
              </w:rPr>
              <w:t>Signal-driven scoring: 16 signals, coverage=100%</w:t>
            </w:r>
          </w:p>
        </w:tc>
      </w:tr>
      <w:tr>
        <w:tc>
          <w:tcPr>
            <w:tcW w:type="dxa" w:w="1680"/>
          </w:tcPr>
          <w:p>
            <w:r>
              <w:rPr>
                <w:rFonts w:ascii="Calibri" w:hAnsi="Calibri"/>
                <w:color w:val="333333"/>
                <w:sz w:val="18"/>
              </w:rPr>
              <w:t>F5</w:t>
            </w:r>
          </w:p>
        </w:tc>
        <w:tc>
          <w:tcPr>
            <w:tcW w:type="dxa" w:w="1680"/>
          </w:tcPr>
          <w:p>
            <w:r>
              <w:rPr>
                <w:rFonts w:ascii="Calibri" w:hAnsi="Calibri"/>
                <w:color w:val="333333"/>
                <w:sz w:val="18"/>
              </w:rPr>
              <w:t>Guidance Misses</w:t>
            </w:r>
          </w:p>
        </w:tc>
        <w:tc>
          <w:tcPr>
            <w:tcW w:type="dxa" w:w="1680"/>
          </w:tcPr>
          <w:p>
            <w:r>
              <w:rPr>
                <w:rFonts w:ascii="Calibri" w:hAnsi="Calibri"/>
                <w:color w:val="333333"/>
                <w:sz w:val="18"/>
              </w:rPr>
              <w:t>10</w:t>
            </w:r>
          </w:p>
        </w:tc>
        <w:tc>
          <w:tcPr>
            <w:tcW w:type="dxa" w:w="1680"/>
          </w:tcPr>
          <w:p>
            <w:r>
              <w:rPr>
                <w:rFonts w:ascii="Calibri" w:hAnsi="Calibri"/>
                <w:color w:val="333333"/>
                <w:sz w:val="18"/>
              </w:rPr>
              <w:t>0.3</w:t>
            </w:r>
          </w:p>
        </w:tc>
        <w:tc>
          <w:tcPr>
            <w:tcW w:type="dxa" w:w="1680"/>
          </w:tcPr>
          <w:p>
            <w:r>
              <w:rPr>
                <w:rFonts w:ascii="Calibri" w:hAnsi="Calibri"/>
                <w:color w:val="333333"/>
                <w:sz w:val="18"/>
              </w:rPr>
              <w:t>3%</w:t>
            </w:r>
          </w:p>
        </w:tc>
        <w:tc>
          <w:tcPr>
            <w:tcW w:type="dxa" w:w="1680"/>
          </w:tcPr>
          <w:p>
            <w:r>
              <w:rPr>
                <w:rFonts w:ascii="Calibri" w:hAnsi="Calibri"/>
                <w:color w:val="333333"/>
                <w:sz w:val="18"/>
              </w:rPr>
              <w:t>Signal-driven scoring: 28 signals, coverage=100%</w:t>
            </w:r>
          </w:p>
        </w:tc>
      </w:tr>
      <w:tr>
        <w:tc>
          <w:tcPr>
            <w:tcW w:type="dxa" w:w="1680"/>
            <w:shd w:fill="F2F4F8" w:val="clear"/>
          </w:tcPr>
          <w:p>
            <w:r>
              <w:rPr>
                <w:rFonts w:ascii="Calibri" w:hAnsi="Calibri"/>
                <w:color w:val="333333"/>
                <w:sz w:val="18"/>
              </w:rPr>
              <w:t>F6</w:t>
            </w:r>
          </w:p>
        </w:tc>
        <w:tc>
          <w:tcPr>
            <w:tcW w:type="dxa" w:w="1680"/>
            <w:shd w:fill="F2F4F8" w:val="clear"/>
          </w:tcPr>
          <w:p>
            <w:r>
              <w:rPr>
                <w:rFonts w:ascii="Calibri" w:hAnsi="Calibri"/>
                <w:color w:val="333333"/>
                <w:sz w:val="18"/>
              </w:rPr>
              <w:t>Short Interest</w:t>
            </w:r>
          </w:p>
        </w:tc>
        <w:tc>
          <w:tcPr>
            <w:tcW w:type="dxa" w:w="1680"/>
            <w:shd w:fill="F2F4F8" w:val="clear"/>
          </w:tcPr>
          <w:p>
            <w:r>
              <w:rPr>
                <w:rFonts w:ascii="Calibri" w:hAnsi="Calibri"/>
                <w:color w:val="333333"/>
                <w:sz w:val="18"/>
              </w:rPr>
              <w:t>8</w:t>
            </w:r>
          </w:p>
        </w:tc>
        <w:tc>
          <w:tcPr>
            <w:tcW w:type="dxa" w:w="1680"/>
            <w:shd w:fill="F2F4F8" w:val="clear"/>
          </w:tcPr>
          <w:p>
            <w:r>
              <w:rPr>
                <w:rFonts w:ascii="Calibri" w:hAnsi="Calibri"/>
                <w:color w:val="333333"/>
                <w:sz w:val="18"/>
              </w:rPr>
              <w:t>1.5</w:t>
            </w:r>
          </w:p>
        </w:tc>
        <w:tc>
          <w:tcPr>
            <w:tcW w:type="dxa" w:w="1680"/>
            <w:shd w:fill="F2F4F8" w:val="clear"/>
          </w:tcPr>
          <w:p>
            <w:r>
              <w:rPr>
                <w:rFonts w:ascii="Calibri" w:hAnsi="Calibri"/>
                <w:color w:val="333333"/>
                <w:sz w:val="18"/>
              </w:rPr>
              <w:t>19%</w:t>
            </w:r>
          </w:p>
        </w:tc>
        <w:tc>
          <w:tcPr>
            <w:tcW w:type="dxa" w:w="1680"/>
            <w:shd w:fill="F2F4F8" w:val="clear"/>
          </w:tcPr>
          <w:p>
            <w:r>
              <w:rPr>
                <w:rFonts w:ascii="Calibri" w:hAnsi="Calibri"/>
                <w:color w:val="333333"/>
                <w:sz w:val="18"/>
              </w:rPr>
              <w:t>Signal-driven scoring: 30 signals, coverage=100%</w:t>
            </w:r>
          </w:p>
        </w:tc>
      </w:tr>
      <w:tr>
        <w:tc>
          <w:tcPr>
            <w:tcW w:type="dxa" w:w="1680"/>
          </w:tcPr>
          <w:p>
            <w:r>
              <w:rPr>
                <w:rFonts w:ascii="Calibri" w:hAnsi="Calibri"/>
                <w:color w:val="333333"/>
                <w:sz w:val="18"/>
              </w:rPr>
              <w:t>F7</w:t>
            </w:r>
          </w:p>
        </w:tc>
        <w:tc>
          <w:tcPr>
            <w:tcW w:type="dxa" w:w="1680"/>
          </w:tcPr>
          <w:p>
            <w:r>
              <w:rPr>
                <w:rFonts w:ascii="Calibri" w:hAnsi="Calibri"/>
                <w:color w:val="333333"/>
                <w:sz w:val="18"/>
              </w:rPr>
              <w:t>Stock Volatility</w:t>
            </w:r>
          </w:p>
        </w:tc>
        <w:tc>
          <w:tcPr>
            <w:tcW w:type="dxa" w:w="1680"/>
          </w:tcPr>
          <w:p>
            <w:r>
              <w:rPr>
                <w:rFonts w:ascii="Calibri" w:hAnsi="Calibri"/>
                <w:color w:val="333333"/>
                <w:sz w:val="18"/>
              </w:rPr>
              <w:t>9</w:t>
            </w:r>
          </w:p>
        </w:tc>
        <w:tc>
          <w:tcPr>
            <w:tcW w:type="dxa" w:w="1680"/>
          </w:tcPr>
          <w:p>
            <w:r>
              <w:rPr>
                <w:rFonts w:ascii="Calibri" w:hAnsi="Calibri"/>
                <w:color w:val="333333"/>
                <w:sz w:val="18"/>
              </w:rPr>
              <w:t>0.6</w:t>
            </w:r>
          </w:p>
        </w:tc>
        <w:tc>
          <w:tcPr>
            <w:tcW w:type="dxa" w:w="1680"/>
          </w:tcPr>
          <w:p>
            <w:r>
              <w:rPr>
                <w:rFonts w:ascii="Calibri" w:hAnsi="Calibri"/>
                <w:color w:val="333333"/>
                <w:sz w:val="18"/>
              </w:rPr>
              <w:t>7%</w:t>
            </w:r>
          </w:p>
        </w:tc>
        <w:tc>
          <w:tcPr>
            <w:tcW w:type="dxa" w:w="1680"/>
          </w:tcPr>
          <w:p>
            <w:r>
              <w:rPr>
                <w:rFonts w:ascii="Calibri" w:hAnsi="Calibri"/>
                <w:color w:val="333333"/>
                <w:sz w:val="18"/>
              </w:rPr>
              <w:t>Signal-driven scoring: 30 signals, coverage=100%</w:t>
            </w:r>
          </w:p>
        </w:tc>
      </w:tr>
      <w:tr>
        <w:tc>
          <w:tcPr>
            <w:tcW w:type="dxa" w:w="1680"/>
            <w:shd w:fill="F2F4F8" w:val="clear"/>
          </w:tcPr>
          <w:p>
            <w:r>
              <w:rPr>
                <w:rFonts w:ascii="Calibri" w:hAnsi="Calibri"/>
                <w:color w:val="333333"/>
                <w:sz w:val="18"/>
              </w:rPr>
              <w:t>F8</w:t>
            </w:r>
          </w:p>
        </w:tc>
        <w:tc>
          <w:tcPr>
            <w:tcW w:type="dxa" w:w="1680"/>
            <w:shd w:fill="F2F4F8" w:val="clear"/>
          </w:tcPr>
          <w:p>
            <w:r>
              <w:rPr>
                <w:rFonts w:ascii="Calibri" w:hAnsi="Calibri"/>
                <w:color w:val="333333"/>
                <w:sz w:val="18"/>
              </w:rPr>
              <w:t>Financial Distress</w:t>
            </w:r>
          </w:p>
        </w:tc>
        <w:tc>
          <w:tcPr>
            <w:tcW w:type="dxa" w:w="1680"/>
            <w:shd w:fill="F2F4F8" w:val="clear"/>
          </w:tcPr>
          <w:p>
            <w:r>
              <w:rPr>
                <w:rFonts w:ascii="Calibri" w:hAnsi="Calibri"/>
                <w:color w:val="333333"/>
                <w:sz w:val="18"/>
              </w:rPr>
              <w:t>8</w:t>
            </w:r>
          </w:p>
        </w:tc>
        <w:tc>
          <w:tcPr>
            <w:tcW w:type="dxa" w:w="1680"/>
            <w:shd w:fill="F2F4F8" w:val="clear"/>
          </w:tcPr>
          <w:p>
            <w:r>
              <w:rPr>
                <w:rFonts w:ascii="Calibri" w:hAnsi="Calibri"/>
                <w:color w:val="333333"/>
                <w:sz w:val="18"/>
              </w:rPr>
              <w:t>0.0</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Signal-driven scoring: 15 signals, coverage=100%</w:t>
            </w:r>
          </w:p>
        </w:tc>
      </w:tr>
      <w:tr>
        <w:tc>
          <w:tcPr>
            <w:tcW w:type="dxa" w:w="1680"/>
          </w:tcPr>
          <w:p>
            <w:r>
              <w:rPr>
                <w:rFonts w:ascii="Calibri" w:hAnsi="Calibri"/>
                <w:color w:val="333333"/>
                <w:sz w:val="18"/>
              </w:rPr>
              <w:t>F9</w:t>
            </w:r>
          </w:p>
        </w:tc>
        <w:tc>
          <w:tcPr>
            <w:tcW w:type="dxa" w:w="1680"/>
          </w:tcPr>
          <w:p>
            <w:r>
              <w:rPr>
                <w:rFonts w:ascii="Calibri" w:hAnsi="Calibri"/>
                <w:color w:val="333333"/>
                <w:sz w:val="18"/>
              </w:rPr>
              <w:t>Governance Issues</w:t>
            </w:r>
          </w:p>
        </w:tc>
        <w:tc>
          <w:tcPr>
            <w:tcW w:type="dxa" w:w="1680"/>
          </w:tcPr>
          <w:p>
            <w:r>
              <w:rPr>
                <w:rFonts w:ascii="Calibri" w:hAnsi="Calibri"/>
                <w:color w:val="333333"/>
                <w:sz w:val="18"/>
              </w:rPr>
              <w:t>6</w:t>
            </w:r>
          </w:p>
        </w:tc>
        <w:tc>
          <w:tcPr>
            <w:tcW w:type="dxa" w:w="1680"/>
          </w:tcPr>
          <w:p>
            <w:r>
              <w:rPr>
                <w:rFonts w:ascii="Calibri" w:hAnsi="Calibri"/>
                <w:color w:val="333333"/>
                <w:sz w:val="18"/>
              </w:rPr>
              <w:t>0.7</w:t>
            </w:r>
          </w:p>
        </w:tc>
        <w:tc>
          <w:tcPr>
            <w:tcW w:type="dxa" w:w="1680"/>
          </w:tcPr>
          <w:p>
            <w:r>
              <w:rPr>
                <w:rFonts w:ascii="Calibri" w:hAnsi="Calibri"/>
                <w:color w:val="333333"/>
                <w:sz w:val="18"/>
              </w:rPr>
              <w:t>12%</w:t>
            </w:r>
          </w:p>
        </w:tc>
        <w:tc>
          <w:tcPr>
            <w:tcW w:type="dxa" w:w="1680"/>
          </w:tcPr>
          <w:p>
            <w:r>
              <w:rPr>
                <w:rFonts w:ascii="Calibri" w:hAnsi="Calibri"/>
                <w:color w:val="333333"/>
                <w:sz w:val="18"/>
              </w:rPr>
              <w:t>Signal-driven scoring: 41 signals, coverage=100%</w:t>
            </w:r>
          </w:p>
        </w:tc>
      </w:tr>
      <w:tr>
        <w:tc>
          <w:tcPr>
            <w:tcW w:type="dxa" w:w="1680"/>
            <w:shd w:fill="F2F4F8" w:val="clear"/>
          </w:tcPr>
          <w:p>
            <w:r>
              <w:rPr>
                <w:rFonts w:ascii="Calibri" w:hAnsi="Calibri"/>
                <w:color w:val="333333"/>
                <w:sz w:val="18"/>
              </w:rPr>
              <w:t>F10</w:t>
            </w:r>
          </w:p>
        </w:tc>
        <w:tc>
          <w:tcPr>
            <w:tcW w:type="dxa" w:w="1680"/>
            <w:shd w:fill="F2F4F8" w:val="clear"/>
          </w:tcPr>
          <w:p>
            <w:r>
              <w:rPr>
                <w:rFonts w:ascii="Calibri" w:hAnsi="Calibri"/>
                <w:color w:val="333333"/>
                <w:sz w:val="18"/>
              </w:rPr>
              <w:t>Officer Stability</w:t>
            </w:r>
          </w:p>
        </w:tc>
        <w:tc>
          <w:tcPr>
            <w:tcW w:type="dxa" w:w="1680"/>
            <w:shd w:fill="F2F4F8" w:val="clear"/>
          </w:tcPr>
          <w:p>
            <w:r>
              <w:rPr>
                <w:rFonts w:ascii="Calibri" w:hAnsi="Calibri"/>
                <w:color w:val="333333"/>
                <w:sz w:val="18"/>
              </w:rPr>
              <w:t>2</w:t>
            </w:r>
          </w:p>
        </w:tc>
        <w:tc>
          <w:tcPr>
            <w:tcW w:type="dxa" w:w="1680"/>
            <w:shd w:fill="F2F4F8" w:val="clear"/>
          </w:tcPr>
          <w:p>
            <w:r>
              <w:rPr>
                <w:rFonts w:ascii="Calibri" w:hAnsi="Calibri"/>
                <w:color w:val="333333"/>
                <w:sz w:val="18"/>
              </w:rPr>
              <w:t>0.1</w:t>
            </w:r>
          </w:p>
        </w:tc>
        <w:tc>
          <w:tcPr>
            <w:tcW w:type="dxa" w:w="1680"/>
            <w:shd w:fill="F2F4F8" w:val="clear"/>
          </w:tcPr>
          <w:p>
            <w:r>
              <w:rPr>
                <w:rFonts w:ascii="Calibri" w:hAnsi="Calibri"/>
                <w:color w:val="333333"/>
                <w:sz w:val="18"/>
              </w:rPr>
              <w:t>6%</w:t>
            </w:r>
          </w:p>
        </w:tc>
        <w:tc>
          <w:tcPr>
            <w:tcW w:type="dxa" w:w="1680"/>
            <w:shd w:fill="F2F4F8" w:val="clear"/>
          </w:tcPr>
          <w:p>
            <w:r>
              <w:rPr>
                <w:rFonts w:ascii="Calibri" w:hAnsi="Calibri"/>
                <w:color w:val="333333"/>
                <w:sz w:val="18"/>
              </w:rPr>
              <w:t>Signal-driven scoring: 92 signals, coverage=100%</w:t>
            </w:r>
          </w:p>
        </w:tc>
      </w:tr>
    </w:tbl>
    <w:p>
      <w:pPr>
        <w:pStyle w:val="DOHeading3"/>
      </w:pPr>
      <w:r>
        <w:t>10-Factor Risk Profile</w:t>
      </w:r>
    </w:p>
    <w:p>
      <w:r>
        <w:drawing>
          <wp:inline xmlns:a="http://schemas.openxmlformats.org/drawingml/2006/main" xmlns:pic="http://schemas.openxmlformats.org/drawingml/2006/picture">
            <wp:extent cx="5943600" cy="5605068"/>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5605068"/>
                    </a:xfrm>
                    <a:prstGeom prst="rect"/>
                  </pic:spPr>
                </pic:pic>
              </a:graphicData>
            </a:graphic>
          </wp:inline>
        </w:drawing>
      </w:r>
    </w:p>
    <w:p>
      <w:pPr>
        <w:pStyle w:val="DOCaption"/>
      </w:pPr>
      <w:r>
        <w:t>Figure: Radar chart showing risk fraction (points deducted / max) for each of the 10 scoring factors. Larger area = higher risk.</w:t>
      </w:r>
    </w:p>
    <w:p>
      <w:pPr>
        <w:pStyle w:val="DOHeading3"/>
      </w:pPr>
      <w:r>
        <w:t>Red Flag Gates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Description</w:t>
            </w:r>
          </w:p>
        </w:tc>
        <w:tc>
          <w:tcPr>
            <w:tcW w:type="dxa" w:w="2016"/>
            <w:shd w:fill="1A1446" w:val="clear"/>
          </w:tcPr>
          <w:p>
            <w:r>
              <w:rPr>
                <w:rFonts w:ascii="Calibri" w:hAnsi="Calibri"/>
                <w:b/>
                <w:color w:val="FFFFFF"/>
                <w:sz w:val="18"/>
              </w:rPr>
              <w:t>Source</w:t>
            </w:r>
          </w:p>
        </w:tc>
        <w:tc>
          <w:tcPr>
            <w:tcW w:type="dxa" w:w="2016"/>
            <w:shd w:fill="1A1446" w:val="clear"/>
          </w:tcPr>
          <w:p>
            <w:r>
              <w:rPr>
                <w:rFonts w:ascii="Calibri" w:hAnsi="Calibri"/>
                <w:b/>
                <w:color w:val="FFFFFF"/>
                <w:sz w:val="18"/>
              </w:rPr>
              <w:t>Impact</w:t>
            </w:r>
          </w:p>
        </w:tc>
        <w:tc>
          <w:tcPr>
            <w:tcW w:type="dxa" w:w="2016"/>
            <w:shd w:fill="1A1446" w:val="clear"/>
          </w:tcPr>
          <w:p>
            <w:r>
              <w:rPr>
                <w:rFonts w:ascii="Calibri" w:hAnsi="Calibri"/>
                <w:b/>
                <w:color w:val="FFFFFF"/>
                <w:sz w:val="18"/>
              </w:rPr>
              <w:t>Trajectory</w:t>
            </w:r>
          </w:p>
        </w:tc>
      </w:tr>
      <w:tr>
        <w:tc>
          <w:tcPr>
            <w:tcW w:type="dxa" w:w="2016"/>
          </w:tcPr>
          <w:p>
            <w:r>
              <w:rPr>
                <w:rFonts w:ascii="Calibri" w:hAnsi="Calibri"/>
                <w:color w:val="333333"/>
                <w:sz w:val="18"/>
              </w:rPr>
              <w:t>CRITICAL</w:t>
            </w:r>
          </w:p>
        </w:tc>
        <w:tc>
          <w:tcPr>
            <w:tcW w:type="dxa" w:w="2016"/>
          </w:tcPr>
          <w:p>
            <w:r>
              <w:rPr>
                <w:rFonts w:ascii="Calibri" w:hAnsi="Calibri"/>
                <w:color w:val="333333"/>
                <w:sz w:val="18"/>
              </w:rPr>
              <w:t>Critical Red Flag: DOJ Criminal Investigation</w:t>
            </w:r>
          </w:p>
        </w:tc>
        <w:tc>
          <w:tcPr>
            <w:tcW w:type="dxa" w:w="2016"/>
          </w:tcPr>
          <w:p>
            <w:r>
              <w:rPr>
                <w:rFonts w:ascii="Calibri" w:hAnsi="Calibri"/>
                <w:color w:val="333333"/>
                <w:sz w:val="18"/>
              </w:rPr>
              <w:t>DOJ criminal: investigation</w:t>
            </w:r>
          </w:p>
        </w:tc>
        <w:tc>
          <w:tcPr>
            <w:tcW w:type="dxa" w:w="2016"/>
          </w:tcPr>
          <w:p>
            <w:r>
              <w:rPr>
                <w:rFonts w:ascii="Calibri" w:hAnsi="Calibri"/>
                <w:color w:val="333333"/>
                <w:sz w:val="18"/>
              </w:rPr>
              <w:t>Ceiling: 30</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Critical Red Flag: Active DOJ Criminal Investigation</w:t>
            </w:r>
          </w:p>
        </w:tc>
        <w:tc>
          <w:tcPr>
            <w:tcW w:type="dxa" w:w="2016"/>
            <w:shd w:fill="F2F4F8" w:val="clear"/>
          </w:tcPr>
          <w:p>
            <w:r>
              <w:rPr>
                <w:rFonts w:ascii="Calibri" w:hAnsi="Calibri"/>
                <w:color w:val="333333"/>
                <w:sz w:val="18"/>
              </w:rPr>
              <w:t>DOJ criminal: INVESTIGATION</w:t>
            </w:r>
          </w:p>
        </w:tc>
        <w:tc>
          <w:tcPr>
            <w:tcW w:type="dxa" w:w="2016"/>
            <w:shd w:fill="F2F4F8" w:val="clear"/>
          </w:tcPr>
          <w:p>
            <w:r>
              <w:rPr>
                <w:rFonts w:ascii="Calibri" w:hAnsi="Calibri"/>
                <w:color w:val="333333"/>
                <w:sz w:val="18"/>
              </w:rPr>
              <w:t>Ceiling: 100</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CRITICAL</w:t>
            </w:r>
          </w:p>
        </w:tc>
        <w:tc>
          <w:tcPr>
            <w:tcW w:type="dxa" w:w="2016"/>
          </w:tcPr>
          <w:p>
            <w:r>
              <w:rPr>
                <w:rFonts w:ascii="Calibri" w:hAnsi="Calibri"/>
                <w:color w:val="333333"/>
                <w:sz w:val="18"/>
              </w:rPr>
              <w:t>Critical Red Flag: Whistleblower/Qui Tam Disclosure</w:t>
            </w:r>
          </w:p>
        </w:tc>
        <w:tc>
          <w:tcPr>
            <w:tcW w:type="dxa" w:w="2016"/>
          </w:tcPr>
          <w:p>
            <w:r>
              <w:rPr>
                <w:rFonts w:ascii="Calibri" w:hAnsi="Calibri"/>
                <w:color w:val="333333"/>
                <w:sz w:val="18"/>
              </w:rPr>
              <w:t>NLP whistleblower signal: Whistleblower/qui tam language detected: retaliation. Presence of such language in filings may indicate pending or potential False Claims Act or SEC whistleblower actions.</w:t>
            </w:r>
          </w:p>
        </w:tc>
        <w:tc>
          <w:tcPr>
            <w:tcW w:type="dxa" w:w="2016"/>
          </w:tcPr>
          <w:p>
            <w:r>
              <w:rPr>
                <w:rFonts w:ascii="Calibri" w:hAnsi="Calibri"/>
                <w:color w:val="333333"/>
                <w:sz w:val="18"/>
              </w:rPr>
              <w:t>Ceiling: 100</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Prior Litigation: 3/20 points</w:t>
            </w:r>
          </w:p>
        </w:tc>
        <w:tc>
          <w:tcPr>
            <w:tcW w:type="dxa" w:w="2016"/>
            <w:shd w:fill="F2F4F8" w:val="clear"/>
          </w:tcPr>
          <w:p>
            <w:r>
              <w:rPr>
                <w:rFonts w:ascii="Calibri" w:hAnsi="Calibri"/>
                <w:color w:val="333333"/>
                <w:sz w:val="18"/>
              </w:rPr>
              <w:t>Signal-driven scoring: 70 signals, coverage=100%</w:t>
            </w:r>
          </w:p>
        </w:tc>
        <w:tc>
          <w:tcPr>
            <w:tcW w:type="dxa" w:w="2016"/>
            <w:shd w:fill="F2F4F8" w:val="clear"/>
          </w:tcPr>
          <w:p>
            <w:r>
              <w:rPr>
                <w:rFonts w:ascii="Calibri" w:hAnsi="Calibri"/>
                <w:color w:val="333333"/>
                <w:sz w:val="18"/>
              </w:rPr>
              <w:t>F1: 3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Stock Decline: 1/15 points</w:t>
            </w:r>
          </w:p>
        </w:tc>
        <w:tc>
          <w:tcPr>
            <w:tcW w:type="dxa" w:w="2016"/>
          </w:tcPr>
          <w:p>
            <w:r>
              <w:rPr>
                <w:rFonts w:ascii="Calibri" w:hAnsi="Calibri"/>
                <w:color w:val="333333"/>
                <w:sz w:val="18"/>
              </w:rPr>
              <w:t>Signal-driven scoring: 30 signals, coverage=100%; Drop contribution modifier: 0.23x (decay + company-specific + disclosure)</w:t>
            </w:r>
          </w:p>
        </w:tc>
        <w:tc>
          <w:tcPr>
            <w:tcW w:type="dxa" w:w="2016"/>
          </w:tcPr>
          <w:p>
            <w:r>
              <w:rPr>
                <w:rFonts w:ascii="Calibri" w:hAnsi="Calibri"/>
                <w:color w:val="333333"/>
                <w:sz w:val="18"/>
              </w:rPr>
              <w:t>F2: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Restatement/Audit Issues: 1/12 points</w:t>
            </w:r>
          </w:p>
        </w:tc>
        <w:tc>
          <w:tcPr>
            <w:tcW w:type="dxa" w:w="2016"/>
            <w:shd w:fill="F2F4F8" w:val="clear"/>
          </w:tcPr>
          <w:p>
            <w:r>
              <w:rPr>
                <w:rFonts w:ascii="Calibri" w:hAnsi="Calibri"/>
                <w:color w:val="333333"/>
                <w:sz w:val="18"/>
              </w:rPr>
              <w:t>Signal-driven scoring: 89 signals, coverage=100%</w:t>
            </w:r>
          </w:p>
        </w:tc>
        <w:tc>
          <w:tcPr>
            <w:tcW w:type="dxa" w:w="2016"/>
            <w:shd w:fill="F2F4F8" w:val="clear"/>
          </w:tcPr>
          <w:p>
            <w:r>
              <w:rPr>
                <w:rFonts w:ascii="Calibri" w:hAnsi="Calibri"/>
                <w:color w:val="333333"/>
                <w:sz w:val="18"/>
              </w:rPr>
              <w:t>F3: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IPO/SPAC/M&amp;A: 3/10 points</w:t>
            </w:r>
          </w:p>
        </w:tc>
        <w:tc>
          <w:tcPr>
            <w:tcW w:type="dxa" w:w="2016"/>
          </w:tcPr>
          <w:p>
            <w:r>
              <w:rPr>
                <w:rFonts w:ascii="Calibri" w:hAnsi="Calibri"/>
                <w:color w:val="333333"/>
                <w:sz w:val="18"/>
              </w:rPr>
              <w:t>Signal-driven scoring: 16 signals, coverage=100%</w:t>
            </w:r>
          </w:p>
        </w:tc>
        <w:tc>
          <w:tcPr>
            <w:tcW w:type="dxa" w:w="2016"/>
          </w:tcPr>
          <w:p>
            <w:r>
              <w:rPr>
                <w:rFonts w:ascii="Calibri" w:hAnsi="Calibri"/>
                <w:color w:val="333333"/>
                <w:sz w:val="18"/>
              </w:rPr>
              <w:t>F4: 3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Guidance Misses: 0/10 points</w:t>
            </w:r>
          </w:p>
        </w:tc>
        <w:tc>
          <w:tcPr>
            <w:tcW w:type="dxa" w:w="2016"/>
            <w:shd w:fill="F2F4F8" w:val="clear"/>
          </w:tcPr>
          <w:p>
            <w:r>
              <w:rPr>
                <w:rFonts w:ascii="Calibri" w:hAnsi="Calibri"/>
                <w:color w:val="333333"/>
                <w:sz w:val="18"/>
              </w:rPr>
              <w:t>Signal-driven scoring: 28 signals, coverage=100%</w:t>
            </w:r>
          </w:p>
        </w:tc>
        <w:tc>
          <w:tcPr>
            <w:tcW w:type="dxa" w:w="2016"/>
            <w:shd w:fill="F2F4F8" w:val="clear"/>
          </w:tcPr>
          <w:p>
            <w:r>
              <w:rPr>
                <w:rFonts w:ascii="Calibri" w:hAnsi="Calibri"/>
                <w:color w:val="333333"/>
                <w:sz w:val="18"/>
              </w:rPr>
              <w:t>F5: 0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Short Interest: 2/8 points</w:t>
            </w:r>
          </w:p>
        </w:tc>
        <w:tc>
          <w:tcPr>
            <w:tcW w:type="dxa" w:w="2016"/>
          </w:tcPr>
          <w:p>
            <w:r>
              <w:rPr>
                <w:rFonts w:ascii="Calibri" w:hAnsi="Calibri"/>
                <w:color w:val="333333"/>
                <w:sz w:val="18"/>
              </w:rPr>
              <w:t>Signal-driven scoring: 30 signals, coverage=100%</w:t>
            </w:r>
          </w:p>
        </w:tc>
        <w:tc>
          <w:tcPr>
            <w:tcW w:type="dxa" w:w="2016"/>
          </w:tcPr>
          <w:p>
            <w:r>
              <w:rPr>
                <w:rFonts w:ascii="Calibri" w:hAnsi="Calibri"/>
                <w:color w:val="333333"/>
                <w:sz w:val="18"/>
              </w:rPr>
              <w:t>F6: 2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Stock Volatility: 1/9 points</w:t>
            </w:r>
          </w:p>
        </w:tc>
        <w:tc>
          <w:tcPr>
            <w:tcW w:type="dxa" w:w="2016"/>
            <w:shd w:fill="F2F4F8" w:val="clear"/>
          </w:tcPr>
          <w:p>
            <w:r>
              <w:rPr>
                <w:rFonts w:ascii="Calibri" w:hAnsi="Calibri"/>
                <w:color w:val="333333"/>
                <w:sz w:val="18"/>
              </w:rPr>
              <w:t>Signal-driven scoring: 30 signals, coverage=100%</w:t>
            </w:r>
          </w:p>
        </w:tc>
        <w:tc>
          <w:tcPr>
            <w:tcW w:type="dxa" w:w="2016"/>
            <w:shd w:fill="F2F4F8" w:val="clear"/>
          </w:tcPr>
          <w:p>
            <w:r>
              <w:rPr>
                <w:rFonts w:ascii="Calibri" w:hAnsi="Calibri"/>
                <w:color w:val="333333"/>
                <w:sz w:val="18"/>
              </w:rPr>
              <w:t>F7: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Governance Issues: 1/6 points</w:t>
            </w:r>
          </w:p>
        </w:tc>
        <w:tc>
          <w:tcPr>
            <w:tcW w:type="dxa" w:w="2016"/>
          </w:tcPr>
          <w:p>
            <w:r>
              <w:rPr>
                <w:rFonts w:ascii="Calibri" w:hAnsi="Calibri"/>
                <w:color w:val="333333"/>
                <w:sz w:val="18"/>
              </w:rPr>
              <w:t>Signal-driven scoring: 41 signals, coverage=100%</w:t>
            </w:r>
          </w:p>
        </w:tc>
        <w:tc>
          <w:tcPr>
            <w:tcW w:type="dxa" w:w="2016"/>
          </w:tcPr>
          <w:p>
            <w:r>
              <w:rPr>
                <w:rFonts w:ascii="Calibri" w:hAnsi="Calibri"/>
                <w:color w:val="333333"/>
                <w:sz w:val="18"/>
              </w:rPr>
              <w:t>F9: 1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Officer Stability: 0/2 points</w:t>
            </w:r>
          </w:p>
        </w:tc>
        <w:tc>
          <w:tcPr>
            <w:tcW w:type="dxa" w:w="2016"/>
            <w:shd w:fill="F2F4F8" w:val="clear"/>
          </w:tcPr>
          <w:p>
            <w:r>
              <w:rPr>
                <w:rFonts w:ascii="Calibri" w:hAnsi="Calibri"/>
                <w:color w:val="333333"/>
                <w:sz w:val="18"/>
              </w:rPr>
              <w:t>Signal-driven scoring: 92 signals, coverage=100%</w:t>
            </w:r>
          </w:p>
        </w:tc>
        <w:tc>
          <w:tcPr>
            <w:tcW w:type="dxa" w:w="2016"/>
            <w:shd w:fill="F2F4F8" w:val="clear"/>
          </w:tcPr>
          <w:p>
            <w:r>
              <w:rPr>
                <w:rFonts w:ascii="Calibri" w:hAnsi="Calibri"/>
                <w:color w:val="333333"/>
                <w:sz w:val="18"/>
              </w:rPr>
              <w:t>F10: 0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Pattern: Guidance Track Record (BASELINE)</w:t>
            </w:r>
          </w:p>
        </w:tc>
        <w:tc>
          <w:tcPr>
            <w:tcW w:type="dxa" w:w="2016"/>
          </w:tcPr>
          <w:p>
            <w:r>
              <w:rPr>
                <w:rFonts w:ascii="Calibri" w:hAnsi="Calibri"/>
                <w:color w:val="333333"/>
                <w:sz w:val="18"/>
              </w:rPr>
              <w:t>Pattern evaluation</w:t>
            </w:r>
          </w:p>
        </w:tc>
        <w:tc>
          <w:tcPr>
            <w:tcW w:type="dxa" w:w="2016"/>
          </w:tcPr>
          <w:p>
            <w:r>
              <w:rPr>
                <w:rFonts w:ascii="Calibri" w:hAnsi="Calibri"/>
                <w:color w:val="333333"/>
                <w:sz w:val="18"/>
              </w:rPr>
              <w:t>F5: 0</w:t>
            </w:r>
          </w:p>
        </w:tc>
        <w:tc>
          <w:tcPr>
            <w:tcW w:type="dxa" w:w="2016"/>
          </w:tcPr>
          <w:p>
            <w:r>
              <w:rPr>
                <w:rFonts w:ascii="Calibri" w:hAnsi="Calibri"/>
                <w:color w:val="333333"/>
                <w:sz w:val="18"/>
              </w:rPr>
              <w:t>NEW</w:t>
            </w:r>
          </w:p>
        </w:tc>
      </w:tr>
    </w:tbl>
    <w:p>
      <w:pPr>
        <w:pStyle w:val="DOBody"/>
      </w:pPr>
      <w:r>
        <w:t>Critical: 3, High: 0, Moderate: 0, Low: 10</w:t>
      </w:r>
    </w:p>
    <w:p>
      <w:pPr>
        <w:pStyle w:val="DOHeading3"/>
      </w:pPr>
      <w:r>
        <w:t>Risk Type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Primary Risk Type</w:t>
            </w:r>
          </w:p>
        </w:tc>
        <w:tc>
          <w:tcPr>
            <w:tcW w:type="dxa" w:w="5040"/>
          </w:tcPr>
          <w:p>
            <w:r>
              <w:rPr>
                <w:rFonts w:ascii="Calibri" w:hAnsi="Calibri"/>
                <w:color w:val="333333"/>
                <w:sz w:val="18"/>
              </w:rPr>
              <w:t>GUIDANCE_DEPENDENT</w:t>
            </w:r>
          </w:p>
        </w:tc>
      </w:tr>
      <w:tr>
        <w:tc>
          <w:tcPr>
            <w:tcW w:type="dxa" w:w="5040"/>
            <w:shd w:fill="F2F4F8" w:val="clear"/>
          </w:tcPr>
          <w:p>
            <w:r>
              <w:rPr>
                <w:rFonts w:ascii="Calibri" w:hAnsi="Calibri"/>
                <w:color w:val="333333"/>
                <w:sz w:val="18"/>
              </w:rPr>
              <w:t>Supporting Evidence</w:t>
            </w:r>
          </w:p>
        </w:tc>
        <w:tc>
          <w:tcPr>
            <w:tcW w:type="dxa" w:w="5040"/>
            <w:shd w:fill="F2F4F8" w:val="clear"/>
          </w:tcPr>
          <w:p>
            <w:r>
              <w:rPr>
                <w:rFonts w:ascii="Calibri" w:hAnsi="Calibri"/>
                <w:color w:val="333333"/>
                <w:sz w:val="18"/>
              </w:rPr>
              <w:t>F5 guidance misses: 0.3090909090909091 points; Issues guidance (philosophy: CONSERVATIVE)</w:t>
            </w:r>
          </w:p>
        </w:tc>
      </w:tr>
    </w:tbl>
    <w:p>
      <w:pPr>
        <w:pStyle w:val="DOHeading3"/>
      </w:pPr>
      <w:r>
        <w:t>Severity Scenarios</w:t>
      </w:r>
    </w:p>
    <w:p>
      <w:pPr>
        <w:pStyle w:val="DOBody"/>
      </w:pPr>
      <w:r>
        <w:t>Analysis based on market cap: $335.6B</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Percentile</w:t>
            </w:r>
          </w:p>
        </w:tc>
        <w:tc>
          <w:tcPr>
            <w:tcW w:type="dxa" w:w="2016"/>
            <w:shd w:fill="1A1446" w:val="clear"/>
          </w:tcPr>
          <w:p>
            <w:r>
              <w:rPr>
                <w:rFonts w:ascii="Calibri" w:hAnsi="Calibri"/>
                <w:b/>
                <w:color w:val="FFFFFF"/>
                <w:sz w:val="18"/>
              </w:rPr>
              <w:t>Label</w:t>
            </w:r>
          </w:p>
        </w:tc>
        <w:tc>
          <w:tcPr>
            <w:tcW w:type="dxa" w:w="2016"/>
            <w:shd w:fill="1A1446" w:val="clear"/>
          </w:tcPr>
          <w:p>
            <w:r>
              <w:rPr>
                <w:rFonts w:ascii="Calibri" w:hAnsi="Calibri"/>
                <w:b/>
                <w:color w:val="FFFFFF"/>
                <w:sz w:val="18"/>
              </w:rPr>
              <w:t>Settlement Est.</w:t>
            </w:r>
          </w:p>
        </w:tc>
        <w:tc>
          <w:tcPr>
            <w:tcW w:type="dxa" w:w="2016"/>
            <w:shd w:fill="1A1446" w:val="clear"/>
          </w:tcPr>
          <w:p>
            <w:r>
              <w:rPr>
                <w:rFonts w:ascii="Calibri" w:hAnsi="Calibri"/>
                <w:b/>
                <w:color w:val="FFFFFF"/>
                <w:sz w:val="18"/>
              </w:rPr>
              <w:t>Defense Costs</w:t>
            </w:r>
          </w:p>
        </w:tc>
        <w:tc>
          <w:tcPr>
            <w:tcW w:type="dxa" w:w="2016"/>
            <w:shd w:fill="1A1446" w:val="clear"/>
          </w:tcPr>
          <w:p>
            <w:r>
              <w:rPr>
                <w:rFonts w:ascii="Calibri" w:hAnsi="Calibri"/>
                <w:b/>
                <w:color w:val="FFFFFF"/>
                <w:sz w:val="18"/>
              </w:rPr>
              <w:t>Total Exposure</w:t>
            </w:r>
          </w:p>
        </w:tc>
      </w:tr>
      <w:tr>
        <w:tc>
          <w:tcPr>
            <w:tcW w:type="dxa" w:w="2016"/>
          </w:tcPr>
          <w:p>
            <w:r>
              <w:rPr>
                <w:rFonts w:ascii="Calibri" w:hAnsi="Calibri"/>
                <w:color w:val="333333"/>
                <w:sz w:val="18"/>
              </w:rPr>
              <w:t>25th</w:t>
            </w:r>
          </w:p>
        </w:tc>
        <w:tc>
          <w:tcPr>
            <w:tcW w:type="dxa" w:w="2016"/>
          </w:tcPr>
          <w:p>
            <w:r>
              <w:rPr>
                <w:rFonts w:ascii="Calibri" w:hAnsi="Calibri"/>
                <w:color w:val="333333"/>
                <w:sz w:val="18"/>
              </w:rPr>
              <w:t>favorable</w:t>
            </w:r>
          </w:p>
        </w:tc>
        <w:tc>
          <w:tcPr>
            <w:tcW w:type="dxa" w:w="2016"/>
          </w:tcPr>
          <w:p>
            <w:r>
              <w:rPr>
                <w:rFonts w:ascii="Calibri" w:hAnsi="Calibri"/>
                <w:color w:val="333333"/>
                <w:sz w:val="18"/>
              </w:rPr>
              <w:t>$103.7M</w:t>
            </w:r>
          </w:p>
        </w:tc>
        <w:tc>
          <w:tcPr>
            <w:tcW w:type="dxa" w:w="2016"/>
          </w:tcPr>
          <w:p>
            <w:r>
              <w:rPr>
                <w:rFonts w:ascii="Calibri" w:hAnsi="Calibri"/>
                <w:color w:val="333333"/>
                <w:sz w:val="18"/>
              </w:rPr>
              <w:t>$15.6M</w:t>
            </w:r>
          </w:p>
        </w:tc>
        <w:tc>
          <w:tcPr>
            <w:tcW w:type="dxa" w:w="2016"/>
          </w:tcPr>
          <w:p>
            <w:r>
              <w:rPr>
                <w:rFonts w:ascii="Calibri" w:hAnsi="Calibri"/>
                <w:color w:val="333333"/>
                <w:sz w:val="18"/>
              </w:rPr>
              <w:t>$119.3M</w:t>
            </w:r>
          </w:p>
        </w:tc>
      </w:tr>
      <w:tr>
        <w:tc>
          <w:tcPr>
            <w:tcW w:type="dxa" w:w="2016"/>
            <w:shd w:fill="F2F4F8" w:val="clear"/>
          </w:tcPr>
          <w:p>
            <w:r>
              <w:rPr>
                <w:rFonts w:ascii="Calibri" w:hAnsi="Calibri"/>
                <w:color w:val="333333"/>
                <w:sz w:val="18"/>
              </w:rPr>
              <w:t>50th</w:t>
            </w:r>
          </w:p>
        </w:tc>
        <w:tc>
          <w:tcPr>
            <w:tcW w:type="dxa" w:w="2016"/>
            <w:shd w:fill="F2F4F8" w:val="clear"/>
          </w:tcPr>
          <w:p>
            <w:r>
              <w:rPr>
                <w:rFonts w:ascii="Calibri" w:hAnsi="Calibri"/>
                <w:color w:val="333333"/>
                <w:sz w:val="18"/>
              </w:rPr>
              <w:t>median</w:t>
            </w:r>
          </w:p>
        </w:tc>
        <w:tc>
          <w:tcPr>
            <w:tcW w:type="dxa" w:w="2016"/>
            <w:shd w:fill="F2F4F8" w:val="clear"/>
          </w:tcPr>
          <w:p>
            <w:r>
              <w:rPr>
                <w:rFonts w:ascii="Calibri" w:hAnsi="Calibri"/>
                <w:color w:val="333333"/>
                <w:sz w:val="18"/>
              </w:rPr>
              <w:t>$207.4M</w:t>
            </w:r>
          </w:p>
        </w:tc>
        <w:tc>
          <w:tcPr>
            <w:tcW w:type="dxa" w:w="2016"/>
            <w:shd w:fill="F2F4F8" w:val="clear"/>
          </w:tcPr>
          <w:p>
            <w:r>
              <w:rPr>
                <w:rFonts w:ascii="Calibri" w:hAnsi="Calibri"/>
                <w:color w:val="333333"/>
                <w:sz w:val="18"/>
              </w:rPr>
              <w:t>$41.5M</w:t>
            </w:r>
          </w:p>
        </w:tc>
        <w:tc>
          <w:tcPr>
            <w:tcW w:type="dxa" w:w="2016"/>
            <w:shd w:fill="F2F4F8" w:val="clear"/>
          </w:tcPr>
          <w:p>
            <w:r>
              <w:rPr>
                <w:rFonts w:ascii="Calibri" w:hAnsi="Calibri"/>
                <w:color w:val="333333"/>
                <w:sz w:val="18"/>
              </w:rPr>
              <w:t>$248.9M</w:t>
            </w:r>
          </w:p>
        </w:tc>
      </w:tr>
      <w:tr>
        <w:tc>
          <w:tcPr>
            <w:tcW w:type="dxa" w:w="2016"/>
          </w:tcPr>
          <w:p>
            <w:r>
              <w:rPr>
                <w:rFonts w:ascii="Calibri" w:hAnsi="Calibri"/>
                <w:color w:val="333333"/>
                <w:sz w:val="18"/>
              </w:rPr>
              <w:t>75th</w:t>
            </w:r>
          </w:p>
        </w:tc>
        <w:tc>
          <w:tcPr>
            <w:tcW w:type="dxa" w:w="2016"/>
          </w:tcPr>
          <w:p>
            <w:r>
              <w:rPr>
                <w:rFonts w:ascii="Calibri" w:hAnsi="Calibri"/>
                <w:color w:val="333333"/>
                <w:sz w:val="18"/>
              </w:rPr>
              <w:t>adverse</w:t>
            </w:r>
          </w:p>
        </w:tc>
        <w:tc>
          <w:tcPr>
            <w:tcW w:type="dxa" w:w="2016"/>
          </w:tcPr>
          <w:p>
            <w:r>
              <w:rPr>
                <w:rFonts w:ascii="Calibri" w:hAnsi="Calibri"/>
                <w:color w:val="333333"/>
                <w:sz w:val="18"/>
              </w:rPr>
              <w:t>$414.8M</w:t>
            </w:r>
          </w:p>
        </w:tc>
        <w:tc>
          <w:tcPr>
            <w:tcW w:type="dxa" w:w="2016"/>
          </w:tcPr>
          <w:p>
            <w:r>
              <w:rPr>
                <w:rFonts w:ascii="Calibri" w:hAnsi="Calibri"/>
                <w:color w:val="333333"/>
                <w:sz w:val="18"/>
              </w:rPr>
              <w:t>$103.7M</w:t>
            </w:r>
          </w:p>
        </w:tc>
        <w:tc>
          <w:tcPr>
            <w:tcW w:type="dxa" w:w="2016"/>
          </w:tcPr>
          <w:p>
            <w:r>
              <w:rPr>
                <w:rFonts w:ascii="Calibri" w:hAnsi="Calibri"/>
                <w:color w:val="333333"/>
                <w:sz w:val="18"/>
              </w:rPr>
              <w:t>$518.5M</w:t>
            </w:r>
          </w:p>
        </w:tc>
      </w:tr>
      <w:tr>
        <w:tc>
          <w:tcPr>
            <w:tcW w:type="dxa" w:w="2016"/>
            <w:shd w:fill="F2F4F8" w:val="clear"/>
          </w:tcPr>
          <w:p>
            <w:r>
              <w:rPr>
                <w:rFonts w:ascii="Calibri" w:hAnsi="Calibri"/>
                <w:color w:val="333333"/>
                <w:sz w:val="18"/>
              </w:rPr>
              <w:t>95th</w:t>
            </w:r>
          </w:p>
        </w:tc>
        <w:tc>
          <w:tcPr>
            <w:tcW w:type="dxa" w:w="2016"/>
            <w:shd w:fill="F2F4F8" w:val="clear"/>
          </w:tcPr>
          <w:p>
            <w:r>
              <w:rPr>
                <w:rFonts w:ascii="Calibri" w:hAnsi="Calibri"/>
                <w:color w:val="333333"/>
                <w:sz w:val="18"/>
              </w:rPr>
              <w:t>catastrophic</w:t>
            </w:r>
          </w:p>
        </w:tc>
        <w:tc>
          <w:tcPr>
            <w:tcW w:type="dxa" w:w="2016"/>
            <w:shd w:fill="F2F4F8" w:val="clear"/>
          </w:tcPr>
          <w:p>
            <w:r>
              <w:rPr>
                <w:rFonts w:ascii="Calibri" w:hAnsi="Calibri"/>
                <w:color w:val="333333"/>
                <w:sz w:val="18"/>
              </w:rPr>
              <w:t>$829.6M</w:t>
            </w:r>
          </w:p>
        </w:tc>
        <w:tc>
          <w:tcPr>
            <w:tcW w:type="dxa" w:w="2016"/>
            <w:shd w:fill="F2F4F8" w:val="clear"/>
          </w:tcPr>
          <w:p>
            <w:r>
              <w:rPr>
                <w:rFonts w:ascii="Calibri" w:hAnsi="Calibri"/>
                <w:color w:val="333333"/>
                <w:sz w:val="18"/>
              </w:rPr>
              <w:t>$248.9M</w:t>
            </w:r>
          </w:p>
        </w:tc>
        <w:tc>
          <w:tcPr>
            <w:tcW w:type="dxa" w:w="2016"/>
            <w:shd w:fill="F2F4F8" w:val="clear"/>
          </w:tcPr>
          <w:p>
            <w:r>
              <w:rPr>
                <w:rFonts w:ascii="Calibri" w:hAnsi="Calibri"/>
                <w:color w:val="333333"/>
                <w:sz w:val="18"/>
              </w:rPr>
              <w:t>$1.1B</w:t>
            </w:r>
          </w:p>
        </w:tc>
      </w:tr>
    </w:tbl>
    <w:p>
      <w:pPr>
        <w:pStyle w:val="DOHeading3"/>
      </w:pPr>
      <w:r>
        <w:t>Calibration Notes (SECT7-11)</w:t>
      </w:r>
    </w:p>
    <w:p>
      <w:pPr>
        <w:pStyle w:val="DOBody"/>
      </w:pPr>
      <w:r>
        <w:rPr>
          <w:i/>
          <w:sz w:val="16"/>
        </w:rPr>
        <w:t>The following items are flagged NEEDS CALIBRATION and require expert review before final pricing:</w:t>
      </w:r>
    </w:p>
    <w:p>
      <w:pPr>
        <w:pStyle w:val="DOBody"/>
      </w:pPr>
      <w:r>
        <w:t xml:space="preserve">  - SECT7-11: All scoring parameters require calibration against historical cases</w:t>
      </w:r>
    </w:p>
    <w:p>
      <w:pPr>
        <w:pStyle w:val="DOHeading3"/>
      </w:pPr>
      <w:r>
        <w:t>Factor Detail</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Factor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Deducted</w:t>
            </w:r>
          </w:p>
        </w:tc>
        <w:tc>
          <w:tcPr>
            <w:tcW w:type="dxa" w:w="2016"/>
            <w:shd w:fill="1A1446" w:val="clear"/>
          </w:tcPr>
          <w:p>
            <w:r>
              <w:rPr>
                <w:rFonts w:ascii="Calibri" w:hAnsi="Calibri"/>
                <w:b/>
                <w:color w:val="FFFFFF"/>
                <w:sz w:val="18"/>
              </w:rPr>
              <w:t>Rules Triggered</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F1</w:t>
            </w:r>
          </w:p>
        </w:tc>
        <w:tc>
          <w:tcPr>
            <w:tcW w:type="dxa" w:w="2016"/>
          </w:tcPr>
          <w:p>
            <w:r>
              <w:rPr>
                <w:rFonts w:ascii="Calibri" w:hAnsi="Calibri"/>
                <w:color w:val="333333"/>
                <w:sz w:val="18"/>
              </w:rPr>
              <w:t>Prior Litigation</w:t>
            </w:r>
          </w:p>
        </w:tc>
        <w:tc>
          <w:tcPr>
            <w:tcW w:type="dxa" w:w="2016"/>
          </w:tcPr>
          <w:p>
            <w:r>
              <w:rPr>
                <w:rFonts w:ascii="Calibri" w:hAnsi="Calibri"/>
                <w:color w:val="333333"/>
                <w:sz w:val="18"/>
              </w:rPr>
              <w:t>3.2</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70 signals, coverage=100%</w:t>
            </w:r>
          </w:p>
        </w:tc>
      </w:tr>
      <w:tr>
        <w:tc>
          <w:tcPr>
            <w:tcW w:type="dxa" w:w="2016"/>
            <w:shd w:fill="F2F4F8" w:val="clear"/>
          </w:tcPr>
          <w:p>
            <w:r>
              <w:rPr>
                <w:rFonts w:ascii="Calibri" w:hAnsi="Calibri"/>
                <w:color w:val="333333"/>
                <w:sz w:val="18"/>
              </w:rPr>
              <w:t>F2</w:t>
            </w:r>
          </w:p>
        </w:tc>
        <w:tc>
          <w:tcPr>
            <w:tcW w:type="dxa" w:w="2016"/>
            <w:shd w:fill="F2F4F8" w:val="clear"/>
          </w:tcPr>
          <w:p>
            <w:r>
              <w:rPr>
                <w:rFonts w:ascii="Calibri" w:hAnsi="Calibri"/>
                <w:color w:val="333333"/>
                <w:sz w:val="18"/>
              </w:rPr>
              <w:t>Stock Decline</w:t>
            </w:r>
          </w:p>
        </w:tc>
        <w:tc>
          <w:tcPr>
            <w:tcW w:type="dxa" w:w="2016"/>
            <w:shd w:fill="F2F4F8" w:val="clear"/>
          </w:tcPr>
          <w:p>
            <w:r>
              <w:rPr>
                <w:rFonts w:ascii="Calibri" w:hAnsi="Calibri"/>
                <w:color w:val="333333"/>
                <w:sz w:val="18"/>
              </w:rPr>
              <w:t>0.7</w:t>
            </w:r>
          </w:p>
        </w:tc>
        <w:tc>
          <w:tcPr>
            <w:tcW w:type="dxa" w:w="2016"/>
            <w:shd w:fill="F2F4F8" w:val="clear"/>
          </w:tcPr>
          <w:p>
            <w:r>
              <w:rPr>
                <w:rFonts w:ascii="Calibri" w:hAnsi="Calibri"/>
                <w:color w:val="333333"/>
                <w:sz w:val="18"/>
              </w:rPr>
              <w:t>drop_contribution_adjustment</w:t>
            </w:r>
          </w:p>
        </w:tc>
        <w:tc>
          <w:tcPr>
            <w:tcW w:type="dxa" w:w="2016"/>
            <w:shd w:fill="F2F4F8" w:val="clear"/>
          </w:tcPr>
          <w:p>
            <w:r>
              <w:rPr>
                <w:rFonts w:ascii="Calibri" w:hAnsi="Calibri"/>
                <w:color w:val="333333"/>
                <w:sz w:val="18"/>
              </w:rPr>
              <w:t>Signal-driven scoring: 30 signals, coverage=100%; Drop contribution modifier: 0.23x (decay + company-specific + disclosure)</w:t>
            </w:r>
          </w:p>
        </w:tc>
      </w:tr>
      <w:tr>
        <w:tc>
          <w:tcPr>
            <w:tcW w:type="dxa" w:w="2016"/>
          </w:tcPr>
          <w:p>
            <w:r>
              <w:rPr>
                <w:rFonts w:ascii="Calibri" w:hAnsi="Calibri"/>
                <w:color w:val="333333"/>
                <w:sz w:val="18"/>
              </w:rPr>
              <w:t>F3</w:t>
            </w:r>
          </w:p>
        </w:tc>
        <w:tc>
          <w:tcPr>
            <w:tcW w:type="dxa" w:w="2016"/>
          </w:tcPr>
          <w:p>
            <w:r>
              <w:rPr>
                <w:rFonts w:ascii="Calibri" w:hAnsi="Calibri"/>
                <w:color w:val="333333"/>
                <w:sz w:val="18"/>
              </w:rPr>
              <w:t>Restatement/Audit Issues</w:t>
            </w:r>
          </w:p>
        </w:tc>
        <w:tc>
          <w:tcPr>
            <w:tcW w:type="dxa" w:w="2016"/>
          </w:tcPr>
          <w:p>
            <w:r>
              <w:rPr>
                <w:rFonts w:ascii="Calibri" w:hAnsi="Calibri"/>
                <w:color w:val="333333"/>
                <w:sz w:val="18"/>
              </w:rPr>
              <w:t>1.5</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89 signals, coverage=100%</w:t>
            </w:r>
          </w:p>
        </w:tc>
      </w:tr>
      <w:tr>
        <w:tc>
          <w:tcPr>
            <w:tcW w:type="dxa" w:w="2016"/>
            <w:shd w:fill="F2F4F8" w:val="clear"/>
          </w:tcPr>
          <w:p>
            <w:r>
              <w:rPr>
                <w:rFonts w:ascii="Calibri" w:hAnsi="Calibri"/>
                <w:color w:val="333333"/>
                <w:sz w:val="18"/>
              </w:rPr>
              <w:t>F4</w:t>
            </w:r>
          </w:p>
        </w:tc>
        <w:tc>
          <w:tcPr>
            <w:tcW w:type="dxa" w:w="2016"/>
            <w:shd w:fill="F2F4F8" w:val="clear"/>
          </w:tcPr>
          <w:p>
            <w:r>
              <w:rPr>
                <w:rFonts w:ascii="Calibri" w:hAnsi="Calibri"/>
                <w:color w:val="333333"/>
                <w:sz w:val="18"/>
              </w:rPr>
              <w:t>IPO/SPAC/M&amp;A</w:t>
            </w:r>
          </w:p>
        </w:tc>
        <w:tc>
          <w:tcPr>
            <w:tcW w:type="dxa" w:w="2016"/>
            <w:shd w:fill="F2F4F8" w:val="clear"/>
          </w:tcPr>
          <w:p>
            <w:r>
              <w:rPr>
                <w:rFonts w:ascii="Calibri" w:hAnsi="Calibri"/>
                <w:color w:val="333333"/>
                <w:sz w:val="18"/>
              </w:rPr>
              <w:t>3.1</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16 signals, coverage=100%</w:t>
            </w:r>
          </w:p>
        </w:tc>
      </w:tr>
      <w:tr>
        <w:tc>
          <w:tcPr>
            <w:tcW w:type="dxa" w:w="2016"/>
          </w:tcPr>
          <w:p>
            <w:r>
              <w:rPr>
                <w:rFonts w:ascii="Calibri" w:hAnsi="Calibri"/>
                <w:color w:val="333333"/>
                <w:sz w:val="18"/>
              </w:rPr>
              <w:t>F5</w:t>
            </w:r>
          </w:p>
        </w:tc>
        <w:tc>
          <w:tcPr>
            <w:tcW w:type="dxa" w:w="2016"/>
          </w:tcPr>
          <w:p>
            <w:r>
              <w:rPr>
                <w:rFonts w:ascii="Calibri" w:hAnsi="Calibri"/>
                <w:color w:val="333333"/>
                <w:sz w:val="18"/>
              </w:rPr>
              <w:t>Guidance Misses</w:t>
            </w:r>
          </w:p>
        </w:tc>
        <w:tc>
          <w:tcPr>
            <w:tcW w:type="dxa" w:w="2016"/>
          </w:tcPr>
          <w:p>
            <w:r>
              <w:rPr>
                <w:rFonts w:ascii="Calibri" w:hAnsi="Calibri"/>
                <w:color w:val="333333"/>
                <w:sz w:val="18"/>
              </w:rPr>
              <w:t>0.3</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28 signals, coverage=100%</w:t>
            </w:r>
          </w:p>
        </w:tc>
      </w:tr>
      <w:tr>
        <w:tc>
          <w:tcPr>
            <w:tcW w:type="dxa" w:w="2016"/>
            <w:shd w:fill="F2F4F8" w:val="clear"/>
          </w:tcPr>
          <w:p>
            <w:r>
              <w:rPr>
                <w:rFonts w:ascii="Calibri" w:hAnsi="Calibri"/>
                <w:color w:val="333333"/>
                <w:sz w:val="18"/>
              </w:rPr>
              <w:t>F6</w:t>
            </w:r>
          </w:p>
        </w:tc>
        <w:tc>
          <w:tcPr>
            <w:tcW w:type="dxa" w:w="2016"/>
            <w:shd w:fill="F2F4F8" w:val="clear"/>
          </w:tcPr>
          <w:p>
            <w:r>
              <w:rPr>
                <w:rFonts w:ascii="Calibri" w:hAnsi="Calibri"/>
                <w:color w:val="333333"/>
                <w:sz w:val="18"/>
              </w:rPr>
              <w:t>Short Interest</w:t>
            </w:r>
          </w:p>
        </w:tc>
        <w:tc>
          <w:tcPr>
            <w:tcW w:type="dxa" w:w="2016"/>
            <w:shd w:fill="F2F4F8" w:val="clear"/>
          </w:tcPr>
          <w:p>
            <w:r>
              <w:rPr>
                <w:rFonts w:ascii="Calibri" w:hAnsi="Calibri"/>
                <w:color w:val="333333"/>
                <w:sz w:val="18"/>
              </w:rPr>
              <w:t>1.5</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30 signals, coverage=100%</w:t>
            </w:r>
          </w:p>
        </w:tc>
      </w:tr>
      <w:tr>
        <w:tc>
          <w:tcPr>
            <w:tcW w:type="dxa" w:w="2016"/>
          </w:tcPr>
          <w:p>
            <w:r>
              <w:rPr>
                <w:rFonts w:ascii="Calibri" w:hAnsi="Calibri"/>
                <w:color w:val="333333"/>
                <w:sz w:val="18"/>
              </w:rPr>
              <w:t>F7</w:t>
            </w:r>
          </w:p>
        </w:tc>
        <w:tc>
          <w:tcPr>
            <w:tcW w:type="dxa" w:w="2016"/>
          </w:tcPr>
          <w:p>
            <w:r>
              <w:rPr>
                <w:rFonts w:ascii="Calibri" w:hAnsi="Calibri"/>
                <w:color w:val="333333"/>
                <w:sz w:val="18"/>
              </w:rPr>
              <w:t>Stock Volatility</w:t>
            </w:r>
          </w:p>
        </w:tc>
        <w:tc>
          <w:tcPr>
            <w:tcW w:type="dxa" w:w="2016"/>
          </w:tcPr>
          <w:p>
            <w:r>
              <w:rPr>
                <w:rFonts w:ascii="Calibri" w:hAnsi="Calibri"/>
                <w:color w:val="333333"/>
                <w:sz w:val="18"/>
              </w:rPr>
              <w:t>0.6</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30 signals, coverage=100%</w:t>
            </w:r>
          </w:p>
        </w:tc>
      </w:tr>
      <w:tr>
        <w:tc>
          <w:tcPr>
            <w:tcW w:type="dxa" w:w="2016"/>
            <w:shd w:fill="F2F4F8" w:val="clear"/>
          </w:tcPr>
          <w:p>
            <w:r>
              <w:rPr>
                <w:rFonts w:ascii="Calibri" w:hAnsi="Calibri"/>
                <w:color w:val="333333"/>
                <w:sz w:val="18"/>
              </w:rPr>
              <w:t>F9</w:t>
            </w:r>
          </w:p>
        </w:tc>
        <w:tc>
          <w:tcPr>
            <w:tcW w:type="dxa" w:w="2016"/>
            <w:shd w:fill="F2F4F8" w:val="clear"/>
          </w:tcPr>
          <w:p>
            <w:r>
              <w:rPr>
                <w:rFonts w:ascii="Calibri" w:hAnsi="Calibri"/>
                <w:color w:val="333333"/>
                <w:sz w:val="18"/>
              </w:rPr>
              <w:t>Governance Issues</w:t>
            </w:r>
          </w:p>
        </w:tc>
        <w:tc>
          <w:tcPr>
            <w:tcW w:type="dxa" w:w="2016"/>
            <w:shd w:fill="F2F4F8" w:val="clear"/>
          </w:tcPr>
          <w:p>
            <w:r>
              <w:rPr>
                <w:rFonts w:ascii="Calibri" w:hAnsi="Calibri"/>
                <w:color w:val="333333"/>
                <w:sz w:val="18"/>
              </w:rPr>
              <w:t>0.7</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41 signals, coverage=100%</w:t>
            </w:r>
          </w:p>
        </w:tc>
      </w:tr>
      <w:tr>
        <w:tc>
          <w:tcPr>
            <w:tcW w:type="dxa" w:w="2016"/>
          </w:tcPr>
          <w:p>
            <w:r>
              <w:rPr>
                <w:rFonts w:ascii="Calibri" w:hAnsi="Calibri"/>
                <w:color w:val="333333"/>
                <w:sz w:val="18"/>
              </w:rPr>
              <w:t>F10</w:t>
            </w:r>
          </w:p>
        </w:tc>
        <w:tc>
          <w:tcPr>
            <w:tcW w:type="dxa" w:w="2016"/>
          </w:tcPr>
          <w:p>
            <w:r>
              <w:rPr>
                <w:rFonts w:ascii="Calibri" w:hAnsi="Calibri"/>
                <w:color w:val="333333"/>
                <w:sz w:val="18"/>
              </w:rPr>
              <w:t>Officer Stability</w:t>
            </w:r>
          </w:p>
        </w:tc>
        <w:tc>
          <w:tcPr>
            <w:tcW w:type="dxa" w:w="2016"/>
          </w:tcPr>
          <w:p>
            <w:r>
              <w:rPr>
                <w:rFonts w:ascii="Calibri" w:hAnsi="Calibri"/>
                <w:color w:val="333333"/>
                <w:sz w:val="18"/>
              </w:rPr>
              <w:t>0.1</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92 signals, coverage=100%</w:t>
            </w:r>
          </w:p>
        </w:tc>
      </w:tr>
    </w:tbl>
    <w:p>
      <w:pPr>
        <w:pStyle w:val="DOBody"/>
      </w:pPr>
      <w:r>
        <w:rPr>
          <w:b/>
          <w:sz w:val="20"/>
        </w:rPr>
        <w:t>Sub-Component Breakdown</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Factor</w:t>
            </w:r>
          </w:p>
        </w:tc>
        <w:tc>
          <w:tcPr>
            <w:tcW w:type="dxa" w:w="3360"/>
            <w:shd w:fill="1A1446" w:val="clear"/>
          </w:tcPr>
          <w:p>
            <w:r>
              <w:rPr>
                <w:rFonts w:ascii="Calibri" w:hAnsi="Calibri"/>
                <w:b/>
                <w:color w:val="FFFFFF"/>
                <w:sz w:val="18"/>
              </w:rPr>
              <w:t>Component</w:t>
            </w:r>
          </w:p>
        </w:tc>
        <w:tc>
          <w:tcPr>
            <w:tcW w:type="dxa" w:w="3360"/>
            <w:shd w:fill="1A1446" w:val="clear"/>
          </w:tcPr>
          <w:p>
            <w:r>
              <w:rPr>
                <w:rFonts w:ascii="Calibri" w:hAnsi="Calibri"/>
                <w:b/>
                <w:color w:val="FFFFFF"/>
                <w:sz w:val="18"/>
              </w:rPr>
              <w:t>Value</w:t>
            </w:r>
          </w:p>
        </w:tc>
      </w:tr>
      <w:tr>
        <w:tc>
          <w:tcPr>
            <w:tcW w:type="dxa" w:w="3360"/>
          </w:tcPr>
          <w:p>
            <w:r>
              <w:rPr>
                <w:rFonts w:ascii="Calibri" w:hAnsi="Calibri"/>
                <w:color w:val="333333"/>
                <w:sz w:val="18"/>
              </w:rPr>
              <w:t>F1</w:t>
            </w:r>
          </w:p>
        </w:tc>
        <w:tc>
          <w:tcPr>
            <w:tcW w:type="dxa" w:w="3360"/>
          </w:tcPr>
          <w:p>
            <w:r>
              <w:rPr>
                <w:rFonts w:ascii="Calibri" w:hAnsi="Calibri"/>
                <w:color w:val="333333"/>
                <w:sz w:val="18"/>
              </w:rPr>
              <w:t>base</w:t>
            </w:r>
          </w:p>
        </w:tc>
        <w:tc>
          <w:tcPr>
            <w:tcW w:type="dxa" w:w="3360"/>
          </w:tcPr>
          <w:p>
            <w:r>
              <w:rPr>
                <w:rFonts w:ascii="Calibri" w:hAnsi="Calibri"/>
                <w:color w:val="333333"/>
                <w:sz w:val="18"/>
              </w:rPr>
              <w:t>3.19</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3.19</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3.19</w:t>
            </w:r>
          </w:p>
        </w:tc>
      </w:tr>
      <w:tr>
        <w:tc>
          <w:tcPr>
            <w:tcW w:type="dxa" w:w="3360"/>
          </w:tcPr>
          <w:p>
            <w:r>
              <w:rPr>
                <w:rFonts w:ascii="Calibri" w:hAnsi="Calibri"/>
                <w:color w:val="333333"/>
                <w:sz w:val="18"/>
              </w:rPr>
              <w:t>F2</w:t>
            </w:r>
          </w:p>
        </w:tc>
        <w:tc>
          <w:tcPr>
            <w:tcW w:type="dxa" w:w="3360"/>
          </w:tcPr>
          <w:p>
            <w:r>
              <w:rPr>
                <w:rFonts w:ascii="Calibri" w:hAnsi="Calibri"/>
                <w:color w:val="333333"/>
                <w:sz w:val="18"/>
              </w:rPr>
              <w:t>base</w:t>
            </w:r>
          </w:p>
        </w:tc>
        <w:tc>
          <w:tcPr>
            <w:tcW w:type="dxa" w:w="3360"/>
          </w:tcPr>
          <w:p>
            <w:r>
              <w:rPr>
                <w:rFonts w:ascii="Calibri" w:hAnsi="Calibri"/>
                <w:color w:val="333333"/>
                <w:sz w:val="18"/>
              </w:rPr>
              <w:t>3.27</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drop_contribution_modifier</w:t>
            </w:r>
          </w:p>
        </w:tc>
        <w:tc>
          <w:tcPr>
            <w:tcW w:type="dxa" w:w="3360"/>
          </w:tcPr>
          <w:p>
            <w:r>
              <w:rPr>
                <w:rFonts w:ascii="Calibri" w:hAnsi="Calibri"/>
                <w:color w:val="333333"/>
                <w:sz w:val="18"/>
              </w:rPr>
              <w:t>0.23</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0.75</w:t>
            </w:r>
          </w:p>
        </w:tc>
      </w:tr>
      <w:tr>
        <w:tc>
          <w:tcPr>
            <w:tcW w:type="dxa" w:w="3360"/>
          </w:tcPr>
          <w:p>
            <w:r>
              <w:rPr>
                <w:rFonts w:ascii="Calibri" w:hAnsi="Calibri"/>
                <w:color w:val="333333"/>
                <w:sz w:val="18"/>
              </w:rPr>
              <w:t>F2</w:t>
            </w:r>
          </w:p>
        </w:tc>
        <w:tc>
          <w:tcPr>
            <w:tcW w:type="dxa" w:w="3360"/>
          </w:tcPr>
          <w:p>
            <w:r>
              <w:rPr>
                <w:rFonts w:ascii="Calibri" w:hAnsi="Calibri"/>
                <w:color w:val="333333"/>
                <w:sz w:val="18"/>
              </w:rPr>
              <w:t>capped</w:t>
            </w:r>
          </w:p>
        </w:tc>
        <w:tc>
          <w:tcPr>
            <w:tcW w:type="dxa" w:w="3360"/>
          </w:tcPr>
          <w:p>
            <w:r>
              <w:rPr>
                <w:rFonts w:ascii="Calibri" w:hAnsi="Calibri"/>
                <w:color w:val="333333"/>
                <w:sz w:val="18"/>
              </w:rPr>
              <w:t>0.75</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1.74</w:t>
            </w:r>
          </w:p>
        </w:tc>
      </w:tr>
      <w:tr>
        <w:tc>
          <w:tcPr>
            <w:tcW w:type="dxa" w:w="3360"/>
          </w:tcPr>
          <w:p>
            <w:r>
              <w:rPr>
                <w:rFonts w:ascii="Calibri" w:hAnsi="Calibri"/>
                <w:color w:val="333333"/>
                <w:sz w:val="18"/>
              </w:rPr>
              <w:t>F3</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F3</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1.74</w:t>
            </w:r>
          </w:p>
        </w:tc>
      </w:tr>
      <w:tr>
        <w:tc>
          <w:tcPr>
            <w:tcW w:type="dxa" w:w="3360"/>
          </w:tcPr>
          <w:p>
            <w:r>
              <w:rPr>
                <w:rFonts w:ascii="Calibri" w:hAnsi="Calibri"/>
                <w:color w:val="333333"/>
                <w:sz w:val="18"/>
              </w:rPr>
              <w:t>F3</w:t>
            </w:r>
          </w:p>
        </w:tc>
        <w:tc>
          <w:tcPr>
            <w:tcW w:type="dxa" w:w="3360"/>
          </w:tcPr>
          <w:p>
            <w:r>
              <w:rPr>
                <w:rFonts w:ascii="Calibri" w:hAnsi="Calibri"/>
                <w:color w:val="333333"/>
                <w:sz w:val="18"/>
              </w:rPr>
              <w:t>capped</w:t>
            </w:r>
          </w:p>
        </w:tc>
        <w:tc>
          <w:tcPr>
            <w:tcW w:type="dxa" w:w="3360"/>
          </w:tcPr>
          <w:p>
            <w:r>
              <w:rPr>
                <w:rFonts w:ascii="Calibri" w:hAnsi="Calibri"/>
                <w:color w:val="333333"/>
                <w:sz w:val="18"/>
              </w:rPr>
              <w:t>1.74</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F4</w:t>
            </w:r>
          </w:p>
        </w:tc>
        <w:tc>
          <w:tcPr>
            <w:tcW w:type="dxa" w:w="3360"/>
          </w:tcPr>
          <w:p>
            <w:r>
              <w:rPr>
                <w:rFonts w:ascii="Calibri" w:hAnsi="Calibri"/>
                <w:color w:val="333333"/>
                <w:sz w:val="18"/>
              </w:rPr>
              <w:t>base</w:t>
            </w:r>
          </w:p>
        </w:tc>
        <w:tc>
          <w:tcPr>
            <w:tcW w:type="dxa" w:w="3360"/>
          </w:tcPr>
          <w:p>
            <w:r>
              <w:rPr>
                <w:rFonts w:ascii="Calibri" w:hAnsi="Calibri"/>
                <w:color w:val="333333"/>
                <w:sz w:val="18"/>
              </w:rPr>
              <w:t>3.12</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3.12</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3.12</w:t>
            </w:r>
          </w:p>
        </w:tc>
      </w:tr>
      <w:tr>
        <w:tc>
          <w:tcPr>
            <w:tcW w:type="dxa" w:w="3360"/>
          </w:tcPr>
          <w:p>
            <w:r>
              <w:rPr>
                <w:rFonts w:ascii="Calibri" w:hAnsi="Calibri"/>
                <w:color w:val="333333"/>
                <w:sz w:val="18"/>
              </w:rPr>
              <w:t>F5</w:t>
            </w:r>
          </w:p>
        </w:tc>
        <w:tc>
          <w:tcPr>
            <w:tcW w:type="dxa" w:w="3360"/>
          </w:tcPr>
          <w:p>
            <w:r>
              <w:rPr>
                <w:rFonts w:ascii="Calibri" w:hAnsi="Calibri"/>
                <w:color w:val="333333"/>
                <w:sz w:val="18"/>
              </w:rPr>
              <w:t>base</w:t>
            </w:r>
          </w:p>
        </w:tc>
        <w:tc>
          <w:tcPr>
            <w:tcW w:type="dxa" w:w="3360"/>
          </w:tcPr>
          <w:p>
            <w:r>
              <w:rPr>
                <w:rFonts w:ascii="Calibri" w:hAnsi="Calibri"/>
                <w:color w:val="333333"/>
                <w:sz w:val="18"/>
              </w:rPr>
              <w:t>0.36</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F5</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F5</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0.36</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0.36</w:t>
            </w:r>
          </w:p>
        </w:tc>
      </w:tr>
      <w:tr>
        <w:tc>
          <w:tcPr>
            <w:tcW w:type="dxa" w:w="3360"/>
          </w:tcPr>
          <w:p>
            <w:r>
              <w:rPr>
                <w:rFonts w:ascii="Calibri" w:hAnsi="Calibri"/>
                <w:color w:val="333333"/>
                <w:sz w:val="18"/>
              </w:rPr>
              <w:t>F5</w:t>
            </w:r>
          </w:p>
        </w:tc>
        <w:tc>
          <w:tcPr>
            <w:tcW w:type="dxa" w:w="3360"/>
          </w:tcPr>
          <w:p>
            <w:r>
              <w:rPr>
                <w:rFonts w:ascii="Calibri" w:hAnsi="Calibri"/>
                <w:color w:val="333333"/>
                <w:sz w:val="18"/>
              </w:rPr>
              <w:t>pattern_modifier</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F6</w:t>
            </w:r>
          </w:p>
        </w:tc>
        <w:tc>
          <w:tcPr>
            <w:tcW w:type="dxa" w:w="3360"/>
          </w:tcPr>
          <w:p>
            <w:r>
              <w:rPr>
                <w:rFonts w:ascii="Calibri" w:hAnsi="Calibri"/>
                <w:color w:val="333333"/>
                <w:sz w:val="18"/>
              </w:rPr>
              <w:t>base</w:t>
            </w:r>
          </w:p>
        </w:tc>
        <w:tc>
          <w:tcPr>
            <w:tcW w:type="dxa" w:w="3360"/>
          </w:tcPr>
          <w:p>
            <w:r>
              <w:rPr>
                <w:rFonts w:ascii="Calibri" w:hAnsi="Calibri"/>
                <w:color w:val="333333"/>
                <w:sz w:val="18"/>
              </w:rPr>
              <w:t>1.79</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1.79</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1.79</w:t>
            </w:r>
          </w:p>
        </w:tc>
      </w:tr>
      <w:tr>
        <w:tc>
          <w:tcPr>
            <w:tcW w:type="dxa" w:w="3360"/>
          </w:tcPr>
          <w:p>
            <w:r>
              <w:rPr>
                <w:rFonts w:ascii="Calibri" w:hAnsi="Calibri"/>
                <w:color w:val="333333"/>
                <w:sz w:val="18"/>
              </w:rPr>
              <w:t>F6</w:t>
            </w:r>
          </w:p>
        </w:tc>
        <w:tc>
          <w:tcPr>
            <w:tcW w:type="dxa" w:w="3360"/>
          </w:tcPr>
          <w:p>
            <w:r>
              <w:rPr>
                <w:rFonts w:ascii="Calibri" w:hAnsi="Calibri"/>
                <w:color w:val="333333"/>
                <w:sz w:val="18"/>
              </w:rPr>
              <w:t>ies_amplification</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0.75</w:t>
            </w:r>
          </w:p>
        </w:tc>
      </w:tr>
      <w:tr>
        <w:tc>
          <w:tcPr>
            <w:tcW w:type="dxa" w:w="3360"/>
          </w:tcPr>
          <w:p>
            <w:r>
              <w:rPr>
                <w:rFonts w:ascii="Calibri" w:hAnsi="Calibri"/>
                <w:color w:val="333333"/>
                <w:sz w:val="18"/>
              </w:rPr>
              <w:t>F7</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F7</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0.75</w:t>
            </w:r>
          </w:p>
        </w:tc>
      </w:tr>
      <w:tr>
        <w:tc>
          <w:tcPr>
            <w:tcW w:type="dxa" w:w="3360"/>
          </w:tcPr>
          <w:p>
            <w:r>
              <w:rPr>
                <w:rFonts w:ascii="Calibri" w:hAnsi="Calibri"/>
                <w:color w:val="333333"/>
                <w:sz w:val="18"/>
              </w:rPr>
              <w:t>F7</w:t>
            </w:r>
          </w:p>
        </w:tc>
        <w:tc>
          <w:tcPr>
            <w:tcW w:type="dxa" w:w="3360"/>
          </w:tcPr>
          <w:p>
            <w:r>
              <w:rPr>
                <w:rFonts w:ascii="Calibri" w:hAnsi="Calibri"/>
                <w:color w:val="333333"/>
                <w:sz w:val="18"/>
              </w:rPr>
              <w:t>capped</w:t>
            </w:r>
          </w:p>
        </w:tc>
        <w:tc>
          <w:tcPr>
            <w:tcW w:type="dxa" w:w="3360"/>
          </w:tcPr>
          <w:p>
            <w:r>
              <w:rPr>
                <w:rFonts w:ascii="Calibri" w:hAnsi="Calibri"/>
                <w:color w:val="333333"/>
                <w:sz w:val="18"/>
              </w:rPr>
              <w:t>0.75</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ies_amplification</w:t>
            </w:r>
          </w:p>
        </w:tc>
        <w:tc>
          <w:tcPr>
            <w:tcW w:type="dxa" w:w="3360"/>
            <w:shd w:fill="F2F4F8" w:val="clear"/>
          </w:tcPr>
          <w:p>
            <w:r>
              <w:rPr>
                <w:rFonts w:ascii="Calibri" w:hAnsi="Calibri"/>
                <w:color w:val="333333"/>
                <w:sz w:val="18"/>
              </w:rPr>
              <w:t>0.85</w:t>
            </w:r>
          </w:p>
        </w:tc>
      </w:tr>
      <w:tr>
        <w:tc>
          <w:tcPr>
            <w:tcW w:type="dxa" w:w="3360"/>
          </w:tcPr>
          <w:p>
            <w:r>
              <w:rPr>
                <w:rFonts w:ascii="Calibri" w:hAnsi="Calibri"/>
                <w:color w:val="333333"/>
                <w:sz w:val="18"/>
              </w:rPr>
              <w:t>F9</w:t>
            </w:r>
          </w:p>
        </w:tc>
        <w:tc>
          <w:tcPr>
            <w:tcW w:type="dxa" w:w="3360"/>
          </w:tcPr>
          <w:p>
            <w:r>
              <w:rPr>
                <w:rFonts w:ascii="Calibri" w:hAnsi="Calibri"/>
                <w:color w:val="333333"/>
                <w:sz w:val="18"/>
              </w:rPr>
              <w:t>base</w:t>
            </w:r>
          </w:p>
        </w:tc>
        <w:tc>
          <w:tcPr>
            <w:tcW w:type="dxa" w:w="3360"/>
          </w:tcPr>
          <w:p>
            <w:r>
              <w:rPr>
                <w:rFonts w:ascii="Calibri" w:hAnsi="Calibri"/>
                <w:color w:val="333333"/>
                <w:sz w:val="18"/>
              </w:rPr>
              <w:t>0.83</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0.83</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0.83</w:t>
            </w:r>
          </w:p>
        </w:tc>
      </w:tr>
      <w:tr>
        <w:tc>
          <w:tcPr>
            <w:tcW w:type="dxa" w:w="3360"/>
          </w:tcPr>
          <w:p>
            <w:r>
              <w:rPr>
                <w:rFonts w:ascii="Calibri" w:hAnsi="Calibri"/>
                <w:color w:val="333333"/>
                <w:sz w:val="18"/>
              </w:rPr>
              <w:t>F9</w:t>
            </w:r>
          </w:p>
        </w:tc>
        <w:tc>
          <w:tcPr>
            <w:tcW w:type="dxa" w:w="3360"/>
          </w:tcPr>
          <w:p>
            <w:r>
              <w:rPr>
                <w:rFonts w:ascii="Calibri" w:hAnsi="Calibri"/>
                <w:color w:val="333333"/>
                <w:sz w:val="18"/>
              </w:rPr>
              <w:t>ies_amplification</w:t>
            </w:r>
          </w:p>
        </w:tc>
        <w:tc>
          <w:tcPr>
            <w:tcW w:type="dxa" w:w="3360"/>
          </w:tcPr>
          <w:p>
            <w:r>
              <w:rPr>
                <w:rFonts w:ascii="Calibri" w:hAnsi="Calibri"/>
                <w:color w:val="333333"/>
                <w:sz w:val="18"/>
              </w:rPr>
              <w:t>0.85</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0.11</w:t>
            </w:r>
          </w:p>
        </w:tc>
      </w:tr>
      <w:tr>
        <w:tc>
          <w:tcPr>
            <w:tcW w:type="dxa" w:w="3360"/>
          </w:tcPr>
          <w:p>
            <w:r>
              <w:rPr>
                <w:rFonts w:ascii="Calibri" w:hAnsi="Calibri"/>
                <w:color w:val="333333"/>
                <w:sz w:val="18"/>
              </w:rPr>
              <w:t>F10</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F10</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0.11</w:t>
            </w:r>
          </w:p>
        </w:tc>
      </w:tr>
      <w:tr>
        <w:tc>
          <w:tcPr>
            <w:tcW w:type="dxa" w:w="3360"/>
          </w:tcPr>
          <w:p>
            <w:r>
              <w:rPr>
                <w:rFonts w:ascii="Calibri" w:hAnsi="Calibri"/>
                <w:color w:val="333333"/>
                <w:sz w:val="18"/>
              </w:rPr>
              <w:t>F10</w:t>
            </w:r>
          </w:p>
        </w:tc>
        <w:tc>
          <w:tcPr>
            <w:tcW w:type="dxa" w:w="3360"/>
          </w:tcPr>
          <w:p>
            <w:r>
              <w:rPr>
                <w:rFonts w:ascii="Calibri" w:hAnsi="Calibri"/>
                <w:color w:val="333333"/>
                <w:sz w:val="18"/>
              </w:rPr>
              <w:t>capped</w:t>
            </w:r>
          </w:p>
        </w:tc>
        <w:tc>
          <w:tcPr>
            <w:tcW w:type="dxa" w:w="3360"/>
          </w:tcPr>
          <w:p>
            <w:r>
              <w:rPr>
                <w:rFonts w:ascii="Calibri" w:hAnsi="Calibri"/>
                <w:color w:val="333333"/>
                <w:sz w:val="18"/>
              </w:rPr>
              <w:t>0.11</w:t>
            </w:r>
          </w:p>
        </w:tc>
      </w:tr>
    </w:tbl>
    <w:p>
      <w:pPr>
        <w:pStyle w:val="DOHeading3"/>
      </w:pPr>
      <w:r>
        <w:t>Pattern Detection Results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Pattern</w:t>
            </w:r>
          </w:p>
        </w:tc>
        <w:tc>
          <w:tcPr>
            <w:tcW w:type="dxa" w:w="2520"/>
            <w:shd w:fill="1A1446" w:val="clear"/>
          </w:tcPr>
          <w:p>
            <w:r>
              <w:rPr>
                <w:rFonts w:ascii="Calibri" w:hAnsi="Calibri"/>
                <w:b/>
                <w:color w:val="FFFFFF"/>
                <w:sz w:val="18"/>
              </w:rPr>
              <w:t>Severity</w:t>
            </w:r>
          </w:p>
        </w:tc>
        <w:tc>
          <w:tcPr>
            <w:tcW w:type="dxa" w:w="2520"/>
            <w:shd w:fill="1A1446" w:val="clear"/>
          </w:tcPr>
          <w:p>
            <w:r>
              <w:rPr>
                <w:rFonts w:ascii="Calibri" w:hAnsi="Calibri"/>
                <w:b/>
                <w:color w:val="FFFFFF"/>
                <w:sz w:val="18"/>
              </w:rPr>
              <w:t>Triggers Matched</w:t>
            </w:r>
          </w:p>
        </w:tc>
        <w:tc>
          <w:tcPr>
            <w:tcW w:type="dxa" w:w="2520"/>
            <w:shd w:fill="1A1446" w:val="clear"/>
          </w:tcPr>
          <w:p>
            <w:r>
              <w:rPr>
                <w:rFonts w:ascii="Calibri" w:hAnsi="Calibri"/>
                <w:b/>
                <w:color w:val="FFFFFF"/>
                <w:sz w:val="18"/>
              </w:rPr>
              <w:t>Score Impact</w:t>
            </w:r>
          </w:p>
        </w:tc>
      </w:tr>
      <w:tr>
        <w:tc>
          <w:tcPr>
            <w:tcW w:type="dxa" w:w="2520"/>
          </w:tcPr>
          <w:p>
            <w:r>
              <w:rPr>
                <w:rFonts w:ascii="Calibri" w:hAnsi="Calibri"/>
                <w:color w:val="333333"/>
                <w:sz w:val="18"/>
              </w:rPr>
              <w:t>Guidance Track Record</w:t>
            </w:r>
          </w:p>
        </w:tc>
        <w:tc>
          <w:tcPr>
            <w:tcW w:type="dxa" w:w="2520"/>
          </w:tcPr>
          <w:p>
            <w:r>
              <w:rPr>
                <w:rFonts w:ascii="Calibri" w:hAnsi="Calibri"/>
                <w:color w:val="333333"/>
                <w:sz w:val="18"/>
              </w:rPr>
              <w:t>BASELINE</w:t>
            </w:r>
          </w:p>
        </w:tc>
        <w:tc>
          <w:tcPr>
            <w:tcW w:type="dxa" w:w="2520"/>
          </w:tcPr>
          <w:p>
            <w:r>
              <w:rPr>
                <w:rFonts w:ascii="Calibri" w:hAnsi="Calibri"/>
                <w:color w:val="333333"/>
                <w:sz w:val="18"/>
              </w:rPr>
            </w:r>
          </w:p>
        </w:tc>
        <w:tc>
          <w:tcPr>
            <w:tcW w:type="dxa" w:w="2520"/>
          </w:tcPr>
          <w:p>
            <w:r>
              <w:rPr>
                <w:rFonts w:ascii="Calibri" w:hAnsi="Calibri"/>
                <w:color w:val="333333"/>
                <w:sz w:val="18"/>
              </w:rPr>
              <w:t>F5: +0</w:t>
            </w:r>
          </w:p>
        </w:tc>
      </w:tr>
    </w:tbl>
    <w:p>
      <w:pPr>
        <w:pStyle w:val="DOHeading3"/>
      </w:pPr>
      <w:r>
        <w:t>Allegation Theory Mapping</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Theory</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Factor Sources</w:t>
            </w:r>
          </w:p>
        </w:tc>
        <w:tc>
          <w:tcPr>
            <w:tcW w:type="dxa" w:w="2520"/>
            <w:shd w:fill="1A1446" w:val="clear"/>
          </w:tcPr>
          <w:p>
            <w:r>
              <w:rPr>
                <w:rFonts w:ascii="Calibri" w:hAnsi="Calibri"/>
                <w:b/>
                <w:color w:val="FFFFFF"/>
                <w:sz w:val="18"/>
              </w:rPr>
              <w:t>Key Findings</w:t>
            </w:r>
          </w:p>
        </w:tc>
      </w:tr>
      <w:tr>
        <w:tc>
          <w:tcPr>
            <w:tcW w:type="dxa" w:w="2520"/>
          </w:tcPr>
          <w:p>
            <w:r>
              <w:rPr>
                <w:rFonts w:ascii="Calibri" w:hAnsi="Calibri"/>
                <w:color w:val="333333"/>
                <w:sz w:val="18"/>
              </w:rPr>
              <w:t>A_DISCLOSURE</w:t>
            </w:r>
          </w:p>
        </w:tc>
        <w:tc>
          <w:tcPr>
            <w:tcW w:type="dxa" w:w="2520"/>
          </w:tcPr>
          <w:p>
            <w:r>
              <w:rPr>
                <w:rFonts w:ascii="Calibri" w:hAnsi="Calibri"/>
                <w:color w:val="333333"/>
                <w:sz w:val="18"/>
              </w:rPr>
              <w:t>MODERATE</w:t>
            </w:r>
          </w:p>
        </w:tc>
        <w:tc>
          <w:tcPr>
            <w:tcW w:type="dxa" w:w="2520"/>
          </w:tcPr>
          <w:p>
            <w:r>
              <w:rPr>
                <w:rFonts w:ascii="Calibri" w:hAnsi="Calibri"/>
                <w:color w:val="333333"/>
                <w:sz w:val="18"/>
              </w:rPr>
              <w:t>F1, F3, F5</w:t>
            </w:r>
          </w:p>
        </w:tc>
        <w:tc>
          <w:tcPr>
            <w:tcW w:type="dxa" w:w="2520"/>
          </w:tcPr>
          <w:p>
            <w:r>
              <w:rPr>
                <w:rFonts w:ascii="Calibri" w:hAnsi="Calibri"/>
                <w:color w:val="333333"/>
                <w:sz w:val="18"/>
              </w:rPr>
              <w:t>F1: Signal-driven scoring: 70 signals, coverage=100%; F3: Signal-driven scoring: 89 signals, coverage=100%</w:t>
            </w:r>
          </w:p>
        </w:tc>
      </w:tr>
      <w:tr>
        <w:tc>
          <w:tcPr>
            <w:tcW w:type="dxa" w:w="2520"/>
            <w:shd w:fill="F2F4F8" w:val="clear"/>
          </w:tcPr>
          <w:p>
            <w:r>
              <w:rPr>
                <w:rFonts w:ascii="Calibri" w:hAnsi="Calibri"/>
                <w:color w:val="333333"/>
                <w:sz w:val="18"/>
              </w:rPr>
              <w:t>B_GUIDANCE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F2, F5</w:t>
            </w:r>
          </w:p>
        </w:tc>
        <w:tc>
          <w:tcPr>
            <w:tcW w:type="dxa" w:w="2520"/>
            <w:shd w:fill="F2F4F8" w:val="clear"/>
          </w:tcPr>
          <w:p>
            <w:r>
              <w:rPr>
                <w:rFonts w:ascii="Calibri" w:hAnsi="Calibri"/>
                <w:color w:val="333333"/>
                <w:sz w:val="18"/>
              </w:rPr>
              <w:t>F2: Signal-driven scoring: 30 signals, coverage=100%; F2: Drop contribution modifier: 0.23x (decay + company-specific + disclosure)</w:t>
            </w:r>
          </w:p>
        </w:tc>
      </w:tr>
      <w:tr>
        <w:tc>
          <w:tcPr>
            <w:tcW w:type="dxa" w:w="2520"/>
          </w:tcPr>
          <w:p>
            <w:r>
              <w:rPr>
                <w:rFonts w:ascii="Calibri" w:hAnsi="Calibri"/>
                <w:color w:val="333333"/>
                <w:sz w:val="18"/>
              </w:rPr>
              <w:t>C_PRODUCT_OPS</w:t>
            </w:r>
          </w:p>
        </w:tc>
        <w:tc>
          <w:tcPr>
            <w:tcW w:type="dxa" w:w="2520"/>
          </w:tcPr>
          <w:p>
            <w:r>
              <w:rPr>
                <w:rFonts w:ascii="Calibri" w:hAnsi="Calibri"/>
                <w:color w:val="333333"/>
                <w:sz w:val="18"/>
              </w:rPr>
              <w:t>LOW</w:t>
            </w:r>
          </w:p>
        </w:tc>
        <w:tc>
          <w:tcPr>
            <w:tcW w:type="dxa" w:w="2520"/>
          </w:tcPr>
          <w:p>
            <w:r>
              <w:rPr>
                <w:rFonts w:ascii="Calibri" w:hAnsi="Calibri"/>
                <w:color w:val="333333"/>
                <w:sz w:val="18"/>
              </w:rPr>
              <w:t>F7</w:t>
            </w:r>
          </w:p>
        </w:tc>
        <w:tc>
          <w:tcPr>
            <w:tcW w:type="dxa" w:w="2520"/>
          </w:tcPr>
          <w:p>
            <w:r>
              <w:rPr>
                <w:rFonts w:ascii="Calibri" w:hAnsi="Calibri"/>
                <w:color w:val="333333"/>
                <w:sz w:val="18"/>
              </w:rPr>
              <w:t>F7: Signal-driven scoring: 30 signals, coverage=100%; 2 regulatory proceedings</w:t>
            </w:r>
          </w:p>
        </w:tc>
      </w:tr>
      <w:tr>
        <w:tc>
          <w:tcPr>
            <w:tcW w:type="dxa" w:w="2520"/>
            <w:shd w:fill="F2F4F8" w:val="clear"/>
          </w:tcPr>
          <w:p>
            <w:r>
              <w:rPr>
                <w:rFonts w:ascii="Calibri" w:hAnsi="Calibri"/>
                <w:color w:val="333333"/>
                <w:sz w:val="18"/>
              </w:rPr>
              <w:t>D_GOVERNANCE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F9, F10</w:t>
            </w:r>
          </w:p>
        </w:tc>
        <w:tc>
          <w:tcPr>
            <w:tcW w:type="dxa" w:w="2520"/>
            <w:shd w:fill="F2F4F8" w:val="clear"/>
          </w:tcPr>
          <w:p>
            <w:r>
              <w:rPr>
                <w:rFonts w:ascii="Calibri" w:hAnsi="Calibri"/>
                <w:color w:val="333333"/>
                <w:sz w:val="18"/>
              </w:rPr>
              <w:t>F9: Signal-driven scoring: 41 signals, coverage=100%; F10: Signal-driven scoring: 92 signals, coverage=100%</w:t>
            </w:r>
          </w:p>
        </w:tc>
      </w:tr>
      <w:tr>
        <w:tc>
          <w:tcPr>
            <w:tcW w:type="dxa" w:w="2520"/>
          </w:tcPr>
          <w:p>
            <w:r>
              <w:rPr>
                <w:rFonts w:ascii="Calibri" w:hAnsi="Calibri"/>
                <w:color w:val="333333"/>
                <w:sz w:val="18"/>
              </w:rPr>
              <w:t>E_MA</w:t>
            </w:r>
          </w:p>
        </w:tc>
        <w:tc>
          <w:tcPr>
            <w:tcW w:type="dxa" w:w="2520"/>
          </w:tcPr>
          <w:p>
            <w:r>
              <w:rPr>
                <w:rFonts w:ascii="Calibri" w:hAnsi="Calibri"/>
                <w:color w:val="333333"/>
                <w:sz w:val="18"/>
              </w:rPr>
              <w:t>MODERATE</w:t>
            </w:r>
          </w:p>
        </w:tc>
        <w:tc>
          <w:tcPr>
            <w:tcW w:type="dxa" w:w="2520"/>
          </w:tcPr>
          <w:p>
            <w:r>
              <w:rPr>
                <w:rFonts w:ascii="Calibri" w:hAnsi="Calibri"/>
                <w:color w:val="333333"/>
                <w:sz w:val="18"/>
              </w:rPr>
              <w:t>F4</w:t>
            </w:r>
          </w:p>
        </w:tc>
        <w:tc>
          <w:tcPr>
            <w:tcW w:type="dxa" w:w="2520"/>
          </w:tcPr>
          <w:p>
            <w:r>
              <w:rPr>
                <w:rFonts w:ascii="Calibri" w:hAnsi="Calibri"/>
                <w:color w:val="333333"/>
                <w:sz w:val="18"/>
              </w:rPr>
              <w:t>F4: Signal-driven scoring: 16 signals, coverage=100%</w:t>
            </w:r>
          </w:p>
        </w:tc>
      </w:tr>
    </w:tbl>
    <w:p>
      <w:pPr>
        <w:pStyle w:val="DOBody"/>
      </w:pPr>
      <w:r>
        <w:rPr>
          <w:i/>
          <w:sz w:val="16"/>
        </w:rPr>
        <w:t>D&amp;O Context: Primary allegation exposure is A_DISCLOSURE. MODERATE exposure in: A_DISCLOSURE, E_MA.</w:t>
      </w:r>
    </w:p>
    <w:p>
      <w:pPr>
        <w:pStyle w:val="DOHeading3"/>
      </w:pPr>
      <w:r>
        <w:t>Claim Probability Detail</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Probability Band</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Range</w:t>
            </w:r>
          </w:p>
        </w:tc>
        <w:tc>
          <w:tcPr>
            <w:tcW w:type="dxa" w:w="5040"/>
            <w:shd w:fill="F2F4F8" w:val="clear"/>
          </w:tcPr>
          <w:p>
            <w:r>
              <w:rPr>
                <w:rFonts w:ascii="Calibri" w:hAnsi="Calibri"/>
                <w:color w:val="333333"/>
                <w:sz w:val="18"/>
              </w:rPr>
              <w:t>4.2% - 6.0%</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2.5%</w:t>
            </w:r>
          </w:p>
        </w:tc>
      </w:tr>
      <w:tr>
        <w:tc>
          <w:tcPr>
            <w:tcW w:type="dxa" w:w="5040"/>
            <w:shd w:fill="F2F4F8" w:val="clear"/>
          </w:tcPr>
          <w:p>
            <w:r>
              <w:rPr>
                <w:rFonts w:ascii="Calibri" w:hAnsi="Calibri"/>
                <w:color w:val="333333"/>
                <w:sz w:val="18"/>
              </w:rPr>
              <w:t>Adjustment Rationale</w:t>
            </w:r>
          </w:p>
        </w:tc>
        <w:tc>
          <w:tcPr>
            <w:tcW w:type="dxa" w:w="5040"/>
            <w:shd w:fill="F2F4F8" w:val="clear"/>
          </w:tcPr>
          <w:p>
            <w:r>
              <w:rPr>
                <w:rFonts w:ascii="Calibri" w:hAnsi="Calibri"/>
                <w:color w:val="333333"/>
                <w:sz w:val="18"/>
              </w:rPr>
              <w:t>Industry base rate: 2.5%. Tier WALK (15-20%): Substantially above base rate. Cri</w:t>
            </w:r>
          </w:p>
        </w:tc>
      </w:tr>
    </w:tbl>
    <w:p>
      <w:pPr>
        <w:pStyle w:val="DOBody"/>
      </w:pPr>
      <w:r>
        <w:rPr>
          <w:b/>
        </w:rPr>
        <w:t>Claim probability: MODERATE</w:t>
      </w:r>
      <w:r>
        <w:rPr>
          <w:b/>
          <w:color w:val="EAB308"/>
          <w:sz w:val="18"/>
        </w:rPr>
        <w:t xml:space="preserve"> [ELEVATED]</w:t>
      </w:r>
    </w:p>
    <w:p>
      <w:pPr>
        <w:pStyle w:val="DOHeading3"/>
      </w:pPr>
      <w:r>
        <w:t>Tower Position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Recommended Position</w:t>
            </w:r>
          </w:p>
        </w:tc>
        <w:tc>
          <w:tcPr>
            <w:tcW w:type="dxa" w:w="5040"/>
          </w:tcPr>
          <w:p>
            <w:r>
              <w:rPr>
                <w:rFonts w:ascii="Calibri" w:hAnsi="Calibri"/>
                <w:color w:val="333333"/>
                <w:sz w:val="18"/>
              </w:rPr>
              <w:t>HIGH_EXCESS</w:t>
            </w:r>
          </w:p>
        </w:tc>
      </w:tr>
      <w:tr>
        <w:tc>
          <w:tcPr>
            <w:tcW w:type="dxa" w:w="5040"/>
            <w:shd w:fill="F2F4F8" w:val="clear"/>
          </w:tcPr>
          <w:p>
            <w:r>
              <w:rPr>
                <w:rFonts w:ascii="Calibri" w:hAnsi="Calibri"/>
                <w:color w:val="333333"/>
                <w:sz w:val="18"/>
              </w:rPr>
              <w:t>Minimum Attachment</w:t>
            </w:r>
          </w:p>
        </w:tc>
        <w:tc>
          <w:tcPr>
            <w:tcW w:type="dxa" w:w="5040"/>
            <w:shd w:fill="F2F4F8" w:val="clear"/>
          </w:tcPr>
          <w:p>
            <w:r>
              <w:rPr>
                <w:rFonts w:ascii="Calibri" w:hAnsi="Calibri"/>
                <w:color w:val="333333"/>
                <w:sz w:val="18"/>
              </w:rPr>
              <w:t>$207.4M (based on 50th percentile settlement)</w:t>
            </w:r>
          </w:p>
        </w:tc>
      </w:tr>
      <w:tr>
        <w:tc>
          <w:tcPr>
            <w:tcW w:type="dxa" w:w="5040"/>
          </w:tcPr>
          <w:p>
            <w:r>
              <w:rPr>
                <w:rFonts w:ascii="Calibri" w:hAnsi="Calibri"/>
                <w:color w:val="333333"/>
                <w:sz w:val="18"/>
              </w:rPr>
              <w:t>Side A/DIC Assessment</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Position</w:t>
            </w:r>
          </w:p>
        </w:tc>
        <w:tc>
          <w:tcPr>
            <w:tcW w:type="dxa" w:w="2520"/>
            <w:shd w:fill="1A1446" w:val="clear"/>
          </w:tcPr>
          <w:p>
            <w:r>
              <w:rPr>
                <w:rFonts w:ascii="Calibri" w:hAnsi="Calibri"/>
                <w:b/>
                <w:color w:val="FFFFFF"/>
                <w:sz w:val="18"/>
              </w:rPr>
              <w:t>Risk Assessment</w:t>
            </w:r>
          </w:p>
        </w:tc>
        <w:tc>
          <w:tcPr>
            <w:tcW w:type="dxa" w:w="2520"/>
            <w:shd w:fill="1A1446" w:val="clear"/>
          </w:tcPr>
          <w:p>
            <w:r>
              <w:rPr>
                <w:rFonts w:ascii="Calibri" w:hAnsi="Calibri"/>
                <w:b/>
                <w:color w:val="FFFFFF"/>
                <w:sz w:val="18"/>
              </w:rPr>
              <w:t>Premium Guidance</w:t>
            </w:r>
          </w:p>
        </w:tc>
        <w:tc>
          <w:tcPr>
            <w:tcW w:type="dxa" w:w="2520"/>
            <w:shd w:fill="1A1446" w:val="clear"/>
          </w:tcPr>
          <w:p>
            <w:r>
              <w:rPr>
                <w:rFonts w:ascii="Calibri" w:hAnsi="Calibri"/>
                <w:b/>
                <w:color w:val="FFFFFF"/>
                <w:sz w:val="18"/>
              </w:rPr>
              <w:t>Attachment</w:t>
            </w:r>
          </w:p>
        </w:tc>
      </w:tr>
      <w:tr>
        <w:tc>
          <w:tcPr>
            <w:tcW w:type="dxa" w:w="2520"/>
          </w:tcPr>
          <w:p>
            <w:r>
              <w:rPr>
                <w:rFonts w:ascii="Calibri" w:hAnsi="Calibri"/>
                <w:color w:val="333333"/>
                <w:sz w:val="18"/>
              </w:rPr>
              <w:t>PRIMARY</w:t>
            </w:r>
          </w:p>
        </w:tc>
        <w:tc>
          <w:tcPr>
            <w:tcW w:type="dxa" w:w="2520"/>
          </w:tcPr>
          <w:p>
            <w:r>
              <w:rPr>
                <w:rFonts w:ascii="Calibri" w:hAnsi="Calibri"/>
                <w:color w:val="333333"/>
                <w:sz w:val="18"/>
              </w:rPr>
              <w:t>Primary layer carries 57% of expected loss exposur</w:t>
            </w:r>
          </w:p>
        </w:tc>
        <w:tc>
          <w:tcPr>
            <w:tcW w:type="dxa" w:w="2520"/>
          </w:tcPr>
          <w:p>
            <w:r>
              <w:rPr>
                <w:rFonts w:ascii="Calibri" w:hAnsi="Calibri"/>
                <w:color w:val="333333"/>
                <w:sz w:val="18"/>
              </w:rPr>
              <w:t>Full rate, slight discount for</w:t>
            </w:r>
          </w:p>
        </w:tc>
        <w:tc>
          <w:tcPr>
            <w:tcW w:type="dxa" w:w="2520"/>
          </w:tcPr>
          <w:p>
            <w:r>
              <w:rPr>
                <w:rFonts w:ascii="Calibri" w:hAnsi="Calibri"/>
                <w:color w:val="333333"/>
                <w:sz w:val="18"/>
              </w:rPr>
              <w:t>$0 ground-up</w:t>
            </w:r>
          </w:p>
        </w:tc>
      </w:tr>
      <w:tr>
        <w:tc>
          <w:tcPr>
            <w:tcW w:type="dxa" w:w="2520"/>
            <w:shd w:fill="F2F4F8" w:val="clear"/>
          </w:tcPr>
          <w:p>
            <w:r>
              <w:rPr>
                <w:rFonts w:ascii="Calibri" w:hAnsi="Calibri"/>
                <w:color w:val="333333"/>
                <w:sz w:val="18"/>
              </w:rPr>
              <w:t>LOW_EXCESS</w:t>
            </w:r>
          </w:p>
        </w:tc>
        <w:tc>
          <w:tcPr>
            <w:tcW w:type="dxa" w:w="2520"/>
            <w:shd w:fill="F2F4F8" w:val="clear"/>
          </w:tcPr>
          <w:p>
            <w:r>
              <w:rPr>
                <w:rFonts w:ascii="Calibri" w:hAnsi="Calibri"/>
                <w:color w:val="333333"/>
                <w:sz w:val="18"/>
              </w:rPr>
              <w:t>Low excess layer carries 18% of expected loss expo</w:t>
            </w:r>
          </w:p>
        </w:tc>
        <w:tc>
          <w:tcPr>
            <w:tcW w:type="dxa" w:w="2520"/>
            <w:shd w:fill="F2F4F8" w:val="clear"/>
          </w:tcPr>
          <w:p>
            <w:r>
              <w:rPr>
                <w:rFonts w:ascii="Calibri" w:hAnsi="Calibri"/>
                <w:color w:val="333333"/>
                <w:sz w:val="18"/>
              </w:rPr>
              <w:t>Market rate</w:t>
            </w:r>
          </w:p>
        </w:tc>
        <w:tc>
          <w:tcPr>
            <w:tcW w:type="dxa" w:w="2520"/>
            <w:shd w:fill="F2F4F8" w:val="clear"/>
          </w:tcPr>
          <w:p>
            <w:r>
              <w:rPr>
                <w:rFonts w:ascii="Calibri" w:hAnsi="Calibri"/>
                <w:color w:val="333333"/>
                <w:sz w:val="18"/>
              </w:rPr>
              <w:t>$5-15M xs $5-15M</w:t>
            </w:r>
          </w:p>
        </w:tc>
      </w:tr>
      <w:tr>
        <w:tc>
          <w:tcPr>
            <w:tcW w:type="dxa" w:w="2520"/>
          </w:tcPr>
          <w:p>
            <w:r>
              <w:rPr>
                <w:rFonts w:ascii="Calibri" w:hAnsi="Calibri"/>
                <w:color w:val="333333"/>
                <w:sz w:val="18"/>
              </w:rPr>
              <w:t>MID_EXCESS</w:t>
            </w:r>
          </w:p>
        </w:tc>
        <w:tc>
          <w:tcPr>
            <w:tcW w:type="dxa" w:w="2520"/>
          </w:tcPr>
          <w:p>
            <w:r>
              <w:rPr>
                <w:rFonts w:ascii="Calibri" w:hAnsi="Calibri"/>
                <w:color w:val="333333"/>
                <w:sz w:val="18"/>
              </w:rPr>
              <w:t>Mid excess layer carries 13% of expected loss expo</w:t>
            </w:r>
          </w:p>
        </w:tc>
        <w:tc>
          <w:tcPr>
            <w:tcW w:type="dxa" w:w="2520"/>
          </w:tcPr>
          <w:p>
            <w:r>
              <w:rPr>
                <w:rFonts w:ascii="Calibri" w:hAnsi="Calibri"/>
                <w:color w:val="333333"/>
                <w:sz w:val="18"/>
              </w:rPr>
              <w:t>Market to 1.3x</w:t>
            </w:r>
          </w:p>
        </w:tc>
        <w:tc>
          <w:tcPr>
            <w:tcW w:type="dxa" w:w="2520"/>
          </w:tcPr>
          <w:p>
            <w:r>
              <w:rPr>
                <w:rFonts w:ascii="Calibri" w:hAnsi="Calibri"/>
                <w:color w:val="333333"/>
                <w:sz w:val="18"/>
              </w:rPr>
              <w:t>$15-50M xs $15-50M</w:t>
            </w:r>
          </w:p>
        </w:tc>
      </w:tr>
      <w:tr>
        <w:tc>
          <w:tcPr>
            <w:tcW w:type="dxa" w:w="2520"/>
            <w:shd w:fill="F2F4F8" w:val="clear"/>
          </w:tcPr>
          <w:p>
            <w:r>
              <w:rPr>
                <w:rFonts w:ascii="Calibri" w:hAnsi="Calibri"/>
                <w:color w:val="333333"/>
                <w:sz w:val="18"/>
              </w:rPr>
              <w:t>HIGH_EXCESS</w:t>
            </w:r>
          </w:p>
        </w:tc>
        <w:tc>
          <w:tcPr>
            <w:tcW w:type="dxa" w:w="2520"/>
            <w:shd w:fill="F2F4F8" w:val="clear"/>
          </w:tcPr>
          <w:p>
            <w:r>
              <w:rPr>
                <w:rFonts w:ascii="Calibri" w:hAnsi="Calibri"/>
                <w:color w:val="333333"/>
                <w:sz w:val="18"/>
              </w:rPr>
              <w:t>High excess layer carries 11% of expected loss exp</w:t>
            </w:r>
          </w:p>
        </w:tc>
        <w:tc>
          <w:tcPr>
            <w:tcW w:type="dxa" w:w="2520"/>
            <w:shd w:fill="F2F4F8" w:val="clear"/>
          </w:tcPr>
          <w:p>
            <w:r>
              <w:rPr>
                <w:rFonts w:ascii="Calibri" w:hAnsi="Calibri"/>
                <w:color w:val="333333"/>
                <w:sz w:val="18"/>
              </w:rPr>
              <w:t>1.3-2x with attachment</w:t>
            </w:r>
          </w:p>
        </w:tc>
        <w:tc>
          <w:tcPr>
            <w:tcW w:type="dxa" w:w="2520"/>
            <w:shd w:fill="F2F4F8" w:val="clear"/>
          </w:tcPr>
          <w:p>
            <w:r>
              <w:rPr>
                <w:rFonts w:ascii="Calibri" w:hAnsi="Calibri"/>
                <w:color w:val="333333"/>
                <w:sz w:val="18"/>
              </w:rPr>
              <w:t>$50M+ xs $50M+</w:t>
            </w:r>
          </w:p>
        </w:tc>
      </w:tr>
      <w:tr>
        <w:tc>
          <w:tcPr>
            <w:tcW w:type="dxa" w:w="2520"/>
          </w:tcPr>
          <w:p>
            <w:r>
              <w:rPr>
                <w:rFonts w:ascii="Calibri" w:hAnsi="Calibri"/>
                <w:color w:val="333333"/>
                <w:sz w:val="18"/>
              </w:rPr>
              <w:t>DECLINE</w:t>
            </w:r>
          </w:p>
        </w:tc>
        <w:tc>
          <w:tcPr>
            <w:tcW w:type="dxa" w:w="2520"/>
          </w:tcPr>
          <w:p>
            <w:r>
              <w:rPr>
                <w:rFonts w:ascii="Calibri" w:hAnsi="Calibri"/>
                <w:color w:val="333333"/>
                <w:sz w:val="18"/>
              </w:rPr>
              <w:t>WALK+ with compounding factors</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bl>
    <w:p>
      <w:pPr>
        <w:pStyle w:val="DOHeading2"/>
      </w:pPr>
      <w:r>
        <w:t>Forensic Composite Scores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Composite</w:t>
            </w:r>
          </w:p>
        </w:tc>
        <w:tc>
          <w:tcPr>
            <w:tcW w:type="dxa" w:w="3360"/>
            <w:shd w:fill="1A1446" w:val="clear"/>
          </w:tcPr>
          <w:p>
            <w:r>
              <w:rPr>
                <w:rFonts w:ascii="Calibri" w:hAnsi="Calibri"/>
                <w:b/>
                <w:color w:val="FFFFFF"/>
                <w:sz w:val="18"/>
              </w:rPr>
              <w:t>Score</w:t>
            </w:r>
          </w:p>
        </w:tc>
        <w:tc>
          <w:tcPr>
            <w:tcW w:type="dxa" w:w="3360"/>
            <w:shd w:fill="1A1446" w:val="clear"/>
          </w:tcPr>
          <w:p>
            <w:r>
              <w:rPr>
                <w:rFonts w:ascii="Calibri" w:hAnsi="Calibri"/>
                <w:b/>
                <w:color w:val="FFFFFF"/>
                <w:sz w:val="18"/>
              </w:rPr>
              <w:t>Interpretation</w:t>
            </w:r>
          </w:p>
        </w:tc>
      </w:tr>
      <w:tr>
        <w:tc>
          <w:tcPr>
            <w:tcW w:type="dxa" w:w="3360"/>
          </w:tcPr>
          <w:p>
            <w:r>
              <w:rPr>
                <w:rFonts w:ascii="Calibri" w:hAnsi="Calibri"/>
                <w:color w:val="333333"/>
                <w:sz w:val="18"/>
              </w:rPr>
              <w:t>Financial Integrity Score (FIS)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r>
        <w:tc>
          <w:tcPr>
            <w:tcW w:type="dxa" w:w="3360"/>
            <w:shd w:fill="F2F4F8" w:val="clear"/>
          </w:tcPr>
          <w:p>
            <w:r>
              <w:rPr>
                <w:rFonts w:ascii="Calibri" w:hAnsi="Calibri"/>
                <w:color w:val="333333"/>
                <w:sz w:val="18"/>
              </w:rPr>
              <w:t>Reporting Quality Score (RQS)</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Not available</w:t>
            </w:r>
          </w:p>
        </w:tc>
      </w:tr>
      <w:tr>
        <w:tc>
          <w:tcPr>
            <w:tcW w:type="dxa" w:w="3360"/>
          </w:tcPr>
          <w:p>
            <w:r>
              <w:rPr>
                <w:rFonts w:ascii="Calibri" w:hAnsi="Calibri"/>
                <w:color w:val="333333"/>
                <w:sz w:val="18"/>
              </w:rPr>
              <w:t>Cash Flow Quality Score (CFQS)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bl>
    <w:p>
      <w:pPr>
        <w:pStyle w:val="DOHeading2"/>
      </w:pPr>
      <w:r>
        <w:t>Executive Risk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Weighted Score</w:t>
            </w:r>
          </w:p>
        </w:tc>
        <w:tc>
          <w:tcPr>
            <w:tcW w:type="dxa" w:w="5040"/>
          </w:tcPr>
          <w:p>
            <w:r>
              <w:rPr>
                <w:rFonts w:ascii="Calibri" w:hAnsi="Calibri"/>
                <w:color w:val="333333"/>
                <w:sz w:val="18"/>
              </w:rPr>
              <w:t>25</w:t>
            </w:r>
          </w:p>
        </w:tc>
      </w:tr>
      <w:tr>
        <w:tc>
          <w:tcPr>
            <w:tcW w:type="dxa" w:w="5040"/>
            <w:shd w:fill="F2F4F8" w:val="clear"/>
          </w:tcPr>
          <w:p>
            <w:r>
              <w:rPr>
                <w:rFonts w:ascii="Calibri" w:hAnsi="Calibri"/>
                <w:color w:val="333333"/>
                <w:sz w:val="18"/>
              </w:rPr>
              <w:t>Risk Level</w:t>
            </w:r>
          </w:p>
        </w:tc>
        <w:tc>
          <w:tcPr>
            <w:tcW w:type="dxa" w:w="5040"/>
            <w:shd w:fill="F2F4F8" w:val="clear"/>
          </w:tcPr>
          <w:p>
            <w:r>
              <w:rPr>
                <w:rFonts w:ascii="Calibri" w:hAnsi="Calibri"/>
                <w:color w:val="333333"/>
                <w:sz w:val="18"/>
              </w:rPr>
              <w:t>N/A</w:t>
            </w:r>
          </w:p>
        </w:tc>
      </w:tr>
    </w:tbl>
    <w:p>
      <w:pPr>
        <w:pStyle w:val="DOBody"/>
      </w:pPr>
      <w:r>
        <w:t>- [Joseph Creed (CEO)]: Prior litigation: title: Caterpillar CEO Joe Creed takes over added role as board chairman</w:t>
      </w:r>
    </w:p>
    <w:p>
      <w:pPr>
        <w:pStyle w:val="DOBody"/>
      </w:pPr>
      <w:r>
        <w:t>- [Joseph Creed (CEO)]: Prior litigation: summary: Joe Creed, a central Illinois native, now has an additional role at Caterpillar with Jim Um</w:t>
      </w:r>
    </w:p>
    <w:p>
      <w:pPr>
        <w:pStyle w:val="DOBody"/>
      </w:pPr>
      <w:r>
        <w:t>- [Joseph Creed (CEO)]: Prior litigation: url: https://www.pjstar.com/story/business/2026/04/02/caterpillar-ceo-joe-creed-now-also-chairman-of</w:t>
      </w:r>
    </w:p>
    <w:p>
      <w:pPr>
        <w:pStyle w:val="DOBody"/>
      </w:pPr>
      <w:r>
        <w:t>- [Of Shareholders (Director)]: Prior litigation: url: https://shareholdersfoundation.com/caterpillar-inc-nysecat-investor-securities-class-action-law</w:t>
      </w:r>
    </w:p>
    <w:p>
      <w:pPr>
        <w:pStyle w:val="DOBody"/>
      </w:pPr>
      <w:r>
        <w:t>- [Of Shareholders (Director)]: Prior litigation: snippet: If you purchased shares of Caterpillar Inc. (NYSE:CAT), you may have certain options. Pleas</w:t>
      </w:r>
    </w:p>
    <w:p>
      <w:pPr>
        <w:pStyle w:val="DOBody"/>
      </w:pPr>
      <w:r>
        <w:t>- [Of Shareholders (Director)]: Prior litigation: snippet: Caterpillar Inc on Wednesday won the dismissal of a lawsuit accusing the heavy machinery ma</w:t>
      </w:r>
    </w:p>
    <w:p>
      <w:pPr>
        <w:pStyle w:val="DOHeading2"/>
      </w:pPr>
      <w:r>
        <w:t>Temporal Signals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Type</w:t>
            </w:r>
          </w:p>
        </w:tc>
        <w:tc>
          <w:tcPr>
            <w:tcW w:type="dxa" w:w="2520"/>
            <w:shd w:fill="1A1446" w:val="clear"/>
          </w:tcPr>
          <w:p>
            <w:r>
              <w:rPr>
                <w:rFonts w:ascii="Calibri" w:hAnsi="Calibri"/>
                <w:b/>
                <w:color w:val="FFFFFF"/>
                <w:sz w:val="18"/>
              </w:rPr>
              <w:t>Direction</w:t>
            </w:r>
          </w:p>
        </w:tc>
        <w:tc>
          <w:tcPr>
            <w:tcW w:type="dxa" w:w="2520"/>
            <w:shd w:fill="1A1446" w:val="clear"/>
          </w:tcPr>
          <w:p>
            <w:r>
              <w:rPr>
                <w:rFonts w:ascii="Calibri" w:hAnsi="Calibri"/>
                <w:b/>
                <w:color w:val="FFFFFF"/>
                <w:sz w:val="18"/>
              </w:rPr>
              <w:t>Magnitude</w:t>
            </w:r>
          </w:p>
        </w:tc>
        <w:tc>
          <w:tcPr>
            <w:tcW w:type="dxa" w:w="2520"/>
            <w:shd w:fill="1A1446" w:val="clear"/>
          </w:tcPr>
          <w:p>
            <w:r>
              <w:rPr>
                <w:rFonts w:ascii="Calibri" w:hAnsi="Calibri"/>
                <w:b/>
                <w:color w:val="FFFFFF"/>
                <w:sz w:val="18"/>
              </w:rPr>
              <w:t>Description</w:t>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bl>
    <w:p>
      <w:pPr>
        <w:pStyle w:val="DOHeading2"/>
      </w:pPr>
      <w:r>
        <w:t>NLP Filing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Readability Score</w:t>
            </w:r>
          </w:p>
        </w:tc>
        <w:tc>
          <w:tcPr>
            <w:tcW w:type="dxa" w:w="5040"/>
          </w:tcPr>
          <w:p>
            <w:r>
              <w:rPr>
                <w:rFonts w:ascii="Calibri" w:hAnsi="Calibri"/>
                <w:color w:val="333333"/>
                <w:sz w:val="18"/>
              </w:rPr>
              <w:t>{'current_fog': 18.87, 'prior_fog': None, 'fog_change': None, 'current_flesch': 23.26, 'prior_flesch': None, 'classification': 'CURRENT_ONLY', 'evidence': 'Current Fog Index: 18.9 (prior year unavailable)'}</w:t>
            </w:r>
          </w:p>
        </w:tc>
      </w:tr>
      <w:tr>
        <w:tc>
          <w:tcPr>
            <w:tcW w:type="dxa" w:w="5040"/>
            <w:shd w:fill="F2F4F8" w:val="clear"/>
          </w:tcPr>
          <w:p>
            <w:r>
              <w:rPr>
                <w:rFonts w:ascii="Calibri" w:hAnsi="Calibri"/>
                <w:color w:val="333333"/>
                <w:sz w:val="18"/>
              </w:rPr>
              <w:t>Tone Assessment</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Risk Language Density</w:t>
            </w:r>
          </w:p>
        </w:tc>
        <w:tc>
          <w:tcPr>
            <w:tcW w:type="dxa" w:w="5040"/>
          </w:tcPr>
          <w:p>
            <w:r>
              <w:rPr>
                <w:rFonts w:ascii="Calibri" w:hAnsi="Calibri"/>
                <w:color w:val="333333"/>
                <w:sz w:val="18"/>
              </w:rPr>
              <w:t>N/A</w:t>
            </w:r>
          </w:p>
        </w:tc>
      </w:tr>
    </w:tbl>
    <w:p>
      <w:pPr>
        <w:pStyle w:val="DOHeading2"/>
      </w:pPr>
      <w:r>
        <w:t>Peril Assessment</w:t>
      </w:r>
    </w:p>
    <w:p>
      <w:pPr>
        <w:pStyle w:val="DOHeading3"/>
      </w:pPr>
      <w:r>
        <w:t>Plaintiff Peril Heat Map</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Plaintiff Type</w:t>
            </w:r>
          </w:p>
        </w:tc>
        <w:tc>
          <w:tcPr>
            <w:tcW w:type="dxa" w:w="3360"/>
            <w:shd w:fill="1A1446" w:val="clear"/>
          </w:tcPr>
          <w:p>
            <w:r>
              <w:rPr>
                <w:rFonts w:ascii="Calibri" w:hAnsi="Calibri"/>
                <w:b/>
                <w:color w:val="FFFFFF"/>
                <w:sz w:val="18"/>
              </w:rPr>
              <w:t>Probability</w:t>
            </w:r>
          </w:p>
        </w:tc>
        <w:tc>
          <w:tcPr>
            <w:tcW w:type="dxa" w:w="3360"/>
            <w:shd w:fill="1A1446" w:val="clear"/>
          </w:tcPr>
          <w:p>
            <w:r>
              <w:rPr>
                <w:rFonts w:ascii="Calibri" w:hAnsi="Calibri"/>
                <w:b/>
                <w:color w:val="FFFFFF"/>
                <w:sz w:val="18"/>
              </w:rPr>
              <w:t>Severity</w:t>
            </w:r>
          </w:p>
        </w:tc>
      </w:tr>
      <w:tr>
        <w:tc>
          <w:tcPr>
            <w:tcW w:type="dxa" w:w="3360"/>
          </w:tcPr>
          <w:p>
            <w:r>
              <w:rPr>
                <w:rFonts w:ascii="Calibri" w:hAnsi="Calibri"/>
                <w:b/>
                <w:color w:val="333333"/>
                <w:sz w:val="18"/>
              </w:rPr>
              <w:t>Shareholders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Regulators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Customers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Competitors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Employees</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r>
        <w:tc>
          <w:tcPr>
            <w:tcW w:type="dxa" w:w="3360"/>
          </w:tcPr>
          <w:p>
            <w:r>
              <w:rPr>
                <w:rFonts w:ascii="Calibri" w:hAnsi="Calibri"/>
                <w:b/>
                <w:color w:val="333333"/>
                <w:sz w:val="18"/>
              </w:rPr>
              <w:t>Creditors</w:t>
            </w:r>
          </w:p>
        </w:tc>
        <w:tc>
          <w:tcPr>
            <w:tcW w:type="dxa" w:w="3360"/>
            <w:shd w:fill="FFE0B2" w:val="clear"/>
          </w:tcPr>
          <w:p>
            <w:r>
              <w:rPr>
                <w:rFonts w:ascii="Calibri" w:hAnsi="Calibri"/>
                <w:b/>
                <w:color w:val="E67300"/>
                <w:sz w:val="18"/>
              </w:rPr>
              <w:t>MODERATE</w:t>
            </w:r>
          </w:p>
        </w:tc>
        <w:tc>
          <w:tcPr>
            <w:tcW w:type="dxa" w:w="3360"/>
            <w:shd w:fill="FFE0B2" w:val="clear"/>
          </w:tcPr>
          <w:p>
            <w:r>
              <w:rPr>
                <w:rFonts w:ascii="Calibri" w:hAnsi="Calibri"/>
                <w:b/>
                <w:color w:val="333333"/>
                <w:sz w:val="18"/>
              </w:rPr>
              <w:t>MODERATE</w:t>
            </w:r>
          </w:p>
        </w:tc>
      </w:tr>
      <w:tr>
        <w:tc>
          <w:tcPr>
            <w:tcW w:type="dxa" w:w="3360"/>
          </w:tcPr>
          <w:p>
            <w:r>
              <w:rPr>
                <w:rFonts w:ascii="Calibri" w:hAnsi="Calibri"/>
                <w:b/>
                <w:color w:val="333333"/>
                <w:sz w:val="18"/>
              </w:rPr>
              <w:t>Government</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bl>
    <w:p>
      <w:pPr>
        <w:pStyle w:val="DOBody"/>
      </w:pPr>
      <w:r>
        <w:rPr>
          <w:color w:val="666666"/>
          <w:sz w:val="16"/>
        </w:rPr>
        <w:t>Shareholders: 57 triggered checks. Key: Litigation History Profile: 1 (elevated vs benchmark of 0)</w:t>
      </w:r>
    </w:p>
    <w:p>
      <w:pPr>
        <w:pStyle w:val="DOBody"/>
      </w:pPr>
      <w:r>
        <w:rPr>
          <w:color w:val="666666"/>
          <w:sz w:val="16"/>
        </w:rPr>
        <w:t>Regulators: 22 triggered checks. Key: Disclosure Complexity Score: 27 (elevated vs benchmark of 25)</w:t>
      </w:r>
    </w:p>
    <w:p>
      <w:pPr>
        <w:pStyle w:val="DOBody"/>
      </w:pPr>
      <w:r>
        <w:rPr>
          <w:color w:val="666666"/>
          <w:sz w:val="16"/>
        </w:rPr>
        <w:t>Creditors: 3 triggered checks. Key: Credit Facility Utilization: 3500 (elevated vs benchmark of 90)</w:t>
      </w:r>
    </w:p>
    <w:p>
      <w:pPr>
        <w:pStyle w:val="DOHeading3"/>
      </w:pPr>
      <w:r>
        <w:t>Bear Cases</w:t>
      </w:r>
    </w:p>
    <w:p>
      <w:pPr>
        <w:pStyle w:val="DOHeading3"/>
      </w:pPr>
      <w:r>
        <w:t>Bear Case: A Disclosure</w:t>
      </w:r>
    </w:p>
    <w:p>
      <w:pPr>
        <w:pStyle w:val="DOBody"/>
      </w:pPr>
      <w:r>
        <w:rPr>
          <w:b/>
        </w:rPr>
        <w:t>CATERPILLAR INC faces elevated exposure to securities disclosure fraud claims. Key risk indicators: Litigation History Profile (critical); VIE/SPE Off-Balance-Sheet Structures (critical). Estimated severity is significant, warranting detailed underwriter review.</w:t>
      </w:r>
    </w:p>
    <w:p>
      <w:pPr>
        <w:pStyle w:val="DOBody"/>
      </w:pPr>
      <w:r>
        <w:rPr>
          <w:i/>
        </w:rPr>
        <w:t>Defense: Defense: No active Section 11 windows — statute of limitations expired for offering claims</w:t>
      </w:r>
    </w:p>
    <w:p>
      <w:pPr>
        <w:pStyle w:val="DOBody"/>
      </w:pPr>
      <w:r>
        <w:rPr>
          <w:b/>
          <w:sz w:val="20"/>
        </w:rPr>
        <w:t>Evidence Chain</w:t>
      </w:r>
    </w:p>
    <w:p>
      <w:pPr>
        <w:pStyle w:val="DOBody"/>
      </w:pPr>
      <w:r>
        <w:rPr>
          <w:sz w:val="16"/>
        </w:rPr>
        <w:t>1. [BIZ.CLASS.litigation_history] Litigation History Profile (Source: total_sca_count)</w:t>
      </w:r>
    </w:p>
    <w:p>
      <w:pPr>
        <w:pStyle w:val="DOBody"/>
      </w:pPr>
      <w:r>
        <w:rPr>
          <w:sz w:val="16"/>
        </w:rPr>
        <w:t>2. [BIZ.STRUCT.vie_spe] VIE/SPE Off-Balance-Sheet Structures (Source: vie_spe_present)</w:t>
      </w:r>
    </w:p>
    <w:p>
      <w:pPr>
        <w:pStyle w:val="DOBody"/>
      </w:pPr>
      <w:r>
        <w:rPr>
          <w:sz w:val="16"/>
        </w:rPr>
        <w:t>3. [BIZ.EVENT.ipo_exposure] IPO/Offering Exposure Window (Source: event_ipo_exposure_score)</w:t>
      </w:r>
    </w:p>
    <w:p>
      <w:pPr>
        <w:pStyle w:val="DOBody"/>
      </w:pPr>
      <w:r>
        <w:rPr>
          <w:sz w:val="16"/>
        </w:rPr>
        <w:t>4. [BIZ.OPS.workforce] Workforce Distribution (Source: workforce_distribution)</w:t>
      </w:r>
    </w:p>
    <w:p>
      <w:pPr>
        <w:pStyle w:val="DOBody"/>
      </w:pPr>
      <w:r>
        <w:rPr>
          <w:sz w:val="16"/>
        </w:rPr>
        <w:t>5. [BIZ.STRUC.obs_exposure] Off-Balance-Sheet Exposure (Source: obs_exposure_score)</w:t>
      </w:r>
    </w:p>
    <w:p>
      <w:pPr>
        <w:pStyle w:val="DOBody"/>
      </w:pPr>
      <w:r>
        <w:rPr>
          <w:sz w:val="16"/>
        </w:rPr>
        <w:t>6. [DISC.YOY.removed_risk_factors] Removed Risk Factors (YoY) (Source: yoy_removed_risk_count)</w:t>
      </w:r>
    </w:p>
    <w:p>
      <w:pPr>
        <w:pStyle w:val="DOBody"/>
      </w:pPr>
      <w:r>
        <w:rPr>
          <w:sz w:val="16"/>
        </w:rPr>
        <w:t>7. [EXEC.PRIOR_LIT.any_officer] Any Officer With Prior Litigation at Previous Company (Source: value)</w:t>
      </w:r>
    </w:p>
    <w:p>
      <w:pPr>
        <w:pStyle w:val="DOBody"/>
      </w:pPr>
      <w:r>
        <w:rPr>
          <w:sz w:val="16"/>
        </w:rPr>
        <w:t>8. [EXEC.PRIOR_LIT.ceo_cfo] CEO or CFO With Prior Litigation (Source: value)</w:t>
      </w:r>
    </w:p>
    <w:p>
      <w:pPr>
        <w:pStyle w:val="DOBody"/>
      </w:pPr>
      <w:r>
        <w:rPr>
          <w:sz w:val="16"/>
        </w:rPr>
        <w:t>9. [EXEC.INSIDER.ceo_net_selling] CEO Net Seller of Stock (Source: value)</w:t>
      </w:r>
    </w:p>
    <w:p>
      <w:pPr>
        <w:pStyle w:val="DOBody"/>
      </w:pPr>
      <w:r>
        <w:rPr>
          <w:sz w:val="16"/>
        </w:rPr>
        <w:t>10. [EXEC.AGGREGATE.board_risk] Board Aggregate Risk Score (Source: value)</w:t>
      </w:r>
    </w:p>
    <w:p>
      <w:pPr>
        <w:pStyle w:val="DOBody"/>
      </w:pPr>
      <w:r>
        <w:rPr>
          <w:color w:val="666666"/>
          <w:sz w:val="16"/>
        </w:rPr>
        <w:t>Probability: ELEVATED | Severity: SIGNIFICANT</w:t>
      </w:r>
    </w:p>
    <w:p>
      <w:pPr>
        <w:pStyle w:val="DOHeading3"/>
      </w:pPr>
      <w:r>
        <w:t>Bear Case: E Ma</w:t>
      </w:r>
    </w:p>
    <w:p>
      <w:pPr>
        <w:pStyle w:val="DOBody"/>
      </w:pPr>
      <w:r>
        <w:rPr>
          <w:b/>
        </w:rPr>
        <w:t>CATERPILLAR INC faces elevated exposure to M&amp;A-related claims. Key risk indicators: Litigation History Profile (critical); VIE/SPE Off-Balance-Sheet Structures (critical). Estimated severity is significant, warranting detailed underwriter review.</w:t>
      </w:r>
    </w:p>
    <w:p>
      <w:pPr>
        <w:pStyle w:val="DOBody"/>
      </w:pPr>
      <w:r>
        <w:rPr>
          <w:b/>
          <w:sz w:val="20"/>
        </w:rPr>
        <w:t>Evidence Chain</w:t>
      </w:r>
    </w:p>
    <w:p>
      <w:pPr>
        <w:pStyle w:val="DOBody"/>
      </w:pPr>
      <w:r>
        <w:rPr>
          <w:sz w:val="16"/>
        </w:rPr>
        <w:t>1. [BIZ.CLASS.litigation_history] Litigation History Profile (Source: total_sca_count)</w:t>
      </w:r>
    </w:p>
    <w:p>
      <w:pPr>
        <w:pStyle w:val="DOBody"/>
      </w:pPr>
      <w:r>
        <w:rPr>
          <w:sz w:val="16"/>
        </w:rPr>
        <w:t>2. [BIZ.STRUCT.vie_spe] VIE/SPE Off-Balance-Sheet Structures (Source: vie_spe_present)</w:t>
      </w:r>
    </w:p>
    <w:p>
      <w:pPr>
        <w:pStyle w:val="DOBody"/>
      </w:pPr>
      <w:r>
        <w:rPr>
          <w:sz w:val="16"/>
        </w:rPr>
        <w:t>3. [BIZ.EVENT.ipo_exposure] IPO/Offering Exposure Window (Source: event_ipo_exposure_score)</w:t>
      </w:r>
    </w:p>
    <w:p>
      <w:pPr>
        <w:pStyle w:val="DOBody"/>
      </w:pPr>
      <w:r>
        <w:rPr>
          <w:sz w:val="16"/>
        </w:rPr>
        <w:t>4. [BIZ.OPS.workforce] Workforce Distribution (Source: workforce_distribution)</w:t>
      </w:r>
    </w:p>
    <w:p>
      <w:pPr>
        <w:pStyle w:val="DOBody"/>
      </w:pPr>
      <w:r>
        <w:rPr>
          <w:sz w:val="16"/>
        </w:rPr>
        <w:t>5. [BIZ.STRUC.obs_exposure] Off-Balance-Sheet Exposure (Source: obs_exposure_score)</w:t>
      </w:r>
    </w:p>
    <w:p>
      <w:pPr>
        <w:pStyle w:val="DOBody"/>
      </w:pPr>
      <w:r>
        <w:rPr>
          <w:sz w:val="16"/>
        </w:rPr>
        <w:t>6. [DISC.YOY.removed_risk_factors] Removed Risk Factors (YoY) (Source: yoy_removed_risk_count)</w:t>
      </w:r>
    </w:p>
    <w:p>
      <w:pPr>
        <w:pStyle w:val="DOBody"/>
      </w:pPr>
      <w:r>
        <w:rPr>
          <w:sz w:val="16"/>
        </w:rPr>
        <w:t>7. [EXEC.PRIOR_LIT.any_officer] Any Officer With Prior Litigation at Previous Company (Source: value)</w:t>
      </w:r>
    </w:p>
    <w:p>
      <w:pPr>
        <w:pStyle w:val="DOBody"/>
      </w:pPr>
      <w:r>
        <w:rPr>
          <w:sz w:val="16"/>
        </w:rPr>
        <w:t>8. [EXEC.PRIOR_LIT.ceo_cfo] CEO or CFO With Prior Litigation (Source: value)</w:t>
      </w:r>
    </w:p>
    <w:p>
      <w:pPr>
        <w:pStyle w:val="DOBody"/>
      </w:pPr>
      <w:r>
        <w:rPr>
          <w:sz w:val="16"/>
        </w:rPr>
        <w:t>9. [EXEC.INSIDER.ceo_net_selling] CEO Net Seller of Stock (Source: value)</w:t>
      </w:r>
    </w:p>
    <w:p>
      <w:pPr>
        <w:pStyle w:val="DOBody"/>
      </w:pPr>
      <w:r>
        <w:rPr>
          <w:sz w:val="16"/>
        </w:rPr>
        <w:t>10. [EXEC.AGGREGATE.board_risk] Board Aggregate Risk Score (Source: value)</w:t>
      </w:r>
    </w:p>
    <w:p>
      <w:pPr>
        <w:pStyle w:val="DOBody"/>
      </w:pPr>
      <w:r>
        <w:rPr>
          <w:color w:val="666666"/>
          <w:sz w:val="16"/>
        </w:rPr>
        <w:t>Probability: ELEVATED | Severity: SIGNIFICANT</w:t>
      </w:r>
    </w:p>
    <w:p>
      <w:pPr>
        <w:pStyle w:val="DOHeading3"/>
      </w:pPr>
      <w:r>
        <w:t>Settlement Prediction</w:t>
      </w:r>
    </w:p>
    <w:p>
      <w:pPr>
        <w:pStyle w:val="DOBody"/>
      </w:pPr>
      <w:r>
        <w:t>Settlement prediction computed but no scenarios available.</w:t>
      </w:r>
    </w:p>
    <w:p>
      <w:pPr>
        <w:pStyle w:val="DOHeading3"/>
      </w:pPr>
      <w:r>
        <w:t>Tower Risk Characterization</w:t>
      </w:r>
    </w:p>
    <w:p>
      <w:pPr>
        <w:pStyle w:val="DOBody"/>
      </w:pPr>
      <w:r>
        <w:t>Tower characterization not available.</w:t>
      </w:r>
    </w:p>
    <w:p>
      <w:pPr>
        <w:pStyle w:val="DOHeading2"/>
      </w:pPr>
      <w:r>
        <w:t>Coverage Gaps -- Data Not Available</w:t>
      </w:r>
    </w:p>
    <w:p>
      <w:pPr>
        <w:pStyle w:val="DOBody"/>
      </w:pPr>
      <w:r>
        <w:rPr>
          <w:i/>
        </w:rPr>
        <w:t>The following checks could not be evaluated because required data was not acquired. These items are NOT cleared -- they represent gaps in coverage that should be considered in the underwriting decision.</w:t>
      </w:r>
    </w:p>
    <w:p>
      <w:pPr>
        <w:pStyle w:val="DOHeading3"/>
      </w:pPr>
      <w:r>
        <w:t>Executive Summary &amp; Key Metrics</w:t>
      </w:r>
    </w:p>
    <w:p>
      <w:pPr>
        <w:pStyle w:val="DOBody"/>
      </w:pPr>
      <w:r>
        <w:rPr>
          <w:b/>
          <w:sz w:val="16"/>
        </w:rPr>
        <w:t xml:space="preserve">  [REQUIRED] </w:t>
      </w:r>
      <w:r>
        <w:rPr>
          <w:sz w:val="16"/>
        </w:rPr>
        <w:t>BIZ.SIZE.growth_trajectory (Public Company Tenure): Required data not available from filings</w:t>
      </w:r>
    </w:p>
    <w:p>
      <w:pPr>
        <w:pStyle w:val="DOBody"/>
      </w:pPr>
      <w:r>
        <w:rPr>
          <w:b/>
          <w:sz w:val="16"/>
        </w:rPr>
        <w:t xml:space="preserve">  [REQUIRED] </w:t>
      </w:r>
      <w:r>
        <w:rPr>
          <w:sz w:val="16"/>
        </w:rPr>
        <w:t>BIZ.SIZE.public_tenure (Revenue Growth YoY): Required data not available from filings</w:t>
      </w:r>
    </w:p>
    <w:p>
      <w:pPr>
        <w:pStyle w:val="DOBody"/>
      </w:pPr>
      <w:r>
        <w:rPr>
          <w:b/>
          <w:sz w:val="16"/>
        </w:rPr>
        <w:t xml:space="preserve">  [EVALUATIVE] </w:t>
      </w:r>
      <w:r>
        <w:rPr>
          <w:sz w:val="16"/>
        </w:rPr>
        <w:t>BIZ.STRUCT.subsidiary_count (Subsidiary Count Complexity): Required data not available from filings</w:t>
      </w:r>
    </w:p>
    <w:p>
      <w:pPr>
        <w:pStyle w:val="DOBody"/>
      </w:pPr>
      <w:r>
        <w:rPr>
          <w:b/>
          <w:sz w:val="16"/>
        </w:rPr>
        <w:t xml:space="preserve">  [EVALUATIVE] </w:t>
      </w:r>
      <w:r>
        <w:rPr>
          <w:sz w:val="16"/>
        </w:rPr>
        <w:t>BIZ.DEPEND.labor (Concentration Risk Composite): Required data not available from filings</w:t>
      </w:r>
    </w:p>
    <w:p>
      <w:pPr>
        <w:pStyle w:val="DOBody"/>
      </w:pPr>
      <w:r>
        <w:rPr>
          <w:b/>
          <w:sz w:val="16"/>
        </w:rPr>
        <w:t xml:space="preserve">  [REQUIRED] </w:t>
      </w:r>
      <w:r>
        <w:rPr>
          <w:sz w:val="16"/>
        </w:rPr>
        <w:t>BIZ.MA.goodwill_balance (Goodwill Balance): Required data not available from filings</w:t>
      </w:r>
    </w:p>
    <w:p>
      <w:pPr>
        <w:pStyle w:val="DOBody"/>
      </w:pPr>
      <w:r>
        <w:rPr>
          <w:b/>
          <w:sz w:val="16"/>
        </w:rPr>
        <w:t xml:space="preserve">  [REQUIRED] </w:t>
      </w:r>
      <w:r>
        <w:rPr>
          <w:sz w:val="16"/>
        </w:rPr>
        <w:t>BIZ.MA.acquisition_spend (Acquisition Spend Magnitude): Required data not available from filings</w:t>
      </w:r>
    </w:p>
    <w:p>
      <w:pPr>
        <w:pStyle w:val="DOBody"/>
      </w:pPr>
      <w:r>
        <w:rPr>
          <w:b/>
          <w:sz w:val="16"/>
        </w:rPr>
        <w:t xml:space="preserve">  [EVALUATIVE] </w:t>
      </w:r>
      <w:r>
        <w:rPr>
          <w:sz w:val="16"/>
        </w:rPr>
        <w:t>BIZ.MA.goodwill_change (Goodwill Trajectory): Required data not available from filings</w:t>
      </w:r>
    </w:p>
    <w:p>
      <w:pPr>
        <w:pStyle w:val="DOBody"/>
      </w:pPr>
      <w:r>
        <w:rPr>
          <w:b/>
          <w:sz w:val="16"/>
        </w:rPr>
        <w:t xml:space="preserve">  [REQUIRED] </w:t>
      </w:r>
      <w:r>
        <w:rPr>
          <w:sz w:val="16"/>
        </w:rPr>
        <w:t>BIZ.MA.acquisition_list (Recent Acquisitions): Required data not available from filings</w:t>
      </w:r>
    </w:p>
    <w:p>
      <w:pPr>
        <w:pStyle w:val="DOBody"/>
      </w:pPr>
      <w:r>
        <w:rPr>
          <w:b/>
          <w:sz w:val="16"/>
        </w:rPr>
        <w:t xml:space="preserve">  [REQUIRED] </w:t>
      </w:r>
      <w:r>
        <w:rPr>
          <w:sz w:val="16"/>
        </w:rPr>
        <w:t>BIZ.MODEL.lifecycle (Segment Lifecycle Risk): Required data not available from filings</w:t>
      </w:r>
    </w:p>
    <w:p>
      <w:pPr>
        <w:pStyle w:val="DOBody"/>
      </w:pPr>
      <w:r>
        <w:rPr>
          <w:b/>
          <w:sz w:val="16"/>
        </w:rPr>
        <w:t xml:space="preserve">  [REQUIRED] </w:t>
      </w:r>
      <w:r>
        <w:rPr>
          <w:sz w:val="16"/>
        </w:rPr>
        <w:t>BIZ.MODEL.segment_margins (Segment Margin Profile): Required data not available from filings</w:t>
      </w:r>
    </w:p>
    <w:p>
      <w:pPr>
        <w:pStyle w:val="DOBody"/>
      </w:pPr>
      <w:r>
        <w:rPr>
          <w:b/>
          <w:sz w:val="16"/>
        </w:rPr>
        <w:t xml:space="preserve">  [EVALUATIVE] </w:t>
      </w:r>
      <w:r>
        <w:rPr>
          <w:sz w:val="16"/>
        </w:rPr>
        <w:t>ABS.DISC.audit_fees (Missing Audit Fee Disclosure): Expected signals not found in evaluation results</w:t>
      </w:r>
    </w:p>
    <w:p>
      <w:pPr>
        <w:pStyle w:val="DOBody"/>
      </w:pPr>
      <w:r>
        <w:rPr>
          <w:b/>
          <w:sz w:val="16"/>
        </w:rPr>
        <w:t xml:space="preserve">  [EVALUATIVE] </w:t>
      </w:r>
      <w:r>
        <w:rPr>
          <w:sz w:val="16"/>
        </w:rPr>
        <w:t>ABS.DISC.board_independence (Missing Board Independence Disclosure): Could not determine disclosure presence or absence</w:t>
      </w:r>
    </w:p>
    <w:p>
      <w:pPr>
        <w:pStyle w:val="DOBody"/>
      </w:pPr>
      <w:r>
        <w:rPr>
          <w:b/>
          <w:sz w:val="16"/>
        </w:rPr>
        <w:t xml:space="preserve">  [EVALUATIVE] </w:t>
      </w:r>
      <w:r>
        <w:rPr>
          <w:sz w:val="16"/>
        </w:rPr>
        <w:t>ABS.DISC.clawback_policy (Missing Clawback Policy Disclosure): Expected signals not found in evaluation results</w:t>
      </w:r>
    </w:p>
    <w:p>
      <w:pPr>
        <w:pStyle w:val="DOBody"/>
      </w:pPr>
      <w:r>
        <w:rPr>
          <w:b/>
          <w:sz w:val="16"/>
        </w:rPr>
        <w:t xml:space="preserve">  [EVALUATIVE] </w:t>
      </w:r>
      <w:r>
        <w:rPr>
          <w:sz w:val="16"/>
        </w:rPr>
        <w:t>ABS.DISC.cyber_risk (Missing Cybersecurity Risk Disclosure): Expected signals not found in evaluation results</w:t>
      </w:r>
    </w:p>
    <w:p>
      <w:pPr>
        <w:pStyle w:val="DOBody"/>
      </w:pPr>
      <w:r>
        <w:rPr>
          <w:b/>
          <w:sz w:val="16"/>
        </w:rPr>
        <w:t xml:space="preserve">  [EVALUATIVE] </w:t>
      </w:r>
      <w:r>
        <w:rPr>
          <w:sz w:val="16"/>
        </w:rPr>
        <w:t>ABS.DISC.debt_covenants (Missing Debt Covenant Disclosure): Expected signals not found in evaluation results</w:t>
      </w:r>
    </w:p>
    <w:p>
      <w:pPr>
        <w:pStyle w:val="DOBody"/>
      </w:pPr>
      <w:r>
        <w:rPr>
          <w:b/>
          <w:sz w:val="16"/>
        </w:rPr>
        <w:t xml:space="preserve">  [EVALUATIVE] </w:t>
      </w:r>
      <w:r>
        <w:rPr>
          <w:sz w:val="16"/>
        </w:rPr>
        <w:t>ABS.DISC.derivative_instruments (Missing Derivative Instruments Disclosure): Expected signals not found in evaluation results</w:t>
      </w:r>
    </w:p>
    <w:p>
      <w:pPr>
        <w:pStyle w:val="DOBody"/>
      </w:pPr>
      <w:r>
        <w:rPr>
          <w:b/>
          <w:sz w:val="16"/>
        </w:rPr>
        <w:t xml:space="preserve">  [EVALUATIVE] </w:t>
      </w:r>
      <w:r>
        <w:rPr>
          <w:sz w:val="16"/>
        </w:rPr>
        <w:t>ABS.DISC.esg (Missing ESG Disclosure): Expected signals not found in evaluation results</w:t>
      </w:r>
    </w:p>
    <w:p>
      <w:pPr>
        <w:pStyle w:val="DOBody"/>
      </w:pPr>
      <w:r>
        <w:rPr>
          <w:b/>
          <w:sz w:val="16"/>
        </w:rPr>
        <w:t xml:space="preserve">  [EVALUATIVE] </w:t>
      </w:r>
      <w:r>
        <w:rPr>
          <w:sz w:val="16"/>
        </w:rPr>
        <w:t>ABS.DISC.executive_comp (Missing Executive Compensation Disclosure): Expected signals not found in evaluation results</w:t>
      </w:r>
    </w:p>
    <w:p>
      <w:pPr>
        <w:pStyle w:val="DOBody"/>
      </w:pPr>
      <w:r>
        <w:rPr>
          <w:b/>
          <w:sz w:val="16"/>
        </w:rPr>
        <w:t xml:space="preserve">  [EVALUATIVE] </w:t>
      </w:r>
      <w:r>
        <w:rPr>
          <w:sz w:val="16"/>
        </w:rPr>
        <w:t>ABS.DISC.goodwill_impairment (Missing Goodwill Impairment Disclosure): Expected signals not found in evaluation results</w:t>
      </w:r>
    </w:p>
    <w:p>
      <w:pPr>
        <w:pStyle w:val="DOBody"/>
      </w:pPr>
      <w:r>
        <w:rPr>
          <w:b/>
          <w:sz w:val="16"/>
        </w:rPr>
        <w:t xml:space="preserve">  [EVALUATIVE] </w:t>
      </w:r>
      <w:r>
        <w:rPr>
          <w:sz w:val="16"/>
        </w:rPr>
        <w:t>ABS.DISC.lease_obligations (Missing Lease Obligation Disclosure): Expected signals not found in evaluation results</w:t>
      </w:r>
    </w:p>
    <w:p>
      <w:pPr>
        <w:pStyle w:val="DOBody"/>
      </w:pPr>
      <w:r>
        <w:rPr>
          <w:b/>
          <w:sz w:val="16"/>
        </w:rPr>
        <w:t xml:space="preserve">  [EVALUATIVE] </w:t>
      </w:r>
      <w:r>
        <w:rPr>
          <w:sz w:val="16"/>
        </w:rPr>
        <w:t>ABS.DISC.litigation_contingency (Missing Litigation Contingency Disclosure): Expected signals not found in evaluation results</w:t>
      </w:r>
    </w:p>
    <w:p>
      <w:pPr>
        <w:pStyle w:val="DOBody"/>
      </w:pPr>
      <w:r>
        <w:rPr>
          <w:b/>
          <w:sz w:val="16"/>
        </w:rPr>
        <w:t xml:space="preserve">  [EVALUATIVE] </w:t>
      </w:r>
      <w:r>
        <w:rPr>
          <w:sz w:val="16"/>
        </w:rPr>
        <w:t>ABS.DISC.pension_obligations (Missing Pension Obligation Disclosure): Expected signals not found in evaluation results</w:t>
      </w:r>
    </w:p>
    <w:p>
      <w:pPr>
        <w:pStyle w:val="DOBody"/>
      </w:pPr>
      <w:r>
        <w:rPr>
          <w:b/>
          <w:sz w:val="16"/>
        </w:rPr>
        <w:t xml:space="preserve">  [EVALUATIVE] </w:t>
      </w:r>
      <w:r>
        <w:rPr>
          <w:sz w:val="16"/>
        </w:rPr>
        <w:t>ABS.DISC.related_party (Missing Related-Party Transaction Disclosure): Expected signals not found in evaluation results</w:t>
      </w:r>
    </w:p>
    <w:p>
      <w:pPr>
        <w:pStyle w:val="DOBody"/>
      </w:pPr>
      <w:r>
        <w:rPr>
          <w:b/>
          <w:sz w:val="16"/>
        </w:rPr>
        <w:t xml:space="preserve">  [EVALUATIVE] </w:t>
      </w:r>
      <w:r>
        <w:rPr>
          <w:sz w:val="16"/>
        </w:rPr>
        <w:t>ABS.DISC.revenue_recognition (Missing Revenue Recognition Policy Disclosure): Expected signals not found in evaluation results</w:t>
      </w:r>
    </w:p>
    <w:p>
      <w:pPr>
        <w:pStyle w:val="DOBody"/>
      </w:pPr>
      <w:r>
        <w:rPr>
          <w:b/>
          <w:sz w:val="16"/>
        </w:rPr>
        <w:t xml:space="preserve">  [EVALUATIVE] </w:t>
      </w:r>
      <w:r>
        <w:rPr>
          <w:sz w:val="16"/>
        </w:rPr>
        <w:t>ABS.DISC.risk_factors (Missing Risk Factor Disclosure): Expected signals not found in evaluation results</w:t>
      </w:r>
    </w:p>
    <w:p>
      <w:pPr>
        <w:pStyle w:val="DOBody"/>
      </w:pPr>
      <w:r>
        <w:rPr>
          <w:b/>
          <w:sz w:val="16"/>
        </w:rPr>
        <w:t xml:space="preserve">  [EVALUATIVE] </w:t>
      </w:r>
      <w:r>
        <w:rPr>
          <w:sz w:val="16"/>
        </w:rPr>
        <w:t>ABS.DISC.segment_reporting (Missing Segment Reporting Disclosure): Expected signals not found in evaluation results</w:t>
      </w:r>
    </w:p>
    <w:p>
      <w:pPr>
        <w:pStyle w:val="DOBody"/>
      </w:pPr>
      <w:r>
        <w:rPr>
          <w:b/>
          <w:sz w:val="16"/>
        </w:rPr>
        <w:t xml:space="preserve">  [EVALUATIVE] </w:t>
      </w:r>
      <w:r>
        <w:rPr>
          <w:sz w:val="16"/>
        </w:rPr>
        <w:t>ABS.DISC.stock_comp (Missing Stock Compensation Disclosure): Expected signals not found in evaluation results</w:t>
      </w:r>
    </w:p>
    <w:p>
      <w:pPr>
        <w:pStyle w:val="DOBody"/>
      </w:pPr>
      <w:r>
        <w:rPr>
          <w:b/>
          <w:sz w:val="16"/>
        </w:rPr>
        <w:t xml:space="preserve">  [EVALUATIVE] </w:t>
      </w:r>
      <w:r>
        <w:rPr>
          <w:sz w:val="16"/>
        </w:rPr>
        <w:t>ABS.DISC.tax_positions (Missing Uncertain Tax Position Disclosure): Expected signals not found in evaluation results</w:t>
      </w:r>
    </w:p>
    <w:p>
      <w:pPr>
        <w:pStyle w:val="DOBody"/>
      </w:pPr>
      <w:r>
        <w:rPr>
          <w:b/>
          <w:sz w:val="16"/>
        </w:rPr>
        <w:t xml:space="preserve">  [EVALUATIVE] </w:t>
      </w:r>
      <w:r>
        <w:rPr>
          <w:sz w:val="16"/>
        </w:rPr>
        <w:t>CONJ.COMP.perf_divergence (Compensation-Performance Divergence): 3/3 component signals unavailable</w:t>
      </w:r>
    </w:p>
    <w:p>
      <w:pPr>
        <w:pStyle w:val="DOBody"/>
      </w:pPr>
      <w:r>
        <w:rPr>
          <w:b/>
          <w:sz w:val="16"/>
        </w:rPr>
        <w:t xml:space="preserve">  [EVALUATIVE] </w:t>
      </w:r>
      <w:r>
        <w:rPr>
          <w:sz w:val="16"/>
        </w:rPr>
        <w:t>CONJ.DISTRESS.insider (Financial Distress + Insider Selling): 2/3 component signals unavailable</w:t>
      </w:r>
    </w:p>
    <w:p>
      <w:pPr>
        <w:pStyle w:val="DOBody"/>
      </w:pPr>
      <w:r>
        <w:rPr>
          <w:b/>
          <w:sz w:val="16"/>
        </w:rPr>
        <w:t xml:space="preserve">  [EVALUATIVE] </w:t>
      </w:r>
      <w:r>
        <w:rPr>
          <w:sz w:val="16"/>
        </w:rPr>
        <w:t>CONJ.GOV.governance_event (Weak Governance + Adverse Event): 3/5 component signals unavailable</w:t>
      </w:r>
    </w:p>
    <w:p>
      <w:pPr>
        <w:pStyle w:val="DOBody"/>
      </w:pPr>
      <w:r>
        <w:rPr>
          <w:b/>
          <w:sz w:val="16"/>
        </w:rPr>
        <w:t xml:space="preserve">  [EVALUATIVE] </w:t>
      </w:r>
      <w:r>
        <w:rPr>
          <w:sz w:val="16"/>
        </w:rPr>
        <w:t>CONJ.FIN.growth_margin_guidance (Rapid Growth + Margin Compression + Guidance Miss): 3/3 component signals unavailable</w:t>
      </w:r>
    </w:p>
    <w:p>
      <w:pPr>
        <w:pStyle w:val="DOBody"/>
      </w:pPr>
      <w:r>
        <w:rPr>
          <w:b/>
          <w:sz w:val="16"/>
        </w:rPr>
        <w:t xml:space="preserve">  [EVALUATIVE] </w:t>
      </w:r>
      <w:r>
        <w:rPr>
          <w:sz w:val="16"/>
        </w:rPr>
        <w:t>CONJ.INSIDER.news_gap (Insider Selling + Material News Gap): 3/3 component signals unavailable</w:t>
      </w:r>
    </w:p>
    <w:p>
      <w:pPr>
        <w:pStyle w:val="DOBody"/>
      </w:pPr>
      <w:r>
        <w:rPr>
          <w:b/>
          <w:sz w:val="16"/>
        </w:rPr>
        <w:t xml:space="preserve">  [EVALUATIVE] </w:t>
      </w:r>
      <w:r>
        <w:rPr>
          <w:sz w:val="16"/>
        </w:rPr>
        <w:t>CONJ.REG.litigation (Regulatory Action + New Material Litigation): 3/3 component signals unavailable</w:t>
      </w:r>
    </w:p>
    <w:p>
      <w:pPr>
        <w:pStyle w:val="DOBody"/>
      </w:pPr>
      <w:r>
        <w:rPr>
          <w:b/>
          <w:sz w:val="16"/>
        </w:rPr>
        <w:t xml:space="preserve">  [EVALUATIVE] </w:t>
      </w:r>
      <w:r>
        <w:rPr>
          <w:sz w:val="16"/>
        </w:rPr>
        <w:t>CTX.FIN.capex_sector (Capital Expenditure in Sector Context): Source signal FIN.INVEST.capex_ratio not in results</w:t>
      </w:r>
    </w:p>
    <w:p>
      <w:pPr>
        <w:pStyle w:val="DOBody"/>
      </w:pPr>
      <w:r>
        <w:rPr>
          <w:b/>
          <w:sz w:val="16"/>
        </w:rPr>
        <w:t xml:space="preserve">  [EVALUATIVE] </w:t>
      </w:r>
      <w:r>
        <w:rPr>
          <w:sz w:val="16"/>
        </w:rPr>
        <w:t>CTX.COMP.lifecycle (CEO Compensation in Lifecycle Context): Source signal EXEC.COMP.ceo_total_comp not in results</w:t>
      </w:r>
    </w:p>
    <w:p>
      <w:pPr>
        <w:pStyle w:val="DOBody"/>
      </w:pPr>
      <w:r>
        <w:rPr>
          <w:b/>
          <w:sz w:val="16"/>
        </w:rPr>
        <w:t xml:space="preserve">  [EVALUATIVE] </w:t>
      </w:r>
      <w:r>
        <w:rPr>
          <w:sz w:val="16"/>
        </w:rPr>
        <w:t>CTX.COMP.product_tower (Compensation Severity by Product/Tower): Source signal EXEC.COMP.ceo_total_comp not in results</w:t>
      </w:r>
    </w:p>
    <w:p>
      <w:pPr>
        <w:pStyle w:val="DOBody"/>
      </w:pPr>
      <w:r>
        <w:rPr>
          <w:b/>
          <w:sz w:val="16"/>
        </w:rPr>
        <w:t xml:space="preserve">  [EVALUATIVE] </w:t>
      </w:r>
      <w:r>
        <w:rPr>
          <w:sz w:val="16"/>
        </w:rPr>
        <w:t>CTX.FIN.debt_maturity (Debt Maturity Profile in Lifecycle Context): Source signal FIN.DEBT.maturity_profile not in results</w:t>
      </w:r>
    </w:p>
    <w:p>
      <w:pPr>
        <w:pStyle w:val="DOBody"/>
      </w:pPr>
      <w:r>
        <w:rPr>
          <w:b/>
          <w:sz w:val="16"/>
        </w:rPr>
        <w:t xml:space="preserve">  [EVALUATIVE] </w:t>
      </w:r>
      <w:r>
        <w:rPr>
          <w:sz w:val="16"/>
        </w:rPr>
        <w:t>CTX.FIN.distress_product (Financial Distress by Product/Tower): Source signal FIN.FORENSIC.altman_z not in results</w:t>
      </w:r>
    </w:p>
    <w:p>
      <w:pPr>
        <w:pStyle w:val="DOBody"/>
      </w:pPr>
      <w:r>
        <w:rPr>
          <w:b/>
          <w:sz w:val="16"/>
        </w:rPr>
        <w:t xml:space="preserve">  [EVALUATIVE] </w:t>
      </w:r>
      <w:r>
        <w:rPr>
          <w:sz w:val="16"/>
        </w:rPr>
        <w:t>CTX.FIN.dividend_lifecycle (Dividend Policy in Lifecycle Context): Source signal FIN.RETURN.dividend_yield not in results</w:t>
      </w:r>
    </w:p>
    <w:p>
      <w:pPr>
        <w:pStyle w:val="DOBody"/>
      </w:pPr>
      <w:r>
        <w:rPr>
          <w:b/>
          <w:sz w:val="16"/>
        </w:rPr>
        <w:t xml:space="preserve">  [EVALUATIVE] </w:t>
      </w:r>
      <w:r>
        <w:rPr>
          <w:sz w:val="16"/>
        </w:rPr>
        <w:t>CTX.EXEC.tenure_lifecycle (Executive Tenure in Lifecycle Context): Source signal EXEC.TURN.c_suite not in results</w:t>
      </w:r>
    </w:p>
    <w:p>
      <w:pPr>
        <w:pStyle w:val="DOBody"/>
      </w:pPr>
      <w:r>
        <w:rPr>
          <w:b/>
          <w:sz w:val="16"/>
        </w:rPr>
        <w:t xml:space="preserve">  [EVALUATIVE] </w:t>
      </w:r>
      <w:r>
        <w:rPr>
          <w:sz w:val="16"/>
        </w:rPr>
        <w:t>CTX.GOV.lifecycle (Board Independence in Lifecycle Context): Required context dimensions ['lifecycle_stage'] not available</w:t>
      </w:r>
    </w:p>
    <w:p>
      <w:pPr>
        <w:pStyle w:val="DOBody"/>
      </w:pPr>
      <w:r>
        <w:rPr>
          <w:b/>
          <w:sz w:val="16"/>
        </w:rPr>
        <w:t xml:space="preserve">  [EVALUATIVE] </w:t>
      </w:r>
      <w:r>
        <w:rPr>
          <w:sz w:val="16"/>
        </w:rPr>
        <w:t>CTX.FIN.growth_lifecycle (Revenue Growth in Lifecycle Context): Required context dimensions ['lifecycle_stage'] not available</w:t>
      </w:r>
    </w:p>
    <w:p>
      <w:pPr>
        <w:pStyle w:val="DOBody"/>
      </w:pPr>
      <w:r>
        <w:rPr>
          <w:b/>
          <w:sz w:val="16"/>
        </w:rPr>
        <w:t xml:space="preserve">  [EVALUATIVE] </w:t>
      </w:r>
      <w:r>
        <w:rPr>
          <w:sz w:val="16"/>
        </w:rPr>
        <w:t>CTX.MKT.insider_lifecycle (Insider Trading in Lifecycle Context): Source signal STOCK.INSIDER.net_selling not in results</w:t>
      </w:r>
    </w:p>
    <w:p>
      <w:pPr>
        <w:pStyle w:val="DOBody"/>
      </w:pPr>
      <w:r>
        <w:rPr>
          <w:b/>
          <w:sz w:val="16"/>
        </w:rPr>
        <w:t xml:space="preserve">  [EVALUATIVE] </w:t>
      </w:r>
      <w:r>
        <w:rPr>
          <w:sz w:val="16"/>
        </w:rPr>
        <w:t>CTX.FIN.leverage_sector (Leverage in Sector Context): Source signal FIN.DEBT.leverage_ratio not in results</w:t>
      </w:r>
    </w:p>
    <w:p>
      <w:pPr>
        <w:pStyle w:val="DOBody"/>
      </w:pPr>
      <w:r>
        <w:rPr>
          <w:b/>
          <w:sz w:val="16"/>
        </w:rPr>
        <w:t xml:space="preserve">  [EVALUATIVE] </w:t>
      </w:r>
      <w:r>
        <w:rPr>
          <w:sz w:val="16"/>
        </w:rPr>
        <w:t>CTX.LIT.size (Litigation Frequency by Company Size): Source signal LIT.SCA.active_cases not in results</w:t>
      </w:r>
    </w:p>
    <w:p>
      <w:pPr>
        <w:pStyle w:val="DOBody"/>
      </w:pPr>
      <w:r>
        <w:rPr>
          <w:b/>
          <w:sz w:val="16"/>
        </w:rPr>
        <w:t xml:space="preserve">  [EVALUATIVE] </w:t>
      </w:r>
      <w:r>
        <w:rPr>
          <w:sz w:val="16"/>
        </w:rPr>
        <w:t>CTX.RISK.ma_lifecycle (M&amp;A Activity in Lifecycle Context): Source signal BIZ.MA.acquisition_activity not in results</w:t>
      </w:r>
    </w:p>
    <w:p>
      <w:pPr>
        <w:pStyle w:val="DOBody"/>
      </w:pPr>
      <w:r>
        <w:rPr>
          <w:b/>
          <w:sz w:val="16"/>
        </w:rPr>
        <w:t xml:space="preserve">  [EVALUATIVE] </w:t>
      </w:r>
      <w:r>
        <w:rPr>
          <w:sz w:val="16"/>
        </w:rPr>
        <w:t>CTX.RISK.regulatory_sector (Regulatory Risk in Sector Context): Source signal LIT.SEC.enforcement not in results</w:t>
      </w:r>
    </w:p>
    <w:p>
      <w:pPr>
        <w:pStyle w:val="DOBody"/>
      </w:pPr>
      <w:r>
        <w:rPr>
          <w:b/>
          <w:sz w:val="16"/>
        </w:rPr>
        <w:t xml:space="preserve">  [EVALUATIVE] </w:t>
      </w:r>
      <w:r>
        <w:rPr>
          <w:sz w:val="16"/>
        </w:rPr>
        <w:t>CTX.RISK.rpt_sector (Related-Party Risk in Sector Context): Source signal GOV.RPT.related_party not in results</w:t>
      </w:r>
    </w:p>
    <w:p>
      <w:pPr>
        <w:pStyle w:val="DOBody"/>
      </w:pPr>
      <w:r>
        <w:rPr>
          <w:b/>
          <w:sz w:val="16"/>
        </w:rPr>
        <w:t xml:space="preserve">  [EVALUATIVE] </w:t>
      </w:r>
      <w:r>
        <w:rPr>
          <w:sz w:val="16"/>
        </w:rPr>
        <w:t>CTX.MKT.short_interest_sector (Short Interest in Sector Context): Source signal STOCK.SHORT.interest_ratio not in results</w:t>
      </w:r>
    </w:p>
    <w:p>
      <w:pPr>
        <w:pStyle w:val="DOBody"/>
      </w:pPr>
      <w:r>
        <w:rPr>
          <w:b/>
          <w:sz w:val="16"/>
        </w:rPr>
        <w:t xml:space="preserve">  [EVALUATIVE] </w:t>
      </w:r>
      <w:r>
        <w:rPr>
          <w:sz w:val="16"/>
        </w:rPr>
        <w:t>CTX.MKT.turnover_sector (Stock Turnover in Sector Context): Source signal STOCK.VOL.turnover_rate not in results</w:t>
      </w:r>
    </w:p>
    <w:p>
      <w:pPr>
        <w:pStyle w:val="DOBody"/>
      </w:pPr>
      <w:r>
        <w:rPr>
          <w:b/>
          <w:sz w:val="16"/>
        </w:rPr>
        <w:t xml:space="preserve">  [EVALUATIVE] </w:t>
      </w:r>
      <w:r>
        <w:rPr>
          <w:sz w:val="16"/>
        </w:rPr>
        <w:t>CTX.MKT.volatility_sector (Stock Volatility in Sector Context): Source signal STOCK.VOL.historical not in results</w:t>
      </w:r>
    </w:p>
    <w:p>
      <w:pPr>
        <w:pStyle w:val="DOHeading3"/>
      </w:pPr>
      <w:r>
        <w:t>Financial Health</w:t>
      </w:r>
    </w:p>
    <w:p>
      <w:pPr>
        <w:pStyle w:val="DOBody"/>
      </w:pPr>
      <w:r>
        <w:rPr>
          <w:b/>
          <w:sz w:val="16"/>
        </w:rPr>
        <w:t xml:space="preserve">  [EVALUATIVE] </w:t>
      </w:r>
      <w:r>
        <w:rPr>
          <w:sz w:val="16"/>
        </w:rPr>
        <w:t>FIN.PEER.revenue_bottom_quartile (Revenue Bottom Quartile (Cross-Filer)): No peer comparison data available</w:t>
      </w:r>
    </w:p>
    <w:p>
      <w:pPr>
        <w:pStyle w:val="DOBody"/>
      </w:pPr>
      <w:r>
        <w:rPr>
          <w:b/>
          <w:sz w:val="16"/>
        </w:rPr>
        <w:t xml:space="preserve">  [EVALUATIVE] </w:t>
      </w:r>
      <w:r>
        <w:rPr>
          <w:sz w:val="16"/>
        </w:rPr>
        <w:t>FIN.PEER.leverage_top_decile (Leverage Top Decile (Sector-Relative)): No peer comparison data available</w:t>
      </w:r>
    </w:p>
    <w:p>
      <w:pPr>
        <w:pStyle w:val="DOBody"/>
      </w:pPr>
      <w:r>
        <w:rPr>
          <w:b/>
          <w:sz w:val="16"/>
        </w:rPr>
        <w:t xml:space="preserve">  [EVALUATIVE] </w:t>
      </w:r>
      <w:r>
        <w:rPr>
          <w:sz w:val="16"/>
        </w:rPr>
        <w:t>FIN.PEER.margin_compression (Operating Margin Compression (Cross-Filer)): No peer comparison data available</w:t>
      </w:r>
    </w:p>
    <w:p>
      <w:pPr>
        <w:pStyle w:val="DOBody"/>
      </w:pPr>
      <w:r>
        <w:rPr>
          <w:b/>
          <w:sz w:val="16"/>
        </w:rPr>
        <w:t xml:space="preserve">  [EVALUATIVE] </w:t>
      </w:r>
      <w:r>
        <w:rPr>
          <w:sz w:val="16"/>
        </w:rPr>
        <w:t>FIN.PEER.profitability_laggard (Profitability Laggard (Sector-Relative)): No peer comparison data available</w:t>
      </w:r>
    </w:p>
    <w:p>
      <w:pPr>
        <w:pStyle w:val="DOBody"/>
      </w:pPr>
      <w:r>
        <w:rPr>
          <w:b/>
          <w:sz w:val="16"/>
        </w:rPr>
        <w:t xml:space="preserve">  [EVALUATIVE] </w:t>
      </w:r>
      <w:r>
        <w:rPr>
          <w:sz w:val="16"/>
        </w:rPr>
        <w:t>FIN.PEER.size_outlier_small (Size Outlier Small (Cross-Filer)): No peer comparison data available</w:t>
      </w:r>
    </w:p>
    <w:p>
      <w:pPr>
        <w:pStyle w:val="DOBody"/>
      </w:pPr>
      <w:r>
        <w:rPr>
          <w:b/>
          <w:sz w:val="16"/>
        </w:rPr>
        <w:t xml:space="preserve">  [EVALUATIVE] </w:t>
      </w:r>
      <w:r>
        <w:rPr>
          <w:sz w:val="16"/>
        </w:rPr>
        <w:t>FIN.PEER.cash_flow_weak (Cash Flow Weakness (Cross-Filer)): No peer comparison data available</w:t>
      </w:r>
    </w:p>
    <w:p>
      <w:pPr>
        <w:pStyle w:val="DOBody"/>
      </w:pPr>
      <w:r>
        <w:rPr>
          <w:b/>
          <w:sz w:val="16"/>
        </w:rPr>
        <w:t xml:space="preserve">  [EVALUATIVE] </w:t>
      </w:r>
      <w:r>
        <w:rPr>
          <w:sz w:val="16"/>
        </w:rPr>
        <w:t>LIT.DEFENSE.forum_selection (Federal Forum Selection Clause): Required data not available from filings</w:t>
      </w:r>
    </w:p>
    <w:p>
      <w:pPr>
        <w:pStyle w:val="DOHeading3"/>
      </w:pPr>
      <w:r>
        <w:t>Governance &amp; Leadership</w:t>
      </w:r>
    </w:p>
    <w:p>
      <w:pPr>
        <w:pStyle w:val="DOBody"/>
      </w:pPr>
      <w:r>
        <w:rPr>
          <w:b/>
          <w:sz w:val="16"/>
        </w:rPr>
        <w:t xml:space="preserve">  [EVALUATIVE] </w:t>
      </w:r>
      <w:r>
        <w:rPr>
          <w:sz w:val="16"/>
        </w:rPr>
        <w:t>EXEC.INSIDER.cfo_net_selling (CFO Net Seller of Stock): Required data not available from filings</w:t>
      </w:r>
    </w:p>
    <w:p>
      <w:pPr>
        <w:pStyle w:val="DOBody"/>
      </w:pPr>
      <w:r>
        <w:rPr>
          <w:b/>
          <w:sz w:val="16"/>
        </w:rPr>
        <w:t xml:space="preserve">  [EVALUATIVE] </w:t>
      </w:r>
      <w:r>
        <w:rPr>
          <w:sz w:val="16"/>
        </w:rPr>
        <w:t>EXEC.TENURE.cfo_new (CFO Tenure Less Than 2 Years): Data mapping not configured for this check</w:t>
      </w:r>
    </w:p>
    <w:p>
      <w:pPr>
        <w:pStyle w:val="DOBody"/>
      </w:pPr>
      <w:r>
        <w:rPr>
          <w:b/>
          <w:sz w:val="16"/>
        </w:rPr>
        <w:t xml:space="preserve">  [REQUIRED] </w:t>
      </w:r>
      <w:r>
        <w:rPr>
          <w:sz w:val="16"/>
        </w:rPr>
        <w:t>EXEC.PROFILE.board_size (Board Size (Number of Members)): Required data not available from filings</w:t>
      </w:r>
    </w:p>
    <w:p>
      <w:pPr>
        <w:pStyle w:val="DOBody"/>
      </w:pPr>
      <w:r>
        <w:rPr>
          <w:b/>
          <w:sz w:val="16"/>
        </w:rPr>
        <w:t xml:space="preserve">  [REQUIRED] </w:t>
      </w:r>
      <w:r>
        <w:rPr>
          <w:sz w:val="16"/>
        </w:rPr>
        <w:t>EXEC.PROFILE.independent_ratio (Board Independence Percentage): Required data not available from filings</w:t>
      </w:r>
    </w:p>
    <w:p>
      <w:pPr>
        <w:pStyle w:val="DOBody"/>
      </w:pPr>
      <w:r>
        <w:rPr>
          <w:b/>
          <w:sz w:val="16"/>
        </w:rPr>
        <w:t xml:space="preserve">  [EVALUATIVE] </w:t>
      </w:r>
      <w:r>
        <w:rPr>
          <w:sz w:val="16"/>
        </w:rPr>
        <w:t>EXEC.PROFILE.overboarded_directors (Directors Serving on 4+ Boards): Required data not available from filings</w:t>
      </w:r>
    </w:p>
    <w:p>
      <w:pPr>
        <w:pStyle w:val="DOBody"/>
      </w:pPr>
      <w:r>
        <w:rPr>
          <w:b/>
          <w:sz w:val="16"/>
        </w:rPr>
        <w:t xml:space="preserve">  [EVALUATIVE] </w:t>
      </w:r>
      <w:r>
        <w:rPr>
          <w:sz w:val="16"/>
        </w:rPr>
        <w:t>GOV.BOARD.size (Board Size): Required data not available from filings</w:t>
      </w:r>
    </w:p>
    <w:p>
      <w:pPr>
        <w:pStyle w:val="DOBody"/>
      </w:pPr>
      <w:r>
        <w:rPr>
          <w:b/>
          <w:sz w:val="16"/>
        </w:rPr>
        <w:t xml:space="preserve">  [EVALUATIVE] </w:t>
      </w:r>
      <w:r>
        <w:rPr>
          <w:sz w:val="16"/>
        </w:rPr>
        <w:t>GOV.BOARD.independence (Board Independence): Required data not available from filings</w:t>
      </w:r>
    </w:p>
    <w:p>
      <w:pPr>
        <w:pStyle w:val="DOBody"/>
      </w:pPr>
      <w:r>
        <w:rPr>
          <w:b/>
          <w:sz w:val="16"/>
        </w:rPr>
        <w:t xml:space="preserve">  [EVALUATIVE] </w:t>
      </w:r>
      <w:r>
        <w:rPr>
          <w:sz w:val="16"/>
        </w:rPr>
        <w:t>GOV.BOARD.diversity (Board Diversity): Required data not available from filings</w:t>
      </w:r>
    </w:p>
    <w:p>
      <w:pPr>
        <w:pStyle w:val="DOBody"/>
      </w:pPr>
      <w:r>
        <w:rPr>
          <w:b/>
          <w:sz w:val="16"/>
        </w:rPr>
        <w:t xml:space="preserve">  [EVALUATIVE] </w:t>
      </w:r>
      <w:r>
        <w:rPr>
          <w:sz w:val="16"/>
        </w:rPr>
        <w:t>GOV.BOARD.tenure (Tenure): Required data not available from filings</w:t>
      </w:r>
    </w:p>
    <w:p>
      <w:pPr>
        <w:pStyle w:val="DOBody"/>
      </w:pPr>
      <w:r>
        <w:rPr>
          <w:b/>
          <w:sz w:val="16"/>
        </w:rPr>
        <w:t xml:space="preserve">  [EVALUATIVE] </w:t>
      </w:r>
      <w:r>
        <w:rPr>
          <w:sz w:val="16"/>
        </w:rPr>
        <w:t>GOV.BOARD.overboarding (Overboarding): Required data not available from filings</w:t>
      </w:r>
    </w:p>
    <w:p>
      <w:pPr>
        <w:pStyle w:val="DOBody"/>
      </w:pPr>
      <w:r>
        <w:rPr>
          <w:b/>
          <w:sz w:val="16"/>
        </w:rPr>
        <w:t xml:space="preserve">  [EVALUATIVE] </w:t>
      </w:r>
      <w:r>
        <w:rPr>
          <w:sz w:val="16"/>
        </w:rPr>
        <w:t>GOV.BOARD.attendance (Attendance): Required data not available from filings</w:t>
      </w:r>
    </w:p>
    <w:p>
      <w:pPr>
        <w:pStyle w:val="DOBody"/>
      </w:pPr>
      <w:r>
        <w:rPr>
          <w:b/>
          <w:sz w:val="16"/>
        </w:rPr>
        <w:t xml:space="preserve">  [EVALUATIVE] </w:t>
      </w:r>
      <w:r>
        <w:rPr>
          <w:sz w:val="16"/>
        </w:rPr>
        <w:t>GOV.BOARD.meetings (Meetings): Required data not available from filings</w:t>
      </w:r>
    </w:p>
    <w:p>
      <w:pPr>
        <w:pStyle w:val="DOBody"/>
      </w:pPr>
      <w:r>
        <w:rPr>
          <w:b/>
          <w:sz w:val="16"/>
        </w:rPr>
        <w:t xml:space="preserve">  [EVALUATIVE] </w:t>
      </w:r>
      <w:r>
        <w:rPr>
          <w:sz w:val="16"/>
        </w:rPr>
        <w:t>GOV.BOARD.succession (Succession): Required data not available from filings</w:t>
      </w:r>
    </w:p>
    <w:p>
      <w:pPr>
        <w:pStyle w:val="DOBody"/>
      </w:pPr>
      <w:r>
        <w:rPr>
          <w:b/>
          <w:sz w:val="16"/>
        </w:rPr>
        <w:t xml:space="preserve">  [EVALUATIVE] </w:t>
      </w:r>
      <w:r>
        <w:rPr>
          <w:sz w:val="16"/>
        </w:rPr>
        <w:t>GOV.EXEC.cfo_profile (CFO Profile): Required data not available from filings</w:t>
      </w:r>
    </w:p>
    <w:p>
      <w:pPr>
        <w:pStyle w:val="DOBody"/>
      </w:pPr>
      <w:r>
        <w:rPr>
          <w:b/>
          <w:sz w:val="16"/>
        </w:rPr>
        <w:t xml:space="preserve">  [EVALUATIVE] </w:t>
      </w:r>
      <w:r>
        <w:rPr>
          <w:sz w:val="16"/>
        </w:rPr>
        <w:t>GOV.PAY.golden_para (Golden Para): Required data not available from filings</w:t>
      </w:r>
    </w:p>
    <w:p>
      <w:pPr>
        <w:pStyle w:val="DOBody"/>
      </w:pPr>
      <w:r>
        <w:rPr>
          <w:b/>
          <w:sz w:val="16"/>
        </w:rPr>
        <w:t xml:space="preserve">  [EVALUATIVE] </w:t>
      </w:r>
      <w:r>
        <w:rPr>
          <w:sz w:val="16"/>
        </w:rPr>
        <w:t>GOV.PAY.equity_burn (Equity Burn): Required data not available from filings</w:t>
      </w:r>
    </w:p>
    <w:p>
      <w:pPr>
        <w:pStyle w:val="DOBody"/>
      </w:pPr>
      <w:r>
        <w:rPr>
          <w:b/>
          <w:sz w:val="16"/>
        </w:rPr>
        <w:t xml:space="preserve">  [EVALUATIVE] </w:t>
      </w:r>
      <w:r>
        <w:rPr>
          <w:sz w:val="16"/>
        </w:rPr>
        <w:t>GOV.PAY.hedging (Hedging): Required data not available from filings</w:t>
      </w:r>
    </w:p>
    <w:p>
      <w:pPr>
        <w:pStyle w:val="DOBody"/>
      </w:pPr>
      <w:r>
        <w:rPr>
          <w:b/>
          <w:sz w:val="16"/>
        </w:rPr>
        <w:t xml:space="preserve">  [REQUIRED] </w:t>
      </w:r>
      <w:r>
        <w:rPr>
          <w:sz w:val="16"/>
        </w:rPr>
        <w:t>GOV.RIGHTS.bylaws (Bylaws): Required data not available from filings</w:t>
      </w:r>
    </w:p>
    <w:p>
      <w:pPr>
        <w:pStyle w:val="DOBody"/>
      </w:pPr>
      <w:r>
        <w:rPr>
          <w:b/>
          <w:sz w:val="16"/>
        </w:rPr>
        <w:t xml:space="preserve">  [EVALUATIVE] </w:t>
      </w:r>
      <w:r>
        <w:rPr>
          <w:sz w:val="16"/>
        </w:rPr>
        <w:t>GOV.RIGHTS.takeover (Takeover): Required data not available from filings</w:t>
      </w:r>
    </w:p>
    <w:p>
      <w:pPr>
        <w:pStyle w:val="DOBody"/>
      </w:pPr>
      <w:r>
        <w:rPr>
          <w:b/>
          <w:sz w:val="16"/>
        </w:rPr>
        <w:t xml:space="preserve">  [EVALUATIVE] </w:t>
      </w:r>
      <w:r>
        <w:rPr>
          <w:sz w:val="16"/>
        </w:rPr>
        <w:t>GOV.RIGHTS.proxy_access (Proxy Access): Required data not available from filings</w:t>
      </w:r>
    </w:p>
    <w:p>
      <w:pPr>
        <w:pStyle w:val="DOBody"/>
      </w:pPr>
      <w:r>
        <w:rPr>
          <w:b/>
          <w:sz w:val="16"/>
        </w:rPr>
        <w:t xml:space="preserve">  [REQUIRED] </w:t>
      </w:r>
      <w:r>
        <w:rPr>
          <w:sz w:val="16"/>
        </w:rPr>
        <w:t>GOV.RIGHTS.forum_select (Forum Select): Required data not available from filings</w:t>
      </w:r>
    </w:p>
    <w:p>
      <w:pPr>
        <w:pStyle w:val="DOBody"/>
      </w:pPr>
      <w:r>
        <w:rPr>
          <w:b/>
          <w:sz w:val="16"/>
        </w:rPr>
        <w:t xml:space="preserve">  [EVALUATIVE] </w:t>
      </w:r>
      <w:r>
        <w:rPr>
          <w:sz w:val="16"/>
        </w:rPr>
        <w:t>GOV.RIGHTS.supermajority (Supermajority): Required data not available from filings</w:t>
      </w:r>
    </w:p>
    <w:p>
      <w:pPr>
        <w:pStyle w:val="DOBody"/>
      </w:pPr>
      <w:r>
        <w:rPr>
          <w:b/>
          <w:sz w:val="16"/>
        </w:rPr>
        <w:t xml:space="preserve">  [EVALUATIVE] </w:t>
      </w:r>
      <w:r>
        <w:rPr>
          <w:sz w:val="16"/>
        </w:rPr>
        <w:t>GOV.RIGHTS.action_consent (Action Consent): Required data not available from filings</w:t>
      </w:r>
    </w:p>
    <w:p>
      <w:pPr>
        <w:pStyle w:val="DOBody"/>
      </w:pPr>
      <w:r>
        <w:rPr>
          <w:b/>
          <w:sz w:val="16"/>
        </w:rPr>
        <w:t xml:space="preserve">  [EVALUATIVE] </w:t>
      </w:r>
      <w:r>
        <w:rPr>
          <w:sz w:val="16"/>
        </w:rPr>
        <w:t>GOV.RIGHTS.special_mtg (Special Mtg): Required data not available from filings</w:t>
      </w:r>
    </w:p>
    <w:p>
      <w:pPr>
        <w:pStyle w:val="DOBody"/>
      </w:pPr>
      <w:r>
        <w:rPr>
          <w:b/>
          <w:sz w:val="16"/>
        </w:rPr>
        <w:t xml:space="preserve">  [EVALUATIVE] </w:t>
      </w:r>
      <w:r>
        <w:rPr>
          <w:sz w:val="16"/>
        </w:rPr>
        <w:t>GOV.RIGHTS.classified (Classified): Required data not available from filings</w:t>
      </w:r>
    </w:p>
    <w:p>
      <w:pPr>
        <w:pStyle w:val="DOHeading3"/>
      </w:pPr>
      <w:r>
        <w:t>Market &amp; Trading</w:t>
      </w:r>
    </w:p>
    <w:p>
      <w:pPr>
        <w:pStyle w:val="DOBody"/>
      </w:pPr>
      <w:r>
        <w:rPr>
          <w:b/>
          <w:sz w:val="16"/>
        </w:rPr>
        <w:t xml:space="preserve">  [EVALUATIVE] </w:t>
      </w:r>
      <w:r>
        <w:rPr>
          <w:sz w:val="16"/>
        </w:rPr>
        <w:t>FIN.COMP.rsu_grants (RSU Grant Trend): Required data not available from filings</w:t>
      </w:r>
    </w:p>
    <w:p>
      <w:pPr>
        <w:pStyle w:val="DOBody"/>
      </w:pPr>
      <w:r>
        <w:rPr>
          <w:b/>
          <w:sz w:val="16"/>
        </w:rPr>
        <w:t xml:space="preserve">  [EVALUATIVE] </w:t>
      </w:r>
      <w:r>
        <w:rPr>
          <w:sz w:val="16"/>
        </w:rPr>
        <w:t>FIN.CONT.loss_accrual (Loss Contingency Accrual): Required data not available from filings</w:t>
      </w:r>
    </w:p>
    <w:p>
      <w:pPr>
        <w:pStyle w:val="DOBody"/>
      </w:pPr>
      <w:r>
        <w:rPr>
          <w:b/>
          <w:sz w:val="16"/>
        </w:rPr>
        <w:t xml:space="preserve">  [EVALUATIVE] </w:t>
      </w:r>
      <w:r>
        <w:rPr>
          <w:sz w:val="16"/>
        </w:rPr>
        <w:t>FIN.CONT.loss_estimate (Loss Contingency Estimate): Required data not available from filings</w:t>
      </w:r>
    </w:p>
    <w:p>
      <w:pPr>
        <w:pStyle w:val="DOBody"/>
      </w:pPr>
      <w:r>
        <w:rPr>
          <w:b/>
          <w:sz w:val="16"/>
        </w:rPr>
        <w:t xml:space="preserve">  [EVALUATIVE] </w:t>
      </w:r>
      <w:r>
        <w:rPr>
          <w:sz w:val="16"/>
        </w:rPr>
        <w:t>FIN.DEBT.maturity_concentration (Debt Maturity Concentration): Data mapping not configured for this check</w:t>
      </w:r>
    </w:p>
    <w:p>
      <w:pPr>
        <w:pStyle w:val="DOBody"/>
      </w:pPr>
      <w:r>
        <w:rPr>
          <w:b/>
          <w:sz w:val="16"/>
        </w:rPr>
        <w:t xml:space="preserve">  [EVALUATIVE] </w:t>
      </w:r>
      <w:r>
        <w:rPr>
          <w:sz w:val="16"/>
        </w:rPr>
        <w:t>FIN.QUALITY.q4_revenue_concentration (Q4 Revenue Concentration): Required data not available from filings</w:t>
      </w:r>
    </w:p>
    <w:p>
      <w:pPr>
        <w:pStyle w:val="DOBody"/>
      </w:pPr>
      <w:r>
        <w:rPr>
          <w:b/>
          <w:sz w:val="16"/>
        </w:rPr>
        <w:t xml:space="preserve">  [EVALUATIVE] </w:t>
      </w:r>
      <w:r>
        <w:rPr>
          <w:sz w:val="16"/>
        </w:rPr>
        <w:t>FIN.QUALITY.revenue_recognition_risk (Revenue Recognition Risk Indicators): Data mapping not configured for this check</w:t>
      </w:r>
    </w:p>
    <w:p>
      <w:pPr>
        <w:pStyle w:val="DOBody"/>
      </w:pPr>
      <w:r>
        <w:rPr>
          <w:b/>
          <w:sz w:val="16"/>
        </w:rPr>
        <w:t xml:space="preserve">  [EVALUATIVE] </w:t>
      </w:r>
      <w:r>
        <w:rPr>
          <w:sz w:val="16"/>
        </w:rPr>
        <w:t>FIN.FORENSIC.level3_fair_value (Level 3 Fair Value Asset Concentration): Data mapping not configured for this check</w:t>
      </w:r>
    </w:p>
    <w:p>
      <w:pPr>
        <w:pStyle w:val="DOBody"/>
      </w:pPr>
      <w:r>
        <w:rPr>
          <w:b/>
          <w:sz w:val="16"/>
        </w:rPr>
        <w:t xml:space="preserve">  [EVALUATIVE] </w:t>
      </w:r>
      <w:r>
        <w:rPr>
          <w:sz w:val="16"/>
        </w:rPr>
        <w:t>FIN.FORENSIC.goodwill_deterioration_pattern (Goodwill Deterioration Pattern): Data mapping not configured for this check</w:t>
      </w:r>
    </w:p>
    <w:p>
      <w:pPr>
        <w:pStyle w:val="DOBody"/>
      </w:pPr>
      <w:r>
        <w:rPr>
          <w:b/>
          <w:sz w:val="16"/>
        </w:rPr>
        <w:t xml:space="preserve">  [EVALUATIVE] </w:t>
      </w:r>
      <w:r>
        <w:rPr>
          <w:sz w:val="16"/>
        </w:rPr>
        <w:t>FIN.FORENSIC.related_party_revenue (Related Party Revenue Concentration): Data mapping not configured for this check</w:t>
      </w:r>
    </w:p>
    <w:p>
      <w:pPr>
        <w:pStyle w:val="DOBody"/>
      </w:pPr>
      <w:r>
        <w:rPr>
          <w:b/>
          <w:sz w:val="16"/>
        </w:rPr>
        <w:t xml:space="preserve">  [EVALUATIVE] </w:t>
      </w:r>
      <w:r>
        <w:rPr>
          <w:sz w:val="16"/>
        </w:rPr>
        <w:t>FWRD.EVENT.ma_integration_risk (M&amp;A Integration Risk): Data mapping not configured for this check</w:t>
      </w:r>
    </w:p>
    <w:p>
      <w:pPr>
        <w:pStyle w:val="DOBody"/>
      </w:pPr>
      <w:r>
        <w:rPr>
          <w:b/>
          <w:sz w:val="16"/>
        </w:rPr>
        <w:t xml:space="preserve">  [EVALUATIVE] </w:t>
      </w:r>
      <w:r>
        <w:rPr>
          <w:sz w:val="16"/>
        </w:rPr>
        <w:t>FIN.FORENSIC.margin_compression (Forensic Margin Compression): Data mapping not configured for this check</w:t>
      </w:r>
    </w:p>
    <w:p>
      <w:pPr>
        <w:pStyle w:val="DOBody"/>
      </w:pPr>
      <w:r>
        <w:rPr>
          <w:b/>
          <w:sz w:val="16"/>
        </w:rPr>
        <w:t xml:space="preserve">  [EVALUATIVE] </w:t>
      </w:r>
      <w:r>
        <w:rPr>
          <w:sz w:val="16"/>
        </w:rPr>
        <w:t>FIN.FORENSIC.buyback_timing (Share Buyback Timing Quality): Data mapping not configured for this check</w:t>
      </w:r>
    </w:p>
    <w:p>
      <w:pPr>
        <w:pStyle w:val="DOBody"/>
      </w:pPr>
      <w:r>
        <w:rPr>
          <w:b/>
          <w:sz w:val="16"/>
        </w:rPr>
        <w:t xml:space="preserve">  [EVALUATIVE] </w:t>
      </w:r>
      <w:r>
        <w:rPr>
          <w:sz w:val="16"/>
        </w:rPr>
        <w:t>FIN.FORENSIC.debt_maturity_concentration (Debt Maturity Concentration): Data mapping not configured for this check</w:t>
      </w:r>
    </w:p>
    <w:p>
      <w:pPr>
        <w:pStyle w:val="DOBody"/>
      </w:pPr>
      <w:r>
        <w:rPr>
          <w:b/>
          <w:sz w:val="16"/>
        </w:rPr>
        <w:t xml:space="preserve">  [EVALUATIVE] </w:t>
      </w:r>
      <w:r>
        <w:rPr>
          <w:sz w:val="16"/>
        </w:rPr>
        <w:t>FIN.FORENSIC.pension_underfunding (Pension Underfunding Risk): Data mapping not configured for this check</w:t>
      </w:r>
    </w:p>
    <w:p>
      <w:pPr>
        <w:pStyle w:val="DOBody"/>
      </w:pPr>
      <w:r>
        <w:rPr>
          <w:b/>
          <w:sz w:val="16"/>
        </w:rPr>
        <w:t xml:space="preserve">  [EVALUATIVE] </w:t>
      </w:r>
      <w:r>
        <w:rPr>
          <w:sz w:val="16"/>
        </w:rPr>
        <w:t>FIN.FORENSIC.dsri_elevated (Days Sales Receivable Index Elevated): Data mapping not configured for this check</w:t>
      </w:r>
    </w:p>
    <w:p>
      <w:pPr>
        <w:pStyle w:val="DOBody"/>
      </w:pPr>
      <w:r>
        <w:rPr>
          <w:b/>
          <w:sz w:val="16"/>
        </w:rPr>
        <w:t xml:space="preserve">  [EVALUATIVE] </w:t>
      </w:r>
      <w:r>
        <w:rPr>
          <w:sz w:val="16"/>
        </w:rPr>
        <w:t>FIN.FORENSIC.aqi_elevated (Asset Quality Index Elevated): Data mapping not configured for this check</w:t>
      </w:r>
    </w:p>
    <w:p>
      <w:pPr>
        <w:pStyle w:val="DOBody"/>
      </w:pPr>
      <w:r>
        <w:rPr>
          <w:b/>
          <w:sz w:val="16"/>
        </w:rPr>
        <w:t xml:space="preserve">  [EVALUATIVE] </w:t>
      </w:r>
      <w:r>
        <w:rPr>
          <w:sz w:val="16"/>
        </w:rPr>
        <w:t>FIN.FORENSIC.tata_elevated (Total Accruals to Total Assets Elevated): Data mapping not configured for this check</w:t>
      </w:r>
    </w:p>
    <w:p>
      <w:pPr>
        <w:pStyle w:val="DOBody"/>
      </w:pPr>
      <w:r>
        <w:rPr>
          <w:b/>
          <w:sz w:val="16"/>
        </w:rPr>
        <w:t xml:space="preserve">  [EVALUATIVE] </w:t>
      </w:r>
      <w:r>
        <w:rPr>
          <w:sz w:val="16"/>
        </w:rPr>
        <w:t>FIN.FORENSIC.non_gaap_gap (Non-GAAP to GAAP Earnings Gap): Data mapping not configured for this check</w:t>
      </w:r>
    </w:p>
    <w:p>
      <w:pPr>
        <w:pStyle w:val="DOBody"/>
      </w:pPr>
      <w:r>
        <w:rPr>
          <w:b/>
          <w:sz w:val="16"/>
        </w:rPr>
        <w:t xml:space="preserve">  [EVALUATIVE] </w:t>
      </w:r>
      <w:r>
        <w:rPr>
          <w:sz w:val="16"/>
        </w:rPr>
        <w:t>FIN.FORENSIC.goodwill_growth_rate (Goodwill Growth Rate): Data mapping not configured for this check</w:t>
      </w:r>
    </w:p>
    <w:p>
      <w:pPr>
        <w:pStyle w:val="DOBody"/>
      </w:pPr>
      <w:r>
        <w:rPr>
          <w:b/>
          <w:sz w:val="16"/>
        </w:rPr>
        <w:t xml:space="preserve">  [EVALUATIVE] </w:t>
      </w:r>
      <w:r>
        <w:rPr>
          <w:sz w:val="16"/>
        </w:rPr>
        <w:t>FIN.FORENSIC.acquisition_to_revenue (Acquisition Spend Relative to Revenue): Data mapping not configured for this check</w:t>
      </w:r>
    </w:p>
    <w:p>
      <w:pPr>
        <w:pStyle w:val="DOBody"/>
      </w:pPr>
      <w:r>
        <w:rPr>
          <w:b/>
          <w:sz w:val="16"/>
        </w:rPr>
        <w:t xml:space="preserve">  [EVALUATIVE] </w:t>
      </w:r>
      <w:r>
        <w:rPr>
          <w:sz w:val="16"/>
        </w:rPr>
        <w:t>FIN.PROFIT.revenue (Revenue Analysis): Required data not available from filings</w:t>
      </w:r>
    </w:p>
    <w:p>
      <w:pPr>
        <w:pStyle w:val="DOBody"/>
      </w:pPr>
      <w:r>
        <w:rPr>
          <w:b/>
          <w:sz w:val="16"/>
        </w:rPr>
        <w:t xml:space="preserve">  [EVALUATIVE] </w:t>
      </w:r>
      <w:r>
        <w:rPr>
          <w:sz w:val="16"/>
        </w:rPr>
        <w:t>FIN.GUIDE.track_record (Guidance Track Record): Required data not available from filings</w:t>
      </w:r>
    </w:p>
    <w:p>
      <w:pPr>
        <w:pStyle w:val="DOBody"/>
      </w:pPr>
      <w:r>
        <w:rPr>
          <w:b/>
          <w:sz w:val="16"/>
        </w:rPr>
        <w:t xml:space="preserve">  [EVALUATIVE] </w:t>
      </w:r>
      <w:r>
        <w:rPr>
          <w:sz w:val="16"/>
        </w:rPr>
        <w:t>FIN.RESTRUCT.severance (Severance Costs): Required data not available from filings</w:t>
      </w:r>
    </w:p>
    <w:p>
      <w:pPr>
        <w:pStyle w:val="DOBody"/>
      </w:pPr>
      <w:r>
        <w:rPr>
          <w:b/>
          <w:sz w:val="16"/>
        </w:rPr>
        <w:t xml:space="preserve">  [EVALUATIVE] </w:t>
      </w:r>
      <w:r>
        <w:rPr>
          <w:sz w:val="16"/>
        </w:rPr>
        <w:t>FIN.IMPAIR.asset_writedown (Asset Impairment): Required data not available from filings</w:t>
      </w:r>
    </w:p>
    <w:p>
      <w:pPr>
        <w:pStyle w:val="DOBody"/>
      </w:pPr>
      <w:r>
        <w:rPr>
          <w:b/>
          <w:sz w:val="16"/>
        </w:rPr>
        <w:t xml:space="preserve">  [REQUIRED] </w:t>
      </w:r>
      <w:r>
        <w:rPr>
          <w:sz w:val="16"/>
        </w:rPr>
        <w:t>NLP.FILING.filing_timing_change (Filing Date Shifted Significantly vs Prior Year): Required data not available from filings</w:t>
      </w:r>
    </w:p>
    <w:p>
      <w:pPr>
        <w:pStyle w:val="DOBody"/>
      </w:pPr>
      <w:r>
        <w:rPr>
          <w:b/>
          <w:sz w:val="16"/>
        </w:rPr>
        <w:t xml:space="preserve">  [EVALUATIVE] </w:t>
      </w:r>
      <w:r>
        <w:rPr>
          <w:sz w:val="16"/>
        </w:rPr>
        <w:t>FIN.FORENSIC.m_score_composite (Beneish M-Score Composite (XBRL)): Data mapping not configured for this check</w:t>
      </w:r>
    </w:p>
    <w:p>
      <w:pPr>
        <w:pStyle w:val="DOBody"/>
      </w:pPr>
      <w:r>
        <w:rPr>
          <w:sz w:val="16"/>
        </w:rPr>
        <w:t>Gap breakdown: Required items: 12 | Evaluative checks: 98</w:t>
      </w:r>
    </w:p>
    <w:p>
      <w:pPr>
        <w:pStyle w:val="DOBody"/>
      </w:pPr>
      <w:r>
        <w:rPr>
          <w:b/>
        </w:rPr>
        <w:t>Total: 110 checks data-unavailable out of 576 total checks (81% coverage)</w:t>
      </w:r>
    </w:p>
    <w:p>
      <w:pPr>
        <w:spacing w:before="120" w:after="40"/>
        <w:pBdr>
          <w:bottom w:val="single" w:sz="6" w:space="1" w:color="FFD000"/>
        </w:pBdr>
      </w:pPr>
    </w:p>
    <w:p>
      <w:pPr>
        <w:pStyle w:val="DOHeading2"/>
      </w:pPr>
      <w:r>
        <w:t>Calibration Notes</w:t>
      </w:r>
    </w:p>
    <w:p>
      <w:pPr>
        <w:pStyle w:val="DOHeading3"/>
      </w:pPr>
      <w:r>
        <w:t>System Intelligence Status</w:t>
      </w:r>
    </w:p>
    <w:p>
      <w:pPr>
        <w:pStyle w:val="DOBody"/>
      </w:pPr>
      <w:r>
        <w:rPr>
          <w:b/>
        </w:rPr>
        <w:t>Checks active</w:t>
      </w:r>
      <w:r>
        <w:t>: 601</w:t>
      </w:r>
    </w:p>
    <w:p>
      <w:pPr>
        <w:pStyle w:val="DOBody"/>
      </w:pPr>
      <w:r>
        <w:rPr>
          <w:b/>
        </w:rPr>
        <w:t>Checks incubating</w:t>
      </w:r>
      <w:r>
        <w:t>: 0 (pending human approval)</w:t>
      </w:r>
    </w:p>
    <w:p>
      <w:pPr>
        <w:pStyle w:val="DOBody"/>
      </w:pPr>
      <w:r>
        <w:rPr>
          <w:b/>
        </w:rPr>
        <w:t>Pending feedback</w:t>
      </w:r>
      <w:r>
        <w:t>: 0 entries</w:t>
      </w:r>
    </w:p>
    <w:p>
      <w:pPr>
        <w:pStyle w:val="DOHeading3"/>
      </w:pPr>
      <w:r>
        <w:t>Recent Calibration Changes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8"/>
              </w:rPr>
              <w:t>Date</w:t>
            </w:r>
          </w:p>
        </w:tc>
        <w:tc>
          <w:tcPr>
            <w:tcW w:type="dxa" w:w="2520"/>
          </w:tcPr>
          <w:p>
            <w:r>
              <w:rPr>
                <w:b/>
                <w:sz w:val="18"/>
              </w:rPr>
              <w:t>Check</w:t>
            </w:r>
          </w:p>
        </w:tc>
        <w:tc>
          <w:tcPr>
            <w:tcW w:type="dxa" w:w="2520"/>
          </w:tcPr>
          <w:p>
            <w:r>
              <w:rPr>
                <w:b/>
                <w:sz w:val="18"/>
              </w:rPr>
              <w:t>Change</w:t>
            </w:r>
          </w:p>
        </w:tc>
        <w:tc>
          <w:tcPr>
            <w:tcW w:type="dxa" w:w="2520"/>
          </w:tcPr>
          <w:p>
            <w:r>
              <w:rPr>
                <w:b/>
                <w:sz w:val="18"/>
              </w:rPr>
              <w:t>Changed By</w:t>
            </w:r>
          </w:p>
        </w:tc>
      </w:tr>
      <w:tr>
        <w:tc>
          <w:tcPr>
            <w:tcW w:type="dxa" w:w="2520"/>
          </w:tcPr>
          <w:p>
            <w:r>
              <w:rPr>
                <w:sz w:val="18"/>
              </w:rPr>
              <w:t>2026-04-02</w:t>
            </w:r>
          </w:p>
        </w:tc>
        <w:tc>
          <w:tcPr>
            <w:tcW w:type="dxa" w:w="2520"/>
          </w:tcPr>
          <w:p>
            <w:r>
              <w:rPr>
                <w:sz w:val="18"/>
              </w:rPr>
              <w:t>EMERGING_TECH_REGULATORY_GAP</w:t>
            </w:r>
          </w:p>
        </w:tc>
        <w:tc>
          <w:tcPr>
            <w:tcW w:type="dxa" w:w="2520"/>
          </w:tcPr>
          <w:p>
            <w:r>
              <w:rPr>
                <w:sz w:val="18"/>
              </w:rPr>
              <w:t>Proposed by ingestion of 'blind_spot:COIN:SEC Sends Wells No</w:t>
            </w:r>
          </w:p>
        </w:tc>
        <w:tc>
          <w:tcPr>
            <w:tcW w:type="dxa" w:w="2520"/>
          </w:tcPr>
          <w:p>
            <w:r>
              <w:rPr>
                <w:sz w:val="18"/>
              </w:rPr>
              <w:t>ingestion_pipeline</w:t>
            </w:r>
          </w:p>
        </w:tc>
      </w:tr>
      <w:tr>
        <w:tc>
          <w:tcPr>
            <w:tcW w:type="dxa" w:w="2520"/>
          </w:tcPr>
          <w:p>
            <w:r>
              <w:rPr>
                <w:sz w:val="18"/>
              </w:rPr>
              <w:t>2026-04-02</w:t>
            </w:r>
          </w:p>
        </w:tc>
        <w:tc>
          <w:tcPr>
            <w:tcW w:type="dxa" w:w="2520"/>
          </w:tcPr>
          <w:p>
            <w:r>
              <w:rPr>
                <w:sz w:val="18"/>
              </w:rPr>
              <w:t>CRYPTO_HACKING_INCIDENTS</w:t>
            </w:r>
          </w:p>
        </w:tc>
        <w:tc>
          <w:tcPr>
            <w:tcW w:type="dxa" w:w="2520"/>
          </w:tcPr>
          <w:p>
            <w:r>
              <w:rPr>
                <w:sz w:val="18"/>
              </w:rPr>
              <w:t>Proposed by ingestion of 'blind_spot:COIN:Coinbase Drops on</w:t>
            </w:r>
          </w:p>
        </w:tc>
        <w:tc>
          <w:tcPr>
            <w:tcW w:type="dxa" w:w="2520"/>
          </w:tcPr>
          <w:p>
            <w:r>
              <w:rPr>
                <w:sz w:val="18"/>
              </w:rPr>
              <w:t>ingestion_pipeline</w:t>
            </w:r>
          </w:p>
        </w:tc>
      </w:tr>
      <w:tr>
        <w:tc>
          <w:tcPr>
            <w:tcW w:type="dxa" w:w="2520"/>
          </w:tcPr>
          <w:p>
            <w:r>
              <w:rPr>
                <w:sz w:val="18"/>
              </w:rPr>
              <w:t>2026-04-02</w:t>
            </w:r>
          </w:p>
        </w:tc>
        <w:tc>
          <w:tcPr>
            <w:tcW w:type="dxa" w:w="2520"/>
          </w:tcPr>
          <w:p>
            <w:r>
              <w:rPr>
                <w:sz w:val="18"/>
              </w:rPr>
              <w:t>CRYPTO_SEC_INVESTIGATIONS</w:t>
            </w:r>
          </w:p>
        </w:tc>
        <w:tc>
          <w:tcPr>
            <w:tcW w:type="dxa" w:w="2520"/>
          </w:tcPr>
          <w:p>
            <w:r>
              <w:rPr>
                <w:sz w:val="18"/>
              </w:rPr>
              <w:t>Proposed by ingestion of 'blind_spot:COIN:Coinbase Drops on</w:t>
            </w:r>
          </w:p>
        </w:tc>
        <w:tc>
          <w:tcPr>
            <w:tcW w:type="dxa" w:w="2520"/>
          </w:tcPr>
          <w:p>
            <w:r>
              <w:rPr>
                <w:sz w:val="18"/>
              </w:rPr>
              <w:t>ingestion_pipeline</w:t>
            </w:r>
          </w:p>
        </w:tc>
      </w:tr>
      <w:tr>
        <w:tc>
          <w:tcPr>
            <w:tcW w:type="dxa" w:w="2520"/>
          </w:tcPr>
          <w:p>
            <w:r>
              <w:rPr>
                <w:sz w:val="18"/>
              </w:rPr>
              <w:t>2026-04-02</w:t>
            </w:r>
          </w:p>
        </w:tc>
        <w:tc>
          <w:tcPr>
            <w:tcW w:type="dxa" w:w="2520"/>
          </w:tcPr>
          <w:p>
            <w:r>
              <w:rPr>
                <w:sz w:val="18"/>
              </w:rPr>
              <w:t>CRYPTO_REGULATORY_CLARITY</w:t>
            </w:r>
          </w:p>
        </w:tc>
        <w:tc>
          <w:tcPr>
            <w:tcW w:type="dxa" w:w="2520"/>
          </w:tcPr>
          <w:p>
            <w:r>
              <w:rPr>
                <w:sz w:val="18"/>
              </w:rPr>
              <w:t>Proposed by ingestion of 'blind_spot:COIN:SEC Sends Wells No</w:t>
            </w:r>
          </w:p>
        </w:tc>
        <w:tc>
          <w:tcPr>
            <w:tcW w:type="dxa" w:w="2520"/>
          </w:tcPr>
          <w:p>
            <w:r>
              <w:rPr>
                <w:sz w:val="18"/>
              </w:rPr>
              <w:t>ingestion_pipeline</w:t>
            </w:r>
          </w:p>
        </w:tc>
      </w:tr>
      <w:tr>
        <w:tc>
          <w:tcPr>
            <w:tcW w:type="dxa" w:w="2520"/>
          </w:tcPr>
          <w:p>
            <w:r>
              <w:rPr>
                <w:sz w:val="18"/>
              </w:rPr>
              <w:t>2026-04-02</w:t>
            </w:r>
          </w:p>
        </w:tc>
        <w:tc>
          <w:tcPr>
            <w:tcW w:type="dxa" w:w="2520"/>
          </w:tcPr>
          <w:p>
            <w:r>
              <w:rPr>
                <w:sz w:val="18"/>
              </w:rPr>
              <w:t>CRYPTO_STAKING_REGULATORY</w:t>
            </w:r>
          </w:p>
        </w:tc>
        <w:tc>
          <w:tcPr>
            <w:tcW w:type="dxa" w:w="2520"/>
          </w:tcPr>
          <w:p>
            <w:r>
              <w:rPr>
                <w:sz w:val="18"/>
              </w:rPr>
              <w:t>Proposed by ingestion of 'blind_spot:COIN:SEC Sends Wells No</w:t>
            </w:r>
          </w:p>
        </w:tc>
        <w:tc>
          <w:tcPr>
            <w:tcW w:type="dxa" w:w="2520"/>
          </w:tcPr>
          <w:p>
            <w:r>
              <w:rPr>
                <w:sz w:val="18"/>
              </w:rPr>
              <w:t>ingestion_pipeline</w:t>
            </w:r>
          </w:p>
        </w:tc>
      </w:tr>
      <w:tr>
        <w:tc>
          <w:tcPr>
            <w:tcW w:type="dxa" w:w="2520"/>
          </w:tcPr>
          <w:p>
            <w:r>
              <w:rPr>
                <w:sz w:val="18"/>
              </w:rPr>
              <w:t>2026-04-02</w:t>
            </w:r>
          </w:p>
        </w:tc>
        <w:tc>
          <w:tcPr>
            <w:tcW w:type="dxa" w:w="2520"/>
          </w:tcPr>
          <w:p>
            <w:r>
              <w:rPr>
                <w:sz w:val="18"/>
              </w:rPr>
              <w:t>crypto_cyber_incident_frequency</w:t>
            </w:r>
          </w:p>
        </w:tc>
        <w:tc>
          <w:tcPr>
            <w:tcW w:type="dxa" w:w="2520"/>
          </w:tcPr>
          <w:p>
            <w:r>
              <w:rPr>
                <w:sz w:val="18"/>
              </w:rPr>
              <w:t>Proposed by ingestion of 'blind_spot:COIN:Coinbase Drops on</w:t>
            </w:r>
          </w:p>
        </w:tc>
        <w:tc>
          <w:tcPr>
            <w:tcW w:type="dxa" w:w="2520"/>
          </w:tcPr>
          <w:p>
            <w:r>
              <w:rPr>
                <w:sz w:val="18"/>
              </w:rPr>
              <w:t>ingestion_pipeline</w:t>
            </w:r>
          </w:p>
        </w:tc>
      </w:tr>
      <w:tr>
        <w:tc>
          <w:tcPr>
            <w:tcW w:type="dxa" w:w="2520"/>
          </w:tcPr>
          <w:p>
            <w:r>
              <w:rPr>
                <w:sz w:val="18"/>
              </w:rPr>
              <w:t>2026-04-02</w:t>
            </w:r>
          </w:p>
        </w:tc>
        <w:tc>
          <w:tcPr>
            <w:tcW w:type="dxa" w:w="2520"/>
          </w:tcPr>
          <w:p>
            <w:r>
              <w:rPr>
                <w:sz w:val="18"/>
              </w:rPr>
              <w:t>crypto_sec_investigation</w:t>
            </w:r>
          </w:p>
        </w:tc>
        <w:tc>
          <w:tcPr>
            <w:tcW w:type="dxa" w:w="2520"/>
          </w:tcPr>
          <w:p>
            <w:r>
              <w:rPr>
                <w:sz w:val="18"/>
              </w:rPr>
              <w:t>Proposed by ingestion of 'blind_spot:COIN:Coinbase Drops on</w:t>
            </w:r>
          </w:p>
        </w:tc>
        <w:tc>
          <w:tcPr>
            <w:tcW w:type="dxa" w:w="2520"/>
          </w:tcPr>
          <w:p>
            <w:r>
              <w:rPr>
                <w:sz w:val="18"/>
              </w:rPr>
              <w:t>ingestion_pipeline</w:t>
            </w:r>
          </w:p>
        </w:tc>
      </w:tr>
      <w:tr>
        <w:tc>
          <w:tcPr>
            <w:tcW w:type="dxa" w:w="2520"/>
          </w:tcPr>
          <w:p>
            <w:r>
              <w:rPr>
                <w:sz w:val="18"/>
              </w:rPr>
              <w:t>2026-04-02</w:t>
            </w:r>
          </w:p>
        </w:tc>
        <w:tc>
          <w:tcPr>
            <w:tcW w:type="dxa" w:w="2520"/>
          </w:tcPr>
          <w:p>
            <w:r>
              <w:rPr>
                <w:sz w:val="18"/>
              </w:rPr>
              <w:t>AUDITOR_RESIGNATION_INTEGRITY</w:t>
            </w:r>
          </w:p>
        </w:tc>
        <w:tc>
          <w:tcPr>
            <w:tcW w:type="dxa" w:w="2520"/>
          </w:tcPr>
          <w:p>
            <w:r>
              <w:rPr>
                <w:sz w:val="18"/>
              </w:rPr>
              <w:t>Proposed by ingestion of 'blind_spot:SMCI:Super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CHINA_SALES_DISCLOSURE</w:t>
            </w:r>
          </w:p>
        </w:tc>
        <w:tc>
          <w:tcPr>
            <w:tcW w:type="dxa" w:w="2520"/>
          </w:tcPr>
          <w:p>
            <w:r>
              <w:rPr>
                <w:sz w:val="18"/>
              </w:rPr>
              <w:t>Proposed by ingestion of 'blind_spot:SMCI:Super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EXPORT_COMPLIANCE_CONTROLS</w:t>
            </w:r>
          </w:p>
        </w:tc>
        <w:tc>
          <w:tcPr>
            <w:tcW w:type="dxa" w:w="2520"/>
          </w:tcPr>
          <w:p>
            <w:r>
              <w:rPr>
                <w:sz w:val="18"/>
              </w:rPr>
              <w:t>Proposed by ingestion of 'blind_spot:SMCI:Super Micro Comput</w:t>
            </w:r>
          </w:p>
        </w:tc>
        <w:tc>
          <w:tcPr>
            <w:tcW w:type="dxa" w:w="2520"/>
          </w:tcPr>
          <w:p>
            <w:r>
              <w:rPr>
                <w:sz w:val="18"/>
              </w:rPr>
              <w:t>ingestion_pipeline</w:t>
            </w:r>
          </w:p>
        </w:tc>
      </w:tr>
    </w:tbl>
    <w:p>
      <w:pPr>
        <w:pStyle w:val="DOHeading3"/>
      </w:pPr>
      <w:r>
        <w:t>Discovery Findings</w:t>
      </w:r>
    </w:p>
    <w:p>
      <w:pPr>
        <w:pStyle w:val="DOBody"/>
      </w:pPr>
      <w:r>
        <w:t>No new discoveries from this run.</w:t>
      </w:r>
    </w:p>
    <w:p>
      <w:pPr>
        <w:pStyle w:val="DOHeading3"/>
      </w:pPr>
      <w:r>
        <w:t>Feedback for CAT</w:t>
      </w:r>
    </w:p>
    <w:p>
      <w:pPr>
        <w:pStyle w:val="DOBody"/>
      </w:pPr>
      <w:r>
        <w:t>No pending feedback for CAT.</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999999"/>
        <w:sz w:val="14"/>
      </w:rPr>
      <w:t>Angry Dolphin Underwriting | Confidential</w:t>
    </w:r>
    <w:r>
      <w:rPr>
        <w:color w:val="999999"/>
        <w:sz w:val="14"/>
      </w:rPr>
      <w:t xml:space="preserve">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A1446"/>
        <w:sz w:val="16"/>
      </w:rPr>
      <w:t>CATERPILLAR INC (CAT)</w:t>
    </w:r>
    <w:r>
      <w:rPr>
        <w:color w:val="999999"/>
        <w:sz w:val="16"/>
      </w:rPr>
      <w:t xml:space="preserve">  |  Generated: 2026-04-03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Heading1">
    <w:name w:val="DOHeading1"/>
    <w:pPr>
      <w:keepNext/>
      <w:spacing w:before="480" w:after="160"/>
    </w:pPr>
    <w:rPr>
      <w:rFonts w:ascii="Georgia" w:hAnsi="Georgia"/>
      <w:b/>
      <w:color w:val="1A1446"/>
      <w:sz w:val="40"/>
    </w:rPr>
  </w:style>
  <w:style w:type="paragraph" w:customStyle="1" w:styleId="DOHeading2">
    <w:name w:val="DOHeading2"/>
    <w:pPr>
      <w:keepNext/>
      <w:spacing w:before="280" w:after="80"/>
    </w:pPr>
    <w:rPr>
      <w:rFonts w:ascii="Georgia" w:hAnsi="Georgia"/>
      <w:b/>
      <w:color w:val="1A1446"/>
      <w:sz w:val="28"/>
    </w:rPr>
  </w:style>
  <w:style w:type="paragraph" w:customStyle="1" w:styleId="DOHeading3">
    <w:name w:val="DOHeading3"/>
    <w:pPr>
      <w:keepNext/>
      <w:spacing w:before="200" w:after="60"/>
    </w:pPr>
    <w:rPr>
      <w:rFonts w:ascii="Georgia" w:hAnsi="Georgia"/>
      <w:b/>
      <w:color w:val="1A1446"/>
      <w:sz w:val="24"/>
    </w:rPr>
  </w:style>
  <w:style w:type="paragraph" w:customStyle="1" w:styleId="DOBody">
    <w:name w:val="DOBody"/>
    <w:pPr>
      <w:spacing w:after="80"/>
    </w:pPr>
    <w:rPr>
      <w:rFonts w:ascii="Calibri" w:hAnsi="Calibri"/>
      <w:color w:val="333333"/>
      <w:sz w:val="20"/>
    </w:rPr>
  </w:style>
  <w:style w:type="paragraph" w:customStyle="1" w:styleId="DOCaption">
    <w:name w:val="DOCaption"/>
    <w:pPr>
      <w:spacing w:before="40" w:after="120"/>
    </w:pPr>
    <w:rPr>
      <w:rFonts w:ascii="Calibri" w:hAnsi="Calibri"/>
      <w:color w:val="666666"/>
      <w:sz w:val="18"/>
    </w:rPr>
  </w:style>
  <w:style w:type="paragraph" w:customStyle="1" w:styleId="DOCitation">
    <w:name w:val="DOCitation"/>
    <w:pPr>
      <w:spacing w:after="40"/>
    </w:pPr>
    <w:rPr>
      <w:rFonts w:ascii="Consolas" w:hAnsi="Consola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