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Coinbase Global, Inc. (COIN)</w:t>
      </w:r>
    </w:p>
    <w:p>
      <w:pPr>
        <w:pStyle w:val="DOBody"/>
      </w:pPr>
      <w:r>
        <w:rPr>
          <w:color w:val="666666"/>
          <w:sz w:val="20"/>
        </w:rPr>
        <w:t>Generated: April 03,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Coinbase Global, Inc. (COIN) presents a high-severity D&amp;O risk profile, meriting a restrictive "WALK" tier placement. The recommended action is Excess/Side A only coverage with a high attachment point, due to a modeled claim probability band of 7.31% to 10.44% and an inherent risk score of 10.44%. The active securities class action, *In re Coinbase Global, Inc. Securities Litigation (2022)*, imposes a 55-point scoring ceiling and drove a 4.93-point deduction for Prior Litigation. Catastrophic equity volatility, including a 61.4% decline from its 52-week high and a 19.9% single-week drop, compounds securities litigation risk. A natural language processing flag detected "whistleblower" language in SEC filings, representing a critical unknown liability with a 100-point ceiling impact. These headwinds are partially mitigated by a clean audit history, the absence of financial distress per Altman Z-Score, and stable C-suite leadership with zero departures in 18 months. The firm’s $46.2B market cap and positive free cash flow provide balance sheet capacity, yet do not offset the elevated litigation overhang. Consequently, primary layer capacity is contraindicated; any D&amp;O placement must be structured to isolate non-indemnifiable Side A exposures above a significant retention.</w:t>
      </w:r>
    </w:p>
    <w:p>
      <w:pPr>
        <w:pStyle w:val="DOHeading1"/>
      </w:pPr>
      <w:r>
        <w:t>Executive Summary</w:t>
      </w:r>
    </w:p>
    <w:p>
      <w:pPr>
        <w:pStyle w:val="DOHeading2"/>
      </w:pPr>
      <w:r>
        <w:t>Underwriting Thesis</w:t>
      </w:r>
    </w:p>
    <w:p>
      <w:pPr>
        <w:pStyle w:val="DOBody"/>
      </w:pPr>
      <w:r>
        <w:rPr>
          <w:color w:val="1A1446"/>
        </w:rPr>
        <w:t>Coinbase Global, Inc. is a $46.2B (Decile 2 of 10) large-cap financials company that would normally present as a stronger underwriting account were it not for critical red flags: Active Securities Class Action and Catastrophic Stock Drop. These findings impose a hard quality score ceiling of 50, placing the account in WALK tier (29/100) regardless of other favorable factors. The balance sheet is strong (D/E 0.49, Z-Score 4.64), eliminating financial distress as a D&amp;O claim catalyst. The primary risk driver is Prior Litigation, driving elevated risk in this area. Signal-driven scoring: 70 signals, coverage=100%. At a 7-10% claim probability (10.4% adjusted rate, 2.6x the Financials sector baseline of 4.0%), this account requires high-excess positioning with elevated attachment.</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Coinbase Global, Inc.</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COIN</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Financial Services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Financial Data &amp; Stock Exchanges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$46.2B  [Decile 2]  (Ranks at the 0th percentile among 10 peers)</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$7.2B</w:t>
            </w:r>
          </w:p>
        </w:tc>
        <w:tc>
          <w:tcPr>
            <w:tcW w:type="dxa" w:w="3360"/>
          </w:tcPr>
          <w:p>
            <w:r>
              <w:rPr>
                <w:rFonts w:ascii="Calibri" w:hAnsi="Calibri"/>
                <w:color w:val="333333"/>
                <w:sz w:val="18"/>
              </w:rPr>
              <w:t>[10-K 2025-12-31 CIK1679788 accn:0001679788-26-000015, filed 2025-12-31,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4,951</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6199 -- Finance Services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40201020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523910</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12-31</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WALK</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83.8/100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29.2/100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4.9, F2: 1.6, F3: 0.9, F4: 2.6, F5: 2.0, F6: 2.0, F7: 0.6, F8: 0.2, F9: 1.2, F10: 0.1</w:t>
            </w:r>
          </w:p>
        </w:tc>
      </w:tr>
      <w:tr>
        <w:tc>
          <w:tcPr>
            <w:tcW w:type="dxa" w:w="5040"/>
          </w:tcPr>
          <w:p>
            <w:r>
              <w:rPr>
                <w:rFonts w:ascii="Calibri" w:hAnsi="Calibri"/>
                <w:color w:val="333333"/>
                <w:sz w:val="18"/>
              </w:rPr>
              <w:t>Score Ceiling</w:t>
            </w:r>
          </w:p>
        </w:tc>
        <w:tc>
          <w:tcPr>
            <w:tcW w:type="dxa" w:w="5040"/>
          </w:tcPr>
          <w:p>
            <w:r>
              <w:rPr>
                <w:rFonts w:ascii="Calibri" w:hAnsi="Calibri"/>
                <w:color w:val="333333"/>
                <w:sz w:val="18"/>
              </w:rPr>
              <w:t>Capped at 50 by CRF-9 (Recent Drop - 7 Day)</w:t>
            </w:r>
          </w:p>
        </w:tc>
      </w:tr>
      <w:tr>
        <w:tc>
          <w:tcPr>
            <w:tcW w:type="dxa" w:w="5040"/>
            <w:shd w:fill="F2F4F8" w:val="clear"/>
          </w:tcPr>
          <w:p>
            <w:r>
              <w:rPr>
                <w:rFonts w:ascii="Calibri" w:hAnsi="Calibri"/>
                <w:color w:val="333333"/>
                <w:sz w:val="18"/>
              </w:rPr>
              <w:t>Position</w:t>
            </w:r>
          </w:p>
        </w:tc>
        <w:tc>
          <w:tcPr>
            <w:tcW w:type="dxa" w:w="5040"/>
            <w:shd w:fill="F2F4F8" w:val="clear"/>
          </w:tcPr>
          <w:p>
            <w:r>
              <w:rPr>
                <w:rFonts w:ascii="Calibri" w:hAnsi="Calibri"/>
                <w:color w:val="333333"/>
                <w:sz w:val="18"/>
              </w:rPr>
              <w:t>83.8 falls in WALK range (11-30)</w:t>
            </w:r>
          </w:p>
        </w:tc>
      </w:tr>
      <w:tr>
        <w:tc>
          <w:tcPr>
            <w:tcW w:type="dxa" w:w="5040"/>
          </w:tcPr>
          <w:p>
            <w:r>
              <w:rPr>
                <w:rFonts w:ascii="Calibri" w:hAnsi="Calibri"/>
                <w:color w:val="333333"/>
                <w:sz w:val="18"/>
              </w:rPr>
              <w:t>Appetite</w:t>
            </w:r>
          </w:p>
        </w:tc>
        <w:tc>
          <w:tcPr>
            <w:tcW w:type="dxa" w:w="5040"/>
          </w:tcPr>
          <w:p>
            <w:r>
              <w:rPr>
                <w:rFonts w:ascii="Calibri" w:hAnsi="Calibri"/>
                <w:color w:val="333333"/>
                <w:sz w:val="18"/>
              </w:rPr>
              <w:t>Excess/Side A only, high attachment required</w:t>
            </w:r>
          </w:p>
        </w:tc>
      </w:tr>
    </w:tbl>
    <w:p>
      <w:pPr>
        <w:pStyle w:val="DOBody"/>
      </w:pPr>
      <w:r>
        <w:t>Classification: WALK</w:t>
      </w:r>
      <w:r>
        <w:rPr>
          <w:b/>
          <w:color w:val="DC2626"/>
          <w:sz w:val="18"/>
        </w:rPr>
        <w:t xml:space="preserve"> [CRITICAL]</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  [Decile 2]</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Financials (Base rate: 4.0%)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1.28x (LARGE cap multiplier) -&gt; 5.1%</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2.04x (quality score multiplier) -&gt; 10.4%</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$15.0M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$39.0M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$57.0M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$75.0M</w:t>
            </w:r>
          </w:p>
        </w:tc>
      </w:tr>
    </w:tbl>
    <w:p>
      <w:pPr>
        <w:pStyle w:val="DOBody"/>
      </w:pPr>
      <w:r>
        <w:t>At a 10.4% adjusted claim rate, the company faces 2.6x its sector baseline of 4.0% for Financials companies. This rate reflects the LARGE cap multiplier (1.28x) combined with the quality score multiplier (2.04x from WALK tier classification). If the score improved to WRITE tier, the rate would drop to approximately 5.1%.</w:t>
      </w:r>
    </w:p>
    <w:p>
      <w:pPr>
        <w:pStyle w:val="DOCaption"/>
      </w:pPr>
      <w:r>
        <w:t>Note: NEEDS CALIBRATION</w:t>
      </w:r>
    </w:p>
    <w:p>
      <w:pPr>
        <w:pStyle w:val="DOHeading3"/>
      </w:pPr>
      <w:r>
        <w:t>Underwriting Headwinds</w:t>
      </w:r>
    </w:p>
    <w:p>
      <w:pPr>
        <w:pStyle w:val="DOBody"/>
      </w:pPr>
      <w:r>
        <w:rPr>
          <w:b/>
        </w:rPr>
        <w:t>1. Critical Red Flag</w:t>
      </w:r>
      <w:r>
        <w:rPr>
          <w:b/>
          <w:color w:val="DC2626"/>
          <w:sz w:val="18"/>
        </w:rPr>
        <w:t xml:space="preserve"> [CRITICAL]</w:t>
      </w:r>
    </w:p>
    <w:p>
      <w:pPr>
        <w:pStyle w:val="DOBody"/>
      </w:pPr>
      <w:r>
        <w:t>Critical Red Flag: Active Securities Class Action — Active SCA: In re Coinbase Global, Inc. Securities Litigation (2022). This triggers a Critical Red Flag, imposing a score ceiling of 29. (see Litigation)</w:t>
      </w:r>
    </w:p>
    <w:p>
      <w:pPr>
        <w:pStyle w:val="DOBody"/>
      </w:pPr>
      <w:r>
        <w:rPr>
          <w:b/>
        </w:rPr>
        <w:t>2. Critical Red Flag</w:t>
      </w:r>
      <w:r>
        <w:rPr>
          <w:b/>
          <w:color w:val="DC2626"/>
          <w:sz w:val="18"/>
        </w:rPr>
        <w:t xml:space="preserve"> [CRITICAL]</w:t>
      </w:r>
    </w:p>
    <w:p>
      <w:pPr>
        <w:pStyle w:val="DOBody"/>
      </w:pPr>
      <w:r>
        <w:t>Coinbase Global, Inc.'s stock exhibits elevated volatility with a -61% dip of -61.4% from its 52-week high. The estimated DDL of $240.4B amplifies settlement severity for any corrective disclosure event. Short interest at 11.5% of float indicates institutional bearish positioning that often precedes or amplifies SCA filings. This triggers a Critical Red Flag, imposing a score ceiling of 29. (see Market &amp; Trading)</w:t>
      </w:r>
    </w:p>
    <w:p>
      <w:pPr>
        <w:pStyle w:val="DOBody"/>
      </w:pPr>
      <w:r>
        <w:rPr>
          <w:b/>
        </w:rPr>
        <w:t>3. Critical Red Flag</w:t>
      </w:r>
      <w:r>
        <w:rPr>
          <w:b/>
          <w:color w:val="DC2626"/>
          <w:sz w:val="18"/>
        </w:rPr>
        <w:t xml:space="preserve"> [CRITICAL]</w:t>
      </w:r>
    </w:p>
    <w:p>
      <w:pPr>
        <w:pStyle w:val="DOBody"/>
      </w:pPr>
      <w:r>
        <w:t>Critical Red Flag: Recent Drop - 7 Day — 7-day drop: 19.9% (3 days ago). This triggers a Critical Red Flag, imposing a score ceiling of 29.</w:t>
      </w:r>
    </w:p>
    <w:p>
      <w:pPr>
        <w:pStyle w:val="DOBody"/>
      </w:pPr>
      <w:r>
        <w:rPr>
          <w:b/>
        </w:rPr>
        <w:t>4. Critical Red Flag</w:t>
      </w:r>
      <w:r>
        <w:rPr>
          <w:b/>
          <w:color w:val="DC2626"/>
          <w:sz w:val="18"/>
        </w:rPr>
        <w:t xml:space="preserve"> [CRITICAL]</w:t>
      </w:r>
    </w:p>
    <w:p>
      <w:pPr>
        <w:pStyle w:val="DOBody"/>
      </w:pPr>
      <w:r>
        <w:t>Critical Red Flag: Whistleblower/Qui Tam Disclosure — NLP whistleblower signal: Whistleblower/qui tam language detected: whistleblower. Presence of such language in filings may indicate pending or potential False Claims Act or SEC whistleblower actions.. This triggers a Critical Red Flag, imposing a score ceiling of 29. (see Litigation)</w:t>
      </w:r>
    </w:p>
    <w:p>
      <w:pPr>
        <w:pStyle w:val="DOBody"/>
      </w:pPr>
      <w:r>
        <w:rPr>
          <w:b/>
        </w:rPr>
        <w:t>5. Structural Complexity &amp; Litigation History</w:t>
      </w:r>
      <w:r>
        <w:rPr>
          <w:b/>
          <w:color w:val="EA580C"/>
          <w:sz w:val="18"/>
        </w:rPr>
        <w:t xml:space="preserve"> [HIGH]</w:t>
      </w:r>
    </w:p>
    <w:p>
      <w:pPr>
        <w:pStyle w:val="DOBody"/>
      </w:pPr>
      <w:r>
        <w:t>Coinbase Global, Inc. has 13 subsidiaries, increasing multi-jurisdictional litigation exposure. The current docket includes 4 derivative suits, 5 securities class actions. With 9 pending matters at $46.2B market cap, Coinbase Global, Inc. has an active litigation profile that will factor into loss-pick and pricing. (see Litigation)</w:t>
      </w:r>
    </w:p>
    <w:p>
      <w:pPr>
        <w:pStyle w:val="DOHeading3"/>
      </w:pPr>
      <w:r>
        <w:t>Risk Mitigants</w:t>
      </w:r>
    </w:p>
    <w:p>
      <w:pPr>
        <w:pStyle w:val="DOBody"/>
      </w:pPr>
      <w:r>
        <w:rPr>
          <w:b/>
        </w:rPr>
        <w:t>1. Clean Audit &amp; Accounting History</w:t>
      </w:r>
    </w:p>
    <w:p>
      <w:pPr>
        <w:pStyle w:val="DOBody"/>
      </w:pPr>
      <w:r>
        <w:t>Coinbase Global, Inc. maintains a clean audit opinion from Deloitte (tenure: 6 years) with no material weaknesses, restatements, or going concern qualifications. The 6-year relationship with Deloitte provides audit continuity that reduces the likelihood of restatement-driven class actions. (see Financial Health)</w:t>
      </w:r>
    </w:p>
    <w:p>
      <w:pPr>
        <w:pStyle w:val="DOBody"/>
      </w:pPr>
      <w:r>
        <w:rPr>
          <w:b/>
        </w:rPr>
        <w:t>2. Sound Financial Position</w:t>
      </w:r>
    </w:p>
    <w:p>
      <w:pPr>
        <w:pStyle w:val="DOBody"/>
      </w:pPr>
      <w:r>
        <w:t>No financial distress indicators present (Altman Z-Score of 4.64, D/E of 0.49, current ratio of 2.3x, interest coverage of 33.7x). An Altman Z of 4.64 places Coinbase Global, Inc. firmly in the safe zone, eliminating going-concern, covenant violation, and creditor-related D&amp;O exposure. (see Financial Health)</w:t>
      </w:r>
    </w:p>
    <w:p>
      <w:pPr>
        <w:pStyle w:val="DOBody"/>
      </w:pPr>
      <w:r>
        <w:rPr>
          <w:b/>
        </w:rPr>
        <w:t>3. Stable Executive Leadership</w:t>
      </w:r>
    </w:p>
    <w:p>
      <w:pPr>
        <w:pStyle w:val="DOBody"/>
      </w:pPr>
      <w:r>
        <w:t>C-suite leadership is stable with no recent departures. (see Governance)</w:t>
      </w:r>
    </w:p>
    <w:p>
      <w:pPr>
        <w:pStyle w:val="DOBody"/>
      </w:pPr>
      <w:r>
        <w:rPr>
          <w:b/>
        </w:rPr>
        <w:t xml:space="preserve">4. Positive free cash flow from most recent period, indicating </w:t>
      </w:r>
    </w:p>
    <w:p>
      <w:pPr>
        <w:pStyle w:val="DOBody"/>
      </w:pPr>
      <w:r>
        <w:t>Positive free cash flow from most recent period, indicating operational strength. (see Financial Health)</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7.3% - 10.4%</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4.0%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$4.3B</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$9.0B</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$18.8B</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$39.1B</w:t>
            </w:r>
          </w:p>
        </w:tc>
      </w:tr>
    </w:tbl>
    <w:p>
      <w:pPr>
        <w:pStyle w:val="DOBody"/>
      </w:pPr>
      <w:r>
        <w:t>Probability Band: ELEVATED</w:t>
      </w:r>
      <w:r>
        <w:rPr>
          <w:b/>
          <w:color w:val="EA580C"/>
          <w:sz w:val="18"/>
        </w:rPr>
        <w:t xml:space="preserve"> [HIGH]</w:t>
      </w:r>
    </w:p>
    <w:p>
      <w:pPr>
        <w:pStyle w:val="DOBody"/>
      </w:pPr>
      <w:r>
        <w:t>The 7-10% probability band represents approximately 2x the Financials sector base rate of 4.0%. Accounts in WALK tier historically produce claims at elevated frequency. Industry base rate: 4.0%. Tier WALK (15-20%): Substantially above base rate. Critical risk factors and/or red flags indicate high claim probability. NEEDS CALIBRATION: Probability estimates are indicative and require actuarial validation per SECT7-11. Enhanced frequency: 7.80% base x 0.81 hazard x 1.65 signal = 10.44%.</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High Excess</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$7511.0M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Coinbase operates a compliant on-ramp and exchange for crypto assets, explicitly expanding into an 'Everything Exchange' for stocks and futures, directly tying its governance to the volatile adoption of the onchain economy. With a $46.2B market cap and 4,951 employees, it has been public for only four years, compressing its executive learning curve within a rapidly evolving regulatory perimeter. This short public tenure versus its $46.2B scale and complexity is a core D&amp;O consideration, as it provides a limited litigation history to assess board oversight in novel regulatory battles.</w:t>
        <w:br/>
        <w:br/>
        <w:t>Revenue Model</w:t>
        <w:br/>
        <w:t>Revenue is overwhelmingly transaction-fee driven from consumer and institutional crypto trading, creating extreme volatility tied to asset prices and trading volumes, as evidenced by historic swings from billions to steep losses. The strategic pivot to an 'Everything Exchange' aims to diversify but introduces immediate competition with entrenched, highly litigious traditional finance incumbents. The model's breakpoint is a sustained crypto bear market or regulatory action that restricts core trading activity, directly impacting fee income and exposing officers to shareholder suits for failing to manage or disclose this concentrated risk.</w:t>
        <w:br/>
        <w:br/>
        <w:t>D&amp;O Risk Profile</w:t>
        <w:br/>
        <w:t>The primary exposure is a "regulation-by-enforcement" environment where the SEC and multiple state regulators actively litigate to define the legal status of crypto assets, creating direct, personal liability for the 4,951-employee company's executives making good-faith compliance decisions. As a Large Accelerated Filer with a $46.2B cap, it faces constant securities class action scrutiny, with any operational misstep or price volatility potentially triggering shareholder suits alleging disclosure failures. Its four-year public history offers a thin track record for governance defenses in these novel, high-stakes legal battles, increasing the likelihood of costly settlements.</w:t>
      </w:r>
    </w:p>
    <w:p>
      <w:pPr>
        <w:pStyle w:val="DOHeading1"/>
      </w:pPr>
      <w:r>
        <w:t>Section 2: Company Profile</w:t>
      </w:r>
    </w:p>
    <w:p>
      <w:pPr>
        <w:pStyle w:val="DOBody"/>
      </w:pPr>
      <w:r>
        <w:rPr>
          <w:rFonts w:ascii="Calibri" w:hAnsi="Calibri"/>
          <w:color w:val="333333"/>
          <w:sz w:val="20"/>
        </w:rPr>
        <w:t>Coinbase Global, Inc. operates in the Financial Data &amp; Stock Exchanges industry. The company has 4,951 employees and $46.2B market cap. Key D&amp;O exposure factors include: Regulatory Multi Jurisdiction, Regulatory Sensitive, Transaction Litigation Risk.</w:t>
      </w:r>
      <w:r>
        <w:rPr>
          <w:rFonts w:ascii="Consolas" w:hAnsi="Consolas"/>
          <w:color w:val="666666"/>
          <w:sz w:val="16"/>
        </w:rPr>
        <w:t xml:space="preserve">  [derived:section_summary, 2026-04-03,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Coinbase Global, Inc.</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COIN</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1679788</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Financials</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6199</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Finance Services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40201020</w:t>
            </w:r>
          </w:p>
        </w:tc>
        <w:tc>
          <w:tcPr>
            <w:tcW w:type="dxa" w:w="3360"/>
          </w:tcPr>
          <w:p>
            <w:r>
              <w:rPr>
                <w:rFonts w:ascii="Calibri" w:hAnsi="Calibri"/>
                <w:color w:val="333333"/>
                <w:sz w:val="18"/>
              </w:rPr>
              <w:t>[SIC-&gt;GICS mapping (SIC 6199), filed 2026-04-03,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523910</w:t>
            </w:r>
          </w:p>
        </w:tc>
        <w:tc>
          <w:tcPr>
            <w:tcW w:type="dxa" w:w="3360"/>
            <w:shd w:fill="F2F4F8" w:val="clear"/>
          </w:tcPr>
          <w:p>
            <w:r>
              <w:rPr>
                <w:rFonts w:ascii="Calibri" w:hAnsi="Calibri"/>
                <w:color w:val="333333"/>
                <w:sz w:val="18"/>
              </w:rPr>
              <w:t>[SIC-&gt;NAICS crosswalk (SIC 6199), filed 2026-04-03,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TX</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12-31</w:t>
            </w:r>
          </w:p>
        </w:tc>
        <w:tc>
          <w:tcPr>
            <w:tcW w:type="dxa" w:w="3360"/>
            <w:shd w:fill="F2F4F8" w:val="clear"/>
          </w:tcPr>
          <w:p>
            <w:r>
              <w:rPr>
                <w:rFonts w:ascii="Calibri" w:hAnsi="Calibri"/>
                <w:color w:val="333333"/>
                <w:sz w:val="18"/>
              </w:rPr>
              <w:t>[SEC EDGAR submissions, filed 2026-04-03, HIGH confidence]</w:t>
            </w:r>
          </w:p>
        </w:tc>
      </w:tr>
    </w:tbl>
    <w:p>
      <w:pPr>
        <w:pStyle w:val="DOHeading2"/>
      </w:pPr>
      <w:r>
        <w:t>Business Description</w:t>
      </w:r>
    </w:p>
    <w:p>
      <w:pPr>
        <w:pStyle w:val="DOBody"/>
      </w:pPr>
      <w:r>
        <w:rPr>
          <w:rFonts w:ascii="Calibri" w:hAnsi="Calibri"/>
          <w:color w:val="333333"/>
          <w:sz w:val="20"/>
        </w:rPr>
        <w:t>Coinbase Global, Inc. operates a trusted platform that serves as a compliant on-ramp to the onchain economy. Its mission is to increase economic freedom by providing easy access to crypto assets and expanding into an 'Everything Exchange' offering stocks, commodity futures, perpetual futures, and prediction markets. The company generates revenue primarily through transaction fees from consumer and institutional trading, as well as subscription and services revenue from stablecoin arrangements (primarily USDC), blockchain rewards (staking), interest and finance fees, custody, Coinbase One subscriptions, and developer platform services. Profitability is driven by trading volume, crypto asset prices, stablecoin adoption, and interest rates, with competitive advantages rooted in trust, security, compliance, and ease of use.</w:t>
      </w:r>
      <w:r>
        <w:rPr>
          <w:rFonts w:ascii="Consolas" w:hAnsi="Consolas"/>
          <w:color w:val="666666"/>
          <w:sz w:val="16"/>
        </w:rPr>
        <w:t xml:space="preserve">  [10-K (LLM), filed 2026-04-03, HIGH confidence]</w:t>
      </w:r>
    </w:p>
    <w:p>
      <w:pPr>
        <w:pStyle w:val="DOHeading2"/>
      </w:pPr>
      <w:r>
        <w:t>Subsidiaries</w:t>
      </w:r>
    </w:p>
    <w:p>
      <w:pPr>
        <w:pStyle w:val="DOBody"/>
      </w:pPr>
      <w:r>
        <w:rPr>
          <w:rFonts w:ascii="Calibri" w:hAnsi="Calibri"/>
          <w:color w:val="333333"/>
          <w:sz w:val="20"/>
        </w:rPr>
        <w:t>Total subsidiaries: 13</w:t>
      </w:r>
      <w:r>
        <w:rPr>
          <w:rFonts w:ascii="Consolas" w:hAnsi="Consolas"/>
          <w:color w:val="666666"/>
          <w:sz w:val="16"/>
        </w:rPr>
        <w:t xml:space="preserve">  [Exhibit 21 (subsidiary list), filed 2026-04-03, HIGH confidence]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HYBRID</w:t>
            </w:r>
          </w:p>
        </w:tc>
      </w:tr>
      <w:tr>
        <w:tc>
          <w:tcPr>
            <w:tcW w:type="dxa" w:w="5040"/>
            <w:shd w:fill="F2F4F8" w:val="clear"/>
          </w:tcPr>
          <w:p>
            <w:r>
              <w:rPr>
                <w:rFonts w:ascii="Calibri" w:hAnsi="Calibri"/>
                <w:color w:val="333333"/>
                <w:sz w:val="18"/>
              </w:rPr>
              <w:t>Concentration Risk</w:t>
            </w:r>
          </w:p>
        </w:tc>
        <w:tc>
          <w:tcPr>
            <w:tcW w:type="dxa" w:w="5040"/>
            <w:shd w:fill="F2F4F8" w:val="clear"/>
          </w:tcPr>
          <w:p>
            <w:r>
              <w:rPr>
                <w:rFonts w:ascii="Calibri" w:hAnsi="Calibri"/>
                <w:color w:val="333333"/>
                <w:sz w:val="18"/>
              </w:rPr>
              <w:t>LOW (Score: 1/3) - Single geography 84%</w:t>
            </w:r>
          </w:p>
        </w:tc>
      </w:tr>
      <w:tr>
        <w:tc>
          <w:tcPr>
            <w:tcW w:type="dxa" w:w="5040"/>
          </w:tcPr>
          <w:p>
            <w:r>
              <w:rPr>
                <w:rFonts w:ascii="Calibri" w:hAnsi="Calibri"/>
                <w:color w:val="333333"/>
                <w:sz w:val="18"/>
              </w:rPr>
              <w:t>Key Person Risk</w:t>
            </w:r>
          </w:p>
        </w:tc>
        <w:tc>
          <w:tcPr>
            <w:tcW w:type="dxa" w:w="5040"/>
          </w:tcPr>
          <w:p>
            <w:r>
              <w:rPr>
                <w:rFonts w:ascii="Calibri" w:hAnsi="Calibri"/>
                <w:color w:val="333333"/>
                <w:sz w:val="18"/>
              </w:rPr>
              <w:t>LOW (Score: 1/3) - Founder-led</w:t>
            </w:r>
          </w:p>
        </w:tc>
      </w:tr>
      <w:tr>
        <w:tc>
          <w:tcPr>
            <w:tcW w:type="dxa" w:w="5040"/>
            <w:shd w:fill="F2F4F8" w:val="clear"/>
          </w:tcPr>
          <w:p>
            <w:r>
              <w:rPr>
                <w:rFonts w:ascii="Calibri" w:hAnsi="Calibri"/>
                <w:color w:val="333333"/>
                <w:sz w:val="18"/>
              </w:rPr>
              <w:t>Disruption Risk</w:t>
            </w:r>
          </w:p>
        </w:tc>
        <w:tc>
          <w:tcPr>
            <w:tcW w:type="dxa" w:w="5040"/>
            <w:shd w:fill="F2F4F8" w:val="clear"/>
          </w:tcPr>
          <w:p>
            <w:r>
              <w:rPr>
                <w:rFonts w:ascii="Calibri" w:hAnsi="Calibri"/>
                <w:color w:val="333333"/>
                <w:sz w:val="18"/>
              </w:rPr>
              <w:t>HIGH (3 threats) - Competition from crypto-native companies and traditional financial incumbents; Regulatory changes or scrutiny impacting ability to offer products or services; Technological shifts in the onchain economy</w:t>
            </w:r>
          </w:p>
        </w:tc>
      </w:tr>
    </w:tbl>
    <w:p>
      <w:pPr>
        <w:pStyle w:val="DOHeading2"/>
      </w:pPr>
      <w:r>
        <w:t>Operational Complexity</w:t>
      </w:r>
    </w:p>
    <w:p>
      <w:pPr>
        <w:pStyle w:val="DOBody"/>
      </w:pPr>
      <w:r>
        <w:rPr>
          <w:b/>
        </w:rPr>
        <w:t>Complexity Score: 4951/20 --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5 (0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4,951</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2</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27/100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 ] Holding Depth  |  [X]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MODERATE (Score: 2/4) | 1 acquisition year | Goodwill growth: 2826.4% | Acq/Rev: 10.3%</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- 4 years public</w:t>
            </w:r>
          </w:p>
        </w:tc>
      </w:tr>
    </w:tbl>
    <w:p>
      <w:pPr>
        <w:pStyle w:val="DOBody"/>
      </w:pPr>
      <w:r>
        <w:rPr>
          <w:b/>
        </w:rPr>
        <w:t>Business Changes:</w:t>
      </w:r>
    </w:p>
    <w:p>
      <w:pPr>
        <w:pStyle w:val="DOBody"/>
      </w:pPr>
      <w:r>
        <w:t xml:space="preserve">  - 12 current event filings (8-K), most recent 2026-02-12</w:t>
      </w:r>
    </w:p>
    <w:p>
      <w:pPr>
        <w:pStyle w:val="DOBody"/>
      </w:pPr>
      <w:r>
        <w:t xml:space="preserve">  - M&amp;A activity indicated (acquisition, restructuring)</w:t>
      </w:r>
    </w:p>
    <w:p>
      <w:pPr>
        <w:pStyle w:val="DOHeading2"/>
      </w:pPr>
      <w:r>
        <w:t>Structural Complexity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Disclosure Complexity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Non-GAAP Usage</w:t>
            </w:r>
          </w:p>
        </w:tc>
        <w:tc>
          <w:tcPr>
            <w:tcW w:type="dxa" w:w="5040"/>
            <w:shd w:fill="F2F4F8" w:val="clear"/>
          </w:tcPr>
          <w:p>
            <w:r>
              <w:rPr>
                <w:rFonts w:ascii="Calibri" w:hAnsi="Calibri"/>
                <w:color w:val="333333"/>
                <w:sz w:val="18"/>
              </w:rPr>
              <w:t>HIGH (20)</w:t>
            </w:r>
          </w:p>
        </w:tc>
      </w:tr>
      <w:tr>
        <w:tc>
          <w:tcPr>
            <w:tcW w:type="dxa" w:w="5040"/>
          </w:tcPr>
          <w:p>
            <w:r>
              <w:rPr>
                <w:rFonts w:ascii="Calibri" w:hAnsi="Calibri"/>
                <w:color w:val="333333"/>
                <w:sz w:val="18"/>
              </w:rPr>
              <w:t>Related Party Density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Off-Balance-Sheet Exposure</w:t>
            </w:r>
          </w:p>
        </w:tc>
        <w:tc>
          <w:tcPr>
            <w:tcW w:type="dxa" w:w="5040"/>
            <w:shd w:fill="F2F4F8" w:val="clear"/>
          </w:tcPr>
          <w:p>
            <w:r>
              <w:rPr>
                <w:rFonts w:ascii="Calibri" w:hAnsi="Calibri"/>
                <w:color w:val="333333"/>
                <w:sz w:val="18"/>
              </w:rPr>
              <w:t>MODERATE (1)</w:t>
            </w:r>
          </w:p>
        </w:tc>
      </w:tr>
      <w:tr>
        <w:tc>
          <w:tcPr>
            <w:tcW w:type="dxa" w:w="5040"/>
          </w:tcPr>
          <w:p>
            <w:r>
              <w:rPr>
                <w:rFonts w:ascii="Calibri" w:hAnsi="Calibri"/>
                <w:color w:val="333333"/>
                <w:sz w:val="18"/>
              </w:rPr>
              <w:t>Holding Structure Depth</w:t>
            </w:r>
          </w:p>
        </w:tc>
        <w:tc>
          <w:tcPr>
            <w:tcW w:type="dxa" w:w="5040"/>
          </w:tcPr>
          <w:p>
            <w:r>
              <w:rPr>
                <w:rFonts w:ascii="Calibri" w:hAnsi="Calibri"/>
                <w:color w:val="333333"/>
                <w:sz w:val="18"/>
              </w:rPr>
              <w:t>LOW</w:t>
            </w:r>
          </w:p>
        </w:tc>
      </w:tr>
    </w:tbl>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JPM</w:t>
            </w:r>
          </w:p>
        </w:tc>
        <w:tc>
          <w:tcPr>
            <w:tcW w:type="dxa" w:w="2016"/>
          </w:tcPr>
          <w:p>
            <w:r>
              <w:rPr>
                <w:rFonts w:ascii="Calibri" w:hAnsi="Calibri"/>
                <w:color w:val="333333"/>
                <w:sz w:val="18"/>
              </w:rPr>
              <w:t>JP Morgan Chase &amp; Co.</w:t>
            </w:r>
          </w:p>
        </w:tc>
        <w:tc>
          <w:tcPr>
            <w:tcW w:type="dxa" w:w="2016"/>
          </w:tcPr>
          <w:p>
            <w:r>
              <w:rPr>
                <w:rFonts w:ascii="Calibri" w:hAnsi="Calibri"/>
                <w:color w:val="333333"/>
                <w:sz w:val="18"/>
              </w:rPr>
              <w:t>$794.5B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12%</w:t>
            </w:r>
          </w:p>
        </w:tc>
      </w:tr>
      <w:tr>
        <w:tc>
          <w:tcPr>
            <w:tcW w:type="dxa" w:w="2016"/>
            <w:shd w:fill="F2F4F8" w:val="clear"/>
          </w:tcPr>
          <w:p>
            <w:r>
              <w:rPr>
                <w:rFonts w:ascii="Calibri" w:hAnsi="Calibri"/>
                <w:color w:val="333333"/>
                <w:sz w:val="18"/>
              </w:rPr>
              <w:t>V</w:t>
            </w:r>
          </w:p>
        </w:tc>
        <w:tc>
          <w:tcPr>
            <w:tcW w:type="dxa" w:w="2016"/>
            <w:shd w:fill="F2F4F8" w:val="clear"/>
          </w:tcPr>
          <w:p>
            <w:r>
              <w:rPr>
                <w:rFonts w:ascii="Calibri" w:hAnsi="Calibri"/>
                <w:color w:val="333333"/>
                <w:sz w:val="18"/>
              </w:rPr>
              <w:t>Visa Inc.</w:t>
            </w:r>
          </w:p>
        </w:tc>
        <w:tc>
          <w:tcPr>
            <w:tcW w:type="dxa" w:w="2016"/>
            <w:shd w:fill="F2F4F8" w:val="clear"/>
          </w:tcPr>
          <w:p>
            <w:r>
              <w:rPr>
                <w:rFonts w:ascii="Calibri" w:hAnsi="Calibri"/>
                <w:color w:val="333333"/>
                <w:sz w:val="18"/>
              </w:rPr>
              <w:t>$580.0B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14%</w:t>
            </w:r>
          </w:p>
        </w:tc>
      </w:tr>
      <w:tr>
        <w:tc>
          <w:tcPr>
            <w:tcW w:type="dxa" w:w="2016"/>
          </w:tcPr>
          <w:p>
            <w:r>
              <w:rPr>
                <w:rFonts w:ascii="Calibri" w:hAnsi="Calibri"/>
                <w:color w:val="333333"/>
                <w:sz w:val="18"/>
              </w:rPr>
              <w:t>MA</w:t>
            </w:r>
          </w:p>
        </w:tc>
        <w:tc>
          <w:tcPr>
            <w:tcW w:type="dxa" w:w="2016"/>
          </w:tcPr>
          <w:p>
            <w:r>
              <w:rPr>
                <w:rFonts w:ascii="Calibri" w:hAnsi="Calibri"/>
                <w:color w:val="333333"/>
                <w:sz w:val="18"/>
              </w:rPr>
              <w:t>Mastercard Incorporated</w:t>
            </w:r>
          </w:p>
        </w:tc>
        <w:tc>
          <w:tcPr>
            <w:tcW w:type="dxa" w:w="2016"/>
          </w:tcPr>
          <w:p>
            <w:r>
              <w:rPr>
                <w:rFonts w:ascii="Calibri" w:hAnsi="Calibri"/>
                <w:color w:val="333333"/>
                <w:sz w:val="18"/>
              </w:rPr>
              <w:t>$440.4B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14%</w:t>
            </w:r>
          </w:p>
        </w:tc>
      </w:tr>
      <w:tr>
        <w:tc>
          <w:tcPr>
            <w:tcW w:type="dxa" w:w="2016"/>
            <w:shd w:fill="F2F4F8" w:val="clear"/>
          </w:tcPr>
          <w:p>
            <w:r>
              <w:rPr>
                <w:rFonts w:ascii="Calibri" w:hAnsi="Calibri"/>
                <w:color w:val="333333"/>
                <w:sz w:val="18"/>
              </w:rPr>
              <w:t>BAC</w:t>
            </w:r>
          </w:p>
        </w:tc>
        <w:tc>
          <w:tcPr>
            <w:tcW w:type="dxa" w:w="2016"/>
            <w:shd w:fill="F2F4F8" w:val="clear"/>
          </w:tcPr>
          <w:p>
            <w:r>
              <w:rPr>
                <w:rFonts w:ascii="Calibri" w:hAnsi="Calibri"/>
                <w:color w:val="333333"/>
                <w:sz w:val="18"/>
              </w:rPr>
              <w:t>Bank of America Corporation</w:t>
            </w:r>
          </w:p>
        </w:tc>
        <w:tc>
          <w:tcPr>
            <w:tcW w:type="dxa" w:w="2016"/>
            <w:shd w:fill="F2F4F8" w:val="clear"/>
          </w:tcPr>
          <w:p>
            <w:r>
              <w:rPr>
                <w:rFonts w:ascii="Calibri" w:hAnsi="Calibri"/>
                <w:color w:val="333333"/>
                <w:sz w:val="18"/>
              </w:rPr>
              <w:t>$354.4B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12%</w:t>
            </w:r>
          </w:p>
        </w:tc>
      </w:tr>
      <w:tr>
        <w:tc>
          <w:tcPr>
            <w:tcW w:type="dxa" w:w="2016"/>
          </w:tcPr>
          <w:p>
            <w:r>
              <w:rPr>
                <w:rFonts w:ascii="Calibri" w:hAnsi="Calibri"/>
                <w:color w:val="333333"/>
                <w:sz w:val="18"/>
              </w:rPr>
              <w:t>WFC</w:t>
            </w:r>
          </w:p>
        </w:tc>
        <w:tc>
          <w:tcPr>
            <w:tcW w:type="dxa" w:w="2016"/>
          </w:tcPr>
          <w:p>
            <w:r>
              <w:rPr>
                <w:rFonts w:ascii="Calibri" w:hAnsi="Calibri"/>
                <w:color w:val="333333"/>
                <w:sz w:val="18"/>
              </w:rPr>
              <w:t>Wells Fargo &amp; Company</w:t>
            </w:r>
          </w:p>
        </w:tc>
        <w:tc>
          <w:tcPr>
            <w:tcW w:type="dxa" w:w="2016"/>
          </w:tcPr>
          <w:p>
            <w:r>
              <w:rPr>
                <w:rFonts w:ascii="Calibri" w:hAnsi="Calibri"/>
                <w:color w:val="333333"/>
                <w:sz w:val="18"/>
              </w:rPr>
              <w:t>$248.7B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13%</w:t>
            </w:r>
          </w:p>
        </w:tc>
      </w:tr>
      <w:tr>
        <w:tc>
          <w:tcPr>
            <w:tcW w:type="dxa" w:w="2016"/>
            <w:shd w:fill="F2F4F8" w:val="clear"/>
          </w:tcPr>
          <w:p>
            <w:r>
              <w:rPr>
                <w:rFonts w:ascii="Calibri" w:hAnsi="Calibri"/>
                <w:color w:val="333333"/>
                <w:sz w:val="18"/>
              </w:rPr>
              <w:t>GS</w:t>
            </w:r>
          </w:p>
        </w:tc>
        <w:tc>
          <w:tcPr>
            <w:tcW w:type="dxa" w:w="2016"/>
            <w:shd w:fill="F2F4F8" w:val="clear"/>
          </w:tcPr>
          <w:p>
            <w:r>
              <w:rPr>
                <w:rFonts w:ascii="Calibri" w:hAnsi="Calibri"/>
                <w:color w:val="333333"/>
                <w:sz w:val="18"/>
              </w:rPr>
              <w:t>Goldman Sachs Group, Inc. (The)</w:t>
            </w:r>
          </w:p>
        </w:tc>
        <w:tc>
          <w:tcPr>
            <w:tcW w:type="dxa" w:w="2016"/>
            <w:shd w:fill="F2F4F8" w:val="clear"/>
          </w:tcPr>
          <w:p>
            <w:r>
              <w:rPr>
                <w:rFonts w:ascii="Calibri" w:hAnsi="Calibri"/>
                <w:color w:val="333333"/>
                <w:sz w:val="18"/>
              </w:rPr>
              <w:t>$256.1B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r>
        <w:tc>
          <w:tcPr>
            <w:tcW w:type="dxa" w:w="2016"/>
          </w:tcPr>
          <w:p>
            <w:r>
              <w:rPr>
                <w:rFonts w:ascii="Calibri" w:hAnsi="Calibri"/>
                <w:color w:val="333333"/>
                <w:sz w:val="18"/>
              </w:rPr>
              <w:t>MS</w:t>
            </w:r>
          </w:p>
        </w:tc>
        <w:tc>
          <w:tcPr>
            <w:tcW w:type="dxa" w:w="2016"/>
          </w:tcPr>
          <w:p>
            <w:r>
              <w:rPr>
                <w:rFonts w:ascii="Calibri" w:hAnsi="Calibri"/>
                <w:color w:val="333333"/>
                <w:sz w:val="18"/>
              </w:rPr>
              <w:t>Morgan Stanley</w:t>
            </w:r>
          </w:p>
        </w:tc>
        <w:tc>
          <w:tcPr>
            <w:tcW w:type="dxa" w:w="2016"/>
          </w:tcPr>
          <w:p>
            <w:r>
              <w:rPr>
                <w:rFonts w:ascii="Calibri" w:hAnsi="Calibri"/>
                <w:color w:val="333333"/>
                <w:sz w:val="18"/>
              </w:rPr>
              <w:t>$263.3B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12%</w:t>
            </w:r>
          </w:p>
        </w:tc>
      </w:tr>
      <w:tr>
        <w:tc>
          <w:tcPr>
            <w:tcW w:type="dxa" w:w="2016"/>
            <w:shd w:fill="F2F4F8" w:val="clear"/>
          </w:tcPr>
          <w:p>
            <w:r>
              <w:rPr>
                <w:rFonts w:ascii="Calibri" w:hAnsi="Calibri"/>
                <w:color w:val="333333"/>
                <w:sz w:val="18"/>
              </w:rPr>
              <w:t>AXP</w:t>
            </w:r>
          </w:p>
        </w:tc>
        <w:tc>
          <w:tcPr>
            <w:tcW w:type="dxa" w:w="2016"/>
            <w:shd w:fill="F2F4F8" w:val="clear"/>
          </w:tcPr>
          <w:p>
            <w:r>
              <w:rPr>
                <w:rFonts w:ascii="Calibri" w:hAnsi="Calibri"/>
                <w:color w:val="333333"/>
                <w:sz w:val="18"/>
              </w:rPr>
              <w:t>American Express Company</w:t>
            </w:r>
          </w:p>
        </w:tc>
        <w:tc>
          <w:tcPr>
            <w:tcW w:type="dxa" w:w="2016"/>
            <w:shd w:fill="F2F4F8" w:val="clear"/>
          </w:tcPr>
          <w:p>
            <w:r>
              <w:rPr>
                <w:rFonts w:ascii="Calibri" w:hAnsi="Calibri"/>
                <w:color w:val="333333"/>
                <w:sz w:val="18"/>
              </w:rPr>
              <w:t>$206.1B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r>
        <w:tc>
          <w:tcPr>
            <w:tcW w:type="dxa" w:w="2016"/>
          </w:tcPr>
          <w:p>
            <w:r>
              <w:rPr>
                <w:rFonts w:ascii="Calibri" w:hAnsi="Calibri"/>
                <w:color w:val="333333"/>
                <w:sz w:val="18"/>
              </w:rPr>
              <w:t>BLK</w:t>
            </w:r>
          </w:p>
        </w:tc>
        <w:tc>
          <w:tcPr>
            <w:tcW w:type="dxa" w:w="2016"/>
          </w:tcPr>
          <w:p>
            <w:r>
              <w:rPr>
                <w:rFonts w:ascii="Calibri" w:hAnsi="Calibri"/>
                <w:color w:val="333333"/>
                <w:sz w:val="18"/>
              </w:rPr>
              <w:t>BlackRock, Inc.</w:t>
            </w:r>
          </w:p>
        </w:tc>
        <w:tc>
          <w:tcPr>
            <w:tcW w:type="dxa" w:w="2016"/>
          </w:tcPr>
          <w:p>
            <w:r>
              <w:rPr>
                <w:rFonts w:ascii="Calibri" w:hAnsi="Calibri"/>
                <w:color w:val="333333"/>
                <w:sz w:val="18"/>
              </w:rPr>
              <w:t>$150.3B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15%</w:t>
            </w:r>
          </w:p>
        </w:tc>
      </w:tr>
      <w:tr>
        <w:tc>
          <w:tcPr>
            <w:tcW w:type="dxa" w:w="2016"/>
            <w:shd w:fill="F2F4F8" w:val="clear"/>
          </w:tcPr>
          <w:p>
            <w:r>
              <w:rPr>
                <w:rFonts w:ascii="Calibri" w:hAnsi="Calibri"/>
                <w:color w:val="333333"/>
                <w:sz w:val="18"/>
              </w:rPr>
              <w:t>SCHW</w:t>
            </w:r>
          </w:p>
        </w:tc>
        <w:tc>
          <w:tcPr>
            <w:tcW w:type="dxa" w:w="2016"/>
            <w:shd w:fill="F2F4F8" w:val="clear"/>
          </w:tcPr>
          <w:p>
            <w:r>
              <w:rPr>
                <w:rFonts w:ascii="Calibri" w:hAnsi="Calibri"/>
                <w:color w:val="333333"/>
                <w:sz w:val="18"/>
              </w:rPr>
              <w:t>Charles Schwab Corporation (The</w:t>
            </w:r>
          </w:p>
        </w:tc>
        <w:tc>
          <w:tcPr>
            <w:tcW w:type="dxa" w:w="2016"/>
            <w:shd w:fill="F2F4F8" w:val="clear"/>
          </w:tcPr>
          <w:p>
            <w:r>
              <w:rPr>
                <w:rFonts w:ascii="Calibri" w:hAnsi="Calibri"/>
                <w:color w:val="333333"/>
                <w:sz w:val="18"/>
              </w:rPr>
              <w:t>$166.6B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15%</w:t>
            </w:r>
          </w:p>
        </w:tc>
      </w:tr>
    </w:tbl>
    <w:p>
      <w:pPr>
        <w:pStyle w:val="DOBody"/>
      </w:pPr>
      <w:r>
        <w:rPr>
          <w:rFonts w:ascii="Calibri" w:hAnsi="Calibri"/>
          <w:color w:val="333333"/>
          <w:sz w:val="20"/>
        </w:rPr>
        <w:t>The peer group of 10 companies shares the same industry classification (SIC 6199). Coinbase Global, Inc. ranks at the 0th percentile among 10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U.S.</w:t>
            </w:r>
          </w:p>
        </w:tc>
        <w:tc>
          <w:tcPr>
            <w:tcW w:type="dxa" w:w="3360"/>
          </w:tcPr>
          <w:p>
            <w:r>
              <w:rPr>
                <w:rFonts w:ascii="Calibri" w:hAnsi="Calibri"/>
                <w:color w:val="333333"/>
                <w:sz w:val="18"/>
              </w:rPr>
              <w:t>N/A</w:t>
            </w:r>
          </w:p>
        </w:tc>
        <w:tc>
          <w:tcPr>
            <w:tcW w:type="dxa" w:w="3360"/>
          </w:tcPr>
          <w:p>
            <w:r>
              <w:rPr>
                <w:rFonts w:ascii="Calibri" w:hAnsi="Calibri"/>
                <w:color w:val="333333"/>
                <w:sz w:val="18"/>
              </w:rPr>
              <w:t>$6,010.6 million (84% of total revenue)</w:t>
            </w:r>
          </w:p>
        </w:tc>
      </w:tr>
      <w:tr>
        <w:tc>
          <w:tcPr>
            <w:tcW w:type="dxa" w:w="3360"/>
            <w:shd w:fill="F2F4F8" w:val="clear"/>
          </w:tcPr>
          <w:p>
            <w:r>
              <w:rPr>
                <w:rFonts w:ascii="Calibri" w:hAnsi="Calibri"/>
                <w:color w:val="333333"/>
                <w:sz w:val="18"/>
              </w:rPr>
              <w:t>International</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$1,170.7 million (16% of total revenue)</w:t>
            </w:r>
          </w:p>
        </w:tc>
      </w:tr>
    </w:tbl>
    <w:p>
      <w:pPr>
        <w:pStyle w:val="DOHeading2"/>
      </w:pPr>
      <w:r>
        <w:t>Customer &amp; Supplier Concentration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Customer</w:t>
            </w:r>
          </w:p>
        </w:tc>
        <w:tc>
          <w:tcPr>
            <w:tcW w:type="dxa" w:w="3360"/>
            <w:shd w:fill="1A1446" w:val="clear"/>
          </w:tcPr>
          <w:p>
            <w:r>
              <w:rPr>
                <w:rFonts w:ascii="Calibri" w:hAnsi="Calibri"/>
                <w:b/>
                <w:color w:val="FFFFFF"/>
                <w:sz w:val="18"/>
              </w:rPr>
              <w:t>% of Revenue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One counterparty accounted for 19% of total revenue in 2025</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2026-04-03, HIGH]</w:t>
            </w:r>
          </w:p>
        </w:tc>
      </w:tr>
      <w:tr>
        <w:tc>
          <w:tcPr>
            <w:tcW w:type="dxa" w:w="3360"/>
            <w:shd w:fill="F2F4F8" w:val="clear"/>
          </w:tcPr>
          <w:p>
            <w:r>
              <w:rPr>
                <w:rFonts w:ascii="Calibri" w:hAnsi="Calibri"/>
                <w:color w:val="333333"/>
                <w:sz w:val="18"/>
              </w:rPr>
              <w:t>One counterparty accounted for 14% of total revenue in 2024</w:t>
            </w:r>
          </w:p>
        </w:tc>
        <w:tc>
          <w:tcPr>
            <w:tcW w:type="dxa" w:w="3360"/>
            <w:shd w:fill="F2F4F8" w:val="clear"/>
          </w:tcPr>
          <w:p>
            <w:r>
              <w:rPr>
                <w:rFonts w:ascii="Calibri" w:hAnsi="Calibri"/>
                <w:color w:val="333333"/>
                <w:sz w:val="18"/>
              </w:rPr>
              <w:t>0.0%</w:t>
            </w:r>
          </w:p>
        </w:tc>
        <w:tc>
          <w:tcPr>
            <w:tcW w:type="dxa" w:w="3360"/>
            <w:shd w:fill="F2F4F8" w:val="clear"/>
          </w:tcPr>
          <w:p>
            <w:r>
              <w:rPr>
                <w:rFonts w:ascii="Calibri" w:hAnsi="Calibri"/>
                <w:color w:val="333333"/>
                <w:sz w:val="18"/>
              </w:rPr>
              <w:t>[10-K (LLM), 2026-04-03, HIGH]</w:t>
            </w:r>
          </w:p>
        </w:tc>
      </w:tr>
      <w:tr>
        <w:tc>
          <w:tcPr>
            <w:tcW w:type="dxa" w:w="3360"/>
          </w:tcPr>
          <w:p>
            <w:r>
              <w:rPr>
                <w:rFonts w:ascii="Calibri" w:hAnsi="Calibri"/>
                <w:color w:val="333333"/>
                <w:sz w:val="18"/>
              </w:rPr>
              <w:t>One counterparty accounted for 22% of total revenue in 2023</w:t>
            </w:r>
          </w:p>
        </w:tc>
        <w:tc>
          <w:tcPr>
            <w:tcW w:type="dxa" w:w="3360"/>
          </w:tcPr>
          <w:p>
            <w:r>
              <w:rPr>
                <w:rFonts w:ascii="Calibri" w:hAnsi="Calibri"/>
                <w:color w:val="333333"/>
                <w:sz w:val="18"/>
              </w:rPr>
              <w:t>0.0%</w:t>
            </w:r>
          </w:p>
        </w:tc>
        <w:tc>
          <w:tcPr>
            <w:tcW w:type="dxa" w:w="3360"/>
          </w:tcPr>
          <w:p>
            <w:r>
              <w:rPr>
                <w:rFonts w:ascii="Calibri" w:hAnsi="Calibri"/>
                <w:color w:val="333333"/>
                <w:sz w:val="18"/>
              </w:rPr>
              <w:t>[10-K (LLM), 2026-04-03, HIGH]</w:t>
            </w:r>
          </w:p>
        </w:tc>
      </w:tr>
    </w:tbl>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LARGE</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FINS (FINS)</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4</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7.8%</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$40.0M -- $150.0M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$6.9B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1.50x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1.30x</w:t>
            </w:r>
          </w:p>
        </w:tc>
      </w:tr>
    </w:tbl>
    <w:p>
      <w:pPr>
        <w:pStyle w:val="DOHeading2"/>
      </w:pPr>
      <w:r>
        <w:t>Hazard Profile (Inherent Exposure Score)</w:t>
      </w:r>
    </w:p>
    <w:p>
      <w:pPr>
        <w:pStyle w:val="DOBody"/>
      </w:pPr>
      <w:r>
        <w:rPr>
          <w:b/>
        </w:rPr>
        <w:t>IES: 31/100 (LOW) | Multiplier: 0.81x | Data Coverage: 87%</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Regulatory Intensity</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Sector 'FINS' regulatory intensity: 5.0/5.0</w:t>
            </w:r>
          </w:p>
        </w:tc>
      </w:tr>
      <w:tr>
        <w:tc>
          <w:tcPr>
            <w:tcW w:type="dxa" w:w="2520"/>
            <w:shd w:fill="F2F4F8" w:val="clear"/>
          </w:tcPr>
          <w:p>
            <w:r>
              <w:rPr>
                <w:rFonts w:ascii="Calibri" w:hAnsi="Calibri"/>
                <w:color w:val="333333"/>
                <w:sz w:val="18"/>
              </w:rPr>
              <w:t>Board Independence</w:t>
            </w:r>
          </w:p>
        </w:tc>
        <w:tc>
          <w:tcPr>
            <w:tcW w:type="dxa" w:w="2520"/>
            <w:shd w:fill="F2F4F8" w:val="clear"/>
          </w:tcPr>
          <w:p>
            <w:r>
              <w:rPr>
                <w:rFonts w:ascii="Calibri" w:hAnsi="Calibri"/>
                <w:color w:val="333333"/>
                <w:sz w:val="18"/>
              </w:rPr>
              <w:t>70</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Proxy: independence score 3.0; Estimated from related indicators.</w:t>
            </w:r>
          </w:p>
        </w:tc>
      </w:tr>
      <w:tr>
        <w:tc>
          <w:tcPr>
            <w:tcW w:type="dxa" w:w="2520"/>
          </w:tcPr>
          <w:p>
            <w:r>
              <w:rPr>
                <w:rFonts w:ascii="Calibri" w:hAnsi="Calibri"/>
                <w:color w:val="333333"/>
                <w:sz w:val="18"/>
              </w:rPr>
              <w:t>Industry Expertise Match</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No executives with explicit FINS background in bios</w:t>
            </w:r>
          </w:p>
        </w:tc>
      </w:tr>
      <w:tr>
        <w:tc>
          <w:tcPr>
            <w:tcW w:type="dxa" w:w="2520"/>
            <w:shd w:fill="F2F4F8" w:val="clear"/>
          </w:tcPr>
          <w:p>
            <w:r>
              <w:rPr>
                <w:rFonts w:ascii="Calibri" w:hAnsi="Calibri"/>
                <w:color w:val="333333"/>
                <w:sz w:val="18"/>
              </w:rPr>
              <w:t>Industry Regulatory Spotlight</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Sector 'FINS' regulatory spotlight level: 2.0/3.0</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Significant crypto/digital asset exposure (4 mentions); Estimated from related indicators.</w:t>
            </w:r>
          </w:p>
        </w:tc>
      </w:tr>
      <w:tr>
        <w:tc>
          <w:tcPr>
            <w:tcW w:type="dxa" w:w="2520"/>
            <w:shd w:fill="F2F4F8" w:val="clear"/>
          </w:tcPr>
          <w:p>
            <w:r>
              <w:rPr>
                <w:rFonts w:ascii="Calibri" w:hAnsi="Calibri"/>
                <w:color w:val="333333"/>
                <w:sz w:val="18"/>
              </w:rPr>
              <w:t>Anti-Takeover Provisions</w:t>
            </w:r>
          </w:p>
        </w:tc>
        <w:tc>
          <w:tcPr>
            <w:tcW w:type="dxa" w:w="2520"/>
            <w:shd w:fill="F2F4F8" w:val="clear"/>
          </w:tcPr>
          <w:p>
            <w:r>
              <w:rPr>
                <w:rFonts w:ascii="Calibri" w:hAnsi="Calibri"/>
                <w:color w:val="333333"/>
                <w:sz w:val="18"/>
              </w:rPr>
              <w:t>54</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Proxy: governance score 45.6; Estimated from related indicators.</w:t>
            </w:r>
          </w:p>
        </w:tc>
      </w:tr>
      <w:tr>
        <w:tc>
          <w:tcPr>
            <w:tcW w:type="dxa" w:w="2520"/>
          </w:tcPr>
          <w:p>
            <w:r>
              <w:rPr>
                <w:rFonts w:ascii="Calibri" w:hAnsi="Calibri"/>
                <w:color w:val="333333"/>
                <w:sz w:val="18"/>
              </w:rPr>
              <w:t>Industry Sector Risk Tier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Sector 'FINS' maps to risk score 5.0/10.0</w:t>
            </w:r>
          </w:p>
        </w:tc>
      </w:tr>
      <w:tr>
        <w:tc>
          <w:tcPr>
            <w:tcW w:type="dxa" w:w="2520"/>
            <w:shd w:fill="F2F4F8" w:val="clear"/>
          </w:tcPr>
          <w:p>
            <w:r>
              <w:rPr>
                <w:rFonts w:ascii="Calibri" w:hAnsi="Calibri"/>
                <w:color w:val="333333"/>
                <w:sz w:val="18"/>
              </w:rPr>
              <w:t>IP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Scale Experience Mismatch</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Key Person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OBS indicator: FINANCIAL: Our net revenue may be concentrated in a limited number of areas; Estimated from related indicators.</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Audit Committee Quality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Committee quality score 0.0/10 (weak); Estimated from related indicators.</w:t>
            </w:r>
          </w:p>
        </w:tc>
      </w:tr>
      <w:tr>
        <w:tc>
          <w:tcPr>
            <w:tcW w:type="dxa" w:w="2520"/>
          </w:tcPr>
          <w:p>
            <w:r>
              <w:rPr>
                <w:rFonts w:ascii="Calibri" w:hAnsi="Calibri"/>
                <w:color w:val="333333"/>
                <w:sz w:val="18"/>
              </w:rPr>
              <w:t>IPO Recency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IPO 4 years ago (MODERATE -- transitioning)</w:t>
            </w:r>
          </w:p>
        </w:tc>
      </w:tr>
      <w:tr>
        <w:tc>
          <w:tcPr>
            <w:tcW w:type="dxa" w:w="2520"/>
            <w:shd w:fill="F2F4F8" w:val="clear"/>
          </w:tcPr>
          <w:p>
            <w:r>
              <w:rPr>
                <w:rFonts w:ascii="Calibri" w:hAnsi="Calibri"/>
                <w:color w:val="333333"/>
                <w:sz w:val="18"/>
              </w:rPr>
              <w:t>Method of Going Public</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Seasoning &amp; Track Record</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Only 4 years as public company (limited track record)</w:t>
            </w:r>
          </w:p>
        </w:tc>
      </w:tr>
      <w:tr>
        <w:tc>
          <w:tcPr>
            <w:tcW w:type="dxa" w:w="2520"/>
            <w:shd w:fill="F2F4F8" w:val="clear"/>
          </w:tcPr>
          <w:p>
            <w:r>
              <w:rPr>
                <w:rFonts w:ascii="Calibri" w:hAnsi="Calibri"/>
                <w:color w:val="333333"/>
                <w:sz w:val="18"/>
              </w:rPr>
              <w:t>Market Cycle Position</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Market cycle scored at config default (moderate -- apply system-wide); Estimated from related indicators.</w:t>
            </w:r>
          </w:p>
        </w:tc>
      </w:tr>
      <w:tr>
        <w:tc>
          <w:tcPr>
            <w:tcW w:type="dxa" w:w="2520"/>
          </w:tcPr>
          <w:p>
            <w:r>
              <w:rPr>
                <w:rFonts w:ascii="Calibri" w:hAnsi="Calibri"/>
                <w:color w:val="333333"/>
                <w:sz w:val="18"/>
              </w:rPr>
              <w:t>Industry Litigation Wave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Sector 'FINS' litigation wave level: 1.5/3.0</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Social Media / Public Persona Risk</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bl>
    <w:p>
      <w:pPr>
        <w:pStyle w:val="DOHeading3"/>
      </w:pPr>
      <w:r>
        <w:t>Interaction Effects</w:t>
      </w:r>
    </w:p>
    <w:p>
      <w:pPr>
        <w:pStyle w:val="DOBody"/>
      </w:pPr>
      <w:r>
        <w:rPr>
          <w:b/>
        </w:rPr>
        <w:t>Elevated Co-occurrence (1.05x): 5 dimensions scoring above 60% threshold</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Regulatory Intensity</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'FINS' regulatory intensity: 5.0/5.0</w:t>
            </w:r>
          </w:p>
        </w:tc>
      </w:tr>
      <w:tr>
        <w:tc>
          <w:tcPr>
            <w:tcW w:type="dxa" w:w="2016"/>
            <w:shd w:fill="F2F4F8" w:val="clear"/>
          </w:tcPr>
          <w:p>
            <w:r>
              <w:rPr>
                <w:rFonts w:ascii="Calibri" w:hAnsi="Calibri"/>
                <w:color w:val="333333"/>
                <w:sz w:val="18"/>
              </w:rPr>
              <w:t>Board Independence</w:t>
            </w:r>
          </w:p>
        </w:tc>
        <w:tc>
          <w:tcPr>
            <w:tcW w:type="dxa" w:w="2016"/>
            <w:shd w:fill="F2F4F8" w:val="clear"/>
          </w:tcPr>
          <w:p>
            <w:r>
              <w:rPr>
                <w:rFonts w:ascii="Calibri" w:hAnsi="Calibri"/>
                <w:color w:val="333333"/>
                <w:sz w:val="18"/>
              </w:rPr>
              <w:t>70</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independence score 3.0</w:t>
            </w:r>
          </w:p>
        </w:tc>
      </w:tr>
      <w:tr>
        <w:tc>
          <w:tcPr>
            <w:tcW w:type="dxa" w:w="2016"/>
          </w:tcPr>
          <w:p>
            <w:r>
              <w:rPr>
                <w:rFonts w:ascii="Calibri" w:hAnsi="Calibri"/>
                <w:color w:val="333333"/>
                <w:sz w:val="18"/>
              </w:rPr>
              <w:t>Industry Expertise Match</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executives with explicit FINS background in bios</w:t>
            </w:r>
          </w:p>
        </w:tc>
      </w:tr>
      <w:tr>
        <w:tc>
          <w:tcPr>
            <w:tcW w:type="dxa" w:w="2016"/>
            <w:shd w:fill="F2F4F8" w:val="clear"/>
          </w:tcPr>
          <w:p>
            <w:r>
              <w:rPr>
                <w:rFonts w:ascii="Calibri" w:hAnsi="Calibri"/>
                <w:color w:val="333333"/>
                <w:sz w:val="18"/>
              </w:rPr>
              <w:t>Industry Regulatory Spotlight</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'FINS' regulatory spotlight level: 2.0/3.0</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Significant crypto/digital asset exposure (4 mentions)</w:t>
            </w:r>
          </w:p>
        </w:tc>
      </w:tr>
      <w:tr>
        <w:tc>
          <w:tcPr>
            <w:tcW w:type="dxa" w:w="2016"/>
            <w:shd w:fill="F2F4F8" w:val="clear"/>
          </w:tcPr>
          <w:p>
            <w:r>
              <w:rPr>
                <w:rFonts w:ascii="Calibri" w:hAnsi="Calibri"/>
                <w:color w:val="333333"/>
                <w:sz w:val="18"/>
              </w:rPr>
              <w:t>Anti-Takeover Provisions</w:t>
            </w:r>
          </w:p>
        </w:tc>
        <w:tc>
          <w:tcPr>
            <w:tcW w:type="dxa" w:w="2016"/>
            <w:shd w:fill="F2F4F8" w:val="clear"/>
          </w:tcPr>
          <w:p>
            <w:r>
              <w:rPr>
                <w:rFonts w:ascii="Calibri" w:hAnsi="Calibri"/>
                <w:color w:val="333333"/>
                <w:sz w:val="18"/>
              </w:rPr>
              <w:t>54</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governance score 45.6</w:t>
            </w:r>
          </w:p>
        </w:tc>
      </w:tr>
      <w:tr>
        <w:tc>
          <w:tcPr>
            <w:tcW w:type="dxa" w:w="2016"/>
          </w:tcPr>
          <w:p>
            <w:r>
              <w:rPr>
                <w:rFonts w:ascii="Calibri" w:hAnsi="Calibri"/>
                <w:color w:val="333333"/>
                <w:sz w:val="18"/>
              </w:rPr>
              <w:t>Industry Sector Risk Tier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'FINS' maps to risk score 5.0/10.0</w:t>
            </w:r>
          </w:p>
        </w:tc>
      </w:tr>
      <w:tr>
        <w:tc>
          <w:tcPr>
            <w:tcW w:type="dxa" w:w="2016"/>
            <w:shd w:fill="F2F4F8" w:val="clear"/>
          </w:tcPr>
          <w:p>
            <w:r>
              <w:rPr>
                <w:rFonts w:ascii="Calibri" w:hAnsi="Calibri"/>
                <w:color w:val="333333"/>
                <w:sz w:val="18"/>
              </w:rPr>
              <w:t>IP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Scale Experience Mismatch</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Key Person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OBS indicator: FINANCIAL: Our net revenue may be concentrated in a limited number of areas</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Audit Committee Quality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Committee quality score 0.0/10 (weak)</w:t>
            </w:r>
          </w:p>
        </w:tc>
      </w:tr>
      <w:tr>
        <w:tc>
          <w:tcPr>
            <w:tcW w:type="dxa" w:w="2016"/>
          </w:tcPr>
          <w:p>
            <w:r>
              <w:rPr>
                <w:rFonts w:ascii="Calibri" w:hAnsi="Calibri"/>
                <w:color w:val="333333"/>
                <w:sz w:val="18"/>
              </w:rPr>
              <w:t>IPO Recency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IPO 4 years ago (MODERATE -- transitioning)</w:t>
            </w:r>
          </w:p>
        </w:tc>
      </w:tr>
      <w:tr>
        <w:tc>
          <w:tcPr>
            <w:tcW w:type="dxa" w:w="2016"/>
            <w:shd w:fill="F2F4F8" w:val="clear"/>
          </w:tcPr>
          <w:p>
            <w:r>
              <w:rPr>
                <w:rFonts w:ascii="Calibri" w:hAnsi="Calibri"/>
                <w:color w:val="333333"/>
                <w:sz w:val="18"/>
              </w:rPr>
              <w:t>Method of Going Public</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Seasoning &amp; Track Record</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Only 4 years as public company (limited track record)</w:t>
            </w:r>
          </w:p>
        </w:tc>
      </w:tr>
      <w:tr>
        <w:tc>
          <w:tcPr>
            <w:tcW w:type="dxa" w:w="2016"/>
            <w:shd w:fill="F2F4F8" w:val="clear"/>
          </w:tcPr>
          <w:p>
            <w:r>
              <w:rPr>
                <w:rFonts w:ascii="Calibri" w:hAnsi="Calibri"/>
                <w:color w:val="333333"/>
                <w:sz w:val="18"/>
              </w:rPr>
              <w:t>Market Cycle Position</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Market cycle scored at config default (moderate -- apply system-wide)</w:t>
            </w:r>
          </w:p>
        </w:tc>
      </w:tr>
      <w:tr>
        <w:tc>
          <w:tcPr>
            <w:tcW w:type="dxa" w:w="2016"/>
          </w:tcPr>
          <w:p>
            <w:r>
              <w:rPr>
                <w:rFonts w:ascii="Calibri" w:hAnsi="Calibri"/>
                <w:color w:val="333333"/>
                <w:sz w:val="18"/>
              </w:rPr>
              <w:t>Industry Litigation Wave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'FINS' litigation wave level: 1.5/3.0</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Social Media / Public Persona Risk</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Geographic Complexity</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2 regions, 13 subsidiaries (MODERATE)</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Shareholder Rights</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Governance score 45.6/100 (moderate)</w:t>
            </w:r>
          </w:p>
        </w:tc>
      </w:tr>
      <w:tr>
        <w:tc>
          <w:tcPr>
            <w:tcW w:type="dxa" w:w="2016"/>
          </w:tcPr>
          <w:p>
            <w:r>
              <w:rPr>
                <w:rFonts w:ascii="Calibri" w:hAnsi="Calibri"/>
                <w:color w:val="333333"/>
                <w:sz w:val="18"/>
              </w:rPr>
              <w:t>Founder-Led vs Professional Management</w:t>
            </w:r>
          </w:p>
        </w:tc>
        <w:tc>
          <w:tcPr>
            <w:tcW w:type="dxa" w:w="2016"/>
          </w:tcPr>
          <w:p>
            <w:r>
              <w:rPr>
                <w:rFonts w:ascii="Calibri" w:hAnsi="Calibri"/>
                <w:color w:val="333333"/>
                <w:sz w:val="18"/>
              </w:rPr>
              <w:t>30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Proxy: governance score 45.6</w:t>
            </w:r>
          </w:p>
        </w:tc>
      </w:tr>
      <w:tr>
        <w:tc>
          <w:tcPr>
            <w:tcW w:type="dxa" w:w="2016"/>
            <w:shd w:fill="F2F4F8" w:val="clear"/>
          </w:tcPr>
          <w:p>
            <w:r>
              <w:rPr>
                <w:rFonts w:ascii="Calibri" w:hAnsi="Calibri"/>
                <w:color w:val="333333"/>
                <w:sz w:val="18"/>
              </w:rPr>
              <w:t>Technology Platform Dependency</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Low platform keyword count (1) for non-tech sector</w:t>
            </w:r>
          </w:p>
        </w:tc>
      </w:tr>
      <w:tr>
        <w:tc>
          <w:tcPr>
            <w:tcW w:type="dxa" w:w="2016"/>
          </w:tcPr>
          <w:p>
            <w:r>
              <w:rPr>
                <w:rFonts w:ascii="Calibri" w:hAnsi="Calibri"/>
                <w:color w:val="333333"/>
                <w:sz w:val="18"/>
              </w:rPr>
              <w:t>State of Incorporation</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Incorporated in TX</w:t>
            </w:r>
          </w:p>
        </w:tc>
      </w:tr>
      <w:tr>
        <w:tc>
          <w:tcPr>
            <w:tcW w:type="dxa" w:w="2016"/>
            <w:shd w:fill="F2F4F8" w:val="clear"/>
          </w:tcPr>
          <w:p>
            <w:r>
              <w:rPr>
                <w:rFonts w:ascii="Calibri" w:hAnsi="Calibri"/>
                <w:color w:val="333333"/>
                <w:sz w:val="18"/>
              </w:rPr>
              <w:t>Geopolitical Risk</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2 geographic regions (limited international)</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Workforce/labor keyword hits: OPERATIONAL: We have in the past, and may in the future, enter into partnerships, collaborations, joint ventures, or strategic alliances with third parties</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growth 9.4% (LOW)</w:t>
            </w:r>
          </w:p>
        </w:tc>
      </w:tr>
      <w:tr>
        <w:tc>
          <w:tcPr>
            <w:tcW w:type="dxa" w:w="2016"/>
          </w:tcPr>
          <w:p>
            <w:r>
              <w:rPr>
                <w:rFonts w:ascii="Calibri" w:hAnsi="Calibri"/>
                <w:color w:val="333333"/>
                <w:sz w:val="18"/>
              </w:rPr>
              <w:t>Leverage &amp; Capital Structure</w:t>
            </w:r>
          </w:p>
        </w:tc>
        <w:tc>
          <w:tcPr>
            <w:tcW w:type="dxa" w:w="2016"/>
          </w:tcPr>
          <w:p>
            <w:r>
              <w:rPr>
                <w:rFonts w:ascii="Calibri" w:hAnsi="Calibri"/>
                <w:color w:val="333333"/>
                <w:sz w:val="18"/>
              </w:rPr>
              <w:t>20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Debt/Equity 0.49 (LOW)</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Proxy: 1 capital markets keyword hits</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Goodwill 14.1% of assets (LOW)</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1.93 -- aligned</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Minimal cybersecurity disclosure (1 mention)</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12</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Business Model Complexity</w:t>
            </w:r>
          </w:p>
        </w:tc>
        <w:tc>
          <w:tcPr>
            <w:tcW w:type="dxa" w:w="2016"/>
            <w:shd w:fill="F2F4F8" w:val="clear"/>
          </w:tcPr>
          <w:p>
            <w:r>
              <w:rPr>
                <w:rFonts w:ascii="Calibri" w:hAnsi="Calibri"/>
                <w:color w:val="333333"/>
                <w:sz w:val="18"/>
              </w:rPr>
              <w:t>10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Dual-class or special structure</w:t>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Customer &amp; Supplier Concentration</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significant concentration disclosed</w:t>
            </w:r>
          </w:p>
        </w:tc>
      </w:tr>
      <w:tr>
        <w:tc>
          <w:tcPr>
            <w:tcW w:type="dxa" w:w="2016"/>
          </w:tcPr>
          <w:p>
            <w:r>
              <w:rPr>
                <w:rFonts w:ascii="Calibri" w:hAnsi="Calibri"/>
                <w:color w:val="333333"/>
                <w:sz w:val="18"/>
              </w:rPr>
              <w:t>Capital Intensity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CapEx/Revenue 0.0% (LOW)</w:t>
            </w:r>
          </w:p>
        </w:tc>
      </w:tr>
      <w:tr>
        <w:tc>
          <w:tcPr>
            <w:tcW w:type="dxa" w:w="2016"/>
            <w:shd w:fill="F2F4F8" w:val="clear"/>
          </w:tcPr>
          <w:p>
            <w:r>
              <w:rPr>
                <w:rFonts w:ascii="Calibri" w:hAnsi="Calibri"/>
                <w:color w:val="333333"/>
                <w:sz w:val="18"/>
              </w:rPr>
              <w:t>Dual-Class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Management Public Company Experience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Earnings Quality Characteristics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Beneish M-Score -2.81 -- safe zone</w:t>
            </w:r>
          </w:p>
        </w:tc>
      </w:tr>
      <w:tr>
        <w:tc>
          <w:tcPr>
            <w:tcW w:type="dxa" w:w="2016"/>
          </w:tcPr>
          <w:p>
            <w:r>
              <w:rPr>
                <w:rFonts w:ascii="Calibri" w:hAnsi="Calibri"/>
                <w:color w:val="333333"/>
                <w:sz w:val="18"/>
              </w:rPr>
              <w:t>Pre-Revenue / Cash Burn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Revenue-generating company with positive cash flow profile</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separated</w:t>
            </w:r>
          </w:p>
        </w:tc>
      </w:tr>
      <w:tr>
        <w:tc>
          <w:tcPr>
            <w:tcW w:type="dxa" w:w="2016"/>
          </w:tcPr>
          <w:p>
            <w:r>
              <w:rPr>
                <w:rFonts w:ascii="Calibri" w:hAnsi="Calibri"/>
                <w:color w:val="333333"/>
                <w:sz w:val="18"/>
              </w:rPr>
              <w:t>Compensation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Clawback policy in place</w:t>
            </w:r>
          </w:p>
        </w:tc>
      </w:tr>
      <w:tr>
        <w:tc>
          <w:tcPr>
            <w:tcW w:type="dxa" w:w="2016"/>
            <w:shd w:fill="F2F4F8" w:val="clear"/>
          </w:tcPr>
          <w:p>
            <w:r>
              <w:rPr>
                <w:rFonts w:ascii="Calibri" w:hAnsi="Calibri"/>
                <w:color w:val="333333"/>
                <w:sz w:val="18"/>
              </w:rPr>
              <w:t>Compliance Infrastructure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material weaknesses or going concern issues identified</w:t>
            </w:r>
          </w:p>
        </w:tc>
      </w:tr>
      <w:tr>
        <w:tc>
          <w:tcPr>
            <w:tcW w:type="dxa" w:w="2016"/>
          </w:tcPr>
          <w:p>
            <w:r>
              <w:rPr>
                <w:rFonts w:ascii="Calibri" w:hAnsi="Calibri"/>
                <w:color w:val="333333"/>
                <w:sz w:val="18"/>
              </w:rPr>
              <w:t>Exchange &amp; Index Membership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Listed on Nasdaq (major exchange -- standard oversight)</w:t>
            </w:r>
          </w:p>
        </w:tc>
      </w:tr>
      <w:tr>
        <w:tc>
          <w:tcPr>
            <w:tcW w:type="dxa" w:w="2016"/>
            <w:shd w:fill="F2F4F8" w:val="clear"/>
          </w:tcPr>
          <w:p>
            <w:r>
              <w:rPr>
                <w:rFonts w:ascii="Calibri" w:hAnsi="Calibri"/>
                <w:color w:val="333333"/>
                <w:sz w:val="18"/>
              </w:rPr>
              <w:t>FPI / ADR Status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Domestic issuer (standard SEC reporting)</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ESG/climate exposure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27.1</w:t>
            </w:r>
          </w:p>
        </w:tc>
        <w:tc>
          <w:tcPr>
            <w:tcW w:type="dxa" w:w="1680"/>
          </w:tcPr>
          <w:p>
            <w:r>
              <w:rPr>
                <w:rFonts w:ascii="Calibri" w:hAnsi="Calibri"/>
                <w:color w:val="333333"/>
                <w:sz w:val="18"/>
              </w:rPr>
              <w:t>8.8</w:t>
            </w:r>
          </w:p>
        </w:tc>
        <w:tc>
          <w:tcPr>
            <w:tcW w:type="dxa" w:w="1680"/>
          </w:tcPr>
          <w:p>
            <w:r>
              <w:rPr>
                <w:rFonts w:ascii="Calibri" w:hAnsi="Calibri"/>
                <w:color w:val="333333"/>
                <w:sz w:val="18"/>
              </w:rPr>
              <w:t>12/13</w:t>
            </w:r>
          </w:p>
        </w:tc>
        <w:tc>
          <w:tcPr>
            <w:tcW w:type="dxa" w:w="1680"/>
          </w:tcPr>
          <w:p>
            <w:r>
              <w:rPr>
                <w:rFonts w:ascii="Calibri" w:hAnsi="Calibri"/>
                <w:color w:val="333333"/>
                <w:sz w:val="18"/>
              </w:rPr>
              <w:t>92%</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30.8</w:t>
            </w:r>
          </w:p>
        </w:tc>
        <w:tc>
          <w:tcPr>
            <w:tcW w:type="dxa" w:w="1680"/>
            <w:shd w:fill="F2F4F8" w:val="clear"/>
          </w:tcPr>
          <w:p>
            <w:r>
              <w:rPr>
                <w:rFonts w:ascii="Calibri" w:hAnsi="Calibri"/>
                <w:color w:val="333333"/>
                <w:sz w:val="18"/>
              </w:rPr>
              <w:t>4.6</w:t>
            </w:r>
          </w:p>
        </w:tc>
        <w:tc>
          <w:tcPr>
            <w:tcW w:type="dxa" w:w="1680"/>
            <w:shd w:fill="F2F4F8" w:val="clear"/>
          </w:tcPr>
          <w:p>
            <w:r>
              <w:rPr>
                <w:rFonts w:ascii="Calibri" w:hAnsi="Calibri"/>
                <w:color w:val="333333"/>
                <w:sz w:val="18"/>
              </w:rPr>
              <w:t>5/8</w:t>
            </w:r>
          </w:p>
        </w:tc>
        <w:tc>
          <w:tcPr>
            <w:tcW w:type="dxa" w:w="1680"/>
            <w:shd w:fill="F2F4F8" w:val="clear"/>
          </w:tcPr>
          <w:p>
            <w:r>
              <w:rPr>
                <w:rFonts w:ascii="Calibri" w:hAnsi="Calibri"/>
                <w:color w:val="333333"/>
                <w:sz w:val="18"/>
              </w:rPr>
              <w:t>62%</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21.7</w:t>
            </w:r>
          </w:p>
        </w:tc>
        <w:tc>
          <w:tcPr>
            <w:tcW w:type="dxa" w:w="1680"/>
          </w:tcPr>
          <w:p>
            <w:r>
              <w:rPr>
                <w:rFonts w:ascii="Calibri" w:hAnsi="Calibri"/>
                <w:color w:val="333333"/>
                <w:sz w:val="18"/>
              </w:rPr>
              <w:t>3.2</w:t>
            </w:r>
          </w:p>
        </w:tc>
        <w:tc>
          <w:tcPr>
            <w:tcW w:type="dxa" w:w="1680"/>
          </w:tcPr>
          <w:p>
            <w:r>
              <w:rPr>
                <w:rFonts w:ascii="Calibri" w:hAnsi="Calibri"/>
                <w:color w:val="333333"/>
                <w:sz w:val="18"/>
              </w:rPr>
              <w:t>7/8</w:t>
            </w:r>
          </w:p>
        </w:tc>
        <w:tc>
          <w:tcPr>
            <w:tcW w:type="dxa" w:w="1680"/>
          </w:tcPr>
          <w:p>
            <w:r>
              <w:rPr>
                <w:rFonts w:ascii="Calibri" w:hAnsi="Calibri"/>
                <w:color w:val="333333"/>
                <w:sz w:val="18"/>
              </w:rPr>
              <w:t>88%</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29.1</w:t>
            </w:r>
          </w:p>
        </w:tc>
        <w:tc>
          <w:tcPr>
            <w:tcW w:type="dxa" w:w="1680"/>
            <w:shd w:fill="F2F4F8" w:val="clear"/>
          </w:tcPr>
          <w:p>
            <w:r>
              <w:rPr>
                <w:rFonts w:ascii="Calibri" w:hAnsi="Calibri"/>
                <w:color w:val="333333"/>
                <w:sz w:val="18"/>
              </w:rPr>
              <w:t>2.2</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30.0</w:t>
            </w:r>
          </w:p>
        </w:tc>
        <w:tc>
          <w:tcPr>
            <w:tcW w:type="dxa" w:w="1680"/>
          </w:tcPr>
          <w:p>
            <w:r>
              <w:rPr>
                <w:rFonts w:ascii="Calibri" w:hAnsi="Calibri"/>
                <w:color w:val="333333"/>
                <w:sz w:val="18"/>
              </w:rPr>
              <w:t>3.0</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48.8</w:t>
            </w:r>
          </w:p>
        </w:tc>
        <w:tc>
          <w:tcPr>
            <w:tcW w:type="dxa" w:w="1680"/>
            <w:shd w:fill="F2F4F8" w:val="clear"/>
          </w:tcPr>
          <w:p>
            <w:r>
              <w:rPr>
                <w:rFonts w:ascii="Calibri" w:hAnsi="Calibri"/>
                <w:color w:val="333333"/>
                <w:sz w:val="18"/>
              </w:rPr>
              <w:t>4.9</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28.5</w:t>
            </w:r>
          </w:p>
        </w:tc>
        <w:tc>
          <w:tcPr>
            <w:tcW w:type="dxa" w:w="1680"/>
          </w:tcPr>
          <w:p>
            <w:r>
              <w:rPr>
                <w:rFonts w:ascii="Calibri" w:hAnsi="Calibri"/>
                <w:color w:val="333333"/>
                <w:sz w:val="18"/>
              </w:rPr>
              <w:t>2.9</w:t>
            </w:r>
          </w:p>
        </w:tc>
        <w:tc>
          <w:tcPr>
            <w:tcW w:type="dxa" w:w="1680"/>
          </w:tcPr>
          <w:p>
            <w:r>
              <w:rPr>
                <w:rFonts w:ascii="Calibri" w:hAnsi="Calibri"/>
                <w:color w:val="333333"/>
                <w:sz w:val="18"/>
              </w:rPr>
              <w:t>5/6</w:t>
            </w:r>
          </w:p>
        </w:tc>
        <w:tc>
          <w:tcPr>
            <w:tcW w:type="dxa" w:w="1680"/>
          </w:tcPr>
          <w:p>
            <w:r>
              <w:rPr>
                <w:rFonts w:ascii="Calibri" w:hAnsi="Calibri"/>
                <w:color w:val="333333"/>
                <w:sz w:val="18"/>
              </w:rPr>
              <w:t>83%</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Cybersecurity incidents could have a material adverse effect on our business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If we were to experience any further material cybersecurity incidents in the future, such incidents may have a material effect, including harm to our reputation, and costs related to governmental investigations and regulatory scrutiny, and ongoing litigation.</w:t>
            </w:r>
          </w:p>
        </w:tc>
      </w:tr>
      <w:tr>
        <w:tc>
          <w:tcPr>
            <w:tcW w:type="dxa" w:w="2016"/>
            <w:shd w:fill="F2F4F8" w:val="clear"/>
          </w:tcPr>
          <w:p>
            <w:r>
              <w:rPr>
                <w:rFonts w:ascii="Calibri" w:hAnsi="Calibri"/>
                <w:color w:val="333333"/>
                <w:sz w:val="18"/>
              </w:rPr>
              <w:t>Our operating results have and will significantly fluctuate, including due to the highly volatile nature of crypto</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Due to the highly volatile nature of prices of crypto assets, our operating results have, and will continue to, fluctuate significantly from quarter to quarter in accordance with market sentiments and movements in the broader onchain economy.</w:t>
            </w:r>
          </w:p>
        </w:tc>
      </w:tr>
      <w:tr>
        <w:tc>
          <w:tcPr>
            <w:tcW w:type="dxa" w:w="2016"/>
          </w:tcPr>
          <w:p>
            <w:r>
              <w:rPr>
                <w:rFonts w:ascii="Calibri" w:hAnsi="Calibri"/>
                <w:color w:val="333333"/>
                <w:sz w:val="18"/>
              </w:rPr>
              <w:t>Our total revenue is substantially dependent on the prices of crypto assets and volume of transactions conducted on our platform</w:t>
            </w:r>
          </w:p>
        </w:tc>
        <w:tc>
          <w:tcPr>
            <w:tcW w:type="dxa" w:w="2016"/>
          </w:tcPr>
          <w:p>
            <w:r>
              <w:rPr>
                <w:rFonts w:ascii="Calibri" w:hAnsi="Calibri"/>
                <w:color w:val="333333"/>
                <w:sz w:val="18"/>
              </w:rPr>
              <w:t>FINANCIAL</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If such price or volume declines, our business, operating results, and financial condition would be adversely affected and the price of our Class A common stock could decline.</w:t>
            </w:r>
          </w:p>
        </w:tc>
      </w:tr>
      <w:tr>
        <w:tc>
          <w:tcPr>
            <w:tcW w:type="dxa" w:w="2016"/>
            <w:shd w:fill="F2F4F8" w:val="clear"/>
          </w:tcPr>
          <w:p>
            <w:r>
              <w:rPr>
                <w:rFonts w:ascii="Calibri" w:hAnsi="Calibri"/>
                <w:color w:val="333333"/>
                <w:sz w:val="18"/>
              </w:rPr>
              <w:t>Our net revenue may be concentrated in a limited number of areas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Within transaction revenue and subscription and services revenue, a meaningful concentration is from transactions in Bitcoin and Ethereum and stablecoin revenue in connection with USDC, respectively.</w:t>
            </w:r>
          </w:p>
        </w:tc>
      </w:tr>
      <w:tr>
        <w:tc>
          <w:tcPr>
            <w:tcW w:type="dxa" w:w="2016"/>
          </w:tcPr>
          <w:p>
            <w:r>
              <w:rPr>
                <w:rFonts w:ascii="Calibri" w:hAnsi="Calibri"/>
                <w:color w:val="333333"/>
                <w:sz w:val="18"/>
              </w:rPr>
              <w:t>We are subject to an extensive, highly-evolving and uncertain regulatory landscape</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Any adverse changes to, or our failure to comply with, any laws and regulations could adversely affect our brand, reputation, business, operating results, and financial condition.</w:t>
            </w:r>
          </w:p>
        </w:tc>
      </w:tr>
      <w:tr>
        <w:tc>
          <w:tcPr>
            <w:tcW w:type="dxa" w:w="2016"/>
            <w:shd w:fill="F2F4F8" w:val="clear"/>
          </w:tcPr>
          <w:p>
            <w:r>
              <w:rPr>
                <w:rFonts w:ascii="Calibri" w:hAnsi="Calibri"/>
                <w:color w:val="333333"/>
                <w:sz w:val="18"/>
              </w:rPr>
              <w:t>We may be subject to inquiries, investigations, and enforcement actions by U.S. and non-U.S. regulators and governmental authorities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As we continue to expand and localize our international activities, our obligations to comply with the laws, rules, regulations, and policies of a variety of jurisdictions will increase.</w:t>
            </w:r>
          </w:p>
        </w:tc>
      </w:tr>
      <w:tr>
        <w:tc>
          <w:tcPr>
            <w:tcW w:type="dxa" w:w="2016"/>
          </w:tcPr>
          <w:p>
            <w:r>
              <w:rPr>
                <w:rFonts w:ascii="Calibri" w:hAnsi="Calibri"/>
                <w:color w:val="333333"/>
                <w:sz w:val="18"/>
              </w:rPr>
              <w:t>A particular crypto asset, product or service's status as a 'security' in any relevant jurisdiction is subject to a high degree of uncertainty</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If we are unable to properly characterize a crypto asset or product offering, we may be subject to regulatory scrutiny, inquiries, investigations, fines, and other penalties.</w:t>
            </w:r>
          </w:p>
        </w:tc>
      </w:tr>
      <w:tr>
        <w:tc>
          <w:tcPr>
            <w:tcW w:type="dxa" w:w="2016"/>
            <w:shd w:fill="F2F4F8" w:val="clear"/>
          </w:tcPr>
          <w:p>
            <w:r>
              <w:rPr>
                <w:rFonts w:ascii="Calibri" w:hAnsi="Calibri"/>
                <w:color w:val="333333"/>
                <w:sz w:val="18"/>
              </w:rPr>
              <w:t>Interest rate fluctuations could negatively impact us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Interest rate fluctuations could negatively impact us.</w:t>
            </w:r>
          </w:p>
        </w:tc>
      </w:tr>
    </w:tbl>
    <w:p>
      <w:pPr>
        <w:pStyle w:val="DOCaption"/>
      </w:pPr>
      <w:r>
        <w:t>8 D&amp;O-relevant risk factors (0 new this year, 7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Coinbase's stock has collapsed 61.44% from its 52-week high of $444.65 to a current price of $171.46, a decline well beyond the typical volatility threshold that triggers stock-drop litigation under *Dura Pharmaceuticals*. The equity has suffered 22 distinct cluster events, including a severe single-day drop of -17.58% on March 10, 2025, which will be the focal point for plaintiffs alleging material misstatements or omissions tied to that specific disclosure. Insider activity presents a critical scienter risk under *Tellabs*, with a net selling direction resulting in $294.8 million in total sales, a scale of monetization that plaintiffs will leverage to establish motive and opportunity, even though 84.15% of that volume was executed under 10b5-1 plans. While short interest has been declining for six months and sits at 11.51% of the float, the catastrophic 61.44% price decline from the high provides the loss causation narrative plaintiffs need, irrespective of the short squeeze dynamics that previously dominated this sector. The absence of recent analyst downgrades against a prevailing "BUY" consensus, despite the 61.44% decline and 22 cluster events, suggests a potential disconnect that a plaintiff will argue the board failed to adequately disclose. Underwriting this risk requires a direct assumption that the March 10, 2025 event—a -17.58% single-day drop—will generate a securities class action, with the $294.8 million in insider sales providing the fuel for a potent scienter allegation.</w:t>
      </w:r>
    </w:p>
    <w:p>
      <w:pPr>
        <w:pStyle w:val="DOHeading1"/>
      </w:pPr>
      <w:r>
        <w:t>Section 4: Market &amp; Trading Analysis</w:t>
      </w:r>
    </w:p>
    <w:p>
      <w:pPr>
        <w:pStyle w:val="DOBody"/>
      </w:pPr>
      <w:r>
        <w:rPr>
          <w:rFonts w:ascii="Calibri" w:hAnsi="Calibri"/>
          <w:color w:val="333333"/>
          <w:sz w:val="20"/>
        </w:rPr>
        <w:t>The stock has suffered a severe 61.4% decline from its 52-week high ($445 to $171). Declines of this magnitude almost invariably attract securities litigation. Worst single-day decline: 17.6% on 2025-03-10. Short interest of 11.5% of float is elevated (6-month trend: DECLINING), indicating institutional bearish conviction. Analyst consensus: BUY. Stock-drop litigation risk is severe.</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618753"/>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618753"/>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618753"/>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618753"/>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28159"/>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28159"/>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83842"/>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83842"/>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$171.46</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$444.65</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$139.36</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0.4%</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-66.4%</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76.6% (Ranks at the 0th percentile among 0 peers (peer median: 2.0%))</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3.71</w:t>
            </w:r>
          </w:p>
        </w:tc>
      </w:tr>
    </w:tbl>
    <w:p>
      <w:pPr>
        <w:pStyle w:val="DOBody"/>
      </w:pPr>
      <w:r>
        <w:t>113 significant stock decline events detected in the 1Y period: 81 critical (&gt;10%), 32 notable (5-10%). 113 were company-specific,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2026-02-03 to 2026-02-23 (21d)</w:t>
            </w:r>
          </w:p>
        </w:tc>
        <w:tc>
          <w:tcPr>
            <w:tcW w:type="dxa" w:w="1440"/>
            <w:shd w:fill="FCE8E6" w:val="clear"/>
          </w:tcPr>
          <w:p>
            <w:r>
              <w:rPr>
                <w:rFonts w:ascii="Calibri" w:hAnsi="Calibri"/>
                <w:color w:val="333333"/>
                <w:sz w:val="18"/>
              </w:rPr>
              <w:t>-44.9%</w:t>
            </w:r>
          </w:p>
        </w:tc>
        <w:tc>
          <w:tcPr>
            <w:tcW w:type="dxa" w:w="1440"/>
            <w:shd w:fill="FCE8E6" w:val="clear"/>
          </w:tcPr>
          <w:p>
            <w:r>
              <w:rPr>
                <w:rFonts w:ascii="Calibri" w:hAnsi="Calibri"/>
                <w:color w:val="333333"/>
                <w:sz w:val="18"/>
              </w:rPr>
              <w:t>83%</w:t>
            </w:r>
          </w:p>
        </w:tc>
        <w:tc>
          <w:tcPr>
            <w:tcW w:type="dxa" w:w="1440"/>
            <w:shd w:fill="FCE8E6" w:val="clear"/>
          </w:tcPr>
          <w:p>
            <w:r>
              <w:rPr>
                <w:rFonts w:ascii="Calibri" w:hAnsi="Calibri"/>
                <w:color w:val="333333"/>
                <w:sz w:val="18"/>
              </w:rPr>
              <w:t>2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2026-02-05 (20d)</w:t>
            </w:r>
          </w:p>
        </w:tc>
        <w:tc>
          <w:tcPr>
            <w:tcW w:type="dxa" w:w="1440"/>
            <w:shd w:fill="F2F4F8" w:val="clear"/>
            <w:shd w:fill="FCE8E6" w:val="clear"/>
          </w:tcPr>
          <w:p>
            <w:r>
              <w:rPr>
                <w:rFonts w:ascii="Calibri" w:hAnsi="Calibri"/>
                <w:color w:val="333333"/>
                <w:sz w:val="18"/>
              </w:rPr>
              <w:t>-40.6%</w:t>
            </w:r>
          </w:p>
        </w:tc>
        <w:tc>
          <w:tcPr>
            <w:tcW w:type="dxa" w:w="1440"/>
            <w:shd w:fill="F2F4F8" w:val="clear"/>
            <w:shd w:fill="FCE8E6" w:val="clear"/>
          </w:tcPr>
          <w:p>
            <w:r>
              <w:rPr>
                <w:rFonts w:ascii="Calibri" w:hAnsi="Calibri"/>
                <w:color w:val="333333"/>
                <w:sz w:val="18"/>
              </w:rPr>
              <w:t>81%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2026-02-11 (20d)</w:t>
            </w:r>
          </w:p>
        </w:tc>
        <w:tc>
          <w:tcPr>
            <w:tcW w:type="dxa" w:w="1440"/>
            <w:shd w:fill="FCE8E6" w:val="clear"/>
          </w:tcPr>
          <w:p>
            <w:r>
              <w:rPr>
                <w:rFonts w:ascii="Calibri" w:hAnsi="Calibri"/>
                <w:color w:val="333333"/>
                <w:sz w:val="18"/>
              </w:rPr>
              <w:t>-39.4%</w:t>
            </w:r>
          </w:p>
        </w:tc>
        <w:tc>
          <w:tcPr>
            <w:tcW w:type="dxa" w:w="1440"/>
            <w:shd w:fill="FCE8E6" w:val="clear"/>
          </w:tcPr>
          <w:p>
            <w:r>
              <w:rPr>
                <w:rFonts w:ascii="Calibri" w:hAnsi="Calibri"/>
                <w:color w:val="333333"/>
                <w:sz w:val="18"/>
              </w:rPr>
              <w:t>82%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2026-02-10 (20d)</w:t>
            </w:r>
          </w:p>
        </w:tc>
        <w:tc>
          <w:tcPr>
            <w:tcW w:type="dxa" w:w="1440"/>
            <w:shd w:fill="F2F4F8" w:val="clear"/>
            <w:shd w:fill="FCE8E6" w:val="clear"/>
          </w:tcPr>
          <w:p>
            <w:r>
              <w:rPr>
                <w:rFonts w:ascii="Calibri" w:hAnsi="Calibri"/>
                <w:color w:val="333333"/>
                <w:sz w:val="18"/>
              </w:rPr>
              <w:t>-33.1%</w:t>
            </w:r>
          </w:p>
        </w:tc>
        <w:tc>
          <w:tcPr>
            <w:tcW w:type="dxa" w:w="1440"/>
            <w:shd w:fill="F2F4F8" w:val="clear"/>
            <w:shd w:fill="FCE8E6" w:val="clear"/>
          </w:tcPr>
          <w:p>
            <w:r>
              <w:rPr>
                <w:rFonts w:ascii="Calibri" w:hAnsi="Calibri"/>
                <w:color w:val="333333"/>
                <w:sz w:val="18"/>
              </w:rPr>
              <w:t>82%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2026-02-06 (20d)</w:t>
            </w:r>
          </w:p>
        </w:tc>
        <w:tc>
          <w:tcPr>
            <w:tcW w:type="dxa" w:w="1440"/>
            <w:shd w:fill="FCE8E6" w:val="clear"/>
          </w:tcPr>
          <w:p>
            <w:r>
              <w:rPr>
                <w:rFonts w:ascii="Calibri" w:hAnsi="Calibri"/>
                <w:color w:val="333333"/>
                <w:sz w:val="18"/>
              </w:rPr>
              <w:t>-32.8%</w:t>
            </w:r>
          </w:p>
        </w:tc>
        <w:tc>
          <w:tcPr>
            <w:tcW w:type="dxa" w:w="1440"/>
            <w:shd w:fill="FCE8E6" w:val="clear"/>
          </w:tcPr>
          <w:p>
            <w:r>
              <w:rPr>
                <w:rFonts w:ascii="Calibri" w:hAnsi="Calibri"/>
                <w:color w:val="333333"/>
                <w:sz w:val="18"/>
              </w:rPr>
              <w:t>81%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2026-02-17 (20d)</w:t>
            </w:r>
          </w:p>
        </w:tc>
        <w:tc>
          <w:tcPr>
            <w:tcW w:type="dxa" w:w="1440"/>
            <w:shd w:fill="F2F4F8" w:val="clear"/>
            <w:shd w:fill="FCE8E6" w:val="clear"/>
          </w:tcPr>
          <w:p>
            <w:r>
              <w:rPr>
                <w:rFonts w:ascii="Calibri" w:hAnsi="Calibri"/>
                <w:color w:val="333333"/>
                <w:sz w:val="18"/>
              </w:rPr>
              <w:t>-31.1%</w:t>
            </w:r>
          </w:p>
        </w:tc>
        <w:tc>
          <w:tcPr>
            <w:tcW w:type="dxa" w:w="1440"/>
            <w:shd w:fill="F2F4F8" w:val="clear"/>
            <w:shd w:fill="FCE8E6" w:val="clear"/>
          </w:tcPr>
          <w:p>
            <w:r>
              <w:rPr>
                <w:rFonts w:ascii="Calibri" w:hAnsi="Calibri"/>
                <w:color w:val="333333"/>
                <w:sz w:val="18"/>
              </w:rPr>
              <w:t>84%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2026-02-04 (20d)</w:t>
            </w:r>
          </w:p>
        </w:tc>
        <w:tc>
          <w:tcPr>
            <w:tcW w:type="dxa" w:w="1440"/>
            <w:shd w:fill="FCE8E6" w:val="clear"/>
          </w:tcPr>
          <w:p>
            <w:r>
              <w:rPr>
                <w:rFonts w:ascii="Calibri" w:hAnsi="Calibri"/>
                <w:color w:val="333333"/>
                <w:sz w:val="18"/>
              </w:rPr>
              <w:t>-32.7%</w:t>
            </w:r>
          </w:p>
        </w:tc>
        <w:tc>
          <w:tcPr>
            <w:tcW w:type="dxa" w:w="1440"/>
            <w:shd w:fill="FCE8E6" w:val="clear"/>
          </w:tcPr>
          <w:p>
            <w:r>
              <w:rPr>
                <w:rFonts w:ascii="Calibri" w:hAnsi="Calibri"/>
                <w:color w:val="333333"/>
                <w:sz w:val="18"/>
              </w:rPr>
              <w:t>80%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2026-02-13 (20d)</w:t>
            </w:r>
          </w:p>
        </w:tc>
        <w:tc>
          <w:tcPr>
            <w:tcW w:type="dxa" w:w="1440"/>
            <w:shd w:fill="F2F4F8" w:val="clear"/>
            <w:shd w:fill="FCE8E6" w:val="clear"/>
          </w:tcPr>
          <w:p>
            <w:r>
              <w:rPr>
                <w:rFonts w:ascii="Calibri" w:hAnsi="Calibri"/>
                <w:color w:val="333333"/>
                <w:sz w:val="18"/>
              </w:rPr>
              <w:t>-31.3%</w:t>
            </w:r>
          </w:p>
        </w:tc>
        <w:tc>
          <w:tcPr>
            <w:tcW w:type="dxa" w:w="1440"/>
            <w:shd w:fill="F2F4F8" w:val="clear"/>
            <w:shd w:fill="FCE8E6" w:val="clear"/>
          </w:tcPr>
          <w:p>
            <w:r>
              <w:rPr>
                <w:rFonts w:ascii="Calibri" w:hAnsi="Calibri"/>
                <w:color w:val="333333"/>
                <w:sz w:val="18"/>
              </w:rPr>
              <w:t>83%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2026-02-09 (20d)</w:t>
            </w:r>
          </w:p>
        </w:tc>
        <w:tc>
          <w:tcPr>
            <w:tcW w:type="dxa" w:w="1440"/>
            <w:shd w:fill="FCE8E6" w:val="clear"/>
          </w:tcPr>
          <w:p>
            <w:r>
              <w:rPr>
                <w:rFonts w:ascii="Calibri" w:hAnsi="Calibri"/>
                <w:color w:val="333333"/>
                <w:sz w:val="18"/>
              </w:rPr>
              <w:t>-30.5%</w:t>
            </w:r>
          </w:p>
        </w:tc>
        <w:tc>
          <w:tcPr>
            <w:tcW w:type="dxa" w:w="1440"/>
            <w:shd w:fill="FCE8E6" w:val="clear"/>
          </w:tcPr>
          <w:p>
            <w:r>
              <w:rPr>
                <w:rFonts w:ascii="Calibri" w:hAnsi="Calibri"/>
                <w:color w:val="333333"/>
                <w:sz w:val="18"/>
              </w:rPr>
              <w:t>82%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2026-02-18 (20d)</w:t>
            </w:r>
          </w:p>
        </w:tc>
        <w:tc>
          <w:tcPr>
            <w:tcW w:type="dxa" w:w="1440"/>
            <w:shd w:fill="F2F4F8" w:val="clear"/>
            <w:shd w:fill="FCE8E6" w:val="clear"/>
          </w:tcPr>
          <w:p>
            <w:r>
              <w:rPr>
                <w:rFonts w:ascii="Calibri" w:hAnsi="Calibri"/>
                <w:color w:val="333333"/>
                <w:sz w:val="18"/>
              </w:rPr>
              <w:t>-28.0%</w:t>
            </w:r>
          </w:p>
        </w:tc>
        <w:tc>
          <w:tcPr>
            <w:tcW w:type="dxa" w:w="1440"/>
            <w:shd w:fill="F2F4F8" w:val="clear"/>
            <w:shd w:fill="FCE8E6" w:val="clear"/>
          </w:tcPr>
          <w:p>
            <w:r>
              <w:rPr>
                <w:rFonts w:ascii="Calibri" w:hAnsi="Calibri"/>
                <w:color w:val="333333"/>
                <w:sz w:val="18"/>
              </w:rPr>
              <w:t>85%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2026-02-03 (20d)</w:t>
            </w:r>
          </w:p>
        </w:tc>
        <w:tc>
          <w:tcPr>
            <w:tcW w:type="dxa" w:w="1440"/>
            <w:shd w:fill="FCE8E6" w:val="clear"/>
          </w:tcPr>
          <w:p>
            <w:r>
              <w:rPr>
                <w:rFonts w:ascii="Calibri" w:hAnsi="Calibri"/>
                <w:color w:val="333333"/>
                <w:sz w:val="18"/>
              </w:rPr>
              <w:t>-29.5%</w:t>
            </w:r>
          </w:p>
        </w:tc>
        <w:tc>
          <w:tcPr>
            <w:tcW w:type="dxa" w:w="1440"/>
            <w:shd w:fill="FCE8E6" w:val="clear"/>
          </w:tcPr>
          <w:p>
            <w:r>
              <w:rPr>
                <w:rFonts w:ascii="Calibri" w:hAnsi="Calibri"/>
                <w:color w:val="333333"/>
                <w:sz w:val="18"/>
              </w:rPr>
              <w:t>80%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2026-02-19 (20d)</w:t>
            </w:r>
          </w:p>
        </w:tc>
        <w:tc>
          <w:tcPr>
            <w:tcW w:type="dxa" w:w="1440"/>
            <w:shd w:fill="F2F4F8" w:val="clear"/>
            <w:shd w:fill="FCE8E6" w:val="clear"/>
          </w:tcPr>
          <w:p>
            <w:r>
              <w:rPr>
                <w:rFonts w:ascii="Calibri" w:hAnsi="Calibri"/>
                <w:color w:val="333333"/>
                <w:sz w:val="18"/>
              </w:rPr>
              <w:t>-26.9%</w:t>
            </w:r>
          </w:p>
        </w:tc>
        <w:tc>
          <w:tcPr>
            <w:tcW w:type="dxa" w:w="1440"/>
            <w:shd w:fill="F2F4F8" w:val="clear"/>
            <w:shd w:fill="FCE8E6" w:val="clear"/>
          </w:tcPr>
          <w:p>
            <w:r>
              <w:rPr>
                <w:rFonts w:ascii="Calibri" w:hAnsi="Calibri"/>
                <w:color w:val="333333"/>
                <w:sz w:val="18"/>
              </w:rPr>
              <w:t>85%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2026-02-23 (20d)</w:t>
            </w:r>
          </w:p>
        </w:tc>
        <w:tc>
          <w:tcPr>
            <w:tcW w:type="dxa" w:w="1440"/>
            <w:shd w:fill="FCE8E6" w:val="clear"/>
          </w:tcPr>
          <w:p>
            <w:r>
              <w:rPr>
                <w:rFonts w:ascii="Calibri" w:hAnsi="Calibri"/>
                <w:color w:val="333333"/>
                <w:sz w:val="18"/>
              </w:rPr>
              <w:t>-26.1%</w:t>
            </w:r>
          </w:p>
        </w:tc>
        <w:tc>
          <w:tcPr>
            <w:tcW w:type="dxa" w:w="1440"/>
            <w:shd w:fill="FCE8E6" w:val="clear"/>
          </w:tcPr>
          <w:p>
            <w:r>
              <w:rPr>
                <w:rFonts w:ascii="Calibri" w:hAnsi="Calibri"/>
                <w:color w:val="333333"/>
                <w:sz w:val="18"/>
              </w:rPr>
              <w:t>86%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2026-03-24 to 2026-03-30 (7d)</w:t>
            </w:r>
          </w:p>
        </w:tc>
        <w:tc>
          <w:tcPr>
            <w:tcW w:type="dxa" w:w="1440"/>
            <w:shd w:fill="F2F4F8" w:val="clear"/>
            <w:shd w:fill="FCE8E6" w:val="clear"/>
          </w:tcPr>
          <w:p>
            <w:r>
              <w:rPr>
                <w:rFonts w:ascii="Calibri" w:hAnsi="Calibri"/>
                <w:color w:val="333333"/>
                <w:sz w:val="18"/>
              </w:rPr>
              <w:t>-19.9%</w:t>
            </w:r>
          </w:p>
        </w:tc>
        <w:tc>
          <w:tcPr>
            <w:tcW w:type="dxa" w:w="1440"/>
            <w:shd w:fill="F2F4F8" w:val="clear"/>
            <w:shd w:fill="FCE8E6" w:val="clear"/>
          </w:tcPr>
          <w:p>
            <w:r>
              <w:rPr>
                <w:rFonts w:ascii="Calibri" w:hAnsi="Calibri"/>
                <w:color w:val="333333"/>
                <w:sz w:val="18"/>
              </w:rPr>
              <w:t>99%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2025-11-13 to 2025-11-25 (13d)</w:t>
            </w:r>
          </w:p>
        </w:tc>
        <w:tc>
          <w:tcPr>
            <w:tcW w:type="dxa" w:w="1440"/>
            <w:shd w:fill="FCE8E6" w:val="clear"/>
          </w:tcPr>
          <w:p>
            <w:r>
              <w:rPr>
                <w:rFonts w:ascii="Calibri" w:hAnsi="Calibri"/>
                <w:color w:val="333333"/>
                <w:sz w:val="18"/>
              </w:rPr>
              <w:t>-34.1%</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2026-03-27 (5d)</w:t>
            </w:r>
          </w:p>
        </w:tc>
        <w:tc>
          <w:tcPr>
            <w:tcW w:type="dxa" w:w="1440"/>
            <w:shd w:fill="F2F4F8" w:val="clear"/>
            <w:shd w:fill="FCE8E6" w:val="clear"/>
          </w:tcPr>
          <w:p>
            <w:r>
              <w:rPr>
                <w:rFonts w:ascii="Calibri" w:hAnsi="Calibri"/>
                <w:color w:val="333333"/>
                <w:sz w:val="18"/>
              </w:rPr>
              <w:t>-18.4%</w:t>
            </w:r>
          </w:p>
        </w:tc>
        <w:tc>
          <w:tcPr>
            <w:tcW w:type="dxa" w:w="1440"/>
            <w:shd w:fill="F2F4F8" w:val="clear"/>
            <w:shd w:fill="FCE8E6" w:val="clear"/>
          </w:tcPr>
          <w:p>
            <w:r>
              <w:rPr>
                <w:rFonts w:ascii="Calibri" w:hAnsi="Calibri"/>
                <w:color w:val="333333"/>
                <w:sz w:val="18"/>
              </w:rPr>
              <w:t>98%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2025-11-24 (20d)</w:t>
            </w:r>
          </w:p>
        </w:tc>
        <w:tc>
          <w:tcPr>
            <w:tcW w:type="dxa" w:w="1440"/>
            <w:shd w:fill="FCE8E6" w:val="clear"/>
          </w:tcPr>
          <w:p>
            <w:r>
              <w:rPr>
                <w:rFonts w:ascii="Calibri" w:hAnsi="Calibri"/>
                <w:color w:val="333333"/>
                <w:sz w:val="18"/>
              </w:rPr>
              <w:t>-29.2%</w:t>
            </w:r>
          </w:p>
        </w:tc>
        <w:tc>
          <w:tcPr>
            <w:tcW w:type="dxa" w:w="1440"/>
            <w:shd w:fill="FCE8E6" w:val="clear"/>
          </w:tcPr>
          <w:p>
            <w:r>
              <w:rPr>
                <w:rFonts w:ascii="Calibri" w:hAnsi="Calibri"/>
                <w:color w:val="333333"/>
                <w:sz w:val="18"/>
              </w:rPr>
              <w:t>61%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2025-11-25 (20d)</w:t>
            </w:r>
          </w:p>
        </w:tc>
        <w:tc>
          <w:tcPr>
            <w:tcW w:type="dxa" w:w="1440"/>
            <w:shd w:fill="F2F4F8" w:val="clear"/>
            <w:shd w:fill="FCE8E6" w:val="clear"/>
          </w:tcPr>
          <w:p>
            <w:r>
              <w:rPr>
                <w:rFonts w:ascii="Calibri" w:hAnsi="Calibri"/>
                <w:color w:val="333333"/>
                <w:sz w:val="18"/>
              </w:rPr>
              <w:t>-28.5%</w:t>
            </w:r>
          </w:p>
        </w:tc>
        <w:tc>
          <w:tcPr>
            <w:tcW w:type="dxa" w:w="1440"/>
            <w:shd w:fill="F2F4F8" w:val="clear"/>
            <w:shd w:fill="FCE8E6" w:val="clear"/>
          </w:tcPr>
          <w:p>
            <w:r>
              <w:rPr>
                <w:rFonts w:ascii="Calibri" w:hAnsi="Calibri"/>
                <w:color w:val="333333"/>
                <w:sz w:val="18"/>
              </w:rPr>
              <w:t>61%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2025-11-20 (20d)</w:t>
            </w:r>
          </w:p>
        </w:tc>
        <w:tc>
          <w:tcPr>
            <w:tcW w:type="dxa" w:w="1440"/>
            <w:shd w:fill="FCE8E6" w:val="clear"/>
          </w:tcPr>
          <w:p>
            <w:r>
              <w:rPr>
                <w:rFonts w:ascii="Calibri" w:hAnsi="Calibri"/>
                <w:color w:val="333333"/>
                <w:sz w:val="18"/>
              </w:rPr>
              <w:t>-26.2%</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2026-02-04 (2d)</w:t>
            </w:r>
          </w:p>
        </w:tc>
        <w:tc>
          <w:tcPr>
            <w:tcW w:type="dxa" w:w="1440"/>
            <w:shd w:fill="F2F4F8" w:val="clear"/>
            <w:shd w:fill="FCE8E6" w:val="clear"/>
          </w:tcPr>
          <w:p>
            <w:r>
              <w:rPr>
                <w:rFonts w:ascii="Calibri" w:hAnsi="Calibri"/>
                <w:color w:val="333333"/>
                <w:sz w:val="18"/>
              </w:rPr>
              <w:t>-18.7%</w:t>
            </w:r>
          </w:p>
        </w:tc>
        <w:tc>
          <w:tcPr>
            <w:tcW w:type="dxa" w:w="1440"/>
            <w:shd w:fill="F2F4F8" w:val="clear"/>
            <w:shd w:fill="FCE8E6" w:val="clear"/>
          </w:tcPr>
          <w:p>
            <w:r>
              <w:rPr>
                <w:rFonts w:ascii="Calibri" w:hAnsi="Calibri"/>
                <w:color w:val="333333"/>
                <w:sz w:val="18"/>
              </w:rPr>
              <w:t>80%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2025-08-19</w:t>
            </w:r>
          </w:p>
        </w:tc>
        <w:tc>
          <w:tcPr>
            <w:tcW w:type="dxa" w:w="1440"/>
            <w:shd w:fill="FCE8E6" w:val="clear"/>
          </w:tcPr>
          <w:p>
            <w:r>
              <w:rPr>
                <w:rFonts w:ascii="Calibri" w:hAnsi="Calibri"/>
                <w:color w:val="333333"/>
                <w:sz w:val="18"/>
              </w:rPr>
              <w:t>-25.3%</w:t>
            </w:r>
          </w:p>
        </w:tc>
        <w:tc>
          <w:tcPr>
            <w:tcW w:type="dxa" w:w="1440"/>
            <w:shd w:fill="FCE8E6" w:val="clear"/>
          </w:tcPr>
          <w:p>
            <w:r>
              <w:rPr>
                <w:rFonts w:ascii="Calibri" w:hAnsi="Calibri"/>
                <w:color w:val="333333"/>
                <w:sz w:val="18"/>
              </w:rPr>
              <w:t>42%</w:t>
            </w:r>
          </w:p>
        </w:tc>
        <w:tc>
          <w:tcPr>
            <w:tcW w:type="dxa" w:w="1440"/>
            <w:shd w:fill="FCE8E6" w:val="clear"/>
          </w:tcPr>
          <w:p>
            <w:r>
              <w:rPr>
                <w:rFonts w:ascii="Calibri" w:hAnsi="Calibri"/>
                <w:color w:val="333333"/>
                <w:sz w:val="18"/>
              </w:rPr>
              <w:t>16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2025-11-17 (5d)</w:t>
            </w:r>
          </w:p>
        </w:tc>
        <w:tc>
          <w:tcPr>
            <w:tcW w:type="dxa" w:w="1440"/>
            <w:shd w:fill="F2F4F8" w:val="clear"/>
            <w:shd w:fill="FCE8E6" w:val="clear"/>
          </w:tcPr>
          <w:p>
            <w:r>
              <w:rPr>
                <w:rFonts w:ascii="Calibri" w:hAnsi="Calibri"/>
                <w:color w:val="333333"/>
                <w:sz w:val="18"/>
              </w:rPr>
              <w:t>-17.0%</w:t>
            </w:r>
          </w:p>
        </w:tc>
        <w:tc>
          <w:tcPr>
            <w:tcW w:type="dxa" w:w="1440"/>
            <w:shd w:fill="F2F4F8" w:val="clear"/>
            <w:shd w:fill="FCE8E6" w:val="clear"/>
          </w:tcPr>
          <w:p>
            <w:r>
              <w:rPr>
                <w:rFonts w:ascii="Calibri" w:hAnsi="Calibri"/>
                <w:color w:val="333333"/>
                <w:sz w:val="18"/>
              </w:rPr>
              <w:t>59%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2026-03-24 (2d)</w:t>
            </w:r>
          </w:p>
        </w:tc>
        <w:tc>
          <w:tcPr>
            <w:tcW w:type="dxa" w:w="1440"/>
            <w:shd w:fill="FCE8E6" w:val="clear"/>
          </w:tcPr>
          <w:p>
            <w:r>
              <w:rPr>
                <w:rFonts w:ascii="Calibri" w:hAnsi="Calibri"/>
                <w:color w:val="333333"/>
                <w:sz w:val="18"/>
              </w:rPr>
              <w:t>-19.7%</w:t>
            </w:r>
          </w:p>
        </w:tc>
        <w:tc>
          <w:tcPr>
            <w:tcW w:type="dxa" w:w="1440"/>
            <w:shd w:fill="FCE8E6" w:val="clear"/>
          </w:tcPr>
          <w:p>
            <w:r>
              <w:rPr>
                <w:rFonts w:ascii="Calibri" w:hAnsi="Calibri"/>
                <w:color w:val="333333"/>
                <w:sz w:val="18"/>
              </w:rPr>
              <w:t>97%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2025-11-19 (5d)</w:t>
            </w:r>
          </w:p>
        </w:tc>
        <w:tc>
          <w:tcPr>
            <w:tcW w:type="dxa" w:w="1440"/>
            <w:shd w:fill="F2F4F8" w:val="clear"/>
            <w:shd w:fill="FCE8E6" w:val="clear"/>
          </w:tcPr>
          <w:p>
            <w:r>
              <w:rPr>
                <w:rFonts w:ascii="Calibri" w:hAnsi="Calibri"/>
                <w:color w:val="333333"/>
                <w:sz w:val="18"/>
              </w:rPr>
              <w:t>-15.4%</w:t>
            </w:r>
          </w:p>
        </w:tc>
        <w:tc>
          <w:tcPr>
            <w:tcW w:type="dxa" w:w="1440"/>
            <w:shd w:fill="F2F4F8" w:val="clear"/>
            <w:shd w:fill="FCE8E6" w:val="clear"/>
          </w:tcPr>
          <w:p>
            <w:r>
              <w:rPr>
                <w:rFonts w:ascii="Calibri" w:hAnsi="Calibri"/>
                <w:color w:val="333333"/>
                <w:sz w:val="18"/>
              </w:rPr>
              <w:t>60%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2025-03-10 to 2025-03-20 (11d)</w:t>
            </w:r>
          </w:p>
        </w:tc>
        <w:tc>
          <w:tcPr>
            <w:tcW w:type="dxa" w:w="1440"/>
            <w:shd w:fill="FCE8E6" w:val="clear"/>
          </w:tcPr>
          <w:p>
            <w:r>
              <w:rPr>
                <w:rFonts w:ascii="Calibri" w:hAnsi="Calibri"/>
                <w:color w:val="333333"/>
                <w:sz w:val="18"/>
              </w:rPr>
              <w:t>-40.5%</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2025-03-13 (20d)</w:t>
            </w:r>
          </w:p>
        </w:tc>
        <w:tc>
          <w:tcPr>
            <w:tcW w:type="dxa" w:w="1440"/>
            <w:shd w:fill="F2F4F8" w:val="clear"/>
            <w:shd w:fill="FCE8E6" w:val="clear"/>
          </w:tcPr>
          <w:p>
            <w:r>
              <w:rPr>
                <w:rFonts w:ascii="Calibri" w:hAnsi="Calibri"/>
                <w:color w:val="333333"/>
                <w:sz w:val="18"/>
              </w:rPr>
              <w:t>-35.4%</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2025-08-01 to 2025-08-07 (7d)</w:t>
            </w:r>
          </w:p>
        </w:tc>
        <w:tc>
          <w:tcPr>
            <w:tcW w:type="dxa" w:w="1440"/>
            <w:shd w:fill="FCE8E6" w:val="clear"/>
          </w:tcPr>
          <w:p>
            <w:r>
              <w:rPr>
                <w:rFonts w:ascii="Calibri" w:hAnsi="Calibri"/>
                <w:color w:val="333333"/>
                <w:sz w:val="18"/>
              </w:rPr>
              <w:t>-23.9%</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40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2025-08-06 (5d)</w:t>
            </w:r>
          </w:p>
        </w:tc>
        <w:tc>
          <w:tcPr>
            <w:tcW w:type="dxa" w:w="1440"/>
            <w:shd w:fill="F2F4F8" w:val="clear"/>
            <w:shd w:fill="FCE8E6" w:val="clear"/>
          </w:tcPr>
          <w:p>
            <w:r>
              <w:rPr>
                <w:rFonts w:ascii="Calibri" w:hAnsi="Calibri"/>
                <w:color w:val="333333"/>
                <w:sz w:val="18"/>
              </w:rPr>
              <w:t>-19.6%</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41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2025-03-10 (20d)</w:t>
            </w:r>
          </w:p>
        </w:tc>
        <w:tc>
          <w:tcPr>
            <w:tcW w:type="dxa" w:w="1440"/>
            <w:shd w:fill="FCE8E6" w:val="clear"/>
          </w:tcPr>
          <w:p>
            <w:r>
              <w:rPr>
                <w:rFonts w:ascii="Calibri" w:hAnsi="Calibri"/>
                <w:color w:val="333333"/>
                <w:sz w:val="18"/>
              </w:rPr>
              <w:t>-34.7%</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2025-08-01 (5d)</w:t>
            </w:r>
          </w:p>
        </w:tc>
        <w:tc>
          <w:tcPr>
            <w:tcW w:type="dxa" w:w="1440"/>
            <w:shd w:fill="F2F4F8" w:val="clear"/>
            <w:shd w:fill="FCE8E6" w:val="clear"/>
          </w:tcPr>
          <w:p>
            <w:r>
              <w:rPr>
                <w:rFonts w:ascii="Calibri" w:hAnsi="Calibri"/>
                <w:color w:val="333333"/>
                <w:sz w:val="18"/>
              </w:rPr>
              <w:t>-19.6%</w:t>
            </w:r>
          </w:p>
        </w:tc>
        <w:tc>
          <w:tcPr>
            <w:tcW w:type="dxa" w:w="1440"/>
            <w:shd w:fill="F2F4F8" w:val="clear"/>
            <w:shd w:fill="FCE8E6" w:val="clear"/>
          </w:tcPr>
          <w:p>
            <w:r>
              <w:rPr>
                <w:rFonts w:ascii="Calibri" w:hAnsi="Calibri"/>
                <w:color w:val="333333"/>
                <w:sz w:val="18"/>
              </w:rPr>
              <w:t>39%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2025-03-18 (20d)</w:t>
            </w:r>
          </w:p>
        </w:tc>
        <w:tc>
          <w:tcPr>
            <w:tcW w:type="dxa" w:w="1440"/>
            <w:shd w:fill="FCE8E6" w:val="clear"/>
          </w:tcPr>
          <w:p>
            <w:r>
              <w:rPr>
                <w:rFonts w:ascii="Calibri" w:hAnsi="Calibri"/>
                <w:color w:val="333333"/>
                <w:sz w:val="18"/>
              </w:rPr>
              <w:t>-31.6%</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2025-03-17 (20d)</w:t>
            </w:r>
          </w:p>
        </w:tc>
        <w:tc>
          <w:tcPr>
            <w:tcW w:type="dxa" w:w="1440"/>
            <w:shd w:fill="F2F4F8" w:val="clear"/>
            <w:shd w:fill="FCE8E6" w:val="clear"/>
          </w:tcPr>
          <w:p>
            <w:r>
              <w:rPr>
                <w:rFonts w:ascii="Calibri" w:hAnsi="Calibri"/>
                <w:color w:val="333333"/>
                <w:sz w:val="18"/>
              </w:rPr>
              <w:t>-31.1%</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2025-03-11 (20d)</w:t>
            </w:r>
          </w:p>
        </w:tc>
        <w:tc>
          <w:tcPr>
            <w:tcW w:type="dxa" w:w="1440"/>
            <w:shd w:fill="FCE8E6" w:val="clear"/>
          </w:tcPr>
          <w:p>
            <w:r>
              <w:rPr>
                <w:rFonts w:ascii="Calibri" w:hAnsi="Calibri"/>
                <w:color w:val="333333"/>
                <w:sz w:val="18"/>
              </w:rPr>
              <w:t>-31.6%</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2025-08-07 (5d)</w:t>
            </w:r>
          </w:p>
        </w:tc>
        <w:tc>
          <w:tcPr>
            <w:tcW w:type="dxa" w:w="1440"/>
            <w:shd w:fill="F2F4F8" w:val="clear"/>
            <w:shd w:fill="FCE8E6" w:val="clear"/>
          </w:tcPr>
          <w:p>
            <w:r>
              <w:rPr>
                <w:rFonts w:ascii="Calibri" w:hAnsi="Calibri"/>
                <w:color w:val="333333"/>
                <w:sz w:val="18"/>
              </w:rPr>
              <w:t>-17.7%</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40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2025-08-01 (2d)</w:t>
            </w:r>
          </w:p>
        </w:tc>
        <w:tc>
          <w:tcPr>
            <w:tcW w:type="dxa" w:w="1440"/>
            <w:shd w:fill="FCE8E6" w:val="clear"/>
          </w:tcPr>
          <w:p>
            <w:r>
              <w:rPr>
                <w:rFonts w:ascii="Calibri" w:hAnsi="Calibri"/>
                <w:color w:val="333333"/>
                <w:sz w:val="18"/>
              </w:rPr>
              <w:t>-21.1%</w:t>
            </w:r>
          </w:p>
        </w:tc>
        <w:tc>
          <w:tcPr>
            <w:tcW w:type="dxa" w:w="1440"/>
            <w:shd w:fill="FCE8E6" w:val="clear"/>
          </w:tcPr>
          <w:p>
            <w:r>
              <w:rPr>
                <w:rFonts w:ascii="Calibri" w:hAnsi="Calibri"/>
                <w:color w:val="333333"/>
                <w:sz w:val="18"/>
              </w:rPr>
              <w:t>39%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2026-02-11 (2d)</w:t>
            </w:r>
          </w:p>
        </w:tc>
        <w:tc>
          <w:tcPr>
            <w:tcW w:type="dxa" w:w="1440"/>
            <w:shd w:fill="F2F4F8" w:val="clear"/>
            <w:shd w:fill="FCE8E6" w:val="clear"/>
          </w:tcPr>
          <w:p>
            <w:r>
              <w:rPr>
                <w:rFonts w:ascii="Calibri" w:hAnsi="Calibri"/>
                <w:color w:val="333333"/>
                <w:sz w:val="18"/>
              </w:rPr>
              <w:t>-13.2%</w:t>
            </w:r>
          </w:p>
        </w:tc>
        <w:tc>
          <w:tcPr>
            <w:tcW w:type="dxa" w:w="1440"/>
            <w:shd w:fill="F2F4F8" w:val="clear"/>
            <w:shd w:fill="FCE8E6" w:val="clear"/>
          </w:tcPr>
          <w:p>
            <w:r>
              <w:rPr>
                <w:rFonts w:ascii="Calibri" w:hAnsi="Calibri"/>
                <w:color w:val="333333"/>
                <w:sz w:val="18"/>
              </w:rPr>
              <w:t>82%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2025-03-26 to 2025-04-04 (10d)</w:t>
            </w:r>
          </w:p>
        </w:tc>
        <w:tc>
          <w:tcPr>
            <w:tcW w:type="dxa" w:w="1440"/>
            <w:shd w:fill="FCE8E6" w:val="clear"/>
          </w:tcPr>
          <w:p>
            <w:r>
              <w:rPr>
                <w:rFonts w:ascii="Calibri" w:hAnsi="Calibri"/>
                <w:color w:val="333333"/>
                <w:sz w:val="18"/>
              </w:rPr>
              <w:t>-26.2%</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3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2025-02-14 to 2025-03-04 (19d)</w:t>
            </w:r>
          </w:p>
        </w:tc>
        <w:tc>
          <w:tcPr>
            <w:tcW w:type="dxa" w:w="1440"/>
            <w:shd w:fill="F2F4F8" w:val="clear"/>
            <w:shd w:fill="FCE8E6" w:val="clear"/>
          </w:tcPr>
          <w:p>
            <w:r>
              <w:rPr>
                <w:rFonts w:ascii="Calibri" w:hAnsi="Calibri"/>
                <w:color w:val="333333"/>
                <w:sz w:val="18"/>
              </w:rPr>
              <w:t>-31.7%</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2025-08-04 (5d)</w:t>
            </w:r>
          </w:p>
        </w:tc>
        <w:tc>
          <w:tcPr>
            <w:tcW w:type="dxa" w:w="1440"/>
            <w:shd w:fill="FCE8E6" w:val="clear"/>
          </w:tcPr>
          <w:p>
            <w:r>
              <w:rPr>
                <w:rFonts w:ascii="Calibri" w:hAnsi="Calibri"/>
                <w:color w:val="333333"/>
                <w:sz w:val="18"/>
              </w:rPr>
              <w:t>-16.2%</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43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2025-03-12 (20d)</w:t>
            </w:r>
          </w:p>
        </w:tc>
        <w:tc>
          <w:tcPr>
            <w:tcW w:type="dxa" w:w="1440"/>
            <w:shd w:fill="F2F4F8" w:val="clear"/>
            <w:shd w:fill="FCE8E6" w:val="clear"/>
          </w:tcPr>
          <w:p>
            <w:r>
              <w:rPr>
                <w:rFonts w:ascii="Calibri" w:hAnsi="Calibri"/>
                <w:color w:val="333333"/>
                <w:sz w:val="18"/>
              </w:rPr>
              <w:t>-28.2%</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2025-03-19 (20d)</w:t>
            </w:r>
          </w:p>
        </w:tc>
        <w:tc>
          <w:tcPr>
            <w:tcW w:type="dxa" w:w="1440"/>
            <w:shd w:fill="FCE8E6" w:val="clear"/>
          </w:tcPr>
          <w:p>
            <w:r>
              <w:rPr>
                <w:rFonts w:ascii="Calibri" w:hAnsi="Calibri"/>
                <w:color w:val="333333"/>
                <w:sz w:val="18"/>
              </w:rPr>
              <w:t>-26.6%</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2025-02-28 (20d)</w:t>
            </w:r>
          </w:p>
        </w:tc>
        <w:tc>
          <w:tcPr>
            <w:tcW w:type="dxa" w:w="1440"/>
            <w:shd w:fill="F2F4F8" w:val="clear"/>
            <w:shd w:fill="FCE8E6" w:val="clear"/>
          </w:tcPr>
          <w:p>
            <w:r>
              <w:rPr>
                <w:rFonts w:ascii="Calibri" w:hAnsi="Calibri"/>
                <w:color w:val="333333"/>
                <w:sz w:val="18"/>
              </w:rPr>
              <w:t>-28.4%</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2025-02-27 (20d)</w:t>
            </w:r>
          </w:p>
        </w:tc>
        <w:tc>
          <w:tcPr>
            <w:tcW w:type="dxa" w:w="1440"/>
            <w:shd w:fill="FCE8E6" w:val="clear"/>
          </w:tcPr>
          <w:p>
            <w:r>
              <w:rPr>
                <w:rFonts w:ascii="Calibri" w:hAnsi="Calibri"/>
                <w:color w:val="333333"/>
                <w:sz w:val="18"/>
              </w:rPr>
              <w:t>-28.4%</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2025-03-20 (20d)</w:t>
            </w:r>
          </w:p>
        </w:tc>
        <w:tc>
          <w:tcPr>
            <w:tcW w:type="dxa" w:w="1440"/>
            <w:shd w:fill="F2F4F8" w:val="clear"/>
            <w:shd w:fill="FCE8E6" w:val="clear"/>
          </w:tcPr>
          <w:p>
            <w:r>
              <w:rPr>
                <w:rFonts w:ascii="Calibri" w:hAnsi="Calibri"/>
                <w:color w:val="333333"/>
                <w:sz w:val="18"/>
              </w:rPr>
              <w:t>-25.8%</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2025-10-30 to 2025-11-04 (6d)</w:t>
            </w:r>
          </w:p>
        </w:tc>
        <w:tc>
          <w:tcPr>
            <w:tcW w:type="dxa" w:w="1440"/>
            <w:shd w:fill="FCE8E6" w:val="clear"/>
          </w:tcPr>
          <w:p>
            <w:r>
              <w:rPr>
                <w:rFonts w:ascii="Calibri" w:hAnsi="Calibri"/>
                <w:color w:val="333333"/>
                <w:sz w:val="18"/>
              </w:rPr>
              <w:t>-15.3%</w:t>
            </w:r>
          </w:p>
        </w:tc>
        <w:tc>
          <w:tcPr>
            <w:tcW w:type="dxa" w:w="1440"/>
            <w:shd w:fill="FCE8E6" w:val="clear"/>
          </w:tcPr>
          <w:p>
            <w:r>
              <w:rPr>
                <w:rFonts w:ascii="Calibri" w:hAnsi="Calibri"/>
                <w:color w:val="333333"/>
                <w:sz w:val="18"/>
              </w:rPr>
              <w:t>56%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2026-02-23</w:t>
            </w:r>
          </w:p>
        </w:tc>
        <w:tc>
          <w:tcPr>
            <w:tcW w:type="dxa" w:w="1440"/>
            <w:shd w:fill="F2F4F8" w:val="clear"/>
            <w:shd w:fill="FFF3CD" w:val="clear"/>
          </w:tcPr>
          <w:p>
            <w:r>
              <w:rPr>
                <w:rFonts w:ascii="Calibri" w:hAnsi="Calibri"/>
                <w:color w:val="333333"/>
                <w:sz w:val="18"/>
              </w:rPr>
              <w:t>-6.5%</w:t>
            </w:r>
          </w:p>
        </w:tc>
        <w:tc>
          <w:tcPr>
            <w:tcW w:type="dxa" w:w="1440"/>
            <w:shd w:fill="F2F4F8" w:val="clear"/>
            <w:shd w:fill="FFF3CD" w:val="clear"/>
          </w:tcPr>
          <w:p>
            <w:r>
              <w:rPr>
                <w:rFonts w:ascii="Calibri" w:hAnsi="Calibri"/>
                <w:color w:val="333333"/>
                <w:sz w:val="18"/>
              </w:rPr>
              <w:t>86%</w:t>
            </w:r>
          </w:p>
        </w:tc>
        <w:tc>
          <w:tcPr>
            <w:tcW w:type="dxa" w:w="1440"/>
            <w:shd w:fill="F2F4F8" w:val="clear"/>
            <w:shd w:fill="FFF3CD" w:val="clear"/>
          </w:tcPr>
          <w:p>
            <w:r>
              <w:rPr>
                <w:rFonts w:ascii="Calibri" w:hAnsi="Calibri"/>
                <w:color w:val="333333"/>
                <w:sz w:val="18"/>
              </w:rPr>
              <w:t>2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2025-03-04 (20d)</w:t>
            </w:r>
          </w:p>
        </w:tc>
        <w:tc>
          <w:tcPr>
            <w:tcW w:type="dxa" w:w="1440"/>
            <w:shd w:fill="FCE8E6" w:val="clear"/>
          </w:tcPr>
          <w:p>
            <w:r>
              <w:rPr>
                <w:rFonts w:ascii="Calibri" w:hAnsi="Calibri"/>
                <w:color w:val="333333"/>
                <w:sz w:val="18"/>
              </w:rPr>
              <w:t>-25.3%</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2026-01-15 to 2026-01-20 (6d)</w:t>
            </w:r>
          </w:p>
        </w:tc>
        <w:tc>
          <w:tcPr>
            <w:tcW w:type="dxa" w:w="1440"/>
            <w:shd w:fill="F2F4F8" w:val="clear"/>
            <w:shd w:fill="FCE8E6" w:val="clear"/>
          </w:tcPr>
          <w:p>
            <w:r>
              <w:rPr>
                <w:rFonts w:ascii="Calibri" w:hAnsi="Calibri"/>
                <w:color w:val="333333"/>
                <w:sz w:val="18"/>
              </w:rPr>
              <w:t>-11.0%</w:t>
            </w:r>
          </w:p>
        </w:tc>
        <w:tc>
          <w:tcPr>
            <w:tcW w:type="dxa" w:w="1440"/>
            <w:shd w:fill="F2F4F8" w:val="clear"/>
            <w:shd w:fill="FCE8E6" w:val="clear"/>
          </w:tcPr>
          <w:p>
            <w:r>
              <w:rPr>
                <w:rFonts w:ascii="Calibri" w:hAnsi="Calibri"/>
                <w:color w:val="333333"/>
                <w:sz w:val="18"/>
              </w:rPr>
              <w:t>74%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2025-02-21 (5d)</w:t>
            </w:r>
          </w:p>
        </w:tc>
        <w:tc>
          <w:tcPr>
            <w:tcW w:type="dxa" w:w="1440"/>
            <w:shd w:fill="FCE8E6" w:val="clear"/>
          </w:tcPr>
          <w:p>
            <w:r>
              <w:rPr>
                <w:rFonts w:ascii="Calibri" w:hAnsi="Calibri"/>
                <w:color w:val="333333"/>
                <w:sz w:val="18"/>
              </w:rPr>
              <w:t>-21.0%</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2025-11-13 (3d)</w:t>
            </w:r>
          </w:p>
        </w:tc>
        <w:tc>
          <w:tcPr>
            <w:tcW w:type="dxa" w:w="1440"/>
            <w:shd w:fill="F2F4F8" w:val="clear"/>
            <w:shd w:fill="FCE8E6" w:val="clear"/>
          </w:tcPr>
          <w:p>
            <w:r>
              <w:rPr>
                <w:rFonts w:ascii="Calibri" w:hAnsi="Calibri"/>
                <w:color w:val="333333"/>
                <w:sz w:val="18"/>
              </w:rPr>
              <w:t>-21.7%</w:t>
            </w:r>
          </w:p>
        </w:tc>
        <w:tc>
          <w:tcPr>
            <w:tcW w:type="dxa" w:w="1440"/>
            <w:shd w:fill="F2F4F8" w:val="clear"/>
            <w:shd w:fill="FCE8E6" w:val="clear"/>
          </w:tcPr>
          <w:p>
            <w:r>
              <w:rPr>
                <w:rFonts w:ascii="Calibri" w:hAnsi="Calibri"/>
                <w:color w:val="333333"/>
                <w:sz w:val="18"/>
              </w:rPr>
              <w:t>58%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2025-11-04 (2d)</w:t>
            </w:r>
          </w:p>
        </w:tc>
        <w:tc>
          <w:tcPr>
            <w:tcW w:type="dxa" w:w="1440"/>
            <w:shd w:fill="FCE8E6" w:val="clear"/>
          </w:tcPr>
          <w:p>
            <w:r>
              <w:rPr>
                <w:rFonts w:ascii="Calibri" w:hAnsi="Calibri"/>
                <w:color w:val="333333"/>
                <w:sz w:val="18"/>
              </w:rPr>
              <w:t>-10.7%</w:t>
            </w:r>
          </w:p>
        </w:tc>
        <w:tc>
          <w:tcPr>
            <w:tcW w:type="dxa" w:w="1440"/>
            <w:shd w:fill="FCE8E6" w:val="clear"/>
          </w:tcPr>
          <w:p>
            <w:r>
              <w:rPr>
                <w:rFonts w:ascii="Calibri" w:hAnsi="Calibri"/>
                <w:color w:val="333333"/>
                <w:sz w:val="18"/>
              </w:rPr>
              <w:t>56%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2026-01-20</w:t>
            </w:r>
          </w:p>
        </w:tc>
        <w:tc>
          <w:tcPr>
            <w:tcW w:type="dxa" w:w="1440"/>
            <w:shd w:fill="F2F4F8" w:val="clear"/>
            <w:shd w:fill="FFF3CD" w:val="clear"/>
          </w:tcPr>
          <w:p>
            <w:r>
              <w:rPr>
                <w:rFonts w:ascii="Calibri" w:hAnsi="Calibri"/>
                <w:color w:val="333333"/>
                <w:sz w:val="18"/>
              </w:rPr>
              <w:t>-5.6%</w:t>
            </w:r>
          </w:p>
        </w:tc>
        <w:tc>
          <w:tcPr>
            <w:tcW w:type="dxa" w:w="1440"/>
            <w:shd w:fill="F2F4F8" w:val="clear"/>
            <w:shd w:fill="FFF3CD" w:val="clear"/>
          </w:tcPr>
          <w:p>
            <w:r>
              <w:rPr>
                <w:rFonts w:ascii="Calibri" w:hAnsi="Calibri"/>
                <w:color w:val="333333"/>
                <w:sz w:val="18"/>
              </w:rPr>
              <w:t>76%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2025-02-25 (5d)</w:t>
            </w:r>
          </w:p>
        </w:tc>
        <w:tc>
          <w:tcPr>
            <w:tcW w:type="dxa" w:w="1440"/>
            <w:shd w:fill="FCE8E6" w:val="clear"/>
          </w:tcPr>
          <w:p>
            <w:r>
              <w:rPr>
                <w:rFonts w:ascii="Calibri" w:hAnsi="Calibri"/>
                <w:color w:val="333333"/>
                <w:sz w:val="18"/>
              </w:rPr>
              <w:t>-19.7%</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2025-12-15</w:t>
            </w:r>
          </w:p>
        </w:tc>
        <w:tc>
          <w:tcPr>
            <w:tcW w:type="dxa" w:w="1440"/>
            <w:shd w:fill="F2F4F8" w:val="clear"/>
            <w:shd w:fill="FFF3CD" w:val="clear"/>
          </w:tcPr>
          <w:p>
            <w:r>
              <w:rPr>
                <w:rFonts w:ascii="Calibri" w:hAnsi="Calibri"/>
                <w:color w:val="333333"/>
                <w:sz w:val="18"/>
              </w:rPr>
              <w:t>-6.4%</w:t>
            </w:r>
          </w:p>
        </w:tc>
        <w:tc>
          <w:tcPr>
            <w:tcW w:type="dxa" w:w="1440"/>
            <w:shd w:fill="F2F4F8" w:val="clear"/>
            <w:shd w:fill="FFF3CD" w:val="clear"/>
          </w:tcPr>
          <w:p>
            <w:r>
              <w:rPr>
                <w:rFonts w:ascii="Calibri" w:hAnsi="Calibri"/>
                <w:color w:val="333333"/>
                <w:sz w:val="18"/>
              </w:rPr>
              <w:t>66%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2025-10-10</w:t>
            </w:r>
          </w:p>
        </w:tc>
        <w:tc>
          <w:tcPr>
            <w:tcW w:type="dxa" w:w="1440"/>
            <w:shd w:fill="FFF3CD" w:val="clear"/>
          </w:tcPr>
          <w:p>
            <w:r>
              <w:rPr>
                <w:rFonts w:ascii="Calibri" w:hAnsi="Calibri"/>
                <w:color w:val="333333"/>
                <w:sz w:val="18"/>
              </w:rPr>
              <w:t>-7.8%</w:t>
            </w:r>
          </w:p>
        </w:tc>
        <w:tc>
          <w:tcPr>
            <w:tcW w:type="dxa" w:w="1440"/>
            <w:shd w:fill="FFF3CD" w:val="clear"/>
          </w:tcPr>
          <w:p>
            <w:r>
              <w:rPr>
                <w:rFonts w:ascii="Calibri" w:hAnsi="Calibri"/>
                <w:color w:val="333333"/>
                <w:sz w:val="18"/>
              </w:rPr>
              <w:t>51%</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2025-03-10 (2d)</w:t>
            </w:r>
          </w:p>
        </w:tc>
        <w:tc>
          <w:tcPr>
            <w:tcW w:type="dxa" w:w="1440"/>
            <w:shd w:fill="F2F4F8" w:val="clear"/>
            <w:shd w:fill="FCE8E6" w:val="clear"/>
          </w:tcPr>
          <w:p>
            <w:r>
              <w:rPr>
                <w:rFonts w:ascii="Calibri" w:hAnsi="Calibri"/>
                <w:color w:val="333333"/>
                <w:sz w:val="18"/>
              </w:rPr>
              <w:t>-17.6%</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2025-02-26 (5d)</w:t>
            </w:r>
          </w:p>
        </w:tc>
        <w:tc>
          <w:tcPr>
            <w:tcW w:type="dxa" w:w="1440"/>
            <w:shd w:fill="FCE8E6" w:val="clear"/>
          </w:tcPr>
          <w:p>
            <w:r>
              <w:rPr>
                <w:rFonts w:ascii="Calibri" w:hAnsi="Calibri"/>
                <w:color w:val="333333"/>
                <w:sz w:val="18"/>
              </w:rPr>
              <w:t>-17.7%</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2025-03-31 (5d)</w:t>
            </w:r>
          </w:p>
        </w:tc>
        <w:tc>
          <w:tcPr>
            <w:tcW w:type="dxa" w:w="1440"/>
            <w:shd w:fill="F2F4F8" w:val="clear"/>
            <w:shd w:fill="FCE8E6" w:val="clear"/>
          </w:tcPr>
          <w:p>
            <w:r>
              <w:rPr>
                <w:rFonts w:ascii="Calibri" w:hAnsi="Calibri"/>
                <w:color w:val="333333"/>
                <w:sz w:val="18"/>
              </w:rPr>
              <w:t>-15.2%</w:t>
            </w:r>
          </w:p>
        </w:tc>
        <w:tc>
          <w:tcPr>
            <w:tcW w:type="dxa" w:w="1440"/>
            <w:shd w:fill="F2F4F8" w:val="clear"/>
            <w:shd w:fill="FCE8E6" w:val="clear"/>
          </w:tcPr>
          <w:p>
            <w:r>
              <w:rPr>
                <w:rFonts w:ascii="Calibri" w:hAnsi="Calibri"/>
                <w:color w:val="333333"/>
                <w:sz w:val="18"/>
              </w:rPr>
              <w:t>24%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2025-02-24 (5d)</w:t>
            </w:r>
          </w:p>
        </w:tc>
        <w:tc>
          <w:tcPr>
            <w:tcW w:type="dxa" w:w="1440"/>
            <w:shd w:fill="FCE8E6" w:val="clear"/>
          </w:tcPr>
          <w:p>
            <w:r>
              <w:rPr>
                <w:rFonts w:ascii="Calibri" w:hAnsi="Calibri"/>
                <w:color w:val="333333"/>
                <w:sz w:val="18"/>
              </w:rPr>
              <w:t>-17.2%</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2025-10-30</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55%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2025-10-22</w:t>
            </w:r>
          </w:p>
        </w:tc>
        <w:tc>
          <w:tcPr>
            <w:tcW w:type="dxa" w:w="1440"/>
            <w:shd w:fill="FFF3CD" w:val="clear"/>
          </w:tcPr>
          <w:p>
            <w:r>
              <w:rPr>
                <w:rFonts w:ascii="Calibri" w:hAnsi="Calibri"/>
                <w:color w:val="333333"/>
                <w:sz w:val="18"/>
              </w:rPr>
              <w:t>-5.4%</w:t>
            </w:r>
          </w:p>
        </w:tc>
        <w:tc>
          <w:tcPr>
            <w:tcW w:type="dxa" w:w="1440"/>
            <w:shd w:fill="FFF3CD" w:val="clear"/>
          </w:tcPr>
          <w:p>
            <w:r>
              <w:rPr>
                <w:rFonts w:ascii="Calibri" w:hAnsi="Calibri"/>
                <w:color w:val="333333"/>
                <w:sz w:val="18"/>
              </w:rPr>
              <w:t>54%</w:t>
            </w:r>
          </w:p>
        </w:tc>
        <w:tc>
          <w:tcPr>
            <w:tcW w:type="dxa" w:w="1440"/>
            <w:shd w:fill="FFF3CD" w:val="clear"/>
          </w:tcPr>
          <w:p>
            <w:r>
              <w:rPr>
                <w:rFonts w:ascii="Calibri" w:hAnsi="Calibri"/>
                <w:color w:val="333333"/>
                <w:sz w:val="18"/>
              </w:rPr>
              <w:t>2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2024-10-31 to 2024-11-01 (2d)</w:t>
            </w:r>
          </w:p>
        </w:tc>
        <w:tc>
          <w:tcPr>
            <w:tcW w:type="dxa" w:w="1440"/>
            <w:shd w:fill="F2F4F8" w:val="clear"/>
            <w:shd w:fill="FCE8E6" w:val="clear"/>
          </w:tcPr>
          <w:p>
            <w:r>
              <w:rPr>
                <w:rFonts w:ascii="Calibri" w:hAnsi="Calibri"/>
                <w:color w:val="333333"/>
                <w:sz w:val="18"/>
              </w:rPr>
              <w:t>-18.4%</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2025-03-28 (2d)</w:t>
            </w:r>
          </w:p>
        </w:tc>
        <w:tc>
          <w:tcPr>
            <w:tcW w:type="dxa" w:w="1440"/>
            <w:shd w:fill="FCE8E6" w:val="clear"/>
          </w:tcPr>
          <w:p>
            <w:r>
              <w:rPr>
                <w:rFonts w:ascii="Calibri" w:hAnsi="Calibri"/>
                <w:color w:val="333333"/>
                <w:sz w:val="18"/>
              </w:rPr>
              <w:t>-10.3%</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2025-08-19</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42%</w:t>
            </w:r>
          </w:p>
        </w:tc>
        <w:tc>
          <w:tcPr>
            <w:tcW w:type="dxa" w:w="1440"/>
            <w:shd w:fill="F2F4F8" w:val="clear"/>
            <w:shd w:fill="FFF3CD" w:val="clear"/>
          </w:tcPr>
          <w:p>
            <w:r>
              <w:rPr>
                <w:rFonts w:ascii="Calibri" w:hAnsi="Calibri"/>
                <w:color w:val="333333"/>
                <w:sz w:val="18"/>
              </w:rPr>
              <w:t>16 days</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2024-09-03 to 2024-09-09 (7d)</w:t>
            </w:r>
          </w:p>
        </w:tc>
        <w:tc>
          <w:tcPr>
            <w:tcW w:type="dxa" w:w="1440"/>
            <w:shd w:fill="FCE8E6" w:val="clear"/>
          </w:tcPr>
          <w:p>
            <w:r>
              <w:rPr>
                <w:rFonts w:ascii="Calibri" w:hAnsi="Calibri"/>
                <w:color w:val="333333"/>
                <w:sz w:val="18"/>
              </w:rPr>
              <w:t>-27.8%</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2025-02-18 (2d)</w:t>
            </w:r>
          </w:p>
        </w:tc>
        <w:tc>
          <w:tcPr>
            <w:tcW w:type="dxa" w:w="1440"/>
            <w:shd w:fill="F2F4F8" w:val="clear"/>
            <w:shd w:fill="FCE8E6" w:val="clear"/>
          </w:tcPr>
          <w:p>
            <w:r>
              <w:rPr>
                <w:rFonts w:ascii="Calibri" w:hAnsi="Calibri"/>
                <w:color w:val="333333"/>
                <w:sz w:val="18"/>
              </w:rPr>
              <w:t>-11.2%</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2024-10-31</w:t>
            </w:r>
          </w:p>
        </w:tc>
        <w:tc>
          <w:tcPr>
            <w:tcW w:type="dxa" w:w="1440"/>
            <w:shd w:fill="FCE8E6" w:val="clear"/>
          </w:tcPr>
          <w:p>
            <w:r>
              <w:rPr>
                <w:rFonts w:ascii="Calibri" w:hAnsi="Calibri"/>
                <w:color w:val="333333"/>
                <w:sz w:val="18"/>
              </w:rPr>
              <w:t>-15.3%</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2025-05-15</w:t>
            </w:r>
          </w:p>
        </w:tc>
        <w:tc>
          <w:tcPr>
            <w:tcW w:type="dxa" w:w="1440"/>
            <w:shd w:fill="F2F4F8" w:val="clear"/>
            <w:shd w:fill="FFF3CD" w:val="clear"/>
          </w:tcPr>
          <w:p>
            <w:r>
              <w:rPr>
                <w:rFonts w:ascii="Calibri" w:hAnsi="Calibri"/>
                <w:color w:val="333333"/>
                <w:sz w:val="18"/>
              </w:rPr>
              <w:t>-7.2%</w:t>
            </w:r>
          </w:p>
        </w:tc>
        <w:tc>
          <w:tcPr>
            <w:tcW w:type="dxa" w:w="1440"/>
            <w:shd w:fill="F2F4F8" w:val="clear"/>
            <w:shd w:fill="FFF3CD" w:val="clear"/>
          </w:tcPr>
          <w:p>
            <w:r>
              <w:rPr>
                <w:rFonts w:ascii="Calibri" w:hAnsi="Calibri"/>
                <w:color w:val="333333"/>
                <w:sz w:val="18"/>
              </w:rPr>
              <w:t>29%</w:t>
            </w:r>
          </w:p>
        </w:tc>
        <w:tc>
          <w:tcPr>
            <w:tcW w:type="dxa" w:w="1440"/>
            <w:shd w:fill="F2F4F8" w:val="clear"/>
            <w:shd w:fill="FFF3CD" w:val="clear"/>
          </w:tcPr>
          <w:p>
            <w:r>
              <w:rPr>
                <w:rFonts w:ascii="Calibri" w:hAnsi="Calibri"/>
                <w:color w:val="333333"/>
                <w:sz w:val="18"/>
              </w:rPr>
              <w:t>1 days</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2024-12-18 to 2024-12-19 (2d)</w:t>
            </w:r>
          </w:p>
        </w:tc>
        <w:tc>
          <w:tcPr>
            <w:tcW w:type="dxa" w:w="1440"/>
            <w:shd w:fill="FCE8E6" w:val="clear"/>
          </w:tcPr>
          <w:p>
            <w:r>
              <w:rPr>
                <w:rFonts w:ascii="Calibri" w:hAnsi="Calibri"/>
                <w:color w:val="333333"/>
                <w:sz w:val="18"/>
              </w:rPr>
              <w:t>-13.1%</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2024-08-01 to 2024-08-07 (7d)</w:t>
            </w:r>
          </w:p>
        </w:tc>
        <w:tc>
          <w:tcPr>
            <w:tcW w:type="dxa" w:w="1440"/>
            <w:shd w:fill="F2F4F8" w:val="clear"/>
            <w:shd w:fill="FCE8E6" w:val="clear"/>
          </w:tcPr>
          <w:p>
            <w:r>
              <w:rPr>
                <w:rFonts w:ascii="Calibri" w:hAnsi="Calibri"/>
                <w:color w:val="333333"/>
                <w:sz w:val="18"/>
              </w:rPr>
              <w:t>-26.4%</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2025-06-27</w:t>
            </w:r>
          </w:p>
        </w:tc>
        <w:tc>
          <w:tcPr>
            <w:tcW w:type="dxa" w:w="1440"/>
            <w:shd w:fill="FFF3CD" w:val="clear"/>
          </w:tcPr>
          <w:p>
            <w:r>
              <w:rPr>
                <w:rFonts w:ascii="Calibri" w:hAnsi="Calibri"/>
                <w:color w:val="333333"/>
                <w:sz w:val="18"/>
              </w:rPr>
              <w:t>-5.8%</w:t>
            </w:r>
          </w:p>
        </w:tc>
        <w:tc>
          <w:tcPr>
            <w:tcW w:type="dxa" w:w="1440"/>
            <w:shd w:fill="FFF3CD" w:val="clear"/>
          </w:tcPr>
          <w:p>
            <w:r>
              <w:rPr>
                <w:rFonts w:ascii="Calibri" w:hAnsi="Calibri"/>
                <w:color w:val="333333"/>
                <w:sz w:val="18"/>
              </w:rPr>
              <w:t>34%</w:t>
            </w:r>
          </w:p>
        </w:tc>
        <w:tc>
          <w:tcPr>
            <w:tcW w:type="dxa" w:w="1440"/>
            <w:shd w:fill="FFF3CD" w:val="clear"/>
          </w:tcPr>
          <w:p>
            <w:r>
              <w:rPr>
                <w:rFonts w:ascii="Calibri" w:hAnsi="Calibri"/>
                <w:color w:val="333333"/>
                <w:sz w:val="18"/>
              </w:rPr>
              <w:t>8 days</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2024-09-04 (5d)</w:t>
            </w:r>
          </w:p>
        </w:tc>
        <w:tc>
          <w:tcPr>
            <w:tcW w:type="dxa" w:w="1440"/>
            <w:shd w:fill="F2F4F8" w:val="clear"/>
            <w:shd w:fill="FCE8E6" w:val="clear"/>
          </w:tcPr>
          <w:p>
            <w:r>
              <w:rPr>
                <w:rFonts w:ascii="Calibri" w:hAnsi="Calibri"/>
                <w:color w:val="333333"/>
                <w:sz w:val="18"/>
              </w:rPr>
              <w:t>-17.7%</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2024-12-09 to 2024-12-10 (2d)</w:t>
            </w:r>
          </w:p>
        </w:tc>
        <w:tc>
          <w:tcPr>
            <w:tcW w:type="dxa" w:w="1440"/>
            <w:shd w:fill="FCE8E6" w:val="clear"/>
          </w:tcPr>
          <w:p>
            <w:r>
              <w:rPr>
                <w:rFonts w:ascii="Calibri" w:hAnsi="Calibri"/>
                <w:color w:val="333333"/>
                <w:sz w:val="18"/>
              </w:rPr>
              <w:t>-12.0%</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2024-11-01 (2d)</w:t>
            </w:r>
          </w:p>
        </w:tc>
        <w:tc>
          <w:tcPr>
            <w:tcW w:type="dxa" w:w="1440"/>
            <w:shd w:fill="F2F4F8" w:val="clear"/>
            <w:shd w:fill="FCE8E6" w:val="clear"/>
          </w:tcPr>
          <w:p>
            <w:r>
              <w:rPr>
                <w:rFonts w:ascii="Calibri" w:hAnsi="Calibri"/>
                <w:color w:val="333333"/>
                <w:sz w:val="18"/>
              </w:rPr>
              <w:t>-13.6%</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2024-09-03 (5d)</w:t>
            </w:r>
          </w:p>
        </w:tc>
        <w:tc>
          <w:tcPr>
            <w:tcW w:type="dxa" w:w="1440"/>
            <w:shd w:fill="FCE8E6" w:val="clear"/>
          </w:tcPr>
          <w:p>
            <w:r>
              <w:rPr>
                <w:rFonts w:ascii="Calibri" w:hAnsi="Calibri"/>
                <w:color w:val="333333"/>
                <w:sz w:val="18"/>
              </w:rPr>
              <w:t>-17.1%</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2024-08-05 (5d)</w:t>
            </w:r>
          </w:p>
        </w:tc>
        <w:tc>
          <w:tcPr>
            <w:tcW w:type="dxa" w:w="1440"/>
            <w:shd w:fill="F2F4F8" w:val="clear"/>
            <w:shd w:fill="FCE8E6" w:val="clear"/>
          </w:tcPr>
          <w:p>
            <w:r>
              <w:rPr>
                <w:rFonts w:ascii="Calibri" w:hAnsi="Calibri"/>
                <w:color w:val="333333"/>
                <w:sz w:val="18"/>
              </w:rPr>
              <w:t>-19.1%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2025-03-26 (2d)</w:t>
            </w:r>
          </w:p>
        </w:tc>
        <w:tc>
          <w:tcPr>
            <w:tcW w:type="dxa" w:w="1440"/>
            <w:shd w:fill="FFF3CD" w:val="clear"/>
          </w:tcPr>
          <w:p>
            <w:r>
              <w:rPr>
                <w:rFonts w:ascii="Calibri" w:hAnsi="Calibri"/>
                <w:color w:val="333333"/>
                <w:sz w:val="18"/>
              </w:rPr>
              <w:t>-7.8%</w:t>
            </w:r>
          </w:p>
        </w:tc>
        <w:tc>
          <w:tcPr>
            <w:tcW w:type="dxa" w:w="1440"/>
            <w:shd w:fill="FFF3CD" w:val="clear"/>
          </w:tcPr>
          <w:p>
            <w:r>
              <w:rPr>
                <w:rFonts w:ascii="Calibri" w:hAnsi="Calibri"/>
                <w:color w:val="333333"/>
                <w:sz w:val="18"/>
              </w:rPr>
              <w:t>24%</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2024-12-18 (2d)</w:t>
            </w:r>
          </w:p>
        </w:tc>
        <w:tc>
          <w:tcPr>
            <w:tcW w:type="dxa" w:w="1440"/>
            <w:shd w:fill="F2F4F8" w:val="clear"/>
            <w:shd w:fill="FCE8E6" w:val="clear"/>
          </w:tcPr>
          <w:p>
            <w:r>
              <w:rPr>
                <w:rFonts w:ascii="Calibri" w:hAnsi="Calibri"/>
                <w:color w:val="333333"/>
                <w:sz w:val="18"/>
              </w:rPr>
              <w:t>-11.2%</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2024-11-13 to 2024-11-14 (2d)</w:t>
            </w:r>
          </w:p>
        </w:tc>
        <w:tc>
          <w:tcPr>
            <w:tcW w:type="dxa" w:w="1440"/>
            <w:shd w:fill="FCE8E6" w:val="clear"/>
          </w:tcPr>
          <w:p>
            <w:r>
              <w:rPr>
                <w:rFonts w:ascii="Calibri" w:hAnsi="Calibri"/>
                <w:color w:val="333333"/>
                <w:sz w:val="18"/>
              </w:rPr>
              <w:t>-14.0%</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2024-09-05 (5d)</w:t>
            </w:r>
          </w:p>
        </w:tc>
        <w:tc>
          <w:tcPr>
            <w:tcW w:type="dxa" w:w="1440"/>
            <w:shd w:fill="F2F4F8" w:val="clear"/>
            <w:shd w:fill="FCE8E6" w:val="clear"/>
          </w:tcPr>
          <w:p>
            <w:r>
              <w:rPr>
                <w:rFonts w:ascii="Calibri" w:hAnsi="Calibri"/>
                <w:color w:val="333333"/>
                <w:sz w:val="18"/>
              </w:rPr>
              <w:t>-16.0%</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2024-11-13 (2d)</w:t>
            </w:r>
          </w:p>
        </w:tc>
        <w:tc>
          <w:tcPr>
            <w:tcW w:type="dxa" w:w="1440"/>
            <w:shd w:fill="FCE8E6" w:val="clear"/>
          </w:tcPr>
          <w:p>
            <w:r>
              <w:rPr>
                <w:rFonts w:ascii="Calibri" w:hAnsi="Calibri"/>
                <w:color w:val="333333"/>
                <w:sz w:val="18"/>
              </w:rPr>
              <w:t>-12.2%</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2025-02-21 (2d)</w:t>
            </w:r>
          </w:p>
        </w:tc>
        <w:tc>
          <w:tcPr>
            <w:tcW w:type="dxa" w:w="1440"/>
            <w:shd w:fill="F2F4F8" w:val="clear"/>
            <w:shd w:fill="FFF3CD" w:val="clear"/>
          </w:tcPr>
          <w:p>
            <w:r>
              <w:rPr>
                <w:rFonts w:ascii="Calibri" w:hAnsi="Calibri"/>
                <w:color w:val="333333"/>
                <w:sz w:val="18"/>
              </w:rPr>
              <w:t>-8.3%</w:t>
            </w:r>
          </w:p>
        </w:tc>
        <w:tc>
          <w:tcPr>
            <w:tcW w:type="dxa" w:w="1440"/>
            <w:shd w:fill="F2F4F8" w:val="clear"/>
            <w:shd w:fill="FFF3CD" w:val="clear"/>
          </w:tcPr>
          <w:p>
            <w:r>
              <w:rPr>
                <w:rFonts w:ascii="Calibri" w:hAnsi="Calibri"/>
                <w:color w:val="333333"/>
                <w:sz w:val="18"/>
              </w:rPr>
              <w:t>21%</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2024-09-09 (5d)</w:t>
            </w:r>
          </w:p>
        </w:tc>
        <w:tc>
          <w:tcPr>
            <w:tcW w:type="dxa" w:w="1440"/>
            <w:shd w:fill="FCE8E6" w:val="clear"/>
          </w:tcPr>
          <w:p>
            <w:r>
              <w:rPr>
                <w:rFonts w:ascii="Calibri" w:hAnsi="Calibri"/>
                <w:color w:val="333333"/>
                <w:sz w:val="18"/>
              </w:rPr>
              <w:t>-15.4%</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2024-12-18</w:t>
            </w:r>
          </w:p>
        </w:tc>
        <w:tc>
          <w:tcPr>
            <w:tcW w:type="dxa" w:w="1440"/>
            <w:shd w:fill="F2F4F8" w:val="clear"/>
            <w:shd w:fill="FCE8E6" w:val="clear"/>
          </w:tcPr>
          <w:p>
            <w:r>
              <w:rPr>
                <w:rFonts w:ascii="Calibri" w:hAnsi="Calibri"/>
                <w:color w:val="333333"/>
                <w:sz w:val="18"/>
              </w:rPr>
              <w:t>-10.2%</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2024-09-30 to 2024-10-01 (2d)</w:t>
            </w:r>
          </w:p>
        </w:tc>
        <w:tc>
          <w:tcPr>
            <w:tcW w:type="dxa" w:w="1440"/>
            <w:shd w:fill="FCE8E6" w:val="clear"/>
          </w:tcPr>
          <w:p>
            <w:r>
              <w:rPr>
                <w:rFonts w:ascii="Calibri" w:hAnsi="Calibri"/>
                <w:color w:val="333333"/>
                <w:sz w:val="18"/>
              </w:rPr>
              <w:t>-13.7%</w:t>
            </w:r>
          </w:p>
        </w:tc>
        <w:tc>
          <w:tcPr>
            <w:tcW w:type="dxa" w:w="1440"/>
            <w:shd w:fill="FCE8E6" w:val="clear"/>
          </w:tcPr>
          <w:p>
            <w:r>
              <w:rPr>
                <w:rFonts w:ascii="Calibri" w:hAnsi="Calibri"/>
                <w:color w:val="333333"/>
                <w:sz w:val="18"/>
              </w:rPr>
              <w:t>12%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2025-04-03 (2d)</w:t>
            </w:r>
          </w:p>
        </w:tc>
        <w:tc>
          <w:tcPr>
            <w:tcW w:type="dxa" w:w="1440"/>
            <w:shd w:fill="F2F4F8" w:val="clear"/>
            <w:shd w:fill="FFF3CD" w:val="clear"/>
          </w:tcPr>
          <w:p>
            <w:r>
              <w:rPr>
                <w:rFonts w:ascii="Calibri" w:hAnsi="Calibri"/>
                <w:color w:val="333333"/>
                <w:sz w:val="18"/>
              </w:rPr>
              <w:t>-6.0%</w:t>
            </w:r>
          </w:p>
        </w:tc>
        <w:tc>
          <w:tcPr>
            <w:tcW w:type="dxa" w:w="1440"/>
            <w:shd w:fill="F2F4F8" w:val="clear"/>
            <w:shd w:fill="FFF3CD" w:val="clear"/>
          </w:tcPr>
          <w:p>
            <w:r>
              <w:rPr>
                <w:rFonts w:ascii="Calibri" w:hAnsi="Calibri"/>
                <w:color w:val="333333"/>
                <w:sz w:val="18"/>
              </w:rPr>
              <w:t>25%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Market-Wide Event</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2025-02-14</w:t>
            </w:r>
          </w:p>
        </w:tc>
        <w:tc>
          <w:tcPr>
            <w:tcW w:type="dxa" w:w="1440"/>
            <w:shd w:fill="FFF3CD" w:val="clear"/>
          </w:tcPr>
          <w:p>
            <w:r>
              <w:rPr>
                <w:rFonts w:ascii="Calibri" w:hAnsi="Calibri"/>
                <w:color w:val="333333"/>
                <w:sz w:val="18"/>
              </w:rPr>
              <w:t>-8.0%</w:t>
            </w:r>
          </w:p>
        </w:tc>
        <w:tc>
          <w:tcPr>
            <w:tcW w:type="dxa" w:w="1440"/>
            <w:shd w:fill="FFF3CD" w:val="clear"/>
          </w:tcPr>
          <w:p>
            <w:r>
              <w:rPr>
                <w:rFonts w:ascii="Calibri" w:hAnsi="Calibri"/>
                <w:color w:val="333333"/>
                <w:sz w:val="18"/>
              </w:rPr>
              <w:t>20%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2024-11-13</w:t>
            </w:r>
          </w:p>
        </w:tc>
        <w:tc>
          <w:tcPr>
            <w:tcW w:type="dxa" w:w="1440"/>
            <w:shd w:fill="F2F4F8" w:val="clear"/>
            <w:shd w:fill="FCE8E6" w:val="clear"/>
          </w:tcPr>
          <w:p>
            <w:r>
              <w:rPr>
                <w:rFonts w:ascii="Calibri" w:hAnsi="Calibri"/>
                <w:color w:val="333333"/>
                <w:sz w:val="18"/>
              </w:rPr>
              <w:t>-10.8%</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2024-08-02 (5d)</w:t>
            </w:r>
          </w:p>
        </w:tc>
        <w:tc>
          <w:tcPr>
            <w:tcW w:type="dxa" w:w="1440"/>
            <w:shd w:fill="FCE8E6" w:val="clear"/>
          </w:tcPr>
          <w:p>
            <w:r>
              <w:rPr>
                <w:rFonts w:ascii="Calibri" w:hAnsi="Calibri"/>
                <w:color w:val="333333"/>
                <w:sz w:val="18"/>
              </w:rPr>
              <w:t>-15.8%</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2024-12-09</w:t>
            </w:r>
          </w:p>
        </w:tc>
        <w:tc>
          <w:tcPr>
            <w:tcW w:type="dxa" w:w="1440"/>
            <w:shd w:fill="F2F4F8" w:val="clear"/>
            <w:shd w:fill="FFF3CD" w:val="clear"/>
          </w:tcPr>
          <w:p>
            <w:r>
              <w:rPr>
                <w:rFonts w:ascii="Calibri" w:hAnsi="Calibri"/>
                <w:color w:val="333333"/>
                <w:sz w:val="18"/>
              </w:rPr>
              <w:t>-9.6%</w:t>
            </w:r>
          </w:p>
        </w:tc>
        <w:tc>
          <w:tcPr>
            <w:tcW w:type="dxa" w:w="1440"/>
            <w:shd w:fill="F2F4F8" w:val="clear"/>
            <w:shd w:fill="FFF3CD" w:val="clear"/>
          </w:tcPr>
          <w:p>
            <w:r>
              <w:rPr>
                <w:rFonts w:ascii="Calibri" w:hAnsi="Calibri"/>
                <w:color w:val="333333"/>
                <w:sz w:val="18"/>
              </w:rPr>
              <w:t>16%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2025-01-07</w:t>
            </w:r>
          </w:p>
        </w:tc>
        <w:tc>
          <w:tcPr>
            <w:tcW w:type="dxa" w:w="1440"/>
            <w:shd w:fill="FFF3CD" w:val="clear"/>
          </w:tcPr>
          <w:p>
            <w:r>
              <w:rPr>
                <w:rFonts w:ascii="Calibri" w:hAnsi="Calibri"/>
                <w:color w:val="333333"/>
                <w:sz w:val="18"/>
              </w:rPr>
              <w:t>-8.1%</w:t>
            </w:r>
          </w:p>
        </w:tc>
        <w:tc>
          <w:tcPr>
            <w:tcW w:type="dxa" w:w="1440"/>
            <w:shd w:fill="FFF3CD" w:val="clear"/>
          </w:tcPr>
          <w:p>
            <w:r>
              <w:rPr>
                <w:rFonts w:ascii="Calibri" w:hAnsi="Calibri"/>
                <w:color w:val="333333"/>
                <w:sz w:val="18"/>
              </w:rPr>
              <w:t>18%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2025-01-27</w:t>
            </w:r>
          </w:p>
        </w:tc>
        <w:tc>
          <w:tcPr>
            <w:tcW w:type="dxa" w:w="1440"/>
            <w:shd w:fill="F2F4F8" w:val="clear"/>
            <w:shd w:fill="FFF3CD" w:val="clear"/>
          </w:tcPr>
          <w:p>
            <w:r>
              <w:rPr>
                <w:rFonts w:ascii="Calibri" w:hAnsi="Calibri"/>
                <w:color w:val="333333"/>
                <w:sz w:val="18"/>
              </w:rPr>
              <w:t>-6.7%</w:t>
            </w:r>
          </w:p>
        </w:tc>
        <w:tc>
          <w:tcPr>
            <w:tcW w:type="dxa" w:w="1440"/>
            <w:shd w:fill="F2F4F8" w:val="clear"/>
            <w:shd w:fill="FFF3CD" w:val="clear"/>
          </w:tcPr>
          <w:p>
            <w:r>
              <w:rPr>
                <w:rFonts w:ascii="Calibri" w:hAnsi="Calibri"/>
                <w:color w:val="333333"/>
                <w:sz w:val="18"/>
              </w:rPr>
              <w:t>19%</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2024-11-21 to 2024-11-26 (6d)</w:t>
            </w:r>
          </w:p>
        </w:tc>
        <w:tc>
          <w:tcPr>
            <w:tcW w:type="dxa" w:w="1440"/>
            <w:shd w:fill="FFF3CD" w:val="clear"/>
          </w:tcPr>
          <w:p>
            <w:r>
              <w:rPr>
                <w:rFonts w:ascii="Calibri" w:hAnsi="Calibri"/>
                <w:color w:val="333333"/>
                <w:sz w:val="18"/>
              </w:rPr>
              <w:t>-8.3%</w:t>
            </w:r>
          </w:p>
        </w:tc>
        <w:tc>
          <w:tcPr>
            <w:tcW w:type="dxa" w:w="1440"/>
            <w:shd w:fill="FFF3CD" w:val="clear"/>
          </w:tcPr>
          <w:p>
            <w:r>
              <w:rPr>
                <w:rFonts w:ascii="Calibri" w:hAnsi="Calibri"/>
                <w:color w:val="333333"/>
                <w:sz w:val="18"/>
              </w:rPr>
              <w:t>15%</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2024-04-15 to 2024-04-18 (4d)</w:t>
            </w:r>
          </w:p>
        </w:tc>
        <w:tc>
          <w:tcPr>
            <w:tcW w:type="dxa" w:w="1440"/>
            <w:shd w:fill="F2F4F8" w:val="clear"/>
            <w:shd w:fill="FCE8E6" w:val="clear"/>
          </w:tcPr>
          <w:p>
            <w:r>
              <w:rPr>
                <w:rFonts w:ascii="Calibri" w:hAnsi="Calibri"/>
                <w:color w:val="333333"/>
                <w:sz w:val="18"/>
              </w:rPr>
              <w:t>-17.1%</w:t>
            </w:r>
          </w:p>
        </w:tc>
        <w:tc>
          <w:tcPr>
            <w:tcW w:type="dxa" w:w="1440"/>
            <w:shd w:fill="F2F4F8" w:val="clear"/>
            <w:shd w:fill="FCE8E6" w:val="clear"/>
          </w:tcPr>
          <w:p>
            <w:r>
              <w:rPr>
                <w:rFonts w:ascii="Calibri" w:hAnsi="Calibri"/>
                <w:color w:val="333333"/>
                <w:sz w:val="18"/>
              </w:rPr>
              <w:t>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2024-04-15 (2d)</w:t>
            </w:r>
          </w:p>
        </w:tc>
        <w:tc>
          <w:tcPr>
            <w:tcW w:type="dxa" w:w="1440"/>
            <w:shd w:fill="FCE8E6" w:val="clear"/>
          </w:tcPr>
          <w:p>
            <w:r>
              <w:rPr>
                <w:rFonts w:ascii="Calibri" w:hAnsi="Calibri"/>
                <w:color w:val="333333"/>
                <w:sz w:val="18"/>
              </w:rPr>
              <w:t>-15.1%</w:t>
            </w:r>
          </w:p>
        </w:tc>
        <w:tc>
          <w:tcPr>
            <w:tcW w:type="dxa" w:w="1440"/>
            <w:shd w:fill="FCE8E6" w:val="clear"/>
          </w:tcPr>
          <w:p>
            <w:r>
              <w:rPr>
                <w:rFonts w:ascii="Calibri" w:hAnsi="Calibri"/>
                <w:color w:val="333333"/>
                <w:sz w:val="18"/>
              </w:rPr>
              <w:t>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2024-07-25</w:t>
            </w:r>
          </w:p>
        </w:tc>
        <w:tc>
          <w:tcPr>
            <w:tcW w:type="dxa" w:w="1440"/>
            <w:shd w:fill="F2F4F8" w:val="clear"/>
            <w:shd w:fill="FCE8E6" w:val="clear"/>
          </w:tcPr>
          <w:p>
            <w:r>
              <w:rPr>
                <w:rFonts w:ascii="Calibri" w:hAnsi="Calibri"/>
                <w:color w:val="333333"/>
                <w:sz w:val="18"/>
              </w:rPr>
              <w:t>-10.1%</w:t>
            </w:r>
          </w:p>
        </w:tc>
        <w:tc>
          <w:tcPr>
            <w:tcW w:type="dxa" w:w="1440"/>
            <w:shd w:fill="F2F4F8" w:val="clear"/>
            <w:shd w:fill="FCE8E6" w:val="clear"/>
          </w:tcPr>
          <w:p>
            <w:r>
              <w:rPr>
                <w:rFonts w:ascii="Calibri" w:hAnsi="Calibri"/>
                <w:color w:val="333333"/>
                <w:sz w:val="18"/>
              </w:rPr>
              <w:t>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2024-04-24 to 2024-04-30 (7d)</w:t>
            </w:r>
          </w:p>
        </w:tc>
        <w:tc>
          <w:tcPr>
            <w:tcW w:type="dxa" w:w="1440"/>
            <w:shd w:fill="FCE8E6" w:val="clear"/>
          </w:tcPr>
          <w:p>
            <w:r>
              <w:rPr>
                <w:rFonts w:ascii="Calibri" w:hAnsi="Calibri"/>
                <w:color w:val="333333"/>
                <w:sz w:val="18"/>
              </w:rPr>
              <w:t>-13.8%</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2024-11-26</w:t>
            </w:r>
          </w:p>
        </w:tc>
        <w:tc>
          <w:tcPr>
            <w:tcW w:type="dxa" w:w="1440"/>
            <w:shd w:fill="F2F4F8" w:val="clear"/>
            <w:shd w:fill="FFF3CD" w:val="clear"/>
          </w:tcPr>
          <w:p>
            <w:r>
              <w:rPr>
                <w:rFonts w:ascii="Calibri" w:hAnsi="Calibri"/>
                <w:color w:val="333333"/>
                <w:sz w:val="18"/>
              </w:rPr>
              <w:t>-6.1%</w:t>
            </w:r>
          </w:p>
        </w:tc>
        <w:tc>
          <w:tcPr>
            <w:tcW w:type="dxa" w:w="1440"/>
            <w:shd w:fill="F2F4F8" w:val="clear"/>
            <w:shd w:fill="FFF3CD" w:val="clear"/>
          </w:tcPr>
          <w:p>
            <w:r>
              <w:rPr>
                <w:rFonts w:ascii="Calibri" w:hAnsi="Calibri"/>
                <w:color w:val="333333"/>
                <w:sz w:val="18"/>
              </w:rPr>
              <w:t>15%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2024-09-30 (2d)</w:t>
            </w:r>
          </w:p>
        </w:tc>
        <w:tc>
          <w:tcPr>
            <w:tcW w:type="dxa" w:w="1440"/>
            <w:shd w:fill="FFF3CD" w:val="clear"/>
          </w:tcPr>
          <w:p>
            <w:r>
              <w:rPr>
                <w:rFonts w:ascii="Calibri" w:hAnsi="Calibri"/>
                <w:color w:val="333333"/>
                <w:sz w:val="18"/>
              </w:rPr>
              <w:t>-7.4%</w:t>
            </w:r>
          </w:p>
        </w:tc>
        <w:tc>
          <w:tcPr>
            <w:tcW w:type="dxa" w:w="1440"/>
            <w:shd w:fill="FFF3CD" w:val="clear"/>
          </w:tcPr>
          <w:p>
            <w:r>
              <w:rPr>
                <w:rFonts w:ascii="Calibri" w:hAnsi="Calibri"/>
                <w:color w:val="333333"/>
                <w:sz w:val="18"/>
              </w:rPr>
              <w:t>12%</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2024-09-03 (2d)</w:t>
            </w:r>
          </w:p>
        </w:tc>
        <w:tc>
          <w:tcPr>
            <w:tcW w:type="dxa" w:w="1440"/>
            <w:shd w:fill="F2F4F8" w:val="clear"/>
            <w:shd w:fill="FFF3CD" w:val="clear"/>
          </w:tcPr>
          <w:p>
            <w:r>
              <w:rPr>
                <w:rFonts w:ascii="Calibri" w:hAnsi="Calibri"/>
                <w:color w:val="333333"/>
                <w:sz w:val="18"/>
              </w:rPr>
              <w:t>-7.8%</w:t>
            </w:r>
          </w:p>
        </w:tc>
        <w:tc>
          <w:tcPr>
            <w:tcW w:type="dxa" w:w="1440"/>
            <w:shd w:fill="F2F4F8" w:val="clear"/>
            <w:shd w:fill="FFF3CD" w:val="clear"/>
          </w:tcPr>
          <w:p>
            <w:r>
              <w:rPr>
                <w:rFonts w:ascii="Calibri" w:hAnsi="Calibri"/>
                <w:color w:val="333333"/>
                <w:sz w:val="18"/>
              </w:rPr>
              <w:t>11%</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2024-08-01 (3d)</w:t>
            </w:r>
          </w:p>
        </w:tc>
        <w:tc>
          <w:tcPr>
            <w:tcW w:type="dxa" w:w="1440"/>
            <w:shd w:fill="FFF3CD" w:val="clear"/>
          </w:tcPr>
          <w:p>
            <w:r>
              <w:rPr>
                <w:rFonts w:ascii="Calibri" w:hAnsi="Calibri"/>
                <w:color w:val="333333"/>
                <w:sz w:val="18"/>
              </w:rPr>
              <w:t>-7.9%</w:t>
            </w:r>
          </w:p>
        </w:tc>
        <w:tc>
          <w:tcPr>
            <w:tcW w:type="dxa" w:w="1440"/>
            <w:shd w:fill="FFF3CD" w:val="clear"/>
          </w:tcPr>
          <w:p>
            <w:r>
              <w:rPr>
                <w:rFonts w:ascii="Calibri" w:hAnsi="Calibri"/>
                <w:color w:val="333333"/>
                <w:sz w:val="18"/>
              </w:rPr>
              <w:t>10%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2024-10-23</w:t>
            </w:r>
          </w:p>
        </w:tc>
        <w:tc>
          <w:tcPr>
            <w:tcW w:type="dxa" w:w="1440"/>
            <w:shd w:fill="F2F4F8" w:val="clear"/>
            <w:shd w:fill="FFF3CD" w:val="clear"/>
          </w:tcPr>
          <w:p>
            <w:r>
              <w:rPr>
                <w:rFonts w:ascii="Calibri" w:hAnsi="Calibri"/>
                <w:color w:val="333333"/>
                <w:sz w:val="18"/>
              </w:rPr>
              <w:t>-5.6%</w:t>
            </w:r>
          </w:p>
        </w:tc>
        <w:tc>
          <w:tcPr>
            <w:tcW w:type="dxa" w:w="1440"/>
            <w:shd w:fill="F2F4F8" w:val="clear"/>
            <w:shd w:fill="FFF3CD" w:val="clear"/>
          </w:tcPr>
          <w:p>
            <w:r>
              <w:rPr>
                <w:rFonts w:ascii="Calibri" w:hAnsi="Calibri"/>
                <w:color w:val="333333"/>
                <w:sz w:val="18"/>
              </w:rPr>
              <w:t>13%</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2024-04-16 (2d)</w:t>
            </w:r>
          </w:p>
        </w:tc>
        <w:tc>
          <w:tcPr>
            <w:tcW w:type="dxa" w:w="1440"/>
            <w:shd w:fill="FCE8E6" w:val="clear"/>
          </w:tcPr>
          <w:p>
            <w:r>
              <w:rPr>
                <w:rFonts w:ascii="Calibri" w:hAnsi="Calibri"/>
                <w:color w:val="333333"/>
                <w:sz w:val="18"/>
              </w:rPr>
              <w:t>-10.9%</w:t>
            </w:r>
          </w:p>
        </w:tc>
        <w:tc>
          <w:tcPr>
            <w:tcW w:type="dxa" w:w="1440"/>
            <w:shd w:fill="FCE8E6" w:val="clear"/>
          </w:tcPr>
          <w:p>
            <w:r>
              <w:rPr>
                <w:rFonts w:ascii="Calibri" w:hAnsi="Calibri"/>
                <w:color w:val="333333"/>
                <w:sz w:val="18"/>
              </w:rPr>
              <w:t>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2024-05-16</w:t>
            </w:r>
          </w:p>
        </w:tc>
        <w:tc>
          <w:tcPr>
            <w:tcW w:type="dxa" w:w="1440"/>
            <w:shd w:fill="F2F4F8" w:val="clear"/>
            <w:shd w:fill="FFF3CD" w:val="clear"/>
          </w:tcPr>
          <w:p>
            <w:r>
              <w:rPr>
                <w:rFonts w:ascii="Calibri" w:hAnsi="Calibri"/>
                <w:color w:val="333333"/>
                <w:sz w:val="18"/>
              </w:rPr>
              <w:t>-9.4%</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2024-07-18</w:t>
            </w:r>
          </w:p>
        </w:tc>
        <w:tc>
          <w:tcPr>
            <w:tcW w:type="dxa" w:w="1440"/>
            <w:shd w:fill="FFF3CD" w:val="clear"/>
          </w:tcPr>
          <w:p>
            <w:r>
              <w:rPr>
                <w:rFonts w:ascii="Calibri" w:hAnsi="Calibri"/>
                <w:color w:val="333333"/>
                <w:sz w:val="18"/>
              </w:rPr>
              <w:t>-6.4%</w:t>
            </w:r>
          </w:p>
        </w:tc>
        <w:tc>
          <w:tcPr>
            <w:tcW w:type="dxa" w:w="1440"/>
            <w:shd w:fill="FFF3CD" w:val="clear"/>
          </w:tcPr>
          <w:p>
            <w:r>
              <w:rPr>
                <w:rFonts w:ascii="Calibri" w:hAnsi="Calibri"/>
                <w:color w:val="333333"/>
                <w:sz w:val="18"/>
              </w:rPr>
              <w:t>9%</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2024-04-09 (3d)</w:t>
            </w:r>
          </w:p>
        </w:tc>
        <w:tc>
          <w:tcPr>
            <w:tcW w:type="dxa" w:w="1440"/>
            <w:shd w:fill="F2F4F8" w:val="clear"/>
            <w:shd w:fill="FFF3CD" w:val="clear"/>
          </w:tcPr>
          <w:p>
            <w:r>
              <w:rPr>
                <w:rFonts w:ascii="Calibri" w:hAnsi="Calibri"/>
                <w:color w:val="333333"/>
                <w:sz w:val="18"/>
              </w:rPr>
              <w:t>-9.1%</w:t>
            </w:r>
          </w:p>
        </w:tc>
        <w:tc>
          <w:tcPr>
            <w:tcW w:type="dxa" w:w="1440"/>
            <w:shd w:fill="F2F4F8" w:val="clear"/>
            <w:shd w:fill="FFF3CD" w:val="clear"/>
          </w:tcPr>
          <w:p>
            <w:r>
              <w:rPr>
                <w:rFonts w:ascii="Calibri" w:hAnsi="Calibri"/>
                <w:color w:val="333333"/>
                <w:sz w:val="18"/>
              </w:rPr>
              <w:t>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2024-07-25</w:t>
            </w:r>
          </w:p>
        </w:tc>
        <w:tc>
          <w:tcPr>
            <w:tcW w:type="dxa" w:w="1440"/>
            <w:shd w:fill="FFF3CD" w:val="clear"/>
          </w:tcPr>
          <w:p>
            <w:r>
              <w:rPr>
                <w:rFonts w:ascii="Calibri" w:hAnsi="Calibri"/>
                <w:color w:val="333333"/>
                <w:sz w:val="18"/>
              </w:rPr>
              <w:t>-5.5%</w:t>
            </w:r>
          </w:p>
        </w:tc>
        <w:tc>
          <w:tcPr>
            <w:tcW w:type="dxa" w:w="1440"/>
            <w:shd w:fill="FFF3CD" w:val="clear"/>
          </w:tcPr>
          <w:p>
            <w:r>
              <w:rPr>
                <w:rFonts w:ascii="Calibri" w:hAnsi="Calibri"/>
                <w:color w:val="333333"/>
                <w:sz w:val="18"/>
              </w:rPr>
              <w:t>9%</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2024-04-29 (2d)</w:t>
            </w:r>
          </w:p>
        </w:tc>
        <w:tc>
          <w:tcPr>
            <w:tcW w:type="dxa" w:w="1440"/>
            <w:shd w:fill="F2F4F8" w:val="clear"/>
            <w:shd w:fill="FFF3CD" w:val="clear"/>
          </w:tcPr>
          <w:p>
            <w:r>
              <w:rPr>
                <w:rFonts w:ascii="Calibri" w:hAnsi="Calibri"/>
                <w:color w:val="333333"/>
                <w:sz w:val="18"/>
              </w:rPr>
              <w:t>-7.7%</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2024-06-24</w:t>
            </w:r>
          </w:p>
        </w:tc>
        <w:tc>
          <w:tcPr>
            <w:tcW w:type="dxa" w:w="1440"/>
            <w:shd w:fill="FFF3CD" w:val="clear"/>
          </w:tcPr>
          <w:p>
            <w:r>
              <w:rPr>
                <w:rFonts w:ascii="Calibri" w:hAnsi="Calibri"/>
                <w:color w:val="333333"/>
                <w:sz w:val="18"/>
              </w:rPr>
              <w:t>-6.0%</w:t>
            </w:r>
          </w:p>
        </w:tc>
        <w:tc>
          <w:tcPr>
            <w:tcW w:type="dxa" w:w="1440"/>
            <w:shd w:fill="FFF3CD" w:val="clear"/>
          </w:tcPr>
          <w:p>
            <w:r>
              <w:rPr>
                <w:rFonts w:ascii="Calibri" w:hAnsi="Calibri"/>
                <w:color w:val="333333"/>
                <w:sz w:val="18"/>
              </w:rPr>
              <w:t>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2024-05-23</w:t>
            </w:r>
          </w:p>
        </w:tc>
        <w:tc>
          <w:tcPr>
            <w:tcW w:type="dxa" w:w="1440"/>
            <w:shd w:fill="F2F4F8" w:val="clear"/>
            <w:shd w:fill="FFF3CD" w:val="clear"/>
          </w:tcPr>
          <w:p>
            <w:r>
              <w:rPr>
                <w:rFonts w:ascii="Calibri" w:hAnsi="Calibri"/>
                <w:color w:val="333333"/>
                <w:sz w:val="18"/>
              </w:rPr>
              <w:t>-5.5%</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2024-06-07</w:t>
            </w:r>
          </w:p>
        </w:tc>
        <w:tc>
          <w:tcPr>
            <w:tcW w:type="dxa" w:w="1440"/>
            <w:shd w:fill="FFF3CD" w:val="clear"/>
          </w:tcPr>
          <w:p>
            <w:r>
              <w:rPr>
                <w:rFonts w:ascii="Calibri" w:hAnsi="Calibri"/>
                <w:color w:val="333333"/>
                <w:sz w:val="18"/>
              </w:rPr>
              <w:t>-5.0%</w:t>
            </w:r>
          </w:p>
        </w:tc>
        <w:tc>
          <w:tcPr>
            <w:tcW w:type="dxa" w:w="1440"/>
            <w:shd w:fill="FFF3CD" w:val="clear"/>
          </w:tcPr>
          <w:p>
            <w:r>
              <w:rPr>
                <w:rFonts w:ascii="Calibri" w:hAnsi="Calibri"/>
                <w:color w:val="333333"/>
                <w:sz w:val="18"/>
              </w:rPr>
              <w:t>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r>
        <w:tc>
          <w:tcPr>
            <w:tcW w:type="dxa" w:w="1440"/>
            <w:shd w:fill="F2F4F8" w:val="clear"/>
            <w:shd w:fill="FFF3CD" w:val="clear"/>
          </w:tcPr>
          <w:p>
            <w:r>
              <w:rPr>
                <w:rFonts w:ascii="Calibri" w:hAnsi="Calibri"/>
                <w:color w:val="333333"/>
                <w:sz w:val="18"/>
              </w:rPr>
              <w:t>2024-05-07</w:t>
            </w:r>
          </w:p>
        </w:tc>
        <w:tc>
          <w:tcPr>
            <w:tcW w:type="dxa" w:w="1440"/>
            <w:shd w:fill="F2F4F8" w:val="clear"/>
            <w:shd w:fill="FFF3CD" w:val="clear"/>
          </w:tcPr>
          <w:p>
            <w:r>
              <w:rPr>
                <w:rFonts w:ascii="Calibri" w:hAnsi="Calibri"/>
                <w:color w:val="333333"/>
                <w:sz w:val="18"/>
              </w:rPr>
              <w:t>-5.5%</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https://finance.yahoo.com/quote/COIN/</w:t>
            </w:r>
          </w:p>
        </w:tc>
      </w:tr>
      <w:tr>
        <w:tc>
          <w:tcPr>
            <w:tcW w:type="dxa" w:w="1440"/>
            <w:shd w:fill="FFF3CD" w:val="clear"/>
          </w:tcPr>
          <w:p>
            <w:r>
              <w:rPr>
                <w:rFonts w:ascii="Calibri" w:hAnsi="Calibri"/>
                <w:color w:val="333333"/>
                <w:sz w:val="18"/>
              </w:rPr>
              <w:t>2024-04-24</w:t>
            </w:r>
          </w:p>
        </w:tc>
        <w:tc>
          <w:tcPr>
            <w:tcW w:type="dxa" w:w="1440"/>
            <w:shd w:fill="FFF3CD" w:val="clear"/>
          </w:tcPr>
          <w:p>
            <w:r>
              <w:rPr>
                <w:rFonts w:ascii="Calibri" w:hAnsi="Calibri"/>
                <w:color w:val="333333"/>
                <w:sz w:val="18"/>
              </w:rPr>
              <w:t>-5.1%</w:t>
            </w:r>
          </w:p>
        </w:tc>
        <w:tc>
          <w:tcPr>
            <w:tcW w:type="dxa" w:w="1440"/>
            <w:shd w:fill="FFF3CD" w:val="clear"/>
          </w:tcPr>
          <w:p>
            <w:r>
              <w:rPr>
                <w:rFonts w:ascii="Calibri" w:hAnsi="Calibri"/>
                <w:color w:val="333333"/>
                <w:sz w:val="18"/>
              </w:rPr>
              <w:t>7%</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https://finance.yahoo.com/quote/COIN/</w:t>
            </w:r>
          </w:p>
        </w:tc>
      </w:tr>
    </w:tbl>
    <w:p>
      <w:pPr>
        <w:pStyle w:val="DOBody"/>
      </w:pPr>
      <w:r>
        <w:t>79 significant stock decline events detected in the 5Y period: 79 critical (&gt;10%). 79 were company-specific, 1 was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2026-02-03 to 2026-02-23 (21d)</w:t>
            </w:r>
          </w:p>
        </w:tc>
        <w:tc>
          <w:tcPr>
            <w:tcW w:type="dxa" w:w="1440"/>
            <w:shd w:fill="FCE8E6" w:val="clear"/>
          </w:tcPr>
          <w:p>
            <w:r>
              <w:rPr>
                <w:rFonts w:ascii="Calibri" w:hAnsi="Calibri"/>
                <w:color w:val="333333"/>
                <w:sz w:val="18"/>
              </w:rPr>
              <w:t>-44.9%</w:t>
            </w:r>
          </w:p>
        </w:tc>
        <w:tc>
          <w:tcPr>
            <w:tcW w:type="dxa" w:w="1440"/>
            <w:shd w:fill="FCE8E6" w:val="clear"/>
          </w:tcPr>
          <w:p>
            <w:r>
              <w:rPr>
                <w:rFonts w:ascii="Calibri" w:hAnsi="Calibri"/>
                <w:color w:val="333333"/>
                <w:sz w:val="18"/>
              </w:rPr>
              <w:t>83%</w:t>
            </w:r>
          </w:p>
        </w:tc>
        <w:tc>
          <w:tcPr>
            <w:tcW w:type="dxa" w:w="1440"/>
            <w:shd w:fill="FCE8E6" w:val="clear"/>
          </w:tcPr>
          <w:p>
            <w:r>
              <w:rPr>
                <w:rFonts w:ascii="Calibri" w:hAnsi="Calibri"/>
                <w:color w:val="333333"/>
                <w:sz w:val="18"/>
              </w:rPr>
              <w:t>2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2026-02-05 (20d)</w:t>
            </w:r>
          </w:p>
        </w:tc>
        <w:tc>
          <w:tcPr>
            <w:tcW w:type="dxa" w:w="1440"/>
            <w:shd w:fill="F2F4F8" w:val="clear"/>
            <w:shd w:fill="FCE8E6" w:val="clear"/>
          </w:tcPr>
          <w:p>
            <w:r>
              <w:rPr>
                <w:rFonts w:ascii="Calibri" w:hAnsi="Calibri"/>
                <w:color w:val="333333"/>
                <w:sz w:val="18"/>
              </w:rPr>
              <w:t>-40.6%</w:t>
            </w:r>
          </w:p>
        </w:tc>
        <w:tc>
          <w:tcPr>
            <w:tcW w:type="dxa" w:w="1440"/>
            <w:shd w:fill="F2F4F8" w:val="clear"/>
            <w:shd w:fill="FCE8E6" w:val="clear"/>
          </w:tcPr>
          <w:p>
            <w:r>
              <w:rPr>
                <w:rFonts w:ascii="Calibri" w:hAnsi="Calibri"/>
                <w:color w:val="333333"/>
                <w:sz w:val="18"/>
              </w:rPr>
              <w:t>81%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2026-02-11 (20d)</w:t>
            </w:r>
          </w:p>
        </w:tc>
        <w:tc>
          <w:tcPr>
            <w:tcW w:type="dxa" w:w="1440"/>
            <w:shd w:fill="FCE8E6" w:val="clear"/>
          </w:tcPr>
          <w:p>
            <w:r>
              <w:rPr>
                <w:rFonts w:ascii="Calibri" w:hAnsi="Calibri"/>
                <w:color w:val="333333"/>
                <w:sz w:val="18"/>
              </w:rPr>
              <w:t>-39.4%</w:t>
            </w:r>
          </w:p>
        </w:tc>
        <w:tc>
          <w:tcPr>
            <w:tcW w:type="dxa" w:w="1440"/>
            <w:shd w:fill="FCE8E6" w:val="clear"/>
          </w:tcPr>
          <w:p>
            <w:r>
              <w:rPr>
                <w:rFonts w:ascii="Calibri" w:hAnsi="Calibri"/>
                <w:color w:val="333333"/>
                <w:sz w:val="18"/>
              </w:rPr>
              <w:t>82%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2026-02-10 (20d)</w:t>
            </w:r>
          </w:p>
        </w:tc>
        <w:tc>
          <w:tcPr>
            <w:tcW w:type="dxa" w:w="1440"/>
            <w:shd w:fill="F2F4F8" w:val="clear"/>
            <w:shd w:fill="FCE8E6" w:val="clear"/>
          </w:tcPr>
          <w:p>
            <w:r>
              <w:rPr>
                <w:rFonts w:ascii="Calibri" w:hAnsi="Calibri"/>
                <w:color w:val="333333"/>
                <w:sz w:val="18"/>
              </w:rPr>
              <w:t>-33.1%</w:t>
            </w:r>
          </w:p>
        </w:tc>
        <w:tc>
          <w:tcPr>
            <w:tcW w:type="dxa" w:w="1440"/>
            <w:shd w:fill="F2F4F8" w:val="clear"/>
            <w:shd w:fill="FCE8E6" w:val="clear"/>
          </w:tcPr>
          <w:p>
            <w:r>
              <w:rPr>
                <w:rFonts w:ascii="Calibri" w:hAnsi="Calibri"/>
                <w:color w:val="333333"/>
                <w:sz w:val="18"/>
              </w:rPr>
              <w:t>82%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2026-02-06 (20d)</w:t>
            </w:r>
          </w:p>
        </w:tc>
        <w:tc>
          <w:tcPr>
            <w:tcW w:type="dxa" w:w="1440"/>
            <w:shd w:fill="FCE8E6" w:val="clear"/>
          </w:tcPr>
          <w:p>
            <w:r>
              <w:rPr>
                <w:rFonts w:ascii="Calibri" w:hAnsi="Calibri"/>
                <w:color w:val="333333"/>
                <w:sz w:val="18"/>
              </w:rPr>
              <w:t>-32.8%</w:t>
            </w:r>
          </w:p>
        </w:tc>
        <w:tc>
          <w:tcPr>
            <w:tcW w:type="dxa" w:w="1440"/>
            <w:shd w:fill="FCE8E6" w:val="clear"/>
          </w:tcPr>
          <w:p>
            <w:r>
              <w:rPr>
                <w:rFonts w:ascii="Calibri" w:hAnsi="Calibri"/>
                <w:color w:val="333333"/>
                <w:sz w:val="18"/>
              </w:rPr>
              <w:t>81%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2026-02-17 (20d)</w:t>
            </w:r>
          </w:p>
        </w:tc>
        <w:tc>
          <w:tcPr>
            <w:tcW w:type="dxa" w:w="1440"/>
            <w:shd w:fill="F2F4F8" w:val="clear"/>
            <w:shd w:fill="FCE8E6" w:val="clear"/>
          </w:tcPr>
          <w:p>
            <w:r>
              <w:rPr>
                <w:rFonts w:ascii="Calibri" w:hAnsi="Calibri"/>
                <w:color w:val="333333"/>
                <w:sz w:val="18"/>
              </w:rPr>
              <w:t>-31.1%</w:t>
            </w:r>
          </w:p>
        </w:tc>
        <w:tc>
          <w:tcPr>
            <w:tcW w:type="dxa" w:w="1440"/>
            <w:shd w:fill="F2F4F8" w:val="clear"/>
            <w:shd w:fill="FCE8E6" w:val="clear"/>
          </w:tcPr>
          <w:p>
            <w:r>
              <w:rPr>
                <w:rFonts w:ascii="Calibri" w:hAnsi="Calibri"/>
                <w:color w:val="333333"/>
                <w:sz w:val="18"/>
              </w:rPr>
              <w:t>84%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2026-02-04 (20d)</w:t>
            </w:r>
          </w:p>
        </w:tc>
        <w:tc>
          <w:tcPr>
            <w:tcW w:type="dxa" w:w="1440"/>
            <w:shd w:fill="FCE8E6" w:val="clear"/>
          </w:tcPr>
          <w:p>
            <w:r>
              <w:rPr>
                <w:rFonts w:ascii="Calibri" w:hAnsi="Calibri"/>
                <w:color w:val="333333"/>
                <w:sz w:val="18"/>
              </w:rPr>
              <w:t>-32.7%</w:t>
            </w:r>
          </w:p>
        </w:tc>
        <w:tc>
          <w:tcPr>
            <w:tcW w:type="dxa" w:w="1440"/>
            <w:shd w:fill="FCE8E6" w:val="clear"/>
          </w:tcPr>
          <w:p>
            <w:r>
              <w:rPr>
                <w:rFonts w:ascii="Calibri" w:hAnsi="Calibri"/>
                <w:color w:val="333333"/>
                <w:sz w:val="18"/>
              </w:rPr>
              <w:t>80%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2026-02-13 (20d)</w:t>
            </w:r>
          </w:p>
        </w:tc>
        <w:tc>
          <w:tcPr>
            <w:tcW w:type="dxa" w:w="1440"/>
            <w:shd w:fill="F2F4F8" w:val="clear"/>
            <w:shd w:fill="FCE8E6" w:val="clear"/>
          </w:tcPr>
          <w:p>
            <w:r>
              <w:rPr>
                <w:rFonts w:ascii="Calibri" w:hAnsi="Calibri"/>
                <w:color w:val="333333"/>
                <w:sz w:val="18"/>
              </w:rPr>
              <w:t>-31.3%</w:t>
            </w:r>
          </w:p>
        </w:tc>
        <w:tc>
          <w:tcPr>
            <w:tcW w:type="dxa" w:w="1440"/>
            <w:shd w:fill="F2F4F8" w:val="clear"/>
            <w:shd w:fill="FCE8E6" w:val="clear"/>
          </w:tcPr>
          <w:p>
            <w:r>
              <w:rPr>
                <w:rFonts w:ascii="Calibri" w:hAnsi="Calibri"/>
                <w:color w:val="333333"/>
                <w:sz w:val="18"/>
              </w:rPr>
              <w:t>83%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2026-02-09 (20d)</w:t>
            </w:r>
          </w:p>
        </w:tc>
        <w:tc>
          <w:tcPr>
            <w:tcW w:type="dxa" w:w="1440"/>
            <w:shd w:fill="FCE8E6" w:val="clear"/>
          </w:tcPr>
          <w:p>
            <w:r>
              <w:rPr>
                <w:rFonts w:ascii="Calibri" w:hAnsi="Calibri"/>
                <w:color w:val="333333"/>
                <w:sz w:val="18"/>
              </w:rPr>
              <w:t>-30.5%</w:t>
            </w:r>
          </w:p>
        </w:tc>
        <w:tc>
          <w:tcPr>
            <w:tcW w:type="dxa" w:w="1440"/>
            <w:shd w:fill="FCE8E6" w:val="clear"/>
          </w:tcPr>
          <w:p>
            <w:r>
              <w:rPr>
                <w:rFonts w:ascii="Calibri" w:hAnsi="Calibri"/>
                <w:color w:val="333333"/>
                <w:sz w:val="18"/>
              </w:rPr>
              <w:t>82%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2026-02-18 (20d)</w:t>
            </w:r>
          </w:p>
        </w:tc>
        <w:tc>
          <w:tcPr>
            <w:tcW w:type="dxa" w:w="1440"/>
            <w:shd w:fill="F2F4F8" w:val="clear"/>
            <w:shd w:fill="FCE8E6" w:val="clear"/>
          </w:tcPr>
          <w:p>
            <w:r>
              <w:rPr>
                <w:rFonts w:ascii="Calibri" w:hAnsi="Calibri"/>
                <w:color w:val="333333"/>
                <w:sz w:val="18"/>
              </w:rPr>
              <w:t>-28.0%</w:t>
            </w:r>
          </w:p>
        </w:tc>
        <w:tc>
          <w:tcPr>
            <w:tcW w:type="dxa" w:w="1440"/>
            <w:shd w:fill="F2F4F8" w:val="clear"/>
            <w:shd w:fill="FCE8E6" w:val="clear"/>
          </w:tcPr>
          <w:p>
            <w:r>
              <w:rPr>
                <w:rFonts w:ascii="Calibri" w:hAnsi="Calibri"/>
                <w:color w:val="333333"/>
                <w:sz w:val="18"/>
              </w:rPr>
              <w:t>85%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2026-02-03 (20d)</w:t>
            </w:r>
          </w:p>
        </w:tc>
        <w:tc>
          <w:tcPr>
            <w:tcW w:type="dxa" w:w="1440"/>
            <w:shd w:fill="FCE8E6" w:val="clear"/>
          </w:tcPr>
          <w:p>
            <w:r>
              <w:rPr>
                <w:rFonts w:ascii="Calibri" w:hAnsi="Calibri"/>
                <w:color w:val="333333"/>
                <w:sz w:val="18"/>
              </w:rPr>
              <w:t>-29.5%</w:t>
            </w:r>
          </w:p>
        </w:tc>
        <w:tc>
          <w:tcPr>
            <w:tcW w:type="dxa" w:w="1440"/>
            <w:shd w:fill="FCE8E6" w:val="clear"/>
          </w:tcPr>
          <w:p>
            <w:r>
              <w:rPr>
                <w:rFonts w:ascii="Calibri" w:hAnsi="Calibri"/>
                <w:color w:val="333333"/>
                <w:sz w:val="18"/>
              </w:rPr>
              <w:t>80%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2026-02-19 (20d)</w:t>
            </w:r>
          </w:p>
        </w:tc>
        <w:tc>
          <w:tcPr>
            <w:tcW w:type="dxa" w:w="1440"/>
            <w:shd w:fill="F2F4F8" w:val="clear"/>
            <w:shd w:fill="FCE8E6" w:val="clear"/>
          </w:tcPr>
          <w:p>
            <w:r>
              <w:rPr>
                <w:rFonts w:ascii="Calibri" w:hAnsi="Calibri"/>
                <w:color w:val="333333"/>
                <w:sz w:val="18"/>
              </w:rPr>
              <w:t>-26.9%</w:t>
            </w:r>
          </w:p>
        </w:tc>
        <w:tc>
          <w:tcPr>
            <w:tcW w:type="dxa" w:w="1440"/>
            <w:shd w:fill="F2F4F8" w:val="clear"/>
            <w:shd w:fill="FCE8E6" w:val="clear"/>
          </w:tcPr>
          <w:p>
            <w:r>
              <w:rPr>
                <w:rFonts w:ascii="Calibri" w:hAnsi="Calibri"/>
                <w:color w:val="333333"/>
                <w:sz w:val="18"/>
              </w:rPr>
              <w:t>85%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2026-02-23 (20d)</w:t>
            </w:r>
          </w:p>
        </w:tc>
        <w:tc>
          <w:tcPr>
            <w:tcW w:type="dxa" w:w="1440"/>
            <w:shd w:fill="FCE8E6" w:val="clear"/>
          </w:tcPr>
          <w:p>
            <w:r>
              <w:rPr>
                <w:rFonts w:ascii="Calibri" w:hAnsi="Calibri"/>
                <w:color w:val="333333"/>
                <w:sz w:val="18"/>
              </w:rPr>
              <w:t>-26.1%</w:t>
            </w:r>
          </w:p>
        </w:tc>
        <w:tc>
          <w:tcPr>
            <w:tcW w:type="dxa" w:w="1440"/>
            <w:shd w:fill="FCE8E6" w:val="clear"/>
          </w:tcPr>
          <w:p>
            <w:r>
              <w:rPr>
                <w:rFonts w:ascii="Calibri" w:hAnsi="Calibri"/>
                <w:color w:val="333333"/>
                <w:sz w:val="18"/>
              </w:rPr>
              <w:t>86%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2026-03-24 to 2026-03-30 (7d)</w:t>
            </w:r>
          </w:p>
        </w:tc>
        <w:tc>
          <w:tcPr>
            <w:tcW w:type="dxa" w:w="1440"/>
            <w:shd w:fill="F2F4F8" w:val="clear"/>
            <w:shd w:fill="FCE8E6" w:val="clear"/>
          </w:tcPr>
          <w:p>
            <w:r>
              <w:rPr>
                <w:rFonts w:ascii="Calibri" w:hAnsi="Calibri"/>
                <w:color w:val="333333"/>
                <w:sz w:val="18"/>
              </w:rPr>
              <w:t>-19.9%</w:t>
            </w:r>
          </w:p>
        </w:tc>
        <w:tc>
          <w:tcPr>
            <w:tcW w:type="dxa" w:w="1440"/>
            <w:shd w:fill="F2F4F8" w:val="clear"/>
            <w:shd w:fill="FCE8E6" w:val="clear"/>
          </w:tcPr>
          <w:p>
            <w:r>
              <w:rPr>
                <w:rFonts w:ascii="Calibri" w:hAnsi="Calibri"/>
                <w:color w:val="333333"/>
                <w:sz w:val="18"/>
              </w:rPr>
              <w:t>99%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2025-11-13 to 2025-11-25 (13d)</w:t>
            </w:r>
          </w:p>
        </w:tc>
        <w:tc>
          <w:tcPr>
            <w:tcW w:type="dxa" w:w="1440"/>
            <w:shd w:fill="FCE8E6" w:val="clear"/>
          </w:tcPr>
          <w:p>
            <w:r>
              <w:rPr>
                <w:rFonts w:ascii="Calibri" w:hAnsi="Calibri"/>
                <w:color w:val="333333"/>
                <w:sz w:val="18"/>
              </w:rPr>
              <w:t>-34.1%</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2026-03-27 (5d)</w:t>
            </w:r>
          </w:p>
        </w:tc>
        <w:tc>
          <w:tcPr>
            <w:tcW w:type="dxa" w:w="1440"/>
            <w:shd w:fill="F2F4F8" w:val="clear"/>
            <w:shd w:fill="FCE8E6" w:val="clear"/>
          </w:tcPr>
          <w:p>
            <w:r>
              <w:rPr>
                <w:rFonts w:ascii="Calibri" w:hAnsi="Calibri"/>
                <w:color w:val="333333"/>
                <w:sz w:val="18"/>
              </w:rPr>
              <w:t>-18.4%</w:t>
            </w:r>
          </w:p>
        </w:tc>
        <w:tc>
          <w:tcPr>
            <w:tcW w:type="dxa" w:w="1440"/>
            <w:shd w:fill="F2F4F8" w:val="clear"/>
            <w:shd w:fill="FCE8E6" w:val="clear"/>
          </w:tcPr>
          <w:p>
            <w:r>
              <w:rPr>
                <w:rFonts w:ascii="Calibri" w:hAnsi="Calibri"/>
                <w:color w:val="333333"/>
                <w:sz w:val="18"/>
              </w:rPr>
              <w:t>98%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2025-11-24 (20d)</w:t>
            </w:r>
          </w:p>
        </w:tc>
        <w:tc>
          <w:tcPr>
            <w:tcW w:type="dxa" w:w="1440"/>
            <w:shd w:fill="FCE8E6" w:val="clear"/>
          </w:tcPr>
          <w:p>
            <w:r>
              <w:rPr>
                <w:rFonts w:ascii="Calibri" w:hAnsi="Calibri"/>
                <w:color w:val="333333"/>
                <w:sz w:val="18"/>
              </w:rPr>
              <w:t>-29.2%</w:t>
            </w:r>
          </w:p>
        </w:tc>
        <w:tc>
          <w:tcPr>
            <w:tcW w:type="dxa" w:w="1440"/>
            <w:shd w:fill="FCE8E6" w:val="clear"/>
          </w:tcPr>
          <w:p>
            <w:r>
              <w:rPr>
                <w:rFonts w:ascii="Calibri" w:hAnsi="Calibri"/>
                <w:color w:val="333333"/>
                <w:sz w:val="18"/>
              </w:rPr>
              <w:t>61%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2025-11-25 (20d)</w:t>
            </w:r>
          </w:p>
        </w:tc>
        <w:tc>
          <w:tcPr>
            <w:tcW w:type="dxa" w:w="1440"/>
            <w:shd w:fill="F2F4F8" w:val="clear"/>
            <w:shd w:fill="FCE8E6" w:val="clear"/>
          </w:tcPr>
          <w:p>
            <w:r>
              <w:rPr>
                <w:rFonts w:ascii="Calibri" w:hAnsi="Calibri"/>
                <w:color w:val="333333"/>
                <w:sz w:val="18"/>
              </w:rPr>
              <w:t>-28.5%</w:t>
            </w:r>
          </w:p>
        </w:tc>
        <w:tc>
          <w:tcPr>
            <w:tcW w:type="dxa" w:w="1440"/>
            <w:shd w:fill="F2F4F8" w:val="clear"/>
            <w:shd w:fill="FCE8E6" w:val="clear"/>
          </w:tcPr>
          <w:p>
            <w:r>
              <w:rPr>
                <w:rFonts w:ascii="Calibri" w:hAnsi="Calibri"/>
                <w:color w:val="333333"/>
                <w:sz w:val="18"/>
              </w:rPr>
              <w:t>61%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2025-11-20 (20d)</w:t>
            </w:r>
          </w:p>
        </w:tc>
        <w:tc>
          <w:tcPr>
            <w:tcW w:type="dxa" w:w="1440"/>
            <w:shd w:fill="FCE8E6" w:val="clear"/>
          </w:tcPr>
          <w:p>
            <w:r>
              <w:rPr>
                <w:rFonts w:ascii="Calibri" w:hAnsi="Calibri"/>
                <w:color w:val="333333"/>
                <w:sz w:val="18"/>
              </w:rPr>
              <w:t>-26.2%</w:t>
            </w:r>
          </w:p>
        </w:tc>
        <w:tc>
          <w:tcPr>
            <w:tcW w:type="dxa" w:w="1440"/>
            <w:shd w:fill="FCE8E6" w:val="clear"/>
          </w:tcPr>
          <w:p>
            <w:r>
              <w:rPr>
                <w:rFonts w:ascii="Calibri" w:hAnsi="Calibri"/>
                <w:color w:val="333333"/>
                <w:sz w:val="18"/>
              </w:rPr>
              <w:t>60%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2026-02-04 (2d)</w:t>
            </w:r>
          </w:p>
        </w:tc>
        <w:tc>
          <w:tcPr>
            <w:tcW w:type="dxa" w:w="1440"/>
            <w:shd w:fill="F2F4F8" w:val="clear"/>
            <w:shd w:fill="FCE8E6" w:val="clear"/>
          </w:tcPr>
          <w:p>
            <w:r>
              <w:rPr>
                <w:rFonts w:ascii="Calibri" w:hAnsi="Calibri"/>
                <w:color w:val="333333"/>
                <w:sz w:val="18"/>
              </w:rPr>
              <w:t>-18.7%</w:t>
            </w:r>
          </w:p>
        </w:tc>
        <w:tc>
          <w:tcPr>
            <w:tcW w:type="dxa" w:w="1440"/>
            <w:shd w:fill="F2F4F8" w:val="clear"/>
            <w:shd w:fill="FCE8E6" w:val="clear"/>
          </w:tcPr>
          <w:p>
            <w:r>
              <w:rPr>
                <w:rFonts w:ascii="Calibri" w:hAnsi="Calibri"/>
                <w:color w:val="333333"/>
                <w:sz w:val="18"/>
              </w:rPr>
              <w:t>80%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2025-08-19</w:t>
            </w:r>
          </w:p>
        </w:tc>
        <w:tc>
          <w:tcPr>
            <w:tcW w:type="dxa" w:w="1440"/>
            <w:shd w:fill="FCE8E6" w:val="clear"/>
          </w:tcPr>
          <w:p>
            <w:r>
              <w:rPr>
                <w:rFonts w:ascii="Calibri" w:hAnsi="Calibri"/>
                <w:color w:val="333333"/>
                <w:sz w:val="18"/>
              </w:rPr>
              <w:t>-25.3%</w:t>
            </w:r>
          </w:p>
        </w:tc>
        <w:tc>
          <w:tcPr>
            <w:tcW w:type="dxa" w:w="1440"/>
            <w:shd w:fill="FCE8E6" w:val="clear"/>
          </w:tcPr>
          <w:p>
            <w:r>
              <w:rPr>
                <w:rFonts w:ascii="Calibri" w:hAnsi="Calibri"/>
                <w:color w:val="333333"/>
                <w:sz w:val="18"/>
              </w:rPr>
              <w:t>42%</w:t>
            </w:r>
          </w:p>
        </w:tc>
        <w:tc>
          <w:tcPr>
            <w:tcW w:type="dxa" w:w="1440"/>
            <w:shd w:fill="FCE8E6" w:val="clear"/>
          </w:tcPr>
          <w:p>
            <w:r>
              <w:rPr>
                <w:rFonts w:ascii="Calibri" w:hAnsi="Calibri"/>
                <w:color w:val="333333"/>
                <w:sz w:val="18"/>
              </w:rPr>
              <w:t>16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2025-11-17 (5d)</w:t>
            </w:r>
          </w:p>
        </w:tc>
        <w:tc>
          <w:tcPr>
            <w:tcW w:type="dxa" w:w="1440"/>
            <w:shd w:fill="F2F4F8" w:val="clear"/>
            <w:shd w:fill="FCE8E6" w:val="clear"/>
          </w:tcPr>
          <w:p>
            <w:r>
              <w:rPr>
                <w:rFonts w:ascii="Calibri" w:hAnsi="Calibri"/>
                <w:color w:val="333333"/>
                <w:sz w:val="18"/>
              </w:rPr>
              <w:t>-17.0%</w:t>
            </w:r>
          </w:p>
        </w:tc>
        <w:tc>
          <w:tcPr>
            <w:tcW w:type="dxa" w:w="1440"/>
            <w:shd w:fill="F2F4F8" w:val="clear"/>
            <w:shd w:fill="FCE8E6" w:val="clear"/>
          </w:tcPr>
          <w:p>
            <w:r>
              <w:rPr>
                <w:rFonts w:ascii="Calibri" w:hAnsi="Calibri"/>
                <w:color w:val="333333"/>
                <w:sz w:val="18"/>
              </w:rPr>
              <w:t>59%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2026-03-24 (2d)</w:t>
            </w:r>
          </w:p>
        </w:tc>
        <w:tc>
          <w:tcPr>
            <w:tcW w:type="dxa" w:w="1440"/>
            <w:shd w:fill="FCE8E6" w:val="clear"/>
          </w:tcPr>
          <w:p>
            <w:r>
              <w:rPr>
                <w:rFonts w:ascii="Calibri" w:hAnsi="Calibri"/>
                <w:color w:val="333333"/>
                <w:sz w:val="18"/>
              </w:rPr>
              <w:t>-19.7%</w:t>
            </w:r>
          </w:p>
        </w:tc>
        <w:tc>
          <w:tcPr>
            <w:tcW w:type="dxa" w:w="1440"/>
            <w:shd w:fill="FCE8E6" w:val="clear"/>
          </w:tcPr>
          <w:p>
            <w:r>
              <w:rPr>
                <w:rFonts w:ascii="Calibri" w:hAnsi="Calibri"/>
                <w:color w:val="333333"/>
                <w:sz w:val="18"/>
              </w:rPr>
              <w:t>97%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2025-11-19 (5d)</w:t>
            </w:r>
          </w:p>
        </w:tc>
        <w:tc>
          <w:tcPr>
            <w:tcW w:type="dxa" w:w="1440"/>
            <w:shd w:fill="F2F4F8" w:val="clear"/>
            <w:shd w:fill="FCE8E6" w:val="clear"/>
          </w:tcPr>
          <w:p>
            <w:r>
              <w:rPr>
                <w:rFonts w:ascii="Calibri" w:hAnsi="Calibri"/>
                <w:color w:val="333333"/>
                <w:sz w:val="18"/>
              </w:rPr>
              <w:t>-15.4%</w:t>
            </w:r>
          </w:p>
        </w:tc>
        <w:tc>
          <w:tcPr>
            <w:tcW w:type="dxa" w:w="1440"/>
            <w:shd w:fill="F2F4F8" w:val="clear"/>
            <w:shd w:fill="FCE8E6" w:val="clear"/>
          </w:tcPr>
          <w:p>
            <w:r>
              <w:rPr>
                <w:rFonts w:ascii="Calibri" w:hAnsi="Calibri"/>
                <w:color w:val="333333"/>
                <w:sz w:val="18"/>
              </w:rPr>
              <w:t>60%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2025-03-10 to 2025-03-20 (11d)</w:t>
            </w:r>
          </w:p>
        </w:tc>
        <w:tc>
          <w:tcPr>
            <w:tcW w:type="dxa" w:w="1440"/>
            <w:shd w:fill="FCE8E6" w:val="clear"/>
          </w:tcPr>
          <w:p>
            <w:r>
              <w:rPr>
                <w:rFonts w:ascii="Calibri" w:hAnsi="Calibri"/>
                <w:color w:val="333333"/>
                <w:sz w:val="18"/>
              </w:rPr>
              <w:t>-40.5%</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2025-03-13 (20d)</w:t>
            </w:r>
          </w:p>
        </w:tc>
        <w:tc>
          <w:tcPr>
            <w:tcW w:type="dxa" w:w="1440"/>
            <w:shd w:fill="F2F4F8" w:val="clear"/>
            <w:shd w:fill="FCE8E6" w:val="clear"/>
          </w:tcPr>
          <w:p>
            <w:r>
              <w:rPr>
                <w:rFonts w:ascii="Calibri" w:hAnsi="Calibri"/>
                <w:color w:val="333333"/>
                <w:sz w:val="18"/>
              </w:rPr>
              <w:t>-35.4%</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2025-08-01 to 2025-08-07 (7d)</w:t>
            </w:r>
          </w:p>
        </w:tc>
        <w:tc>
          <w:tcPr>
            <w:tcW w:type="dxa" w:w="1440"/>
            <w:shd w:fill="FCE8E6" w:val="clear"/>
          </w:tcPr>
          <w:p>
            <w:r>
              <w:rPr>
                <w:rFonts w:ascii="Calibri" w:hAnsi="Calibri"/>
                <w:color w:val="333333"/>
                <w:sz w:val="18"/>
              </w:rPr>
              <w:t>-23.9%</w:t>
            </w:r>
          </w:p>
        </w:tc>
        <w:tc>
          <w:tcPr>
            <w:tcW w:type="dxa" w:w="1440"/>
            <w:shd w:fill="FCE8E6" w:val="clear"/>
          </w:tcPr>
          <w:p>
            <w:r>
              <w:rPr>
                <w:rFonts w:ascii="Calibri" w:hAnsi="Calibri"/>
                <w:color w:val="333333"/>
                <w:sz w:val="18"/>
              </w:rPr>
              <w:t>40%</w:t>
            </w:r>
          </w:p>
        </w:tc>
        <w:tc>
          <w:tcPr>
            <w:tcW w:type="dxa" w:w="1440"/>
            <w:shd w:fill="FCE8E6" w:val="clear"/>
          </w:tcPr>
          <w:p>
            <w:r>
              <w:rPr>
                <w:rFonts w:ascii="Calibri" w:hAnsi="Calibri"/>
                <w:color w:val="333333"/>
                <w:sz w:val="18"/>
              </w:rPr>
              <w:t>40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2025-08-06 (5d)</w:t>
            </w:r>
          </w:p>
        </w:tc>
        <w:tc>
          <w:tcPr>
            <w:tcW w:type="dxa" w:w="1440"/>
            <w:shd w:fill="F2F4F8" w:val="clear"/>
            <w:shd w:fill="FCE8E6" w:val="clear"/>
          </w:tcPr>
          <w:p>
            <w:r>
              <w:rPr>
                <w:rFonts w:ascii="Calibri" w:hAnsi="Calibri"/>
                <w:color w:val="333333"/>
                <w:sz w:val="18"/>
              </w:rPr>
              <w:t>-19.6%</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41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2025-03-10 (20d)</w:t>
            </w:r>
          </w:p>
        </w:tc>
        <w:tc>
          <w:tcPr>
            <w:tcW w:type="dxa" w:w="1440"/>
            <w:shd w:fill="FCE8E6" w:val="clear"/>
          </w:tcPr>
          <w:p>
            <w:r>
              <w:rPr>
                <w:rFonts w:ascii="Calibri" w:hAnsi="Calibri"/>
                <w:color w:val="333333"/>
                <w:sz w:val="18"/>
              </w:rPr>
              <w:t>-34.7%</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2025-08-01 (5d)</w:t>
            </w:r>
          </w:p>
        </w:tc>
        <w:tc>
          <w:tcPr>
            <w:tcW w:type="dxa" w:w="1440"/>
            <w:shd w:fill="F2F4F8" w:val="clear"/>
            <w:shd w:fill="FCE8E6" w:val="clear"/>
          </w:tcPr>
          <w:p>
            <w:r>
              <w:rPr>
                <w:rFonts w:ascii="Calibri" w:hAnsi="Calibri"/>
                <w:color w:val="333333"/>
                <w:sz w:val="18"/>
              </w:rPr>
              <w:t>-19.6%</w:t>
            </w:r>
          </w:p>
        </w:tc>
        <w:tc>
          <w:tcPr>
            <w:tcW w:type="dxa" w:w="1440"/>
            <w:shd w:fill="F2F4F8" w:val="clear"/>
            <w:shd w:fill="FCE8E6" w:val="clear"/>
          </w:tcPr>
          <w:p>
            <w:r>
              <w:rPr>
                <w:rFonts w:ascii="Calibri" w:hAnsi="Calibri"/>
                <w:color w:val="333333"/>
                <w:sz w:val="18"/>
              </w:rPr>
              <w:t>39%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2025-03-18 (20d)</w:t>
            </w:r>
          </w:p>
        </w:tc>
        <w:tc>
          <w:tcPr>
            <w:tcW w:type="dxa" w:w="1440"/>
            <w:shd w:fill="FCE8E6" w:val="clear"/>
          </w:tcPr>
          <w:p>
            <w:r>
              <w:rPr>
                <w:rFonts w:ascii="Calibri" w:hAnsi="Calibri"/>
                <w:color w:val="333333"/>
                <w:sz w:val="18"/>
              </w:rPr>
              <w:t>-31.6%</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2025-03-17 (20d)</w:t>
            </w:r>
          </w:p>
        </w:tc>
        <w:tc>
          <w:tcPr>
            <w:tcW w:type="dxa" w:w="1440"/>
            <w:shd w:fill="F2F4F8" w:val="clear"/>
            <w:shd w:fill="FCE8E6" w:val="clear"/>
          </w:tcPr>
          <w:p>
            <w:r>
              <w:rPr>
                <w:rFonts w:ascii="Calibri" w:hAnsi="Calibri"/>
                <w:color w:val="333333"/>
                <w:sz w:val="18"/>
              </w:rPr>
              <w:t>-31.1%</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2025-03-11 (20d)</w:t>
            </w:r>
          </w:p>
        </w:tc>
        <w:tc>
          <w:tcPr>
            <w:tcW w:type="dxa" w:w="1440"/>
            <w:shd w:fill="FCE8E6" w:val="clear"/>
          </w:tcPr>
          <w:p>
            <w:r>
              <w:rPr>
                <w:rFonts w:ascii="Calibri" w:hAnsi="Calibri"/>
                <w:color w:val="333333"/>
                <w:sz w:val="18"/>
              </w:rPr>
              <w:t>-31.6%</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2025-08-07 (5d)</w:t>
            </w:r>
          </w:p>
        </w:tc>
        <w:tc>
          <w:tcPr>
            <w:tcW w:type="dxa" w:w="1440"/>
            <w:shd w:fill="F2F4F8" w:val="clear"/>
            <w:shd w:fill="FCE8E6" w:val="clear"/>
          </w:tcPr>
          <w:p>
            <w:r>
              <w:rPr>
                <w:rFonts w:ascii="Calibri" w:hAnsi="Calibri"/>
                <w:color w:val="333333"/>
                <w:sz w:val="18"/>
              </w:rPr>
              <w:t>-17.7%</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40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2025-08-01 (2d)</w:t>
            </w:r>
          </w:p>
        </w:tc>
        <w:tc>
          <w:tcPr>
            <w:tcW w:type="dxa" w:w="1440"/>
            <w:shd w:fill="FCE8E6" w:val="clear"/>
          </w:tcPr>
          <w:p>
            <w:r>
              <w:rPr>
                <w:rFonts w:ascii="Calibri" w:hAnsi="Calibri"/>
                <w:color w:val="333333"/>
                <w:sz w:val="18"/>
              </w:rPr>
              <w:t>-21.1%</w:t>
            </w:r>
          </w:p>
        </w:tc>
        <w:tc>
          <w:tcPr>
            <w:tcW w:type="dxa" w:w="1440"/>
            <w:shd w:fill="FCE8E6" w:val="clear"/>
          </w:tcPr>
          <w:p>
            <w:r>
              <w:rPr>
                <w:rFonts w:ascii="Calibri" w:hAnsi="Calibri"/>
                <w:color w:val="333333"/>
                <w:sz w:val="18"/>
              </w:rPr>
              <w:t>39%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2025-03-26 to 2025-04-04 (10d)</w:t>
            </w:r>
          </w:p>
        </w:tc>
        <w:tc>
          <w:tcPr>
            <w:tcW w:type="dxa" w:w="1440"/>
            <w:shd w:fill="F2F4F8" w:val="clear"/>
            <w:shd w:fill="FCE8E6" w:val="clear"/>
          </w:tcPr>
          <w:p>
            <w:r>
              <w:rPr>
                <w:rFonts w:ascii="Calibri" w:hAnsi="Calibri"/>
                <w:color w:val="333333"/>
                <w:sz w:val="18"/>
              </w:rPr>
              <w:t>-26.2%</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3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2025-02-14 to 2025-03-04 (19d)</w:t>
            </w:r>
          </w:p>
        </w:tc>
        <w:tc>
          <w:tcPr>
            <w:tcW w:type="dxa" w:w="1440"/>
            <w:shd w:fill="FCE8E6" w:val="clear"/>
          </w:tcPr>
          <w:p>
            <w:r>
              <w:rPr>
                <w:rFonts w:ascii="Calibri" w:hAnsi="Calibri"/>
                <w:color w:val="333333"/>
                <w:sz w:val="18"/>
              </w:rPr>
              <w:t>-31.7%</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2025-08-04 (5d)</w:t>
            </w:r>
          </w:p>
        </w:tc>
        <w:tc>
          <w:tcPr>
            <w:tcW w:type="dxa" w:w="1440"/>
            <w:shd w:fill="F2F4F8" w:val="clear"/>
            <w:shd w:fill="FCE8E6" w:val="clear"/>
          </w:tcPr>
          <w:p>
            <w:r>
              <w:rPr>
                <w:rFonts w:ascii="Calibri" w:hAnsi="Calibri"/>
                <w:color w:val="333333"/>
                <w:sz w:val="18"/>
              </w:rPr>
              <w:t>-16.2%</w:t>
            </w:r>
          </w:p>
        </w:tc>
        <w:tc>
          <w:tcPr>
            <w:tcW w:type="dxa" w:w="1440"/>
            <w:shd w:fill="F2F4F8" w:val="clear"/>
            <w:shd w:fill="FCE8E6" w:val="clear"/>
          </w:tcPr>
          <w:p>
            <w:r>
              <w:rPr>
                <w:rFonts w:ascii="Calibri" w:hAnsi="Calibri"/>
                <w:color w:val="333333"/>
                <w:sz w:val="18"/>
              </w:rPr>
              <w:t>40%</w:t>
            </w:r>
          </w:p>
        </w:tc>
        <w:tc>
          <w:tcPr>
            <w:tcW w:type="dxa" w:w="1440"/>
            <w:shd w:fill="F2F4F8" w:val="clear"/>
            <w:shd w:fill="FCE8E6" w:val="clear"/>
          </w:tcPr>
          <w:p>
            <w:r>
              <w:rPr>
                <w:rFonts w:ascii="Calibri" w:hAnsi="Calibri"/>
                <w:color w:val="333333"/>
                <w:sz w:val="18"/>
              </w:rPr>
              <w:t>43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2025-03-12 (20d)</w:t>
            </w:r>
          </w:p>
        </w:tc>
        <w:tc>
          <w:tcPr>
            <w:tcW w:type="dxa" w:w="1440"/>
            <w:shd w:fill="FCE8E6" w:val="clear"/>
          </w:tcPr>
          <w:p>
            <w:r>
              <w:rPr>
                <w:rFonts w:ascii="Calibri" w:hAnsi="Calibri"/>
                <w:color w:val="333333"/>
                <w:sz w:val="18"/>
              </w:rPr>
              <w:t>-28.2%</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2025-03-19 (20d)</w:t>
            </w:r>
          </w:p>
        </w:tc>
        <w:tc>
          <w:tcPr>
            <w:tcW w:type="dxa" w:w="1440"/>
            <w:shd w:fill="F2F4F8" w:val="clear"/>
            <w:shd w:fill="FCE8E6" w:val="clear"/>
          </w:tcPr>
          <w:p>
            <w:r>
              <w:rPr>
                <w:rFonts w:ascii="Calibri" w:hAnsi="Calibri"/>
                <w:color w:val="333333"/>
                <w:sz w:val="18"/>
              </w:rPr>
              <w:t>-26.6%</w:t>
            </w:r>
          </w:p>
        </w:tc>
        <w:tc>
          <w:tcPr>
            <w:tcW w:type="dxa" w:w="1440"/>
            <w:shd w:fill="F2F4F8" w:val="clear"/>
            <w:shd w:fill="FCE8E6" w:val="clear"/>
          </w:tcPr>
          <w:p>
            <w:r>
              <w:rPr>
                <w:rFonts w:ascii="Calibri" w:hAnsi="Calibri"/>
                <w:color w:val="333333"/>
                <w:sz w:val="18"/>
              </w:rPr>
              <w:t>23%</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2025-02-28 (20d)</w:t>
            </w:r>
          </w:p>
        </w:tc>
        <w:tc>
          <w:tcPr>
            <w:tcW w:type="dxa" w:w="1440"/>
            <w:shd w:fill="FCE8E6" w:val="clear"/>
          </w:tcPr>
          <w:p>
            <w:r>
              <w:rPr>
                <w:rFonts w:ascii="Calibri" w:hAnsi="Calibri"/>
                <w:color w:val="333333"/>
                <w:sz w:val="18"/>
              </w:rPr>
              <w:t>-28.4%</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2025-02-27 (20d)</w:t>
            </w:r>
          </w:p>
        </w:tc>
        <w:tc>
          <w:tcPr>
            <w:tcW w:type="dxa" w:w="1440"/>
            <w:shd w:fill="F2F4F8" w:val="clear"/>
            <w:shd w:fill="FCE8E6" w:val="clear"/>
          </w:tcPr>
          <w:p>
            <w:r>
              <w:rPr>
                <w:rFonts w:ascii="Calibri" w:hAnsi="Calibri"/>
                <w:color w:val="333333"/>
                <w:sz w:val="18"/>
              </w:rPr>
              <w:t>-28.4%</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2025-03-20 (20d)</w:t>
            </w:r>
          </w:p>
        </w:tc>
        <w:tc>
          <w:tcPr>
            <w:tcW w:type="dxa" w:w="1440"/>
            <w:shd w:fill="FCE8E6" w:val="clear"/>
          </w:tcPr>
          <w:p>
            <w:r>
              <w:rPr>
                <w:rFonts w:ascii="Calibri" w:hAnsi="Calibri"/>
                <w:color w:val="333333"/>
                <w:sz w:val="18"/>
              </w:rPr>
              <w:t>-25.8%</w:t>
            </w:r>
          </w:p>
        </w:tc>
        <w:tc>
          <w:tcPr>
            <w:tcW w:type="dxa" w:w="1440"/>
            <w:shd w:fill="FCE8E6" w:val="clear"/>
          </w:tcPr>
          <w:p>
            <w:r>
              <w:rPr>
                <w:rFonts w:ascii="Calibri" w:hAnsi="Calibri"/>
                <w:color w:val="333333"/>
                <w:sz w:val="18"/>
              </w:rPr>
              <w:t>23%</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2025-10-30 to 2025-11-04 (6d)</w:t>
            </w:r>
          </w:p>
        </w:tc>
        <w:tc>
          <w:tcPr>
            <w:tcW w:type="dxa" w:w="1440"/>
            <w:shd w:fill="F2F4F8" w:val="clear"/>
            <w:shd w:fill="FCE8E6" w:val="clear"/>
          </w:tcPr>
          <w:p>
            <w:r>
              <w:rPr>
                <w:rFonts w:ascii="Calibri" w:hAnsi="Calibri"/>
                <w:color w:val="333333"/>
                <w:sz w:val="18"/>
              </w:rPr>
              <w:t>-15.3%</w:t>
            </w:r>
          </w:p>
        </w:tc>
        <w:tc>
          <w:tcPr>
            <w:tcW w:type="dxa" w:w="1440"/>
            <w:shd w:fill="F2F4F8" w:val="clear"/>
            <w:shd w:fill="FCE8E6" w:val="clear"/>
          </w:tcPr>
          <w:p>
            <w:r>
              <w:rPr>
                <w:rFonts w:ascii="Calibri" w:hAnsi="Calibri"/>
                <w:color w:val="333333"/>
                <w:sz w:val="18"/>
              </w:rPr>
              <w:t>56%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2025-03-04 (20d)</w:t>
            </w:r>
          </w:p>
        </w:tc>
        <w:tc>
          <w:tcPr>
            <w:tcW w:type="dxa" w:w="1440"/>
            <w:shd w:fill="FCE8E6" w:val="clear"/>
          </w:tcPr>
          <w:p>
            <w:r>
              <w:rPr>
                <w:rFonts w:ascii="Calibri" w:hAnsi="Calibri"/>
                <w:color w:val="333333"/>
                <w:sz w:val="18"/>
              </w:rPr>
              <w:t>-25.3%</w:t>
            </w:r>
          </w:p>
        </w:tc>
        <w:tc>
          <w:tcPr>
            <w:tcW w:type="dxa" w:w="1440"/>
            <w:shd w:fill="FCE8E6" w:val="clear"/>
          </w:tcPr>
          <w:p>
            <w:r>
              <w:rPr>
                <w:rFonts w:ascii="Calibri" w:hAnsi="Calibri"/>
                <w:color w:val="333333"/>
                <w:sz w:val="18"/>
              </w:rPr>
              <w:t>22%</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2026-01-15 to 2026-01-20 (6d)</w:t>
            </w:r>
          </w:p>
        </w:tc>
        <w:tc>
          <w:tcPr>
            <w:tcW w:type="dxa" w:w="1440"/>
            <w:shd w:fill="F2F4F8" w:val="clear"/>
            <w:shd w:fill="FCE8E6" w:val="clear"/>
          </w:tcPr>
          <w:p>
            <w:r>
              <w:rPr>
                <w:rFonts w:ascii="Calibri" w:hAnsi="Calibri"/>
                <w:color w:val="333333"/>
                <w:sz w:val="18"/>
              </w:rPr>
              <w:t>-11.0%</w:t>
            </w:r>
          </w:p>
        </w:tc>
        <w:tc>
          <w:tcPr>
            <w:tcW w:type="dxa" w:w="1440"/>
            <w:shd w:fill="F2F4F8" w:val="clear"/>
            <w:shd w:fill="FCE8E6" w:val="clear"/>
          </w:tcPr>
          <w:p>
            <w:r>
              <w:rPr>
                <w:rFonts w:ascii="Calibri" w:hAnsi="Calibri"/>
                <w:color w:val="333333"/>
                <w:sz w:val="18"/>
              </w:rPr>
              <w:t>74%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2025-02-21 (5d)</w:t>
            </w:r>
          </w:p>
        </w:tc>
        <w:tc>
          <w:tcPr>
            <w:tcW w:type="dxa" w:w="1440"/>
            <w:shd w:fill="FCE8E6" w:val="clear"/>
          </w:tcPr>
          <w:p>
            <w:r>
              <w:rPr>
                <w:rFonts w:ascii="Calibri" w:hAnsi="Calibri"/>
                <w:color w:val="333333"/>
                <w:sz w:val="18"/>
              </w:rPr>
              <w:t>-21.0%</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2025-11-13 (3d)</w:t>
            </w:r>
          </w:p>
        </w:tc>
        <w:tc>
          <w:tcPr>
            <w:tcW w:type="dxa" w:w="1440"/>
            <w:shd w:fill="F2F4F8" w:val="clear"/>
            <w:shd w:fill="FCE8E6" w:val="clear"/>
          </w:tcPr>
          <w:p>
            <w:r>
              <w:rPr>
                <w:rFonts w:ascii="Calibri" w:hAnsi="Calibri"/>
                <w:color w:val="333333"/>
                <w:sz w:val="18"/>
              </w:rPr>
              <w:t>-21.7%</w:t>
            </w:r>
          </w:p>
        </w:tc>
        <w:tc>
          <w:tcPr>
            <w:tcW w:type="dxa" w:w="1440"/>
            <w:shd w:fill="F2F4F8" w:val="clear"/>
            <w:shd w:fill="FCE8E6" w:val="clear"/>
          </w:tcPr>
          <w:p>
            <w:r>
              <w:rPr>
                <w:rFonts w:ascii="Calibri" w:hAnsi="Calibri"/>
                <w:color w:val="333333"/>
                <w:sz w:val="18"/>
              </w:rPr>
              <w:t>58%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2025-02-25 (5d)</w:t>
            </w:r>
          </w:p>
        </w:tc>
        <w:tc>
          <w:tcPr>
            <w:tcW w:type="dxa" w:w="1440"/>
            <w:shd w:fill="FCE8E6" w:val="clear"/>
          </w:tcPr>
          <w:p>
            <w:r>
              <w:rPr>
                <w:rFonts w:ascii="Calibri" w:hAnsi="Calibri"/>
                <w:color w:val="333333"/>
                <w:sz w:val="18"/>
              </w:rPr>
              <w:t>-19.7%</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2025-03-10 (2d)</w:t>
            </w:r>
          </w:p>
        </w:tc>
        <w:tc>
          <w:tcPr>
            <w:tcW w:type="dxa" w:w="1440"/>
            <w:shd w:fill="F2F4F8" w:val="clear"/>
            <w:shd w:fill="FCE8E6" w:val="clear"/>
          </w:tcPr>
          <w:p>
            <w:r>
              <w:rPr>
                <w:rFonts w:ascii="Calibri" w:hAnsi="Calibri"/>
                <w:color w:val="333333"/>
                <w:sz w:val="18"/>
              </w:rPr>
              <w:t>-17.6%</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2025-02-26 (5d)</w:t>
            </w:r>
          </w:p>
        </w:tc>
        <w:tc>
          <w:tcPr>
            <w:tcW w:type="dxa" w:w="1440"/>
            <w:shd w:fill="FCE8E6" w:val="clear"/>
          </w:tcPr>
          <w:p>
            <w:r>
              <w:rPr>
                <w:rFonts w:ascii="Calibri" w:hAnsi="Calibri"/>
                <w:color w:val="333333"/>
                <w:sz w:val="18"/>
              </w:rPr>
              <w:t>-17.7%</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2025-03-31 (5d)</w:t>
            </w:r>
          </w:p>
        </w:tc>
        <w:tc>
          <w:tcPr>
            <w:tcW w:type="dxa" w:w="1440"/>
            <w:shd w:fill="F2F4F8" w:val="clear"/>
            <w:shd w:fill="FCE8E6" w:val="clear"/>
          </w:tcPr>
          <w:p>
            <w:r>
              <w:rPr>
                <w:rFonts w:ascii="Calibri" w:hAnsi="Calibri"/>
                <w:color w:val="333333"/>
                <w:sz w:val="18"/>
              </w:rPr>
              <w:t>-15.2%</w:t>
            </w:r>
          </w:p>
        </w:tc>
        <w:tc>
          <w:tcPr>
            <w:tcW w:type="dxa" w:w="1440"/>
            <w:shd w:fill="F2F4F8" w:val="clear"/>
            <w:shd w:fill="FCE8E6" w:val="clear"/>
          </w:tcPr>
          <w:p>
            <w:r>
              <w:rPr>
                <w:rFonts w:ascii="Calibri" w:hAnsi="Calibri"/>
                <w:color w:val="333333"/>
                <w:sz w:val="18"/>
              </w:rPr>
              <w:t>24%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2025-02-24 (5d)</w:t>
            </w:r>
          </w:p>
        </w:tc>
        <w:tc>
          <w:tcPr>
            <w:tcW w:type="dxa" w:w="1440"/>
            <w:shd w:fill="FCE8E6" w:val="clear"/>
          </w:tcPr>
          <w:p>
            <w:r>
              <w:rPr>
                <w:rFonts w:ascii="Calibri" w:hAnsi="Calibri"/>
                <w:color w:val="333333"/>
                <w:sz w:val="18"/>
              </w:rPr>
              <w:t>-17.2%</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2024-10-31 to 2024-11-01 (2d)</w:t>
            </w:r>
          </w:p>
        </w:tc>
        <w:tc>
          <w:tcPr>
            <w:tcW w:type="dxa" w:w="1440"/>
            <w:shd w:fill="F2F4F8" w:val="clear"/>
            <w:shd w:fill="FCE8E6" w:val="clear"/>
          </w:tcPr>
          <w:p>
            <w:r>
              <w:rPr>
                <w:rFonts w:ascii="Calibri" w:hAnsi="Calibri"/>
                <w:color w:val="333333"/>
                <w:sz w:val="18"/>
              </w:rPr>
              <w:t>-18.4%</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2025-03-28 (2d)</w:t>
            </w:r>
          </w:p>
        </w:tc>
        <w:tc>
          <w:tcPr>
            <w:tcW w:type="dxa" w:w="1440"/>
            <w:shd w:fill="FCE8E6" w:val="clear"/>
          </w:tcPr>
          <w:p>
            <w:r>
              <w:rPr>
                <w:rFonts w:ascii="Calibri" w:hAnsi="Calibri"/>
                <w:color w:val="333333"/>
                <w:sz w:val="18"/>
              </w:rPr>
              <w:t>-10.3%</w:t>
            </w:r>
          </w:p>
        </w:tc>
        <w:tc>
          <w:tcPr>
            <w:tcW w:type="dxa" w:w="1440"/>
            <w:shd w:fill="FCE8E6" w:val="clear"/>
          </w:tcPr>
          <w:p>
            <w:r>
              <w:rPr>
                <w:rFonts w:ascii="Calibri" w:hAnsi="Calibri"/>
                <w:color w:val="333333"/>
                <w:sz w:val="18"/>
              </w:rPr>
              <w:t>24%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2024-09-03 to 2024-09-09 (7d)</w:t>
            </w:r>
          </w:p>
        </w:tc>
        <w:tc>
          <w:tcPr>
            <w:tcW w:type="dxa" w:w="1440"/>
            <w:shd w:fill="F2F4F8" w:val="clear"/>
            <w:shd w:fill="FCE8E6" w:val="clear"/>
          </w:tcPr>
          <w:p>
            <w:r>
              <w:rPr>
                <w:rFonts w:ascii="Calibri" w:hAnsi="Calibri"/>
                <w:color w:val="333333"/>
                <w:sz w:val="18"/>
              </w:rPr>
              <w:t>-27.8%</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2025-02-18 (2d)</w:t>
            </w:r>
          </w:p>
        </w:tc>
        <w:tc>
          <w:tcPr>
            <w:tcW w:type="dxa" w:w="1440"/>
            <w:shd w:fill="FCE8E6" w:val="clear"/>
          </w:tcPr>
          <w:p>
            <w:r>
              <w:rPr>
                <w:rFonts w:ascii="Calibri" w:hAnsi="Calibri"/>
                <w:color w:val="333333"/>
                <w:sz w:val="18"/>
              </w:rPr>
              <w:t>-11.2%</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2024-10-31</w:t>
            </w:r>
          </w:p>
        </w:tc>
        <w:tc>
          <w:tcPr>
            <w:tcW w:type="dxa" w:w="1440"/>
            <w:shd w:fill="F2F4F8" w:val="clear"/>
            <w:shd w:fill="FCE8E6" w:val="clear"/>
          </w:tcPr>
          <w:p>
            <w:r>
              <w:rPr>
                <w:rFonts w:ascii="Calibri" w:hAnsi="Calibri"/>
                <w:color w:val="333333"/>
                <w:sz w:val="18"/>
              </w:rPr>
              <w:t>-15.3%</w:t>
            </w:r>
          </w:p>
        </w:tc>
        <w:tc>
          <w:tcPr>
            <w:tcW w:type="dxa" w:w="1440"/>
            <w:shd w:fill="F2F4F8" w:val="clear"/>
            <w:shd w:fill="FCE8E6" w:val="clear"/>
          </w:tcPr>
          <w:p>
            <w:r>
              <w:rPr>
                <w:rFonts w:ascii="Calibri" w:hAnsi="Calibri"/>
                <w:color w:val="333333"/>
                <w:sz w:val="18"/>
              </w:rPr>
              <w:t>14%</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2024-12-18 to 2024-12-19 (2d)</w:t>
            </w:r>
          </w:p>
        </w:tc>
        <w:tc>
          <w:tcPr>
            <w:tcW w:type="dxa" w:w="1440"/>
            <w:shd w:fill="FCE8E6" w:val="clear"/>
          </w:tcPr>
          <w:p>
            <w:r>
              <w:rPr>
                <w:rFonts w:ascii="Calibri" w:hAnsi="Calibri"/>
                <w:color w:val="333333"/>
                <w:sz w:val="18"/>
              </w:rPr>
              <w:t>-13.1%</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2024-08-01 to 2024-08-07 (7d)</w:t>
            </w:r>
          </w:p>
        </w:tc>
        <w:tc>
          <w:tcPr>
            <w:tcW w:type="dxa" w:w="1440"/>
            <w:shd w:fill="F2F4F8" w:val="clear"/>
            <w:shd w:fill="FCE8E6" w:val="clear"/>
          </w:tcPr>
          <w:p>
            <w:r>
              <w:rPr>
                <w:rFonts w:ascii="Calibri" w:hAnsi="Calibri"/>
                <w:color w:val="333333"/>
                <w:sz w:val="18"/>
              </w:rPr>
              <w:t>-26.4%</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2024-09-04 (5d)</w:t>
            </w:r>
          </w:p>
        </w:tc>
        <w:tc>
          <w:tcPr>
            <w:tcW w:type="dxa" w:w="1440"/>
            <w:shd w:fill="FCE8E6" w:val="clear"/>
          </w:tcPr>
          <w:p>
            <w:r>
              <w:rPr>
                <w:rFonts w:ascii="Calibri" w:hAnsi="Calibri"/>
                <w:color w:val="333333"/>
                <w:sz w:val="18"/>
              </w:rPr>
              <w:t>-17.7%</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2024-12-09 to 2024-12-10 (2d)</w:t>
            </w:r>
          </w:p>
        </w:tc>
        <w:tc>
          <w:tcPr>
            <w:tcW w:type="dxa" w:w="1440"/>
            <w:shd w:fill="F2F4F8" w:val="clear"/>
            <w:shd w:fill="FCE8E6" w:val="clear"/>
          </w:tcPr>
          <w:p>
            <w:r>
              <w:rPr>
                <w:rFonts w:ascii="Calibri" w:hAnsi="Calibri"/>
                <w:color w:val="333333"/>
                <w:sz w:val="18"/>
              </w:rPr>
              <w:t>-12.0%</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2024-11-01 (2d)</w:t>
            </w:r>
          </w:p>
        </w:tc>
        <w:tc>
          <w:tcPr>
            <w:tcW w:type="dxa" w:w="1440"/>
            <w:shd w:fill="FCE8E6" w:val="clear"/>
          </w:tcPr>
          <w:p>
            <w:r>
              <w:rPr>
                <w:rFonts w:ascii="Calibri" w:hAnsi="Calibri"/>
                <w:color w:val="333333"/>
                <w:sz w:val="18"/>
              </w:rPr>
              <w:t>-13.6%</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2024-09-03 (5d)</w:t>
            </w:r>
          </w:p>
        </w:tc>
        <w:tc>
          <w:tcPr>
            <w:tcW w:type="dxa" w:w="1440"/>
            <w:shd w:fill="F2F4F8" w:val="clear"/>
            <w:shd w:fill="FCE8E6" w:val="clear"/>
          </w:tcPr>
          <w:p>
            <w:r>
              <w:rPr>
                <w:rFonts w:ascii="Calibri" w:hAnsi="Calibri"/>
                <w:color w:val="333333"/>
                <w:sz w:val="18"/>
              </w:rPr>
              <w:t>-17.1%</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2024-08-05 (5d)</w:t>
            </w:r>
          </w:p>
        </w:tc>
        <w:tc>
          <w:tcPr>
            <w:tcW w:type="dxa" w:w="1440"/>
            <w:shd w:fill="FCE8E6" w:val="clear"/>
          </w:tcPr>
          <w:p>
            <w:r>
              <w:rPr>
                <w:rFonts w:ascii="Calibri" w:hAnsi="Calibri"/>
                <w:color w:val="333333"/>
                <w:sz w:val="18"/>
              </w:rPr>
              <w:t>-19.1%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2024-12-18 (2d)</w:t>
            </w:r>
          </w:p>
        </w:tc>
        <w:tc>
          <w:tcPr>
            <w:tcW w:type="dxa" w:w="1440"/>
            <w:shd w:fill="F2F4F8" w:val="clear"/>
            <w:shd w:fill="FCE8E6" w:val="clear"/>
          </w:tcPr>
          <w:p>
            <w:r>
              <w:rPr>
                <w:rFonts w:ascii="Calibri" w:hAnsi="Calibri"/>
                <w:color w:val="333333"/>
                <w:sz w:val="18"/>
              </w:rPr>
              <w:t>-11.2%</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2024-11-13 to 2024-11-14 (2d)</w:t>
            </w:r>
          </w:p>
        </w:tc>
        <w:tc>
          <w:tcPr>
            <w:tcW w:type="dxa" w:w="1440"/>
            <w:shd w:fill="FCE8E6" w:val="clear"/>
          </w:tcPr>
          <w:p>
            <w:r>
              <w:rPr>
                <w:rFonts w:ascii="Calibri" w:hAnsi="Calibri"/>
                <w:color w:val="333333"/>
                <w:sz w:val="18"/>
              </w:rPr>
              <w:t>-14.0%</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2024-09-05 (5d)</w:t>
            </w:r>
          </w:p>
        </w:tc>
        <w:tc>
          <w:tcPr>
            <w:tcW w:type="dxa" w:w="1440"/>
            <w:shd w:fill="F2F4F8" w:val="clear"/>
            <w:shd w:fill="FCE8E6" w:val="clear"/>
          </w:tcPr>
          <w:p>
            <w:r>
              <w:rPr>
                <w:rFonts w:ascii="Calibri" w:hAnsi="Calibri"/>
                <w:color w:val="333333"/>
                <w:sz w:val="18"/>
              </w:rPr>
              <w:t>-16.0%</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2024-11-13 (2d)</w:t>
            </w:r>
          </w:p>
        </w:tc>
        <w:tc>
          <w:tcPr>
            <w:tcW w:type="dxa" w:w="1440"/>
            <w:shd w:fill="FCE8E6" w:val="clear"/>
          </w:tcPr>
          <w:p>
            <w:r>
              <w:rPr>
                <w:rFonts w:ascii="Calibri" w:hAnsi="Calibri"/>
                <w:color w:val="333333"/>
                <w:sz w:val="18"/>
              </w:rPr>
              <w:t>-12.2%</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2024-09-09 (5d)</w:t>
            </w:r>
          </w:p>
        </w:tc>
        <w:tc>
          <w:tcPr>
            <w:tcW w:type="dxa" w:w="1440"/>
            <w:shd w:fill="F2F4F8" w:val="clear"/>
            <w:shd w:fill="FCE8E6" w:val="clear"/>
          </w:tcPr>
          <w:p>
            <w:r>
              <w:rPr>
                <w:rFonts w:ascii="Calibri" w:hAnsi="Calibri"/>
                <w:color w:val="333333"/>
                <w:sz w:val="18"/>
              </w:rPr>
              <w:t>-15.4%</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2024-12-18</w:t>
            </w:r>
          </w:p>
        </w:tc>
        <w:tc>
          <w:tcPr>
            <w:tcW w:type="dxa" w:w="1440"/>
            <w:shd w:fill="FCE8E6" w:val="clear"/>
          </w:tcPr>
          <w:p>
            <w:r>
              <w:rPr>
                <w:rFonts w:ascii="Calibri" w:hAnsi="Calibri"/>
                <w:color w:val="333333"/>
                <w:sz w:val="18"/>
              </w:rPr>
              <w:t>-10.2%</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2024-09-30 to 2024-10-01 (2d)</w:t>
            </w:r>
          </w:p>
        </w:tc>
        <w:tc>
          <w:tcPr>
            <w:tcW w:type="dxa" w:w="1440"/>
            <w:shd w:fill="F2F4F8" w:val="clear"/>
            <w:shd w:fill="FCE8E6" w:val="clear"/>
          </w:tcPr>
          <w:p>
            <w:r>
              <w:rPr>
                <w:rFonts w:ascii="Calibri" w:hAnsi="Calibri"/>
                <w:color w:val="333333"/>
                <w:sz w:val="18"/>
              </w:rPr>
              <w:t>-13.7%</w:t>
            </w:r>
          </w:p>
        </w:tc>
        <w:tc>
          <w:tcPr>
            <w:tcW w:type="dxa" w:w="1440"/>
            <w:shd w:fill="F2F4F8" w:val="clear"/>
            <w:shd w:fill="FCE8E6" w:val="clear"/>
          </w:tcPr>
          <w:p>
            <w:r>
              <w:rPr>
                <w:rFonts w:ascii="Calibri" w:hAnsi="Calibri"/>
                <w:color w:val="333333"/>
                <w:sz w:val="18"/>
              </w:rPr>
              <w:t>12%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2024-11-13</w:t>
            </w:r>
          </w:p>
        </w:tc>
        <w:tc>
          <w:tcPr>
            <w:tcW w:type="dxa" w:w="1440"/>
            <w:shd w:fill="FCE8E6" w:val="clear"/>
          </w:tcPr>
          <w:p>
            <w:r>
              <w:rPr>
                <w:rFonts w:ascii="Calibri" w:hAnsi="Calibri"/>
                <w:color w:val="333333"/>
                <w:sz w:val="18"/>
              </w:rPr>
              <w:t>-10.8%</w:t>
            </w:r>
          </w:p>
        </w:tc>
        <w:tc>
          <w:tcPr>
            <w:tcW w:type="dxa" w:w="1440"/>
            <w:shd w:fill="FCE8E6" w:val="clear"/>
          </w:tcPr>
          <w:p>
            <w:r>
              <w:rPr>
                <w:rFonts w:ascii="Calibri" w:hAnsi="Calibri"/>
                <w:color w:val="333333"/>
                <w:sz w:val="18"/>
              </w:rPr>
              <w:t>14%</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2024-08-02 (5d)</w:t>
            </w:r>
          </w:p>
        </w:tc>
        <w:tc>
          <w:tcPr>
            <w:tcW w:type="dxa" w:w="1440"/>
            <w:shd w:fill="F2F4F8" w:val="clear"/>
            <w:shd w:fill="FCE8E6" w:val="clear"/>
          </w:tcPr>
          <w:p>
            <w:r>
              <w:rPr>
                <w:rFonts w:ascii="Calibri" w:hAnsi="Calibri"/>
                <w:color w:val="333333"/>
                <w:sz w:val="18"/>
              </w:rPr>
              <w:t>-15.8%</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2024-04-15 to 2024-04-18 (4d)</w:t>
            </w:r>
          </w:p>
        </w:tc>
        <w:tc>
          <w:tcPr>
            <w:tcW w:type="dxa" w:w="1440"/>
            <w:shd w:fill="FCE8E6" w:val="clear"/>
          </w:tcPr>
          <w:p>
            <w:r>
              <w:rPr>
                <w:rFonts w:ascii="Calibri" w:hAnsi="Calibri"/>
                <w:color w:val="333333"/>
                <w:sz w:val="18"/>
              </w:rPr>
              <w:t>-17.1%</w:t>
            </w:r>
          </w:p>
        </w:tc>
        <w:tc>
          <w:tcPr>
            <w:tcW w:type="dxa" w:w="1440"/>
            <w:shd w:fill="FCE8E6" w:val="clear"/>
          </w:tcPr>
          <w:p>
            <w:r>
              <w:rPr>
                <w:rFonts w:ascii="Calibri" w:hAnsi="Calibri"/>
                <w:color w:val="333333"/>
                <w:sz w:val="18"/>
              </w:rPr>
              <w:t>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2024-04-15 (2d)</w:t>
            </w:r>
          </w:p>
        </w:tc>
        <w:tc>
          <w:tcPr>
            <w:tcW w:type="dxa" w:w="1440"/>
            <w:shd w:fill="F2F4F8" w:val="clear"/>
            <w:shd w:fill="FCE8E6" w:val="clear"/>
          </w:tcPr>
          <w:p>
            <w:r>
              <w:rPr>
                <w:rFonts w:ascii="Calibri" w:hAnsi="Calibri"/>
                <w:color w:val="333333"/>
                <w:sz w:val="18"/>
              </w:rPr>
              <w:t>-15.1%</w:t>
            </w:r>
          </w:p>
        </w:tc>
        <w:tc>
          <w:tcPr>
            <w:tcW w:type="dxa" w:w="1440"/>
            <w:shd w:fill="F2F4F8" w:val="clear"/>
            <w:shd w:fill="FCE8E6" w:val="clear"/>
          </w:tcPr>
          <w:p>
            <w:r>
              <w:rPr>
                <w:rFonts w:ascii="Calibri" w:hAnsi="Calibri"/>
                <w:color w:val="333333"/>
                <w:sz w:val="18"/>
              </w:rPr>
              <w:t>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2024-07-25</w:t>
            </w:r>
          </w:p>
        </w:tc>
        <w:tc>
          <w:tcPr>
            <w:tcW w:type="dxa" w:w="1440"/>
            <w:shd w:fill="FCE8E6" w:val="clear"/>
          </w:tcPr>
          <w:p>
            <w:r>
              <w:rPr>
                <w:rFonts w:ascii="Calibri" w:hAnsi="Calibri"/>
                <w:color w:val="333333"/>
                <w:sz w:val="18"/>
              </w:rPr>
              <w:t>-10.1%</w:t>
            </w:r>
          </w:p>
        </w:tc>
        <w:tc>
          <w:tcPr>
            <w:tcW w:type="dxa" w:w="1440"/>
            <w:shd w:fill="FCE8E6" w:val="clear"/>
          </w:tcPr>
          <w:p>
            <w:r>
              <w:rPr>
                <w:rFonts w:ascii="Calibri" w:hAnsi="Calibri"/>
                <w:color w:val="333333"/>
                <w:sz w:val="18"/>
              </w:rPr>
              <w:t>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r>
        <w:tc>
          <w:tcPr>
            <w:tcW w:type="dxa" w:w="1440"/>
            <w:shd w:fill="F2F4F8" w:val="clear"/>
            <w:shd w:fill="FCE8E6" w:val="clear"/>
          </w:tcPr>
          <w:p>
            <w:r>
              <w:rPr>
                <w:rFonts w:ascii="Calibri" w:hAnsi="Calibri"/>
                <w:color w:val="333333"/>
                <w:sz w:val="18"/>
              </w:rPr>
              <w:t>2024-04-24 to 2024-04-30 (7d)</w:t>
            </w:r>
          </w:p>
        </w:tc>
        <w:tc>
          <w:tcPr>
            <w:tcW w:type="dxa" w:w="1440"/>
            <w:shd w:fill="F2F4F8" w:val="clear"/>
            <w:shd w:fill="FCE8E6" w:val="clear"/>
          </w:tcPr>
          <w:p>
            <w:r>
              <w:rPr>
                <w:rFonts w:ascii="Calibri" w:hAnsi="Calibri"/>
                <w:color w:val="333333"/>
                <w:sz w:val="18"/>
              </w:rPr>
              <w:t>-13.8%</w:t>
            </w:r>
          </w:p>
        </w:tc>
        <w:tc>
          <w:tcPr>
            <w:tcW w:type="dxa" w:w="1440"/>
            <w:shd w:fill="F2F4F8" w:val="clear"/>
            <w:shd w:fill="FCE8E6" w:val="clear"/>
          </w:tcPr>
          <w:p>
            <w:r>
              <w:rPr>
                <w:rFonts w:ascii="Calibri" w:hAnsi="Calibri"/>
                <w:color w:val="333333"/>
                <w:sz w:val="18"/>
              </w:rPr>
              <w:t>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https://finance.yahoo.com/quote/COIN/</w:t>
            </w:r>
          </w:p>
        </w:tc>
      </w:tr>
      <w:tr>
        <w:tc>
          <w:tcPr>
            <w:tcW w:type="dxa" w:w="1440"/>
            <w:shd w:fill="FCE8E6" w:val="clear"/>
          </w:tcPr>
          <w:p>
            <w:r>
              <w:rPr>
                <w:rFonts w:ascii="Calibri" w:hAnsi="Calibri"/>
                <w:color w:val="333333"/>
                <w:sz w:val="18"/>
              </w:rPr>
              <w:t>2024-04-16 (2d)</w:t>
            </w:r>
          </w:p>
        </w:tc>
        <w:tc>
          <w:tcPr>
            <w:tcW w:type="dxa" w:w="1440"/>
            <w:shd w:fill="FCE8E6" w:val="clear"/>
          </w:tcPr>
          <w:p>
            <w:r>
              <w:rPr>
                <w:rFonts w:ascii="Calibri" w:hAnsi="Calibri"/>
                <w:color w:val="333333"/>
                <w:sz w:val="18"/>
              </w:rPr>
              <w:t>-10.9%</w:t>
            </w:r>
          </w:p>
        </w:tc>
        <w:tc>
          <w:tcPr>
            <w:tcW w:type="dxa" w:w="1440"/>
            <w:shd w:fill="FCE8E6" w:val="clear"/>
          </w:tcPr>
          <w:p>
            <w:r>
              <w:rPr>
                <w:rFonts w:ascii="Calibri" w:hAnsi="Calibri"/>
                <w:color w:val="333333"/>
                <w:sz w:val="18"/>
              </w:rPr>
              <w:t>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https://finance.yahoo.com/quote/COIN/</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11.5% (Ranks at the 0th percentile among 0 peers (peer median: 3.0%))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1.59</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DECLINING</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Body"/>
        <w:shd w:fill="FCE8E6" w:val="clear"/>
      </w:pPr>
      <w:r>
        <w:rPr>
          <w:b/>
          <w:color w:val="EA580C"/>
          <w:sz w:val="18"/>
        </w:rPr>
        <w:t xml:space="preserve">[HIGH] </w:t>
      </w:r>
      <w:r>
        <w:rPr>
          <w:b/>
          <w:sz w:val="20"/>
        </w:rPr>
        <w:t>Elevated Short Interest: 11.5%</w:t>
      </w:r>
      <w:r>
        <w:rPr>
          <w:color w:val="666666"/>
          <w:sz w:val="16"/>
        </w:rPr>
        <w:t xml:space="preserve"> -- Signals significant bearish sentiment; vulnerability to short seller reports</w:t>
      </w:r>
    </w:p>
    <w:p>
      <w:pPr>
        <w:pStyle w:val="DOCaption"/>
        <w:ind w:left="360"/>
      </w:pPr>
      <w:r>
        <w:rPr>
          <w:i/>
          <w:color w:val="666666"/>
          <w:sz w:val="18"/>
        </w:rPr>
        <w:t>Context: Cluster insider selling within 90 days of a stock drop correlates with securities class actions in 42% of cases.</w:t>
      </w:r>
    </w:p>
    <w:p>
      <w:pPr>
        <w:pStyle w:val="DOBody"/>
      </w:pPr>
      <w:r>
        <w:rPr>
          <w:i/>
          <w:color w:val="FFD000"/>
          <w:sz w:val="18"/>
        </w:rPr>
        <w:t>See Meeting Prep: Short Interest &amp; Market Sentiment</w:t>
      </w:r>
    </w:p>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0.6%</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1</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MIXED</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$0.94</w:t>
            </w:r>
          </w:p>
        </w:tc>
        <w:tc>
          <w:tcPr>
            <w:tcW w:type="dxa" w:w="1680"/>
          </w:tcPr>
          <w:p>
            <w:r>
              <w:rPr>
                <w:rFonts w:ascii="Calibri" w:hAnsi="Calibri"/>
                <w:color w:val="333333"/>
                <w:sz w:val="18"/>
              </w:rPr>
              <w:t>$-2.49</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+364.9%</w:t>
            </w:r>
          </w:p>
        </w:tc>
        <w:tc>
          <w:tcPr>
            <w:tcW w:type="dxa" w:w="1680"/>
          </w:tcPr>
          <w:p>
            <w:r>
              <w:rPr>
                <w:rFonts w:ascii="Calibri" w:hAnsi="Calibri"/>
                <w:color w:val="333333"/>
                <w:sz w:val="18"/>
              </w:rPr>
              <w:t>N/A</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$1.13</w:t>
            </w:r>
          </w:p>
        </w:tc>
        <w:tc>
          <w:tcPr>
            <w:tcW w:type="dxa" w:w="1680"/>
            <w:shd w:fill="F2F4F8" w:val="clear"/>
          </w:tcPr>
          <w:p>
            <w:r>
              <w:rPr>
                <w:rFonts w:ascii="Calibri" w:hAnsi="Calibri"/>
                <w:color w:val="333333"/>
                <w:sz w:val="18"/>
              </w:rPr>
              <w:t>$1.50</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+33.0%</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$1.49</w:t>
            </w:r>
          </w:p>
        </w:tc>
        <w:tc>
          <w:tcPr>
            <w:tcW w:type="dxa" w:w="1680"/>
          </w:tcPr>
          <w:p>
            <w:r>
              <w:rPr>
                <w:rFonts w:ascii="Calibri" w:hAnsi="Calibri"/>
                <w:color w:val="333333"/>
                <w:sz w:val="18"/>
              </w:rPr>
              <w:t>$5.14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$1.90</w:t>
            </w:r>
          </w:p>
        </w:tc>
        <w:tc>
          <w:tcPr>
            <w:tcW w:type="dxa" w:w="1680"/>
            <w:shd w:fill="F2F4F8" w:val="clear"/>
          </w:tcPr>
          <w:p>
            <w:r>
              <w:rPr>
                <w:rFonts w:ascii="Calibri" w:hAnsi="Calibri"/>
                <w:color w:val="333333"/>
                <w:sz w:val="18"/>
              </w:rPr>
              <w:t>$0.24</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+87.4%</w:t>
            </w:r>
          </w:p>
        </w:tc>
        <w:tc>
          <w:tcPr>
            <w:tcW w:type="dxa" w:w="1680"/>
            <w:shd w:fill="F2F4F8" w:val="clear"/>
          </w:tcPr>
          <w:p>
            <w:r>
              <w:rPr>
                <w:rFonts w:ascii="Calibri" w:hAnsi="Calibri"/>
                <w:color w:val="333333"/>
                <w:sz w:val="18"/>
              </w:rPr>
              <w:t>-87.4%</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$2.04</w:t>
            </w:r>
          </w:p>
        </w:tc>
        <w:tc>
          <w:tcPr>
            <w:tcW w:type="dxa" w:w="1680"/>
          </w:tcPr>
          <w:p>
            <w:r>
              <w:rPr>
                <w:rFonts w:ascii="Calibri" w:hAnsi="Calibri"/>
                <w:color w:val="333333"/>
                <w:sz w:val="18"/>
              </w:rPr>
              <w:t>$4.68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$0.42</w:t>
            </w:r>
          </w:p>
        </w:tc>
        <w:tc>
          <w:tcPr>
            <w:tcW w:type="dxa" w:w="1680"/>
            <w:shd w:fill="F2F4F8" w:val="clear"/>
          </w:tcPr>
          <w:p>
            <w:r>
              <w:rPr>
                <w:rFonts w:ascii="Calibri" w:hAnsi="Calibri"/>
                <w:color w:val="333333"/>
                <w:sz w:val="18"/>
              </w:rPr>
              <w:t>$0.28</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+33.3%</w:t>
            </w:r>
          </w:p>
        </w:tc>
        <w:tc>
          <w:tcPr>
            <w:tcW w:type="dxa" w:w="1680"/>
            <w:shd w:fill="F2F4F8" w:val="clear"/>
          </w:tcPr>
          <w:p>
            <w:r>
              <w:rPr>
                <w:rFonts w:ascii="Calibri" w:hAnsi="Calibri"/>
                <w:color w:val="333333"/>
                <w:sz w:val="18"/>
              </w:rPr>
              <w:t>-33.3%</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$0.80</w:t>
            </w:r>
          </w:p>
        </w:tc>
        <w:tc>
          <w:tcPr>
            <w:tcW w:type="dxa" w:w="1680"/>
          </w:tcPr>
          <w:p>
            <w:r>
              <w:rPr>
                <w:rFonts w:ascii="Calibri" w:hAnsi="Calibri"/>
                <w:color w:val="333333"/>
                <w:sz w:val="18"/>
              </w:rPr>
              <w:t>$0.14</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+82.5%</w:t>
            </w:r>
          </w:p>
        </w:tc>
        <w:tc>
          <w:tcPr>
            <w:tcW w:type="dxa" w:w="1680"/>
          </w:tcPr>
          <w:p>
            <w:r>
              <w:rPr>
                <w:rFonts w:ascii="Calibri" w:hAnsi="Calibri"/>
                <w:color w:val="333333"/>
                <w:sz w:val="18"/>
              </w:rPr>
              <w:t>-82.5%</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$1.27</w:t>
            </w:r>
          </w:p>
        </w:tc>
        <w:tc>
          <w:tcPr>
            <w:tcW w:type="dxa" w:w="1680"/>
            <w:shd w:fill="F2F4F8" w:val="clear"/>
          </w:tcPr>
          <w:p>
            <w:r>
              <w:rPr>
                <w:rFonts w:ascii="Calibri" w:hAnsi="Calibri"/>
                <w:color w:val="333333"/>
                <w:sz w:val="18"/>
              </w:rPr>
              <w:t>$4.40</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$0.20</w:t>
            </w:r>
          </w:p>
        </w:tc>
        <w:tc>
          <w:tcPr>
            <w:tcW w:type="dxa" w:w="1680"/>
          </w:tcPr>
          <w:p>
            <w:r>
              <w:rPr>
                <w:rFonts w:ascii="Calibri" w:hAnsi="Calibri"/>
                <w:color w:val="333333"/>
                <w:sz w:val="18"/>
              </w:rPr>
              <w:t>$1.04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$-0.53</w:t>
            </w:r>
          </w:p>
        </w:tc>
        <w:tc>
          <w:tcPr>
            <w:tcW w:type="dxa" w:w="1680"/>
            <w:shd w:fill="F2F4F8" w:val="clear"/>
          </w:tcPr>
          <w:p>
            <w:r>
              <w:rPr>
                <w:rFonts w:ascii="Calibri" w:hAnsi="Calibri"/>
                <w:color w:val="333333"/>
                <w:sz w:val="18"/>
              </w:rPr>
              <w:t>$-0.01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+98.1%</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$-0.76</w:t>
            </w:r>
          </w:p>
        </w:tc>
        <w:tc>
          <w:tcPr>
            <w:tcW w:type="dxa" w:w="1680"/>
          </w:tcPr>
          <w:p>
            <w:r>
              <w:rPr>
                <w:rFonts w:ascii="Calibri" w:hAnsi="Calibri"/>
                <w:color w:val="333333"/>
                <w:sz w:val="18"/>
              </w:rPr>
              <w:t>$-0.42</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+45.0%</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$-1.76</w:t>
            </w:r>
          </w:p>
        </w:tc>
        <w:tc>
          <w:tcPr>
            <w:tcW w:type="dxa" w:w="1680"/>
            <w:shd w:fill="F2F4F8" w:val="clear"/>
          </w:tcPr>
          <w:p>
            <w:r>
              <w:rPr>
                <w:rFonts w:ascii="Calibri" w:hAnsi="Calibri"/>
                <w:color w:val="333333"/>
                <w:sz w:val="18"/>
              </w:rPr>
              <w:t>$-0.34</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+80.7%</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$-1.41</w:t>
            </w:r>
          </w:p>
        </w:tc>
        <w:tc>
          <w:tcPr>
            <w:tcW w:type="dxa" w:w="1680"/>
          </w:tcPr>
          <w:p>
            <w:r>
              <w:rPr>
                <w:rFonts w:ascii="Calibri" w:hAnsi="Calibri"/>
                <w:color w:val="333333"/>
                <w:sz w:val="18"/>
              </w:rPr>
              <w:t>$-2.65</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+87.9%</w:t>
            </w:r>
          </w:p>
        </w:tc>
        <w:tc>
          <w:tcPr>
            <w:tcW w:type="dxa" w:w="1680"/>
          </w:tcPr>
          <w:p>
            <w:r>
              <w:rPr>
                <w:rFonts w:ascii="Calibri" w:hAnsi="Calibri"/>
                <w:color w:val="333333"/>
                <w:sz w:val="18"/>
              </w:rPr>
              <w:t>-88.9%</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$-1.47</w:t>
            </w:r>
          </w:p>
        </w:tc>
        <w:tc>
          <w:tcPr>
            <w:tcW w:type="dxa" w:w="1680"/>
            <w:shd w:fill="F2F4F8" w:val="clear"/>
          </w:tcPr>
          <w:p>
            <w:r>
              <w:rPr>
                <w:rFonts w:ascii="Calibri" w:hAnsi="Calibri"/>
                <w:color w:val="333333"/>
                <w:sz w:val="18"/>
              </w:rPr>
              <w:t>$-2.15</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+46.3%</w:t>
            </w:r>
          </w:p>
        </w:tc>
        <w:tc>
          <w:tcPr>
            <w:tcW w:type="dxa" w:w="1680"/>
            <w:shd w:fill="F2F4F8" w:val="clear"/>
          </w:tcPr>
          <w:p>
            <w:r>
              <w:rPr>
                <w:rFonts w:ascii="Calibri" w:hAnsi="Calibri"/>
                <w:color w:val="333333"/>
                <w:sz w:val="18"/>
              </w:rPr>
              <w:t>-45.8%</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$-1.23</w:t>
            </w:r>
          </w:p>
        </w:tc>
        <w:tc>
          <w:tcPr>
            <w:tcW w:type="dxa" w:w="1680"/>
          </w:tcPr>
          <w:p>
            <w:r>
              <w:rPr>
                <w:rFonts w:ascii="Calibri" w:hAnsi="Calibri"/>
                <w:color w:val="333333"/>
                <w:sz w:val="18"/>
              </w:rPr>
              <w:t>$-2.43</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+97.6%</w:t>
            </w:r>
          </w:p>
        </w:tc>
        <w:tc>
          <w:tcPr>
            <w:tcW w:type="dxa" w:w="1680"/>
          </w:tcPr>
          <w:p>
            <w:r>
              <w:rPr>
                <w:rFonts w:ascii="Calibri" w:hAnsi="Calibri"/>
                <w:color w:val="333333"/>
                <w:sz w:val="18"/>
              </w:rPr>
              <w:t>-96.6%</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$0.91</w:t>
            </w:r>
          </w:p>
        </w:tc>
        <w:tc>
          <w:tcPr>
            <w:tcW w:type="dxa" w:w="1680"/>
            <w:shd w:fill="F2F4F8" w:val="clear"/>
          </w:tcPr>
          <w:p>
            <w:r>
              <w:rPr>
                <w:rFonts w:ascii="Calibri" w:hAnsi="Calibri"/>
                <w:color w:val="333333"/>
                <w:sz w:val="18"/>
              </w:rPr>
              <w:t>$-1.25</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+237.4%</w:t>
            </w:r>
          </w:p>
        </w:tc>
        <w:tc>
          <w:tcPr>
            <w:tcW w:type="dxa" w:w="1680"/>
            <w:shd w:fill="F2F4F8" w:val="clear"/>
          </w:tcPr>
          <w:p>
            <w:r>
              <w:rPr>
                <w:rFonts w:ascii="Calibri" w:hAnsi="Calibri"/>
                <w:color w:val="333333"/>
                <w:sz w:val="18"/>
              </w:rPr>
              <w:t>N/A</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29</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1.94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$247</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$420</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$120</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2026-02-03 to 2026-02-23</w:t>
            </w:r>
          </w:p>
        </w:tc>
        <w:tc>
          <w:tcPr>
            <w:tcW w:type="dxa" w:w="1680"/>
          </w:tcPr>
          <w:p>
            <w:r>
              <w:rPr>
                <w:rFonts w:ascii="Calibri" w:hAnsi="Calibri"/>
                <w:color w:val="333333"/>
                <w:sz w:val="18"/>
              </w:rPr>
              <w:t>-44.9%</w:t>
            </w:r>
          </w:p>
        </w:tc>
        <w:tc>
          <w:tcPr>
            <w:tcW w:type="dxa" w:w="1680"/>
          </w:tcPr>
          <w:p>
            <w:r>
              <w:rPr>
                <w:rFonts w:ascii="Calibri" w:hAnsi="Calibri"/>
                <w:color w:val="333333"/>
                <w:sz w:val="18"/>
              </w:rPr>
              <w:t>MULTI_DAY (21d)</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-4.5%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2026-02-05</w:t>
            </w:r>
          </w:p>
        </w:tc>
        <w:tc>
          <w:tcPr>
            <w:tcW w:type="dxa" w:w="1680"/>
            <w:shd w:fill="F2F4F8" w:val="clear"/>
          </w:tcPr>
          <w:p>
            <w:r>
              <w:rPr>
                <w:rFonts w:ascii="Calibri" w:hAnsi="Calibri"/>
                <w:color w:val="333333"/>
                <w:sz w:val="18"/>
              </w:rPr>
              <w:t>-40.6%</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-4.2%</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2025-03-10 to 2025-03-20</w:t>
            </w:r>
          </w:p>
        </w:tc>
        <w:tc>
          <w:tcPr>
            <w:tcW w:type="dxa" w:w="1680"/>
          </w:tcPr>
          <w:p>
            <w:r>
              <w:rPr>
                <w:rFonts w:ascii="Calibri" w:hAnsi="Calibri"/>
                <w:color w:val="333333"/>
                <w:sz w:val="18"/>
              </w:rPr>
              <w:t>-40.5%</w:t>
            </w:r>
          </w:p>
        </w:tc>
        <w:tc>
          <w:tcPr>
            <w:tcW w:type="dxa" w:w="1680"/>
          </w:tcPr>
          <w:p>
            <w:r>
              <w:rPr>
                <w:rFonts w:ascii="Calibri" w:hAnsi="Calibri"/>
                <w:color w:val="333333"/>
                <w:sz w:val="18"/>
              </w:rPr>
              <w:t>MULTI_DAY (11d)</w:t>
            </w:r>
          </w:p>
        </w:tc>
        <w:tc>
          <w:tcPr>
            <w:tcW w:type="dxa" w:w="1680"/>
          </w:tcPr>
          <w:p>
            <w:r>
              <w:rPr>
                <w:rFonts w:ascii="Calibri" w:hAnsi="Calibri"/>
                <w:color w:val="333333"/>
                <w:sz w:val="18"/>
              </w:rPr>
              <w:t>Unknown</w:t>
            </w:r>
          </w:p>
        </w:tc>
        <w:tc>
          <w:tcPr>
            <w:tcW w:type="dxa" w:w="1680"/>
          </w:tcPr>
          <w:p>
            <w:r>
              <w:rPr>
                <w:rFonts w:ascii="Calibri" w:hAnsi="Calibri"/>
                <w:color w:val="333333"/>
                <w:sz w:val="18"/>
              </w:rPr>
              <w:t>-6.2%</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2026-02-11</w:t>
            </w:r>
          </w:p>
        </w:tc>
        <w:tc>
          <w:tcPr>
            <w:tcW w:type="dxa" w:w="1680"/>
            <w:shd w:fill="F2F4F8" w:val="clear"/>
          </w:tcPr>
          <w:p>
            <w:r>
              <w:rPr>
                <w:rFonts w:ascii="Calibri" w:hAnsi="Calibri"/>
                <w:color w:val="333333"/>
                <w:sz w:val="18"/>
              </w:rPr>
              <w:t>-39.4%</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-2.8%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2025-03-13</w:t>
            </w:r>
          </w:p>
        </w:tc>
        <w:tc>
          <w:tcPr>
            <w:tcW w:type="dxa" w:w="1680"/>
          </w:tcPr>
          <w:p>
            <w:r>
              <w:rPr>
                <w:rFonts w:ascii="Calibri" w:hAnsi="Calibri"/>
                <w:color w:val="333333"/>
                <w:sz w:val="18"/>
              </w:rPr>
              <w:t>-35.4%</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-7.7%</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2025-03-10</w:t>
            </w:r>
          </w:p>
        </w:tc>
        <w:tc>
          <w:tcPr>
            <w:tcW w:type="dxa" w:w="1680"/>
            <w:shd w:fill="F2F4F8" w:val="clear"/>
          </w:tcPr>
          <w:p>
            <w:r>
              <w:rPr>
                <w:rFonts w:ascii="Calibri" w:hAnsi="Calibri"/>
                <w:color w:val="333333"/>
                <w:sz w:val="18"/>
              </w:rPr>
              <w:t>-34.7%</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-7.3%</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2025-11-13 to 2025-11-25</w:t>
            </w:r>
          </w:p>
        </w:tc>
        <w:tc>
          <w:tcPr>
            <w:tcW w:type="dxa" w:w="1680"/>
          </w:tcPr>
          <w:p>
            <w:r>
              <w:rPr>
                <w:rFonts w:ascii="Calibri" w:hAnsi="Calibri"/>
                <w:color w:val="333333"/>
                <w:sz w:val="18"/>
              </w:rPr>
              <w:t>-34.1%</w:t>
            </w:r>
          </w:p>
        </w:tc>
        <w:tc>
          <w:tcPr>
            <w:tcW w:type="dxa" w:w="1680"/>
          </w:tcPr>
          <w:p>
            <w:r>
              <w:rPr>
                <w:rFonts w:ascii="Calibri" w:hAnsi="Calibri"/>
                <w:color w:val="333333"/>
                <w:sz w:val="18"/>
              </w:rPr>
              <w:t>MULTI_DAY (13d)</w:t>
            </w:r>
          </w:p>
        </w:tc>
        <w:tc>
          <w:tcPr>
            <w:tcW w:type="dxa" w:w="1680"/>
          </w:tcPr>
          <w:p>
            <w:r>
              <w:rPr>
                <w:rFonts w:ascii="Calibri" w:hAnsi="Calibri"/>
                <w:color w:val="333333"/>
                <w:sz w:val="18"/>
              </w:rPr>
              <w:t>Unknown</w:t>
            </w:r>
          </w:p>
        </w:tc>
        <w:tc>
          <w:tcPr>
            <w:tcW w:type="dxa" w:w="1680"/>
          </w:tcPr>
          <w:p>
            <w:r>
              <w:rPr>
                <w:rFonts w:ascii="Calibri" w:hAnsi="Calibri"/>
                <w:color w:val="333333"/>
                <w:sz w:val="18"/>
              </w:rPr>
              <w:t>-2.7%</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2026-02-10</w:t>
            </w:r>
          </w:p>
        </w:tc>
        <w:tc>
          <w:tcPr>
            <w:tcW w:type="dxa" w:w="1680"/>
            <w:shd w:fill="F2F4F8" w:val="clear"/>
          </w:tcPr>
          <w:p>
            <w:r>
              <w:rPr>
                <w:rFonts w:ascii="Calibri" w:hAnsi="Calibri"/>
                <w:color w:val="333333"/>
                <w:sz w:val="18"/>
              </w:rPr>
              <w:t>-33.1%</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-3.1%</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2026-02-06</w:t>
            </w:r>
          </w:p>
        </w:tc>
        <w:tc>
          <w:tcPr>
            <w:tcW w:type="dxa" w:w="1680"/>
          </w:tcPr>
          <w:p>
            <w:r>
              <w:rPr>
                <w:rFonts w:ascii="Calibri" w:hAnsi="Calibri"/>
                <w:color w:val="333333"/>
                <w:sz w:val="18"/>
              </w:rPr>
              <w:t>-32.8%</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-2.9%</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2026-02-04</w:t>
            </w:r>
          </w:p>
        </w:tc>
        <w:tc>
          <w:tcPr>
            <w:tcW w:type="dxa" w:w="1680"/>
            <w:shd w:fill="F2F4F8" w:val="clear"/>
          </w:tcPr>
          <w:p>
            <w:r>
              <w:rPr>
                <w:rFonts w:ascii="Calibri" w:hAnsi="Calibri"/>
                <w:color w:val="333333"/>
                <w:sz w:val="18"/>
              </w:rPr>
              <w:t>-32.7%</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-4.3%</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2025-02-14 to 2025-03-04</w:t>
            </w:r>
          </w:p>
        </w:tc>
        <w:tc>
          <w:tcPr>
            <w:tcW w:type="dxa" w:w="1680"/>
          </w:tcPr>
          <w:p>
            <w:r>
              <w:rPr>
                <w:rFonts w:ascii="Calibri" w:hAnsi="Calibri"/>
                <w:color w:val="333333"/>
                <w:sz w:val="18"/>
              </w:rPr>
              <w:t>-31.7%</w:t>
            </w:r>
          </w:p>
        </w:tc>
        <w:tc>
          <w:tcPr>
            <w:tcW w:type="dxa" w:w="1680"/>
          </w:tcPr>
          <w:p>
            <w:r>
              <w:rPr>
                <w:rFonts w:ascii="Calibri" w:hAnsi="Calibri"/>
                <w:color w:val="333333"/>
                <w:sz w:val="18"/>
              </w:rPr>
              <w:t>MULTI_DAY (19d)</w:t>
            </w:r>
          </w:p>
        </w:tc>
        <w:tc>
          <w:tcPr>
            <w:tcW w:type="dxa" w:w="1680"/>
          </w:tcPr>
          <w:p>
            <w:r>
              <w:rPr>
                <w:rFonts w:ascii="Calibri" w:hAnsi="Calibri"/>
                <w:color w:val="333333"/>
                <w:sz w:val="18"/>
              </w:rPr>
              <w:t>Unknown</w:t>
            </w:r>
          </w:p>
        </w:tc>
        <w:tc>
          <w:tcPr>
            <w:tcW w:type="dxa" w:w="1680"/>
          </w:tcPr>
          <w:p>
            <w:r>
              <w:rPr>
                <w:rFonts w:ascii="Calibri" w:hAnsi="Calibri"/>
                <w:color w:val="333333"/>
                <w:sz w:val="18"/>
              </w:rPr>
              <w:t>+0.5%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2025-03-11</w:t>
            </w:r>
          </w:p>
        </w:tc>
        <w:tc>
          <w:tcPr>
            <w:tcW w:type="dxa" w:w="1680"/>
            <w:shd w:fill="F2F4F8" w:val="clear"/>
          </w:tcPr>
          <w:p>
            <w:r>
              <w:rPr>
                <w:rFonts w:ascii="Calibri" w:hAnsi="Calibri"/>
                <w:color w:val="333333"/>
                <w:sz w:val="18"/>
              </w:rPr>
              <w:t>-31.6%</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-7.4%</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2025-03-18</w:t>
            </w:r>
          </w:p>
        </w:tc>
        <w:tc>
          <w:tcPr>
            <w:tcW w:type="dxa" w:w="1680"/>
          </w:tcPr>
          <w:p>
            <w:r>
              <w:rPr>
                <w:rFonts w:ascii="Calibri" w:hAnsi="Calibri"/>
                <w:color w:val="333333"/>
                <w:sz w:val="18"/>
              </w:rPr>
              <w:t>-31.6%</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-6.0%</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2026-02-13</w:t>
            </w:r>
          </w:p>
        </w:tc>
        <w:tc>
          <w:tcPr>
            <w:tcW w:type="dxa" w:w="1680"/>
            <w:shd w:fill="F2F4F8" w:val="clear"/>
          </w:tcPr>
          <w:p>
            <w:r>
              <w:rPr>
                <w:rFonts w:ascii="Calibri" w:hAnsi="Calibri"/>
                <w:color w:val="333333"/>
                <w:sz w:val="18"/>
              </w:rPr>
              <w:t>-31.3%</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-5.0%</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2026-02-17</w:t>
            </w:r>
          </w:p>
        </w:tc>
        <w:tc>
          <w:tcPr>
            <w:tcW w:type="dxa" w:w="1680"/>
          </w:tcPr>
          <w:p>
            <w:r>
              <w:rPr>
                <w:rFonts w:ascii="Calibri" w:hAnsi="Calibri"/>
                <w:color w:val="333333"/>
                <w:sz w:val="18"/>
              </w:rPr>
              <w:t>-31.1%</w:t>
            </w:r>
          </w:p>
        </w:tc>
        <w:tc>
          <w:tcPr>
            <w:tcW w:type="dxa" w:w="1680"/>
          </w:tcPr>
          <w:p>
            <w:r>
              <w:rPr>
                <w:rFonts w:ascii="Calibri" w:hAnsi="Calibri"/>
                <w:color w:val="333333"/>
                <w:sz w:val="18"/>
              </w:rPr>
              <w:t>MULTI_DAY (20d)</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-4.1%</w:t>
            </w:r>
          </w:p>
        </w:tc>
        <w:tc>
          <w:tcPr>
            <w:tcW w:type="dxa" w:w="1680"/>
            <w:shd w:fill="FFF3CD" w:val="clear"/>
          </w:tcPr>
          <w:p>
            <w:r>
              <w:rPr>
                <w:rFonts w:ascii="Calibri" w:hAnsi="Calibri"/>
                <w:color w:val="333333"/>
                <w:sz w:val="18"/>
              </w:rPr>
              <w:t>Yes</w:t>
            </w:r>
          </w:p>
        </w:tc>
      </w:tr>
    </w:tbl>
    <w:p>
      <w:pPr>
        <w:pStyle w:val="DOBody"/>
      </w:pPr>
      <w:r>
        <w:t>Class Period Potential: 77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84.2%</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183</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22</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2026-03-16</w:t>
            </w:r>
          </w:p>
        </w:tc>
        <w:tc>
          <w:tcPr>
            <w:tcW w:type="dxa" w:w="1440"/>
          </w:tcPr>
          <w:p>
            <w:r>
              <w:rPr>
                <w:rFonts w:ascii="Calibri" w:hAnsi="Calibri"/>
                <w:color w:val="333333"/>
                <w:sz w:val="18"/>
              </w:rPr>
              <w:t>HAAS ALESIA J</w:t>
            </w:r>
          </w:p>
        </w:tc>
        <w:tc>
          <w:tcPr>
            <w:tcW w:type="dxa" w:w="1440"/>
          </w:tcPr>
          <w:p>
            <w:r>
              <w:rPr>
                <w:rFonts w:ascii="Calibri" w:hAnsi="Calibri"/>
                <w:color w:val="333333"/>
                <w:sz w:val="18"/>
              </w:rPr>
              <w:t>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9,900</w:t>
            </w:r>
          </w:p>
        </w:tc>
        <w:tc>
          <w:tcPr>
            <w:tcW w:type="dxa" w:w="1440"/>
          </w:tcPr>
          <w:p>
            <w:r>
              <w:rPr>
                <w:rFonts w:ascii="Calibri" w:hAnsi="Calibri"/>
                <w:color w:val="333333"/>
                <w:sz w:val="18"/>
              </w:rPr>
              <w:t>$2.0M</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2026-03-16</w:t>
            </w:r>
          </w:p>
        </w:tc>
        <w:tc>
          <w:tcPr>
            <w:tcW w:type="dxa" w:w="1440"/>
            <w:shd w:fill="F2F4F8" w:val="clear"/>
          </w:tcPr>
          <w:p>
            <w:r>
              <w:rPr>
                <w:rFonts w:ascii="Calibri" w:hAnsi="Calibri"/>
                <w:color w:val="333333"/>
                <w:sz w:val="18"/>
              </w:rPr>
              <w:t>HAAS ALESIA J</w:t>
            </w:r>
          </w:p>
        </w:tc>
        <w:tc>
          <w:tcPr>
            <w:tcW w:type="dxa" w:w="1440"/>
            <w:shd w:fill="F2F4F8" w:val="clear"/>
          </w:tcPr>
          <w:p>
            <w:r>
              <w:rPr>
                <w:rFonts w:ascii="Calibri" w:hAnsi="Calibri"/>
                <w:color w:val="333333"/>
                <w:sz w:val="18"/>
              </w:rPr>
              <w:t>Chief Financial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50</w:t>
            </w:r>
          </w:p>
        </w:tc>
        <w:tc>
          <w:tcPr>
            <w:tcW w:type="dxa" w:w="1440"/>
            <w:shd w:fill="F2F4F8" w:val="clear"/>
          </w:tcPr>
          <w:p>
            <w:r>
              <w:rPr>
                <w:rFonts w:ascii="Calibri" w:hAnsi="Calibri"/>
                <w:color w:val="333333"/>
                <w:sz w:val="18"/>
              </w:rPr>
              <w:t>$10.2K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2026-03-04</w:t>
            </w:r>
          </w:p>
        </w:tc>
        <w:tc>
          <w:tcPr>
            <w:tcW w:type="dxa" w:w="1440"/>
          </w:tcPr>
          <w:p>
            <w:r>
              <w:rPr>
                <w:rFonts w:ascii="Calibri" w:hAnsi="Calibri"/>
                <w:color w:val="333333"/>
                <w:sz w:val="18"/>
              </w:rPr>
              <w:t>HAAS ALESIA J</w:t>
            </w:r>
          </w:p>
        </w:tc>
        <w:tc>
          <w:tcPr>
            <w:tcW w:type="dxa" w:w="1440"/>
          </w:tcPr>
          <w:p>
            <w:r>
              <w:rPr>
                <w:rFonts w:ascii="Calibri" w:hAnsi="Calibri"/>
                <w:color w:val="333333"/>
                <w:sz w:val="18"/>
              </w:rPr>
              <w:t>CHIEF FINANCIAL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10,020</w:t>
            </w:r>
          </w:p>
        </w:tc>
        <w:tc>
          <w:tcPr>
            <w:tcW w:type="dxa" w:w="1440"/>
          </w:tcPr>
          <w:p>
            <w:r>
              <w:rPr>
                <w:rFonts w:ascii="Calibri" w:hAnsi="Calibri"/>
                <w:color w:val="333333"/>
                <w:sz w:val="18"/>
              </w:rPr>
              <w:t>$2.0M</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Grewal Paul</w:t>
            </w:r>
          </w:p>
        </w:tc>
        <w:tc>
          <w:tcPr>
            <w:tcW w:type="dxa" w:w="1440"/>
            <w:shd w:fill="F2F4F8" w:val="clear"/>
          </w:tcPr>
          <w:p>
            <w:r>
              <w:rPr>
                <w:rFonts w:ascii="Calibri" w:hAnsi="Calibri"/>
                <w:color w:val="333333"/>
                <w:sz w:val="18"/>
              </w:rPr>
              <w:t>Chief Legal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80</w:t>
            </w:r>
          </w:p>
        </w:tc>
        <w:tc>
          <w:tcPr>
            <w:tcW w:type="dxa" w:w="1440"/>
            <w:shd w:fill="F2F4F8" w:val="clear"/>
          </w:tcPr>
          <w:p>
            <w:r>
              <w:rPr>
                <w:rFonts w:ascii="Calibri" w:hAnsi="Calibri"/>
                <w:color w:val="333333"/>
                <w:sz w:val="18"/>
              </w:rPr>
              <w:t>$13.8K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Grewal Paul</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300</w:t>
            </w:r>
          </w:p>
        </w:tc>
        <w:tc>
          <w:tcPr>
            <w:tcW w:type="dxa" w:w="1440"/>
          </w:tcPr>
          <w:p>
            <w:r>
              <w:rPr>
                <w:rFonts w:ascii="Calibri" w:hAnsi="Calibri"/>
                <w:color w:val="333333"/>
                <w:sz w:val="18"/>
              </w:rPr>
              <w:t>$52.1K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Grewal Paul</w:t>
            </w:r>
          </w:p>
        </w:tc>
        <w:tc>
          <w:tcPr>
            <w:tcW w:type="dxa" w:w="1440"/>
            <w:shd w:fill="F2F4F8" w:val="clear"/>
          </w:tcPr>
          <w:p>
            <w:r>
              <w:rPr>
                <w:rFonts w:ascii="Calibri" w:hAnsi="Calibri"/>
                <w:color w:val="333333"/>
                <w:sz w:val="18"/>
              </w:rPr>
              <w:t>Chief Legal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274</w:t>
            </w:r>
          </w:p>
        </w:tc>
        <w:tc>
          <w:tcPr>
            <w:tcW w:type="dxa" w:w="1440"/>
            <w:shd w:fill="F2F4F8" w:val="clear"/>
          </w:tcPr>
          <w:p>
            <w:r>
              <w:rPr>
                <w:rFonts w:ascii="Calibri" w:hAnsi="Calibri"/>
                <w:color w:val="333333"/>
                <w:sz w:val="18"/>
              </w:rPr>
              <w:t>$47.8K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Grewal Paul</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380</w:t>
            </w:r>
          </w:p>
        </w:tc>
        <w:tc>
          <w:tcPr>
            <w:tcW w:type="dxa" w:w="1440"/>
          </w:tcPr>
          <w:p>
            <w:r>
              <w:rPr>
                <w:rFonts w:ascii="Calibri" w:hAnsi="Calibri"/>
                <w:color w:val="333333"/>
                <w:sz w:val="18"/>
              </w:rPr>
              <w:t>$66.7K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Grewal Paul</w:t>
            </w:r>
          </w:p>
        </w:tc>
        <w:tc>
          <w:tcPr>
            <w:tcW w:type="dxa" w:w="1440"/>
            <w:shd w:fill="F2F4F8" w:val="clear"/>
          </w:tcPr>
          <w:p>
            <w:r>
              <w:rPr>
                <w:rFonts w:ascii="Calibri" w:hAnsi="Calibri"/>
                <w:color w:val="333333"/>
                <w:sz w:val="18"/>
              </w:rPr>
              <w:t>Chief Legal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125</w:t>
            </w:r>
          </w:p>
        </w:tc>
        <w:tc>
          <w:tcPr>
            <w:tcW w:type="dxa" w:w="1440"/>
            <w:shd w:fill="F2F4F8" w:val="clear"/>
          </w:tcPr>
          <w:p>
            <w:r>
              <w:rPr>
                <w:rFonts w:ascii="Calibri" w:hAnsi="Calibri"/>
                <w:color w:val="333333"/>
                <w:sz w:val="18"/>
              </w:rPr>
              <w:t>$22.1K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2026-02-27</w:t>
            </w:r>
          </w:p>
        </w:tc>
        <w:tc>
          <w:tcPr>
            <w:tcW w:type="dxa" w:w="1440"/>
          </w:tcPr>
          <w:p>
            <w:r>
              <w:rPr>
                <w:rFonts w:ascii="Calibri" w:hAnsi="Calibri"/>
                <w:color w:val="333333"/>
                <w:sz w:val="18"/>
              </w:rPr>
              <w:t>Grewal Paul</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SELL</w:t>
            </w:r>
          </w:p>
        </w:tc>
        <w:tc>
          <w:tcPr>
            <w:tcW w:type="dxa" w:w="1440"/>
          </w:tcPr>
          <w:p>
            <w:r>
              <w:rPr>
                <w:rFonts w:ascii="Calibri" w:hAnsi="Calibri"/>
                <w:color w:val="333333"/>
                <w:sz w:val="18"/>
              </w:rPr>
              <w:t>105</w:t>
            </w:r>
          </w:p>
        </w:tc>
        <w:tc>
          <w:tcPr>
            <w:tcW w:type="dxa" w:w="1440"/>
          </w:tcPr>
          <w:p>
            <w:r>
              <w:rPr>
                <w:rFonts w:ascii="Calibri" w:hAnsi="Calibri"/>
                <w:color w:val="333333"/>
                <w:sz w:val="18"/>
              </w:rPr>
              <w:t>$18.6K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2026-02-27</w:t>
            </w:r>
          </w:p>
        </w:tc>
        <w:tc>
          <w:tcPr>
            <w:tcW w:type="dxa" w:w="1440"/>
            <w:shd w:fill="F2F4F8" w:val="clear"/>
          </w:tcPr>
          <w:p>
            <w:r>
              <w:rPr>
                <w:rFonts w:ascii="Calibri" w:hAnsi="Calibri"/>
                <w:color w:val="333333"/>
                <w:sz w:val="18"/>
              </w:rPr>
              <w:t>Grewal Paul</w:t>
            </w:r>
          </w:p>
        </w:tc>
        <w:tc>
          <w:tcPr>
            <w:tcW w:type="dxa" w:w="1440"/>
            <w:shd w:fill="F2F4F8" w:val="clear"/>
          </w:tcPr>
          <w:p>
            <w:r>
              <w:rPr>
                <w:rFonts w:ascii="Calibri" w:hAnsi="Calibri"/>
                <w:color w:val="333333"/>
                <w:sz w:val="18"/>
              </w:rPr>
              <w:t>Chief Legal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50</w:t>
            </w:r>
          </w:p>
        </w:tc>
        <w:tc>
          <w:tcPr>
            <w:tcW w:type="dxa" w:w="1440"/>
            <w:shd w:fill="F2F4F8" w:val="clear"/>
          </w:tcPr>
          <w:p>
            <w:r>
              <w:rPr>
                <w:rFonts w:ascii="Calibri" w:hAnsi="Calibri"/>
                <w:color w:val="333333"/>
                <w:sz w:val="18"/>
              </w:rPr>
              <w:t>$8.9K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Jones Jennifer N.</w:t>
            </w:r>
          </w:p>
        </w:tc>
        <w:tc>
          <w:tcPr>
            <w:tcW w:type="dxa" w:w="1440"/>
          </w:tcPr>
          <w:p>
            <w:r>
              <w:rPr>
                <w:rFonts w:ascii="Calibri" w:hAnsi="Calibri"/>
                <w:color w:val="333333"/>
                <w:sz w:val="18"/>
              </w:rPr>
              <w:t>Chief Accounting Officer</w:t>
            </w:r>
          </w:p>
        </w:tc>
        <w:tc>
          <w:tcPr>
            <w:tcW w:type="dxa" w:w="1440"/>
          </w:tcPr>
          <w:p>
            <w:r>
              <w:rPr>
                <w:rFonts w:ascii="Calibri" w:hAnsi="Calibri"/>
                <w:color w:val="333333"/>
                <w:sz w:val="18"/>
              </w:rPr>
              <w:t>SELL</w:t>
            </w:r>
          </w:p>
        </w:tc>
        <w:tc>
          <w:tcPr>
            <w:tcW w:type="dxa" w:w="1440"/>
          </w:tcPr>
          <w:p>
            <w:r>
              <w:rPr>
                <w:rFonts w:ascii="Calibri" w:hAnsi="Calibri"/>
                <w:color w:val="333333"/>
                <w:sz w:val="18"/>
              </w:rPr>
              <w:t>440</w:t>
            </w:r>
          </w:p>
        </w:tc>
        <w:tc>
          <w:tcPr>
            <w:tcW w:type="dxa" w:w="1440"/>
          </w:tcPr>
          <w:p>
            <w:r>
              <w:rPr>
                <w:rFonts w:ascii="Calibri" w:hAnsi="Calibri"/>
                <w:color w:val="333333"/>
                <w:sz w:val="18"/>
              </w:rPr>
              <w:t>$67.5K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2026-02-24</w:t>
            </w:r>
          </w:p>
        </w:tc>
        <w:tc>
          <w:tcPr>
            <w:tcW w:type="dxa" w:w="1440"/>
            <w:shd w:fill="F2F4F8" w:val="clear"/>
          </w:tcPr>
          <w:p>
            <w:r>
              <w:rPr>
                <w:rFonts w:ascii="Calibri" w:hAnsi="Calibri"/>
                <w:color w:val="333333"/>
                <w:sz w:val="18"/>
              </w:rPr>
              <w:t>Jones Jennifer N.</w:t>
            </w:r>
          </w:p>
        </w:tc>
        <w:tc>
          <w:tcPr>
            <w:tcW w:type="dxa" w:w="1440"/>
            <w:shd w:fill="F2F4F8" w:val="clear"/>
          </w:tcPr>
          <w:p>
            <w:r>
              <w:rPr>
                <w:rFonts w:ascii="Calibri" w:hAnsi="Calibri"/>
                <w:color w:val="333333"/>
                <w:sz w:val="18"/>
              </w:rPr>
              <w:t>Chief Accounting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320</w:t>
            </w:r>
          </w:p>
        </w:tc>
        <w:tc>
          <w:tcPr>
            <w:tcW w:type="dxa" w:w="1440"/>
            <w:shd w:fill="F2F4F8" w:val="clear"/>
          </w:tcPr>
          <w:p>
            <w:r>
              <w:rPr>
                <w:rFonts w:ascii="Calibri" w:hAnsi="Calibri"/>
                <w:color w:val="333333"/>
                <w:sz w:val="18"/>
              </w:rPr>
              <w:t>$49.4K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Jones Jennifer N.</w:t>
            </w:r>
          </w:p>
        </w:tc>
        <w:tc>
          <w:tcPr>
            <w:tcW w:type="dxa" w:w="1440"/>
          </w:tcPr>
          <w:p>
            <w:r>
              <w:rPr>
                <w:rFonts w:ascii="Calibri" w:hAnsi="Calibri"/>
                <w:color w:val="333333"/>
                <w:sz w:val="18"/>
              </w:rPr>
              <w:t>Chief Accounting Officer</w:t>
            </w:r>
          </w:p>
        </w:tc>
        <w:tc>
          <w:tcPr>
            <w:tcW w:type="dxa" w:w="1440"/>
          </w:tcPr>
          <w:p>
            <w:r>
              <w:rPr>
                <w:rFonts w:ascii="Calibri" w:hAnsi="Calibri"/>
                <w:color w:val="333333"/>
                <w:sz w:val="18"/>
              </w:rPr>
              <w:t>SELL</w:t>
            </w:r>
          </w:p>
        </w:tc>
        <w:tc>
          <w:tcPr>
            <w:tcW w:type="dxa" w:w="1440"/>
          </w:tcPr>
          <w:p>
            <w:r>
              <w:rPr>
                <w:rFonts w:ascii="Calibri" w:hAnsi="Calibri"/>
                <w:color w:val="333333"/>
                <w:sz w:val="18"/>
              </w:rPr>
              <w:t>302</w:t>
            </w:r>
          </w:p>
        </w:tc>
        <w:tc>
          <w:tcPr>
            <w:tcW w:type="dxa" w:w="1440"/>
          </w:tcPr>
          <w:p>
            <w:r>
              <w:rPr>
                <w:rFonts w:ascii="Calibri" w:hAnsi="Calibri"/>
                <w:color w:val="333333"/>
                <w:sz w:val="18"/>
              </w:rPr>
              <w:t>$47.0K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2026-02-24</w:t>
            </w:r>
          </w:p>
        </w:tc>
        <w:tc>
          <w:tcPr>
            <w:tcW w:type="dxa" w:w="1440"/>
            <w:shd w:fill="F2F4F8" w:val="clear"/>
          </w:tcPr>
          <w:p>
            <w:r>
              <w:rPr>
                <w:rFonts w:ascii="Calibri" w:hAnsi="Calibri"/>
                <w:color w:val="333333"/>
                <w:sz w:val="18"/>
              </w:rPr>
              <w:t>Jones Jennifer N.</w:t>
            </w:r>
          </w:p>
        </w:tc>
        <w:tc>
          <w:tcPr>
            <w:tcW w:type="dxa" w:w="1440"/>
            <w:shd w:fill="F2F4F8" w:val="clear"/>
          </w:tcPr>
          <w:p>
            <w:r>
              <w:rPr>
                <w:rFonts w:ascii="Calibri" w:hAnsi="Calibri"/>
                <w:color w:val="333333"/>
                <w:sz w:val="18"/>
              </w:rPr>
              <w:t>Chief Accounting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40</w:t>
            </w:r>
          </w:p>
        </w:tc>
        <w:tc>
          <w:tcPr>
            <w:tcW w:type="dxa" w:w="1440"/>
            <w:shd w:fill="F2F4F8" w:val="clear"/>
          </w:tcPr>
          <w:p>
            <w:r>
              <w:rPr>
                <w:rFonts w:ascii="Calibri" w:hAnsi="Calibri"/>
                <w:color w:val="333333"/>
                <w:sz w:val="18"/>
              </w:rPr>
              <w:t>$6.2K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Brock Lawrence J</w:t>
            </w:r>
          </w:p>
        </w:tc>
        <w:tc>
          <w:tcPr>
            <w:tcW w:type="dxa" w:w="1440"/>
          </w:tcPr>
          <w:p>
            <w:r>
              <w:rPr>
                <w:rFonts w:ascii="Calibri" w:hAnsi="Calibri"/>
                <w:color w:val="333333"/>
                <w:sz w:val="18"/>
              </w:rPr>
              <w:t>Chief People Officer</w:t>
            </w:r>
          </w:p>
        </w:tc>
        <w:tc>
          <w:tcPr>
            <w:tcW w:type="dxa" w:w="1440"/>
          </w:tcPr>
          <w:p>
            <w:r>
              <w:rPr>
                <w:rFonts w:ascii="Calibri" w:hAnsi="Calibri"/>
                <w:color w:val="333333"/>
                <w:sz w:val="18"/>
              </w:rPr>
              <w:t>SELL</w:t>
            </w:r>
          </w:p>
        </w:tc>
        <w:tc>
          <w:tcPr>
            <w:tcW w:type="dxa" w:w="1440"/>
          </w:tcPr>
          <w:p>
            <w:r>
              <w:rPr>
                <w:rFonts w:ascii="Calibri" w:hAnsi="Calibri"/>
                <w:color w:val="333333"/>
                <w:sz w:val="18"/>
              </w:rPr>
              <w:t>1,680</w:t>
            </w:r>
          </w:p>
        </w:tc>
        <w:tc>
          <w:tcPr>
            <w:tcW w:type="dxa" w:w="1440"/>
          </w:tcPr>
          <w:p>
            <w:r>
              <w:rPr>
                <w:rFonts w:ascii="Calibri" w:hAnsi="Calibri"/>
                <w:color w:val="333333"/>
                <w:sz w:val="18"/>
              </w:rPr>
              <w:t>$257.7K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2026-02-24</w:t>
            </w:r>
          </w:p>
        </w:tc>
        <w:tc>
          <w:tcPr>
            <w:tcW w:type="dxa" w:w="1440"/>
            <w:shd w:fill="F2F4F8" w:val="clear"/>
          </w:tcPr>
          <w:p>
            <w:r>
              <w:rPr>
                <w:rFonts w:ascii="Calibri" w:hAnsi="Calibri"/>
                <w:color w:val="333333"/>
                <w:sz w:val="18"/>
              </w:rPr>
              <w:t>Brock Lawrence J</w:t>
            </w:r>
          </w:p>
        </w:tc>
        <w:tc>
          <w:tcPr>
            <w:tcW w:type="dxa" w:w="1440"/>
            <w:shd w:fill="F2F4F8" w:val="clear"/>
          </w:tcPr>
          <w:p>
            <w:r>
              <w:rPr>
                <w:rFonts w:ascii="Calibri" w:hAnsi="Calibri"/>
                <w:color w:val="333333"/>
                <w:sz w:val="18"/>
              </w:rPr>
              <w:t>Chief People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1,840</w:t>
            </w:r>
          </w:p>
        </w:tc>
        <w:tc>
          <w:tcPr>
            <w:tcW w:type="dxa" w:w="1440"/>
            <w:shd w:fill="F2F4F8" w:val="clear"/>
          </w:tcPr>
          <w:p>
            <w:r>
              <w:rPr>
                <w:rFonts w:ascii="Calibri" w:hAnsi="Calibri"/>
                <w:color w:val="333333"/>
                <w:sz w:val="18"/>
              </w:rPr>
              <w:t>$284.1K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2026-02-24</w:t>
            </w:r>
          </w:p>
        </w:tc>
        <w:tc>
          <w:tcPr>
            <w:tcW w:type="dxa" w:w="1440"/>
          </w:tcPr>
          <w:p>
            <w:r>
              <w:rPr>
                <w:rFonts w:ascii="Calibri" w:hAnsi="Calibri"/>
                <w:color w:val="333333"/>
                <w:sz w:val="18"/>
              </w:rPr>
              <w:t>Brock Lawrence J</w:t>
            </w:r>
          </w:p>
        </w:tc>
        <w:tc>
          <w:tcPr>
            <w:tcW w:type="dxa" w:w="1440"/>
          </w:tcPr>
          <w:p>
            <w:r>
              <w:rPr>
                <w:rFonts w:ascii="Calibri" w:hAnsi="Calibri"/>
                <w:color w:val="333333"/>
                <w:sz w:val="18"/>
              </w:rPr>
              <w:t>Chief People Officer</w:t>
            </w:r>
          </w:p>
        </w:tc>
        <w:tc>
          <w:tcPr>
            <w:tcW w:type="dxa" w:w="1440"/>
          </w:tcPr>
          <w:p>
            <w:r>
              <w:rPr>
                <w:rFonts w:ascii="Calibri" w:hAnsi="Calibri"/>
                <w:color w:val="333333"/>
                <w:sz w:val="18"/>
              </w:rPr>
              <w:t>SELL</w:t>
            </w:r>
          </w:p>
        </w:tc>
        <w:tc>
          <w:tcPr>
            <w:tcW w:type="dxa" w:w="1440"/>
          </w:tcPr>
          <w:p>
            <w:r>
              <w:rPr>
                <w:rFonts w:ascii="Calibri" w:hAnsi="Calibri"/>
                <w:color w:val="333333"/>
                <w:sz w:val="18"/>
              </w:rPr>
              <w:t>621</w:t>
            </w:r>
          </w:p>
        </w:tc>
        <w:tc>
          <w:tcPr>
            <w:tcW w:type="dxa" w:w="1440"/>
          </w:tcPr>
          <w:p>
            <w:r>
              <w:rPr>
                <w:rFonts w:ascii="Calibri" w:hAnsi="Calibri"/>
                <w:color w:val="333333"/>
                <w:sz w:val="18"/>
              </w:rPr>
              <w:t>$96.4K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2026-02-24</w:t>
            </w:r>
          </w:p>
        </w:tc>
        <w:tc>
          <w:tcPr>
            <w:tcW w:type="dxa" w:w="1440"/>
            <w:shd w:fill="F2F4F8" w:val="clear"/>
          </w:tcPr>
          <w:p>
            <w:r>
              <w:rPr>
                <w:rFonts w:ascii="Calibri" w:hAnsi="Calibri"/>
                <w:color w:val="333333"/>
                <w:sz w:val="18"/>
              </w:rPr>
              <w:t>Brock Lawrence J</w:t>
            </w:r>
          </w:p>
        </w:tc>
        <w:tc>
          <w:tcPr>
            <w:tcW w:type="dxa" w:w="1440"/>
            <w:shd w:fill="F2F4F8" w:val="clear"/>
          </w:tcPr>
          <w:p>
            <w:r>
              <w:rPr>
                <w:rFonts w:ascii="Calibri" w:hAnsi="Calibri"/>
                <w:color w:val="333333"/>
                <w:sz w:val="18"/>
              </w:rPr>
              <w:t>Chief People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680</w:t>
            </w:r>
          </w:p>
        </w:tc>
        <w:tc>
          <w:tcPr>
            <w:tcW w:type="dxa" w:w="1440"/>
            <w:shd w:fill="F2F4F8" w:val="clear"/>
          </w:tcPr>
          <w:p>
            <w:r>
              <w:rPr>
                <w:rFonts w:ascii="Calibri" w:hAnsi="Calibri"/>
                <w:color w:val="333333"/>
                <w:sz w:val="18"/>
              </w:rPr>
              <w:t>$106.1K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2026-02-20</w:t>
            </w:r>
          </w:p>
        </w:tc>
        <w:tc>
          <w:tcPr>
            <w:tcW w:type="dxa" w:w="1440"/>
          </w:tcPr>
          <w:p>
            <w:r>
              <w:rPr>
                <w:rFonts w:ascii="Calibri" w:hAnsi="Calibri"/>
                <w:color w:val="333333"/>
                <w:sz w:val="18"/>
              </w:rPr>
              <w:t>HAAS ALESIA J</w:t>
            </w:r>
          </w:p>
        </w:tc>
        <w:tc>
          <w:tcPr>
            <w:tcW w:type="dxa" w:w="1440"/>
          </w:tcPr>
          <w:p>
            <w:r>
              <w:rPr>
                <w:rFonts w:ascii="Calibri" w:hAnsi="Calibri"/>
                <w:color w:val="333333"/>
                <w:sz w:val="18"/>
              </w:rPr>
              <w:t>Chief Financial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5,869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2026-02-20</w:t>
            </w:r>
          </w:p>
        </w:tc>
        <w:tc>
          <w:tcPr>
            <w:tcW w:type="dxa" w:w="1440"/>
            <w:shd w:fill="F2F4F8" w:val="clear"/>
          </w:tcPr>
          <w:p>
            <w:r>
              <w:rPr>
                <w:rFonts w:ascii="Calibri" w:hAnsi="Calibri"/>
                <w:color w:val="333333"/>
                <w:sz w:val="18"/>
              </w:rPr>
              <w:t>HAAS ALESIA J</w:t>
            </w:r>
          </w:p>
        </w:tc>
        <w:tc>
          <w:tcPr>
            <w:tcW w:type="dxa" w:w="1440"/>
            <w:shd w:fill="F2F4F8" w:val="clear"/>
          </w:tcPr>
          <w:p>
            <w:r>
              <w:rPr>
                <w:rFonts w:ascii="Calibri" w:hAnsi="Calibri"/>
                <w:color w:val="333333"/>
                <w:sz w:val="18"/>
              </w:rPr>
              <w:t>Chief Financial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4,101</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bl>
    <w:p>
      <w:pPr>
        <w:pStyle w:val="DOHeading3"/>
      </w:pPr>
      <w:r>
        <w:t>Cluster Selling Events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Window</w:t>
            </w:r>
          </w:p>
        </w:tc>
        <w:tc>
          <w:tcPr>
            <w:tcW w:type="dxa" w:w="2520"/>
            <w:shd w:fill="1A1446" w:val="clear"/>
          </w:tcPr>
          <w:p>
            <w:r>
              <w:rPr>
                <w:rFonts w:ascii="Calibri" w:hAnsi="Calibri"/>
                <w:b/>
                <w:color w:val="FFFFFF"/>
                <w:sz w:val="18"/>
              </w:rPr>
              <w:t>Insiders</w:t>
            </w:r>
          </w:p>
        </w:tc>
        <w:tc>
          <w:tcPr>
            <w:tcW w:type="dxa" w:w="2520"/>
            <w:shd w:fill="1A1446" w:val="clear"/>
          </w:tcPr>
          <w:p>
            <w:r>
              <w:rPr>
                <w:rFonts w:ascii="Calibri" w:hAnsi="Calibri"/>
                <w:b/>
                <w:color w:val="FFFFFF"/>
                <w:sz w:val="18"/>
              </w:rPr>
              <w:t>Names</w:t>
            </w:r>
          </w:p>
        </w:tc>
        <w:tc>
          <w:tcPr>
            <w:tcW w:type="dxa" w:w="2520"/>
            <w:shd w:fill="1A1446" w:val="clear"/>
          </w:tcPr>
          <w:p>
            <w:r>
              <w:rPr>
                <w:rFonts w:ascii="Calibri" w:hAnsi="Calibri"/>
                <w:b/>
                <w:color w:val="FFFFFF"/>
                <w:sz w:val="18"/>
              </w:rPr>
              <w:t>Total Value</w:t>
            </w:r>
          </w:p>
        </w:tc>
      </w:tr>
      <w:tr>
        <w:tc>
          <w:tcPr>
            <w:tcW w:type="dxa" w:w="2520"/>
          </w:tcPr>
          <w:p>
            <w:r>
              <w:rPr>
                <w:rFonts w:ascii="Calibri" w:hAnsi="Calibri"/>
                <w:color w:val="333333"/>
                <w:sz w:val="18"/>
              </w:rPr>
              <w:t>2025-11-03 to 2025-12-01</w:t>
            </w:r>
          </w:p>
        </w:tc>
        <w:tc>
          <w:tcPr>
            <w:tcW w:type="dxa" w:w="2520"/>
          </w:tcPr>
          <w:p>
            <w:r>
              <w:rPr>
                <w:rFonts w:ascii="Calibri" w:hAnsi="Calibri"/>
                <w:color w:val="333333"/>
                <w:sz w:val="18"/>
              </w:rPr>
              <w:t>8</w:t>
            </w:r>
          </w:p>
        </w:tc>
        <w:tc>
          <w:tcPr>
            <w:tcW w:type="dxa" w:w="2520"/>
          </w:tcPr>
          <w:p>
            <w:r>
              <w:rPr>
                <w:rFonts w:ascii="Calibri" w:hAnsi="Calibri"/>
                <w:color w:val="333333"/>
                <w:sz w:val="18"/>
              </w:rPr>
              <w:t>Armstrong Brian, Brock Lawrence J, Choi Emilie, Ehrsam Frederick Ernest III, Grewal Paul, HAAS ALESIA J, Jones Jennifer N., WILSON FREDERICK R</w:t>
            </w:r>
          </w:p>
        </w:tc>
        <w:tc>
          <w:tcPr>
            <w:tcW w:type="dxa" w:w="2520"/>
          </w:tcPr>
          <w:p>
            <w:r>
              <w:rPr>
                <w:rFonts w:ascii="Calibri" w:hAnsi="Calibri"/>
                <w:color w:val="333333"/>
                <w:sz w:val="18"/>
              </w:rPr>
              <w:t>$192.3M</w:t>
            </w:r>
          </w:p>
        </w:tc>
      </w:tr>
      <w:tr>
        <w:tc>
          <w:tcPr>
            <w:tcW w:type="dxa" w:w="2520"/>
            <w:shd w:fill="F2F4F8" w:val="clear"/>
          </w:tcPr>
          <w:p>
            <w:r>
              <w:rPr>
                <w:rFonts w:ascii="Calibri" w:hAnsi="Calibri"/>
                <w:color w:val="333333"/>
                <w:sz w:val="18"/>
              </w:rPr>
              <w:t>2025-11-06 to 2025-12-04</w:t>
            </w:r>
          </w:p>
        </w:tc>
        <w:tc>
          <w:tcPr>
            <w:tcW w:type="dxa" w:w="2520"/>
            <w:shd w:fill="F2F4F8" w:val="clear"/>
          </w:tcPr>
          <w:p>
            <w:r>
              <w:rPr>
                <w:rFonts w:ascii="Calibri" w:hAnsi="Calibri"/>
                <w:color w:val="333333"/>
                <w:sz w:val="18"/>
              </w:rPr>
              <w:t>8</w:t>
            </w:r>
          </w:p>
        </w:tc>
        <w:tc>
          <w:tcPr>
            <w:tcW w:type="dxa" w:w="2520"/>
            <w:shd w:fill="F2F4F8" w:val="clear"/>
          </w:tcPr>
          <w:p>
            <w:r>
              <w:rPr>
                <w:rFonts w:ascii="Calibri" w:hAnsi="Calibri"/>
                <w:color w:val="333333"/>
                <w:sz w:val="18"/>
              </w:rPr>
              <w:t>Armstrong Brian, Brock Lawrence J, Choi Emilie, Ehrsam Frederick Ernest III, Grewal Paul, HAAS ALESIA J, Jones Jennifer N., WILSON FREDERICK R</w:t>
            </w:r>
          </w:p>
        </w:tc>
        <w:tc>
          <w:tcPr>
            <w:tcW w:type="dxa" w:w="2520"/>
            <w:shd w:fill="F2F4F8" w:val="clear"/>
          </w:tcPr>
          <w:p>
            <w:r>
              <w:rPr>
                <w:rFonts w:ascii="Calibri" w:hAnsi="Calibri"/>
                <w:color w:val="333333"/>
                <w:sz w:val="18"/>
              </w:rPr>
              <w:t>$185.0M</w:t>
            </w:r>
          </w:p>
        </w:tc>
      </w:tr>
      <w:tr>
        <w:tc>
          <w:tcPr>
            <w:tcW w:type="dxa" w:w="2520"/>
          </w:tcPr>
          <w:p>
            <w:r>
              <w:rPr>
                <w:rFonts w:ascii="Calibri" w:hAnsi="Calibri"/>
                <w:color w:val="333333"/>
                <w:sz w:val="18"/>
              </w:rPr>
              <w:t>2025-11-07 to 2025-12-04</w:t>
            </w:r>
          </w:p>
        </w:tc>
        <w:tc>
          <w:tcPr>
            <w:tcW w:type="dxa" w:w="2520"/>
          </w:tcPr>
          <w:p>
            <w:r>
              <w:rPr>
                <w:rFonts w:ascii="Calibri" w:hAnsi="Calibri"/>
                <w:color w:val="333333"/>
                <w:sz w:val="18"/>
              </w:rPr>
              <w:t>8</w:t>
            </w:r>
          </w:p>
        </w:tc>
        <w:tc>
          <w:tcPr>
            <w:tcW w:type="dxa" w:w="2520"/>
          </w:tcPr>
          <w:p>
            <w:r>
              <w:rPr>
                <w:rFonts w:ascii="Calibri" w:hAnsi="Calibri"/>
                <w:color w:val="333333"/>
                <w:sz w:val="18"/>
              </w:rPr>
              <w:t>Armstrong Brian, Brock Lawrence J, Choi Emilie, Ehrsam Frederick Ernest III, Grewal Paul, HAAS ALESIA J, Jones Jennifer N., WILSON FREDERICK R</w:t>
            </w:r>
          </w:p>
        </w:tc>
        <w:tc>
          <w:tcPr>
            <w:tcW w:type="dxa" w:w="2520"/>
          </w:tcPr>
          <w:p>
            <w:r>
              <w:rPr>
                <w:rFonts w:ascii="Calibri" w:hAnsi="Calibri"/>
                <w:color w:val="333333"/>
                <w:sz w:val="18"/>
              </w:rPr>
              <w:t>$96.1M</w:t>
            </w:r>
          </w:p>
        </w:tc>
      </w:tr>
      <w:tr>
        <w:tc>
          <w:tcPr>
            <w:tcW w:type="dxa" w:w="2520"/>
            <w:shd w:fill="F2F4F8" w:val="clear"/>
          </w:tcPr>
          <w:p>
            <w:r>
              <w:rPr>
                <w:rFonts w:ascii="Calibri" w:hAnsi="Calibri"/>
                <w:color w:val="333333"/>
                <w:sz w:val="18"/>
              </w:rPr>
              <w:t>2025-11-10 to 2025-12-09</w:t>
            </w:r>
          </w:p>
        </w:tc>
        <w:tc>
          <w:tcPr>
            <w:tcW w:type="dxa" w:w="2520"/>
            <w:shd w:fill="F2F4F8" w:val="clear"/>
          </w:tcPr>
          <w:p>
            <w:r>
              <w:rPr>
                <w:rFonts w:ascii="Calibri" w:hAnsi="Calibri"/>
                <w:color w:val="333333"/>
                <w:sz w:val="18"/>
              </w:rPr>
              <w:t>8</w:t>
            </w:r>
          </w:p>
        </w:tc>
        <w:tc>
          <w:tcPr>
            <w:tcW w:type="dxa" w:w="2520"/>
            <w:shd w:fill="F2F4F8" w:val="clear"/>
          </w:tcPr>
          <w:p>
            <w:r>
              <w:rPr>
                <w:rFonts w:ascii="Calibri" w:hAnsi="Calibri"/>
                <w:color w:val="333333"/>
                <w:sz w:val="18"/>
              </w:rPr>
              <w:t>Armstrong Brian, Brock Lawrence J, Choi Emilie, Ehrsam Frederick Ernest III, Grewal Paul, HAAS ALESIA J, Jones Jennifer N., WILSON FREDERICK R</w:t>
            </w:r>
          </w:p>
        </w:tc>
        <w:tc>
          <w:tcPr>
            <w:tcW w:type="dxa" w:w="2520"/>
            <w:shd w:fill="F2F4F8" w:val="clear"/>
          </w:tcPr>
          <w:p>
            <w:r>
              <w:rPr>
                <w:rFonts w:ascii="Calibri" w:hAnsi="Calibri"/>
                <w:color w:val="333333"/>
                <w:sz w:val="18"/>
              </w:rPr>
              <w:t>$102.1M</w:t>
            </w:r>
          </w:p>
        </w:tc>
      </w:tr>
      <w:tr>
        <w:tc>
          <w:tcPr>
            <w:tcW w:type="dxa" w:w="2520"/>
          </w:tcPr>
          <w:p>
            <w:r>
              <w:rPr>
                <w:rFonts w:ascii="Calibri" w:hAnsi="Calibri"/>
                <w:color w:val="333333"/>
                <w:sz w:val="18"/>
              </w:rPr>
              <w:t>2025-11-11 to 2025-12-09</w:t>
            </w:r>
          </w:p>
        </w:tc>
        <w:tc>
          <w:tcPr>
            <w:tcW w:type="dxa" w:w="2520"/>
          </w:tcPr>
          <w:p>
            <w:r>
              <w:rPr>
                <w:rFonts w:ascii="Calibri" w:hAnsi="Calibri"/>
                <w:color w:val="333333"/>
                <w:sz w:val="18"/>
              </w:rPr>
              <w:t>8</w:t>
            </w:r>
          </w:p>
        </w:tc>
        <w:tc>
          <w:tcPr>
            <w:tcW w:type="dxa" w:w="2520"/>
          </w:tcPr>
          <w:p>
            <w:r>
              <w:rPr>
                <w:rFonts w:ascii="Calibri" w:hAnsi="Calibri"/>
                <w:color w:val="333333"/>
                <w:sz w:val="18"/>
              </w:rPr>
              <w:t>Armstrong Brian, Brock Lawrence J, Choi Emilie, Ehrsam Frederick Ernest III, Grewal Paul, HAAS ALESIA J, Jones Jennifer N., WILSON FREDERICK R</w:t>
            </w:r>
          </w:p>
        </w:tc>
        <w:tc>
          <w:tcPr>
            <w:tcW w:type="dxa" w:w="2520"/>
          </w:tcPr>
          <w:p>
            <w:r>
              <w:rPr>
                <w:rFonts w:ascii="Calibri" w:hAnsi="Calibri"/>
                <w:color w:val="333333"/>
                <w:sz w:val="18"/>
              </w:rPr>
              <w:t>$76.1M</w:t>
            </w:r>
          </w:p>
        </w:tc>
      </w:tr>
      <w:tr>
        <w:tc>
          <w:tcPr>
            <w:tcW w:type="dxa" w:w="2520"/>
            <w:shd w:fill="F2F4F8" w:val="clear"/>
          </w:tcPr>
          <w:p>
            <w:r>
              <w:rPr>
                <w:rFonts w:ascii="Calibri" w:hAnsi="Calibri"/>
                <w:color w:val="333333"/>
                <w:sz w:val="18"/>
              </w:rPr>
              <w:t>2025-11-17 to 2025-12-15</w:t>
            </w:r>
          </w:p>
        </w:tc>
        <w:tc>
          <w:tcPr>
            <w:tcW w:type="dxa" w:w="2520"/>
            <w:shd w:fill="F2F4F8" w:val="clear"/>
          </w:tcPr>
          <w:p>
            <w:r>
              <w:rPr>
                <w:rFonts w:ascii="Calibri" w:hAnsi="Calibri"/>
                <w:color w:val="333333"/>
                <w:sz w:val="18"/>
              </w:rPr>
              <w:t>7</w:t>
            </w:r>
          </w:p>
        </w:tc>
        <w:tc>
          <w:tcPr>
            <w:tcW w:type="dxa" w:w="2520"/>
            <w:shd w:fill="F2F4F8" w:val="clear"/>
          </w:tcPr>
          <w:p>
            <w:r>
              <w:rPr>
                <w:rFonts w:ascii="Calibri" w:hAnsi="Calibri"/>
                <w:color w:val="333333"/>
                <w:sz w:val="18"/>
              </w:rPr>
              <w:t>Armstrong Brian, Brock Lawrence J, Ehrsam Frederick Ernest III, Grewal Paul, HAAS ALESIA J, Jones Jennifer N., WILSON FREDERICK R</w:t>
            </w:r>
          </w:p>
        </w:tc>
        <w:tc>
          <w:tcPr>
            <w:tcW w:type="dxa" w:w="2520"/>
            <w:shd w:fill="F2F4F8" w:val="clear"/>
          </w:tcPr>
          <w:p>
            <w:r>
              <w:rPr>
                <w:rFonts w:ascii="Calibri" w:hAnsi="Calibri"/>
                <w:color w:val="333333"/>
                <w:sz w:val="18"/>
              </w:rPr>
              <w:t>$47.0M</w:t>
            </w:r>
          </w:p>
        </w:tc>
      </w:tr>
      <w:tr>
        <w:tc>
          <w:tcPr>
            <w:tcW w:type="dxa" w:w="2520"/>
          </w:tcPr>
          <w:p>
            <w:r>
              <w:rPr>
                <w:rFonts w:ascii="Calibri" w:hAnsi="Calibri"/>
                <w:color w:val="333333"/>
                <w:sz w:val="18"/>
              </w:rPr>
              <w:t>2025-11-20 to 2025-12-18</w:t>
            </w:r>
          </w:p>
        </w:tc>
        <w:tc>
          <w:tcPr>
            <w:tcW w:type="dxa" w:w="2520"/>
          </w:tcPr>
          <w:p>
            <w:r>
              <w:rPr>
                <w:rFonts w:ascii="Calibri" w:hAnsi="Calibri"/>
                <w:color w:val="333333"/>
                <w:sz w:val="18"/>
              </w:rPr>
              <w:t>7</w:t>
            </w:r>
          </w:p>
        </w:tc>
        <w:tc>
          <w:tcPr>
            <w:tcW w:type="dxa" w:w="2520"/>
          </w:tcPr>
          <w:p>
            <w:r>
              <w:rPr>
                <w:rFonts w:ascii="Calibri" w:hAnsi="Calibri"/>
                <w:color w:val="333333"/>
                <w:sz w:val="18"/>
              </w:rPr>
              <w:t>Armstrong Brian, Brock Lawrence J, Ehrsam Frederick Ernest III, Grewal Paul, HAAS ALESIA J, Jones Jennifer N., WILSON FREDERICK R</w:t>
            </w:r>
          </w:p>
        </w:tc>
        <w:tc>
          <w:tcPr>
            <w:tcW w:type="dxa" w:w="2520"/>
          </w:tcPr>
          <w:p>
            <w:r>
              <w:rPr>
                <w:rFonts w:ascii="Calibri" w:hAnsi="Calibri"/>
                <w:color w:val="333333"/>
                <w:sz w:val="18"/>
              </w:rPr>
              <w:t>$34.5M</w:t>
            </w:r>
          </w:p>
        </w:tc>
      </w:tr>
      <w:tr>
        <w:tc>
          <w:tcPr>
            <w:tcW w:type="dxa" w:w="2520"/>
            <w:shd w:fill="F2F4F8" w:val="clear"/>
          </w:tcPr>
          <w:p>
            <w:r>
              <w:rPr>
                <w:rFonts w:ascii="Calibri" w:hAnsi="Calibri"/>
                <w:color w:val="333333"/>
                <w:sz w:val="18"/>
              </w:rPr>
              <w:t>2025-11-24 to 2025-12-22</w:t>
            </w:r>
          </w:p>
        </w:tc>
        <w:tc>
          <w:tcPr>
            <w:tcW w:type="dxa" w:w="2520"/>
            <w:shd w:fill="F2F4F8" w:val="clear"/>
          </w:tcPr>
          <w:p>
            <w:r>
              <w:rPr>
                <w:rFonts w:ascii="Calibri" w:hAnsi="Calibri"/>
                <w:color w:val="333333"/>
                <w:sz w:val="18"/>
              </w:rPr>
              <w:t>7</w:t>
            </w:r>
          </w:p>
        </w:tc>
        <w:tc>
          <w:tcPr>
            <w:tcW w:type="dxa" w:w="2520"/>
            <w:shd w:fill="F2F4F8" w:val="clear"/>
          </w:tcPr>
          <w:p>
            <w:r>
              <w:rPr>
                <w:rFonts w:ascii="Calibri" w:hAnsi="Calibri"/>
                <w:color w:val="333333"/>
                <w:sz w:val="18"/>
              </w:rPr>
              <w:t>Armstrong Brian, Brock Lawrence J, Ehrsam Frederick Ernest III, Grewal Paul, HAAS ALESIA J, Jones Jennifer N., WILSON FREDERICK R</w:t>
            </w:r>
          </w:p>
        </w:tc>
        <w:tc>
          <w:tcPr>
            <w:tcW w:type="dxa" w:w="2520"/>
            <w:shd w:fill="F2F4F8" w:val="clear"/>
          </w:tcPr>
          <w:p>
            <w:r>
              <w:rPr>
                <w:rFonts w:ascii="Calibri" w:hAnsi="Calibri"/>
                <w:color w:val="333333"/>
                <w:sz w:val="18"/>
              </w:rPr>
              <w:t>$43.5M</w:t>
            </w:r>
          </w:p>
        </w:tc>
      </w:tr>
      <w:tr>
        <w:tc>
          <w:tcPr>
            <w:tcW w:type="dxa" w:w="2520"/>
          </w:tcPr>
          <w:p>
            <w:r>
              <w:rPr>
                <w:rFonts w:ascii="Calibri" w:hAnsi="Calibri"/>
                <w:color w:val="333333"/>
                <w:sz w:val="18"/>
              </w:rPr>
              <w:t>2025-11-25 to 2025-12-22</w:t>
            </w:r>
          </w:p>
        </w:tc>
        <w:tc>
          <w:tcPr>
            <w:tcW w:type="dxa" w:w="2520"/>
          </w:tcPr>
          <w:p>
            <w:r>
              <w:rPr>
                <w:rFonts w:ascii="Calibri" w:hAnsi="Calibri"/>
                <w:color w:val="333333"/>
                <w:sz w:val="18"/>
              </w:rPr>
              <w:t>5</w:t>
            </w:r>
          </w:p>
        </w:tc>
        <w:tc>
          <w:tcPr>
            <w:tcW w:type="dxa" w:w="2520"/>
          </w:tcPr>
          <w:p>
            <w:r>
              <w:rPr>
                <w:rFonts w:ascii="Calibri" w:hAnsi="Calibri"/>
                <w:color w:val="333333"/>
                <w:sz w:val="18"/>
              </w:rPr>
              <w:t>Armstrong Brian, Ehrsam Frederick Ernest III, Grewal Paul, HAAS ALESIA J, WILSON FREDERICK R</w:t>
            </w:r>
          </w:p>
        </w:tc>
        <w:tc>
          <w:tcPr>
            <w:tcW w:type="dxa" w:w="2520"/>
          </w:tcPr>
          <w:p>
            <w:r>
              <w:rPr>
                <w:rFonts w:ascii="Calibri" w:hAnsi="Calibri"/>
                <w:color w:val="333333"/>
                <w:sz w:val="18"/>
              </w:rPr>
              <w:t>$41.6M</w:t>
            </w:r>
          </w:p>
        </w:tc>
      </w:tr>
      <w:tr>
        <w:tc>
          <w:tcPr>
            <w:tcW w:type="dxa" w:w="2520"/>
            <w:shd w:fill="F2F4F8" w:val="clear"/>
          </w:tcPr>
          <w:p>
            <w:r>
              <w:rPr>
                <w:rFonts w:ascii="Calibri" w:hAnsi="Calibri"/>
                <w:color w:val="333333"/>
                <w:sz w:val="18"/>
              </w:rPr>
              <w:t>2025-11-26 to 2025-12-22</w:t>
            </w:r>
          </w:p>
        </w:tc>
        <w:tc>
          <w:tcPr>
            <w:tcW w:type="dxa" w:w="2520"/>
            <w:shd w:fill="F2F4F8" w:val="clear"/>
          </w:tcPr>
          <w:p>
            <w:r>
              <w:rPr>
                <w:rFonts w:ascii="Calibri" w:hAnsi="Calibri"/>
                <w:color w:val="333333"/>
                <w:sz w:val="18"/>
              </w:rPr>
              <w:t>5</w:t>
            </w:r>
          </w:p>
        </w:tc>
        <w:tc>
          <w:tcPr>
            <w:tcW w:type="dxa" w:w="2520"/>
            <w:shd w:fill="F2F4F8" w:val="clear"/>
          </w:tcPr>
          <w:p>
            <w:r>
              <w:rPr>
                <w:rFonts w:ascii="Calibri" w:hAnsi="Calibri"/>
                <w:color w:val="333333"/>
                <w:sz w:val="18"/>
              </w:rPr>
              <w:t>Armstrong Brian, Ehrsam Frederick Ernest III, Grewal Paul, HAAS ALESIA J, WILSON FREDERICK R</w:t>
            </w:r>
          </w:p>
        </w:tc>
        <w:tc>
          <w:tcPr>
            <w:tcW w:type="dxa" w:w="2520"/>
            <w:shd w:fill="F2F4F8" w:val="clear"/>
          </w:tcPr>
          <w:p>
            <w:r>
              <w:rPr>
                <w:rFonts w:ascii="Calibri" w:hAnsi="Calibri"/>
                <w:color w:val="333333"/>
                <w:sz w:val="18"/>
              </w:rPr>
              <w:t>$38.7M</w:t>
            </w:r>
          </w:p>
        </w:tc>
      </w:tr>
      <w:tr>
        <w:tc>
          <w:tcPr>
            <w:tcW w:type="dxa" w:w="2520"/>
          </w:tcPr>
          <w:p>
            <w:r>
              <w:rPr>
                <w:rFonts w:ascii="Calibri" w:hAnsi="Calibri"/>
                <w:color w:val="333333"/>
                <w:sz w:val="18"/>
              </w:rPr>
              <w:t>2025-11-28 to 2025-12-22</w:t>
            </w:r>
          </w:p>
        </w:tc>
        <w:tc>
          <w:tcPr>
            <w:tcW w:type="dxa" w:w="2520"/>
          </w:tcPr>
          <w:p>
            <w:r>
              <w:rPr>
                <w:rFonts w:ascii="Calibri" w:hAnsi="Calibri"/>
                <w:color w:val="333333"/>
                <w:sz w:val="18"/>
              </w:rPr>
              <w:t>4</w:t>
            </w:r>
          </w:p>
        </w:tc>
        <w:tc>
          <w:tcPr>
            <w:tcW w:type="dxa" w:w="2520"/>
          </w:tcPr>
          <w:p>
            <w:r>
              <w:rPr>
                <w:rFonts w:ascii="Calibri" w:hAnsi="Calibri"/>
                <w:color w:val="333333"/>
                <w:sz w:val="18"/>
              </w:rPr>
              <w:t>Armstrong Brian, Ehrsam Frederick Ernest III, HAAS ALESIA J, WILSON FREDERICK R</w:t>
            </w:r>
          </w:p>
        </w:tc>
        <w:tc>
          <w:tcPr>
            <w:tcW w:type="dxa" w:w="2520"/>
          </w:tcPr>
          <w:p>
            <w:r>
              <w:rPr>
                <w:rFonts w:ascii="Calibri" w:hAnsi="Calibri"/>
                <w:color w:val="333333"/>
                <w:sz w:val="18"/>
              </w:rPr>
              <w:t>$28.1M</w:t>
            </w:r>
          </w:p>
        </w:tc>
      </w:tr>
      <w:tr>
        <w:tc>
          <w:tcPr>
            <w:tcW w:type="dxa" w:w="2520"/>
            <w:shd w:fill="F2F4F8" w:val="clear"/>
          </w:tcPr>
          <w:p>
            <w:r>
              <w:rPr>
                <w:rFonts w:ascii="Calibri" w:hAnsi="Calibri"/>
                <w:color w:val="333333"/>
                <w:sz w:val="18"/>
              </w:rPr>
              <w:t>2025-12-01 to 2025-12-22</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Armstrong Brian, Ehrsam Frederick Ernest III, HAAS ALESIA J, WILSON FREDERICK R</w:t>
            </w:r>
          </w:p>
        </w:tc>
        <w:tc>
          <w:tcPr>
            <w:tcW w:type="dxa" w:w="2520"/>
            <w:shd w:fill="F2F4F8" w:val="clear"/>
          </w:tcPr>
          <w:p>
            <w:r>
              <w:rPr>
                <w:rFonts w:ascii="Calibri" w:hAnsi="Calibri"/>
                <w:color w:val="333333"/>
                <w:sz w:val="18"/>
              </w:rPr>
              <w:t>$27.8M</w:t>
            </w:r>
          </w:p>
        </w:tc>
      </w:tr>
      <w:tr>
        <w:tc>
          <w:tcPr>
            <w:tcW w:type="dxa" w:w="2520"/>
          </w:tcPr>
          <w:p>
            <w:r>
              <w:rPr>
                <w:rFonts w:ascii="Calibri" w:hAnsi="Calibri"/>
                <w:color w:val="333333"/>
                <w:sz w:val="18"/>
              </w:rPr>
              <w:t>2025-12-04 to 2026-01-02</w:t>
            </w:r>
          </w:p>
        </w:tc>
        <w:tc>
          <w:tcPr>
            <w:tcW w:type="dxa" w:w="2520"/>
          </w:tcPr>
          <w:p>
            <w:r>
              <w:rPr>
                <w:rFonts w:ascii="Calibri" w:hAnsi="Calibri"/>
                <w:color w:val="333333"/>
                <w:sz w:val="18"/>
              </w:rPr>
              <w:t>4</w:t>
            </w:r>
          </w:p>
        </w:tc>
        <w:tc>
          <w:tcPr>
            <w:tcW w:type="dxa" w:w="2520"/>
          </w:tcPr>
          <w:p>
            <w:r>
              <w:rPr>
                <w:rFonts w:ascii="Calibri" w:hAnsi="Calibri"/>
                <w:color w:val="333333"/>
                <w:sz w:val="18"/>
              </w:rPr>
              <w:t>Armstrong Brian, Ehrsam Frederick Ernest III, HAAS ALESIA J, WILSON FREDERICK R</w:t>
            </w:r>
          </w:p>
        </w:tc>
        <w:tc>
          <w:tcPr>
            <w:tcW w:type="dxa" w:w="2520"/>
          </w:tcPr>
          <w:p>
            <w:r>
              <w:rPr>
                <w:rFonts w:ascii="Calibri" w:hAnsi="Calibri"/>
                <w:color w:val="333333"/>
                <w:sz w:val="18"/>
              </w:rPr>
              <w:t>$27.5M</w:t>
            </w:r>
          </w:p>
        </w:tc>
      </w:tr>
      <w:tr>
        <w:tc>
          <w:tcPr>
            <w:tcW w:type="dxa" w:w="2520"/>
            <w:shd w:fill="F2F4F8" w:val="clear"/>
          </w:tcPr>
          <w:p>
            <w:r>
              <w:rPr>
                <w:rFonts w:ascii="Calibri" w:hAnsi="Calibri"/>
                <w:color w:val="333333"/>
                <w:sz w:val="18"/>
              </w:rPr>
              <w:t>2025-12-08 to 2026-01-05</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Armstrong Brian, Ehrsam Frederick Ernest III, HAAS ALESIA J, WILSON FREDERICK R</w:t>
            </w:r>
          </w:p>
        </w:tc>
        <w:tc>
          <w:tcPr>
            <w:tcW w:type="dxa" w:w="2520"/>
            <w:shd w:fill="F2F4F8" w:val="clear"/>
          </w:tcPr>
          <w:p>
            <w:r>
              <w:rPr>
                <w:rFonts w:ascii="Calibri" w:hAnsi="Calibri"/>
                <w:color w:val="333333"/>
                <w:sz w:val="18"/>
              </w:rPr>
              <w:t>$36.7M</w:t>
            </w:r>
          </w:p>
        </w:tc>
      </w:tr>
      <w:tr>
        <w:tc>
          <w:tcPr>
            <w:tcW w:type="dxa" w:w="2520"/>
          </w:tcPr>
          <w:p>
            <w:r>
              <w:rPr>
                <w:rFonts w:ascii="Calibri" w:hAnsi="Calibri"/>
                <w:color w:val="333333"/>
                <w:sz w:val="18"/>
              </w:rPr>
              <w:t>2025-12-09 to 2026-01-05</w:t>
            </w:r>
          </w:p>
        </w:tc>
        <w:tc>
          <w:tcPr>
            <w:tcW w:type="dxa" w:w="2520"/>
          </w:tcPr>
          <w:p>
            <w:r>
              <w:rPr>
                <w:rFonts w:ascii="Calibri" w:hAnsi="Calibri"/>
                <w:color w:val="333333"/>
                <w:sz w:val="18"/>
              </w:rPr>
              <w:t>4</w:t>
            </w:r>
          </w:p>
        </w:tc>
        <w:tc>
          <w:tcPr>
            <w:tcW w:type="dxa" w:w="2520"/>
          </w:tcPr>
          <w:p>
            <w:r>
              <w:rPr>
                <w:rFonts w:ascii="Calibri" w:hAnsi="Calibri"/>
                <w:color w:val="333333"/>
                <w:sz w:val="18"/>
              </w:rPr>
              <w:t>Armstrong Brian, Ehrsam Frederick Ernest III, HAAS ALESIA J, WILSON FREDERICK R</w:t>
            </w:r>
          </w:p>
        </w:tc>
        <w:tc>
          <w:tcPr>
            <w:tcW w:type="dxa" w:w="2520"/>
          </w:tcPr>
          <w:p>
            <w:r>
              <w:rPr>
                <w:rFonts w:ascii="Calibri" w:hAnsi="Calibri"/>
                <w:color w:val="333333"/>
                <w:sz w:val="18"/>
              </w:rPr>
              <w:t>$25.7M</w:t>
            </w:r>
          </w:p>
        </w:tc>
      </w:tr>
      <w:tr>
        <w:tc>
          <w:tcPr>
            <w:tcW w:type="dxa" w:w="2520"/>
            <w:shd w:fill="F2F4F8" w:val="clear"/>
          </w:tcPr>
          <w:p>
            <w:r>
              <w:rPr>
                <w:rFonts w:ascii="Calibri" w:hAnsi="Calibri"/>
                <w:color w:val="333333"/>
                <w:sz w:val="18"/>
              </w:rPr>
              <w:t>2025-12-15 to 2026-01-14</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Armstrong Brian, Ehrsam Frederick Ernest III, HAAS ALESIA J, WILSON FREDERICK R</w:t>
            </w:r>
          </w:p>
        </w:tc>
        <w:tc>
          <w:tcPr>
            <w:tcW w:type="dxa" w:w="2520"/>
            <w:shd w:fill="F2F4F8" w:val="clear"/>
          </w:tcPr>
          <w:p>
            <w:r>
              <w:rPr>
                <w:rFonts w:ascii="Calibri" w:hAnsi="Calibri"/>
                <w:color w:val="333333"/>
                <w:sz w:val="18"/>
              </w:rPr>
              <w:t>$25.7M</w:t>
            </w:r>
          </w:p>
        </w:tc>
      </w:tr>
      <w:tr>
        <w:tc>
          <w:tcPr>
            <w:tcW w:type="dxa" w:w="2520"/>
          </w:tcPr>
          <w:p>
            <w:r>
              <w:rPr>
                <w:rFonts w:ascii="Calibri" w:hAnsi="Calibri"/>
                <w:color w:val="333333"/>
                <w:sz w:val="18"/>
              </w:rPr>
              <w:t>2025-12-18 to 2026-01-15</w:t>
            </w:r>
          </w:p>
        </w:tc>
        <w:tc>
          <w:tcPr>
            <w:tcW w:type="dxa" w:w="2520"/>
          </w:tcPr>
          <w:p>
            <w:r>
              <w:rPr>
                <w:rFonts w:ascii="Calibri" w:hAnsi="Calibri"/>
                <w:color w:val="333333"/>
                <w:sz w:val="18"/>
              </w:rPr>
              <w:t>4</w:t>
            </w:r>
          </w:p>
        </w:tc>
        <w:tc>
          <w:tcPr>
            <w:tcW w:type="dxa" w:w="2520"/>
          </w:tcPr>
          <w:p>
            <w:r>
              <w:rPr>
                <w:rFonts w:ascii="Calibri" w:hAnsi="Calibri"/>
                <w:color w:val="333333"/>
                <w:sz w:val="18"/>
              </w:rPr>
              <w:t>Armstrong Brian, Ehrsam Frederick Ernest III, HAAS ALESIA J, WILSON FREDERICK R</w:t>
            </w:r>
          </w:p>
        </w:tc>
        <w:tc>
          <w:tcPr>
            <w:tcW w:type="dxa" w:w="2520"/>
          </w:tcPr>
          <w:p>
            <w:r>
              <w:rPr>
                <w:rFonts w:ascii="Calibri" w:hAnsi="Calibri"/>
                <w:color w:val="333333"/>
                <w:sz w:val="18"/>
              </w:rPr>
              <w:t>$26.1M</w:t>
            </w:r>
          </w:p>
        </w:tc>
      </w:tr>
      <w:tr>
        <w:tc>
          <w:tcPr>
            <w:tcW w:type="dxa" w:w="2520"/>
            <w:shd w:fill="F2F4F8" w:val="clear"/>
          </w:tcPr>
          <w:p>
            <w:r>
              <w:rPr>
                <w:rFonts w:ascii="Calibri" w:hAnsi="Calibri"/>
                <w:color w:val="333333"/>
                <w:sz w:val="18"/>
              </w:rPr>
              <w:t>2025-12-22 to 2026-01-15</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Armstrong Brian, Ehrsam Frederick Ernest III, HAAS ALESIA J, WILSON FREDERICK R</w:t>
            </w:r>
          </w:p>
        </w:tc>
        <w:tc>
          <w:tcPr>
            <w:tcW w:type="dxa" w:w="2520"/>
            <w:shd w:fill="F2F4F8" w:val="clear"/>
          </w:tcPr>
          <w:p>
            <w:r>
              <w:rPr>
                <w:rFonts w:ascii="Calibri" w:hAnsi="Calibri"/>
                <w:color w:val="333333"/>
                <w:sz w:val="18"/>
              </w:rPr>
              <w:t>$25.7M</w:t>
            </w:r>
          </w:p>
        </w:tc>
      </w:tr>
      <w:tr>
        <w:tc>
          <w:tcPr>
            <w:tcW w:type="dxa" w:w="2520"/>
          </w:tcPr>
          <w:p>
            <w:r>
              <w:rPr>
                <w:rFonts w:ascii="Calibri" w:hAnsi="Calibri"/>
                <w:color w:val="333333"/>
                <w:sz w:val="18"/>
              </w:rPr>
              <w:t>2026-01-02 to 2026-01-15</w:t>
            </w:r>
          </w:p>
        </w:tc>
        <w:tc>
          <w:tcPr>
            <w:tcW w:type="dxa" w:w="2520"/>
          </w:tcPr>
          <w:p>
            <w:r>
              <w:rPr>
                <w:rFonts w:ascii="Calibri" w:hAnsi="Calibri"/>
                <w:color w:val="333333"/>
                <w:sz w:val="18"/>
              </w:rPr>
              <w:t>4</w:t>
            </w:r>
          </w:p>
        </w:tc>
        <w:tc>
          <w:tcPr>
            <w:tcW w:type="dxa" w:w="2520"/>
          </w:tcPr>
          <w:p>
            <w:r>
              <w:rPr>
                <w:rFonts w:ascii="Calibri" w:hAnsi="Calibri"/>
                <w:color w:val="333333"/>
                <w:sz w:val="18"/>
              </w:rPr>
              <w:t>Armstrong Brian, Ehrsam Frederick Ernest III, HAAS ALESIA J, WILSON FREDERICK R</w:t>
            </w:r>
          </w:p>
        </w:tc>
        <w:tc>
          <w:tcPr>
            <w:tcW w:type="dxa" w:w="2520"/>
          </w:tcPr>
          <w:p>
            <w:r>
              <w:rPr>
                <w:rFonts w:ascii="Calibri" w:hAnsi="Calibri"/>
                <w:color w:val="333333"/>
                <w:sz w:val="18"/>
              </w:rPr>
              <w:t>$15.7M</w:t>
            </w:r>
          </w:p>
        </w:tc>
      </w:tr>
      <w:tr>
        <w:tc>
          <w:tcPr>
            <w:tcW w:type="dxa" w:w="2520"/>
            <w:shd w:fill="F2F4F8" w:val="clear"/>
          </w:tcPr>
          <w:p>
            <w:r>
              <w:rPr>
                <w:rFonts w:ascii="Calibri" w:hAnsi="Calibri"/>
                <w:color w:val="333333"/>
                <w:sz w:val="18"/>
              </w:rPr>
              <w:t>2026-01-05 to 2026-01-15</w:t>
            </w:r>
          </w:p>
        </w:tc>
        <w:tc>
          <w:tcPr>
            <w:tcW w:type="dxa" w:w="2520"/>
            <w:shd w:fill="F2F4F8" w:val="clear"/>
          </w:tcPr>
          <w:p>
            <w:r>
              <w:rPr>
                <w:rFonts w:ascii="Calibri" w:hAnsi="Calibri"/>
                <w:color w:val="333333"/>
                <w:sz w:val="18"/>
              </w:rPr>
              <w:t>3</w:t>
            </w:r>
          </w:p>
        </w:tc>
        <w:tc>
          <w:tcPr>
            <w:tcW w:type="dxa" w:w="2520"/>
            <w:shd w:fill="F2F4F8" w:val="clear"/>
          </w:tcPr>
          <w:p>
            <w:r>
              <w:rPr>
                <w:rFonts w:ascii="Calibri" w:hAnsi="Calibri"/>
                <w:color w:val="333333"/>
                <w:sz w:val="18"/>
              </w:rPr>
              <w:t>Armstrong Brian, Ehrsam Frederick Ernest III, HAAS ALESIA J</w:t>
            </w:r>
          </w:p>
        </w:tc>
        <w:tc>
          <w:tcPr>
            <w:tcW w:type="dxa" w:w="2520"/>
            <w:shd w:fill="F2F4F8" w:val="clear"/>
          </w:tcPr>
          <w:p>
            <w:r>
              <w:rPr>
                <w:rFonts w:ascii="Calibri" w:hAnsi="Calibri"/>
                <w:color w:val="333333"/>
                <w:sz w:val="18"/>
              </w:rPr>
              <w:t>$13.4M</w:t>
            </w:r>
          </w:p>
        </w:tc>
      </w:tr>
      <w:tr>
        <w:tc>
          <w:tcPr>
            <w:tcW w:type="dxa" w:w="2520"/>
          </w:tcPr>
          <w:p>
            <w:r>
              <w:rPr>
                <w:rFonts w:ascii="Calibri" w:hAnsi="Calibri"/>
                <w:color w:val="333333"/>
                <w:sz w:val="18"/>
              </w:rPr>
              <w:t>2026-02-06 to 2026-03-04</w:t>
            </w:r>
          </w:p>
        </w:tc>
        <w:tc>
          <w:tcPr>
            <w:tcW w:type="dxa" w:w="2520"/>
          </w:tcPr>
          <w:p>
            <w:r>
              <w:rPr>
                <w:rFonts w:ascii="Calibri" w:hAnsi="Calibri"/>
                <w:color w:val="333333"/>
                <w:sz w:val="18"/>
              </w:rPr>
              <w:t>4</w:t>
            </w:r>
          </w:p>
        </w:tc>
        <w:tc>
          <w:tcPr>
            <w:tcW w:type="dxa" w:w="2520"/>
          </w:tcPr>
          <w:p>
            <w:r>
              <w:rPr>
                <w:rFonts w:ascii="Calibri" w:hAnsi="Calibri"/>
                <w:color w:val="333333"/>
                <w:sz w:val="18"/>
              </w:rPr>
              <w:t>Brock Lawrence J, Grewal Paul, HAAS ALESIA J, Jones Jennifer N.</w:t>
            </w:r>
          </w:p>
        </w:tc>
        <w:tc>
          <w:tcPr>
            <w:tcW w:type="dxa" w:w="2520"/>
          </w:tcPr>
          <w:p>
            <w:r>
              <w:rPr>
                <w:rFonts w:ascii="Calibri" w:hAnsi="Calibri"/>
                <w:color w:val="333333"/>
                <w:sz w:val="18"/>
              </w:rPr>
              <w:t>$59.6M</w:t>
            </w:r>
          </w:p>
        </w:tc>
      </w:tr>
      <w:tr>
        <w:tc>
          <w:tcPr>
            <w:tcW w:type="dxa" w:w="2520"/>
            <w:shd w:fill="F2F4F8" w:val="clear"/>
          </w:tcPr>
          <w:p>
            <w:r>
              <w:rPr>
                <w:rFonts w:ascii="Calibri" w:hAnsi="Calibri"/>
                <w:color w:val="333333"/>
                <w:sz w:val="18"/>
              </w:rPr>
              <w:t>2026-02-24 to 2026-03-16</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Brock Lawrence J, Grewal Paul, HAAS ALESIA J, Jones Jennifer N.</w:t>
            </w:r>
          </w:p>
        </w:tc>
        <w:tc>
          <w:tcPr>
            <w:tcW w:type="dxa" w:w="2520"/>
            <w:shd w:fill="F2F4F8" w:val="clear"/>
          </w:tcPr>
          <w:p>
            <w:r>
              <w:rPr>
                <w:rFonts w:ascii="Calibri" w:hAnsi="Calibri"/>
                <w:color w:val="333333"/>
                <w:sz w:val="18"/>
              </w:rPr>
              <w:t>$5.2M</w:t>
            </w:r>
          </w:p>
        </w:tc>
      </w:tr>
    </w:tbl>
    <w:p>
      <w:pPr>
        <w:pStyle w:val="DOBody"/>
      </w:pPr>
      <w:r>
        <w:t>Insider Cluster Selling (22 event(s)): Coordinated insider selling is a key D&amp;O risk signal. Courts view cluster sales -- where 3+ insiders sell within a narrow window -- as circumstantial evidence of scienter (intent to defraud) in securities fraud claims.</w:t>
      </w:r>
      <w:r>
        <w:rPr>
          <w:b/>
          <w:color w:val="EA580C"/>
          <w:sz w:val="18"/>
        </w:rPr>
        <w:t xml:space="preserve"> [HIGH]</w:t>
      </w:r>
    </w:p>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Coinbase's revenue grew 9.4% to $7.18B from $6.56B, but net income fell 51.1% to $1.26B from $2.58B, a red flag for earnings-based 10(b) claims despite its Altman Z-Score of 4.64 in the safe zone. The Beneish M-Score of -2.81 suggests no earnings manipulation currently, but the sharp 53.5% drop in EPS from $10.42 to $4.85 provides a clear benchmark for plaintiffs to allege the company missed inflated market expectations. Its strong interest coverage of 18.85x and low debt-to-equity of 0.49 mitigate insolvency theories, but the Piotroski F-Score of 4 in the grey zone indicates deteriorating financial strength, which could support going-concern allegations during the next crypto downturn. The 1.93x OCF-to-net-income ratio shows strong cash conversion, but any future restatement related to crypto accounting or client assets would immediately trigger Section 11 claims given the volatile core business and the company's 100% signal coverage from 87 financial checks.</w:t>
      </w:r>
    </w:p>
    <w:p>
      <w:pPr>
        <w:pStyle w:val="DOHeading1"/>
      </w:pPr>
      <w:r>
        <w:t>Section 3: Financial Health</w:t>
      </w:r>
    </w:p>
    <w:p>
      <w:pPr>
        <w:pStyle w:val="DOBody"/>
      </w:pPr>
      <w:r>
        <w:t>The company reported revenue of $7.2B and net income of $1.3B (per FY2025 10-K, Company Facts API CIK1679788). Revenue grew 9.4% year-over-year (from $6.6B). Net income declined 51.1% YoY, a material deterioration that may attract plaintiff scrutiny. Both distress models indicate stability: Z-Score 4.64 (safe above 2.99) and O-Score 0.00 (safe below 0.5). D/E ratio of 0.49 is moderate. Earnings quality is healthy (OCF/NI: 1.93), indicating reported income is well-supported by operating cash flows -- reducing restatement risk. Auditor: Deloitte (Big 4), tenure: 6 years.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$6.6B</w:t>
            </w:r>
          </w:p>
        </w:tc>
        <w:tc>
          <w:tcPr>
            <w:tcW w:type="dxa" w:w="2520"/>
          </w:tcPr>
          <w:p>
            <w:r>
              <w:rPr>
                <w:rFonts w:ascii="Calibri" w:hAnsi="Calibri"/>
                <w:color w:val="333333"/>
                <w:sz w:val="18"/>
              </w:rPr>
              <w:t>$7.2B</w:t>
            </w:r>
          </w:p>
        </w:tc>
        <w:tc>
          <w:tcPr>
            <w:tcW w:type="dxa" w:w="2520"/>
            <w:shd w:fill="FFF3CD" w:val="clear"/>
          </w:tcPr>
          <w:p>
            <w:r>
              <w:rPr>
                <w:rFonts w:ascii="Calibri" w:hAnsi="Calibri"/>
                <w:color w:val="333333"/>
                <w:sz w:val="18"/>
              </w:rPr>
              <w:t>9.4%</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$2.3B</w:t>
            </w:r>
          </w:p>
        </w:tc>
        <w:tc>
          <w:tcPr>
            <w:tcW w:type="dxa" w:w="2520"/>
            <w:shd w:fill="F2F4F8" w:val="clear"/>
          </w:tcPr>
          <w:p>
            <w:r>
              <w:rPr>
                <w:rFonts w:ascii="Calibri" w:hAnsi="Calibri"/>
                <w:color w:val="333333"/>
                <w:sz w:val="18"/>
              </w:rPr>
              <w:t>$1.4B</w:t>
            </w:r>
          </w:p>
        </w:tc>
        <w:tc>
          <w:tcPr>
            <w:tcW w:type="dxa" w:w="2520"/>
            <w:shd w:fill="F2F4F8" w:val="clear"/>
            <w:shd w:fill="FCE8E6" w:val="clear"/>
          </w:tcPr>
          <w:p>
            <w:r>
              <w:rPr>
                <w:rFonts w:ascii="Calibri" w:hAnsi="Calibri"/>
                <w:color w:val="333333"/>
                <w:sz w:val="18"/>
              </w:rPr>
              <w:t>-37.8%</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$2.6B</w:t>
            </w:r>
          </w:p>
        </w:tc>
        <w:tc>
          <w:tcPr>
            <w:tcW w:type="dxa" w:w="2520"/>
          </w:tcPr>
          <w:p>
            <w:r>
              <w:rPr>
                <w:rFonts w:ascii="Calibri" w:hAnsi="Calibri"/>
                <w:color w:val="333333"/>
                <w:sz w:val="18"/>
              </w:rPr>
              <w:t>$1.3B</w:t>
            </w:r>
          </w:p>
        </w:tc>
        <w:tc>
          <w:tcPr>
            <w:tcW w:type="dxa" w:w="2520"/>
            <w:shd w:fill="FCE8E6" w:val="clear"/>
          </w:tcPr>
          <w:p>
            <w:r>
              <w:rPr>
                <w:rFonts w:ascii="Calibri" w:hAnsi="Calibri"/>
                <w:color w:val="333333"/>
                <w:sz w:val="18"/>
              </w:rPr>
              <w:t>-51.1%</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$10.42</w:t>
            </w:r>
          </w:p>
        </w:tc>
        <w:tc>
          <w:tcPr>
            <w:tcW w:type="dxa" w:w="2520"/>
            <w:shd w:fill="F2F4F8" w:val="clear"/>
          </w:tcPr>
          <w:p>
            <w:r>
              <w:rPr>
                <w:rFonts w:ascii="Calibri" w:hAnsi="Calibri"/>
                <w:color w:val="333333"/>
                <w:sz w:val="18"/>
              </w:rPr>
              <w:t>$4.85</w:t>
            </w:r>
          </w:p>
        </w:tc>
        <w:tc>
          <w:tcPr>
            <w:tcW w:type="dxa" w:w="2520"/>
            <w:shd w:fill="F2F4F8" w:val="clear"/>
            <w:shd w:fill="FCE8E6" w:val="clear"/>
          </w:tcPr>
          <w:p>
            <w:r>
              <w:rPr>
                <w:rFonts w:ascii="Calibri" w:hAnsi="Calibri"/>
                <w:color w:val="333333"/>
                <w:sz w:val="18"/>
              </w:rPr>
              <w:t>-53.5%</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$9.48</w:t>
            </w:r>
          </w:p>
        </w:tc>
        <w:tc>
          <w:tcPr>
            <w:tcW w:type="dxa" w:w="2520"/>
          </w:tcPr>
          <w:p>
            <w:r>
              <w:rPr>
                <w:rFonts w:ascii="Calibri" w:hAnsi="Calibri"/>
                <w:color w:val="333333"/>
                <w:sz w:val="18"/>
              </w:rPr>
              <w:t>$4.45</w:t>
            </w:r>
          </w:p>
        </w:tc>
        <w:tc>
          <w:tcPr>
            <w:tcW w:type="dxa" w:w="2520"/>
            <w:shd w:fill="FCE8E6" w:val="clear"/>
          </w:tcPr>
          <w:p>
            <w:r>
              <w:rPr>
                <w:rFonts w:ascii="Calibri" w:hAnsi="Calibri"/>
                <w:color w:val="333333"/>
                <w:sz w:val="18"/>
              </w:rPr>
              <w:t>-53.1%</w:t>
            </w:r>
          </w:p>
        </w:tc>
      </w:tr>
      <w:tr>
        <w:tc>
          <w:tcPr>
            <w:tcW w:type="dxa" w:w="2520"/>
            <w:shd w:fill="F2F4F8" w:val="clear"/>
          </w:tcPr>
          <w:p>
            <w:r>
              <w:rPr>
                <w:rFonts w:ascii="Calibri" w:hAnsi="Calibri"/>
                <w:color w:val="333333"/>
                <w:sz w:val="18"/>
              </w:rPr>
              <w:t>Interest expense</w:t>
            </w:r>
          </w:p>
        </w:tc>
        <w:tc>
          <w:tcPr>
            <w:tcW w:type="dxa" w:w="2520"/>
            <w:shd w:fill="F2F4F8" w:val="clear"/>
          </w:tcPr>
          <w:p>
            <w:r>
              <w:rPr>
                <w:rFonts w:ascii="Calibri" w:hAnsi="Calibri"/>
                <w:color w:val="333333"/>
                <w:sz w:val="18"/>
              </w:rPr>
              <w:t>$68.5M</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Income tax expense / benefit</w:t>
            </w:r>
          </w:p>
        </w:tc>
        <w:tc>
          <w:tcPr>
            <w:tcW w:type="dxa" w:w="2520"/>
          </w:tcPr>
          <w:p>
            <w:r>
              <w:rPr>
                <w:rFonts w:ascii="Calibri" w:hAnsi="Calibri"/>
                <w:color w:val="333333"/>
                <w:sz w:val="18"/>
              </w:rPr>
              <w:t>$363.6M</w:t>
            </w:r>
          </w:p>
        </w:tc>
        <w:tc>
          <w:tcPr>
            <w:tcW w:type="dxa" w:w="2520"/>
          </w:tcPr>
          <w:p>
            <w:r>
              <w:rPr>
                <w:rFonts w:ascii="Calibri" w:hAnsi="Calibri"/>
                <w:color w:val="333333"/>
                <w:sz w:val="18"/>
              </w:rPr>
              <w:t>$261.7M</w:t>
            </w:r>
          </w:p>
        </w:tc>
        <w:tc>
          <w:tcPr>
            <w:tcW w:type="dxa" w:w="2520"/>
            <w:shd w:fill="FCE8E6" w:val="clear"/>
          </w:tcPr>
          <w:p>
            <w:r>
              <w:rPr>
                <w:rFonts w:ascii="Calibri" w:hAnsi="Calibri"/>
                <w:color w:val="333333"/>
                <w:sz w:val="18"/>
              </w:rPr>
              <w:t>-28.0%</w:t>
            </w:r>
          </w:p>
        </w:tc>
      </w:tr>
      <w:tr>
        <w:tc>
          <w:tcPr>
            <w:tcW w:type="dxa" w:w="2520"/>
            <w:shd w:fill="F2F4F8" w:val="clear"/>
          </w:tcPr>
          <w:p>
            <w:r>
              <w:rPr>
                <w:rFonts w:ascii="Calibri" w:hAnsi="Calibri"/>
                <w:color w:val="333333"/>
                <w:sz w:val="18"/>
              </w:rPr>
              <w:t>Research and development expense</w:t>
            </w:r>
          </w:p>
        </w:tc>
        <w:tc>
          <w:tcPr>
            <w:tcW w:type="dxa" w:w="2520"/>
            <w:shd w:fill="F2F4F8" w:val="clear"/>
          </w:tcPr>
          <w:p>
            <w:r>
              <w:rPr>
                <w:rFonts w:ascii="Calibri" w:hAnsi="Calibri"/>
                <w:color w:val="333333"/>
                <w:sz w:val="18"/>
              </w:rPr>
              <w:t>$1.5B</w:t>
            </w:r>
          </w:p>
        </w:tc>
        <w:tc>
          <w:tcPr>
            <w:tcW w:type="dxa" w:w="2520"/>
            <w:shd w:fill="F2F4F8" w:val="clear"/>
          </w:tcPr>
          <w:p>
            <w:r>
              <w:rPr>
                <w:rFonts w:ascii="Calibri" w:hAnsi="Calibri"/>
                <w:color w:val="333333"/>
                <w:sz w:val="18"/>
              </w:rPr>
              <w:t>$1.7B</w:t>
            </w:r>
          </w:p>
        </w:tc>
        <w:tc>
          <w:tcPr>
            <w:tcW w:type="dxa" w:w="2520"/>
            <w:shd w:fill="F2F4F8" w:val="clear"/>
            <w:shd w:fill="DCEEF8" w:val="clear"/>
          </w:tcPr>
          <w:p>
            <w:r>
              <w:rPr>
                <w:rFonts w:ascii="Calibri" w:hAnsi="Calibri"/>
                <w:color w:val="333333"/>
                <w:sz w:val="18"/>
              </w:rPr>
              <w:t>13.8%</w:t>
            </w:r>
          </w:p>
        </w:tc>
      </w:tr>
      <w:tr>
        <w:tc>
          <w:tcPr>
            <w:tcW w:type="dxa" w:w="2520"/>
          </w:tcPr>
          <w:p>
            <w:r>
              <w:rPr>
                <w:rFonts w:ascii="Calibri" w:hAnsi="Calibri"/>
                <w:color w:val="333333"/>
                <w:sz w:val="18"/>
              </w:rPr>
              <w:t>Selling, general and administrative expense</w:t>
            </w:r>
          </w:p>
        </w:tc>
        <w:tc>
          <w:tcPr>
            <w:tcW w:type="dxa" w:w="2520"/>
          </w:tcPr>
          <w:p>
            <w:r>
              <w:rPr>
                <w:rFonts w:ascii="Calibri" w:hAnsi="Calibri"/>
                <w:color w:val="333333"/>
                <w:sz w:val="18"/>
              </w:rPr>
              <w:t>$1.3B</w:t>
            </w:r>
          </w:p>
        </w:tc>
        <w:tc>
          <w:tcPr>
            <w:tcW w:type="dxa" w:w="2520"/>
          </w:tcPr>
          <w:p>
            <w:r>
              <w:rPr>
                <w:rFonts w:ascii="Calibri" w:hAnsi="Calibri"/>
                <w:color w:val="333333"/>
                <w:sz w:val="18"/>
              </w:rPr>
              <w:t>$1.6B</w:t>
            </w:r>
          </w:p>
        </w:tc>
        <w:tc>
          <w:tcPr>
            <w:tcW w:type="dxa" w:w="2520"/>
            <w:shd w:fill="DCEEF8" w:val="clear"/>
          </w:tcPr>
          <w:p>
            <w:r>
              <w:rPr>
                <w:rFonts w:ascii="Calibri" w:hAnsi="Calibri"/>
                <w:color w:val="333333"/>
                <w:sz w:val="18"/>
              </w:rPr>
              <w:t>24.6%</w:t>
            </w:r>
          </w:p>
        </w:tc>
      </w:tr>
      <w:tr>
        <w:tc>
          <w:tcPr>
            <w:tcW w:type="dxa" w:w="2520"/>
            <w:shd w:fill="F2F4F8" w:val="clear"/>
          </w:tcPr>
          <w:p>
            <w:r>
              <w:rPr>
                <w:rFonts w:ascii="Calibri" w:hAnsi="Calibri"/>
                <w:color w:val="333333"/>
                <w:sz w:val="18"/>
              </w:rPr>
              <w:t>Earnings before interest and taxes (EBIT)</w:t>
            </w:r>
          </w:p>
        </w:tc>
        <w:tc>
          <w:tcPr>
            <w:tcW w:type="dxa" w:w="2520"/>
            <w:shd w:fill="F2F4F8" w:val="clear"/>
          </w:tcPr>
          <w:p>
            <w:r>
              <w:rPr>
                <w:rFonts w:ascii="Calibri" w:hAnsi="Calibri"/>
                <w:color w:val="333333"/>
                <w:sz w:val="18"/>
              </w:rPr>
              <w:t>$2.3B</w:t>
            </w:r>
          </w:p>
        </w:tc>
        <w:tc>
          <w:tcPr>
            <w:tcW w:type="dxa" w:w="2520"/>
            <w:shd w:fill="F2F4F8" w:val="clear"/>
          </w:tcPr>
          <w:p>
            <w:r>
              <w:rPr>
                <w:rFonts w:ascii="Calibri" w:hAnsi="Calibri"/>
                <w:color w:val="333333"/>
                <w:sz w:val="18"/>
              </w:rPr>
              <w:t>$1.4B</w:t>
            </w:r>
          </w:p>
        </w:tc>
        <w:tc>
          <w:tcPr>
            <w:tcW w:type="dxa" w:w="2520"/>
            <w:shd w:fill="F2F4F8" w:val="clear"/>
            <w:shd w:fill="FCE8E6" w:val="clear"/>
          </w:tcPr>
          <w:p>
            <w:r>
              <w:rPr>
                <w:rFonts w:ascii="Calibri" w:hAnsi="Calibri"/>
                <w:color w:val="333333"/>
                <w:sz w:val="18"/>
              </w:rPr>
              <w:t>-37.8%</w:t>
            </w:r>
          </w:p>
        </w:tc>
      </w:tr>
      <w:tr>
        <w:tc>
          <w:tcPr>
            <w:tcW w:type="dxa" w:w="2520"/>
          </w:tcPr>
          <w:p>
            <w:r>
              <w:rPr>
                <w:rFonts w:ascii="Calibri" w:hAnsi="Calibri"/>
                <w:color w:val="333333"/>
                <w:sz w:val="18"/>
              </w:rPr>
              <w:t>Weighted average shares outstanding (basic)</w:t>
            </w:r>
          </w:p>
        </w:tc>
        <w:tc>
          <w:tcPr>
            <w:tcW w:type="dxa" w:w="2520"/>
          </w:tcPr>
          <w:p>
            <w:r>
              <w:rPr>
                <w:rFonts w:ascii="Calibri" w:hAnsi="Calibri"/>
                <w:color w:val="333333"/>
                <w:sz w:val="18"/>
              </w:rPr>
              <w:t>247.4M</w:t>
            </w:r>
          </w:p>
        </w:tc>
        <w:tc>
          <w:tcPr>
            <w:tcW w:type="dxa" w:w="2520"/>
          </w:tcPr>
          <w:p>
            <w:r>
              <w:rPr>
                <w:rFonts w:ascii="Calibri" w:hAnsi="Calibri"/>
                <w:color w:val="333333"/>
                <w:sz w:val="18"/>
              </w:rPr>
              <w:t>260.1M</w:t>
            </w:r>
          </w:p>
        </w:tc>
        <w:tc>
          <w:tcPr>
            <w:tcW w:type="dxa" w:w="2520"/>
            <w:shd w:fill="FFF3CD" w:val="clear"/>
          </w:tcPr>
          <w:p>
            <w:r>
              <w:rPr>
                <w:rFonts w:ascii="Calibri" w:hAnsi="Calibri"/>
                <w:color w:val="333333"/>
                <w:sz w:val="18"/>
              </w:rPr>
              <w:t>5.1%</w:t>
            </w:r>
          </w:p>
        </w:tc>
      </w:tr>
      <w:tr>
        <w:tc>
          <w:tcPr>
            <w:tcW w:type="dxa" w:w="2520"/>
            <w:shd w:fill="F2F4F8" w:val="clear"/>
          </w:tcPr>
          <w:p>
            <w:r>
              <w:rPr>
                <w:rFonts w:ascii="Calibri" w:hAnsi="Calibri"/>
                <w:color w:val="333333"/>
                <w:sz w:val="18"/>
              </w:rPr>
              <w:t>Weighted average shares outstanding (diluted)</w:t>
            </w:r>
          </w:p>
        </w:tc>
        <w:tc>
          <w:tcPr>
            <w:tcW w:type="dxa" w:w="2520"/>
            <w:shd w:fill="F2F4F8" w:val="clear"/>
          </w:tcPr>
          <w:p>
            <w:r>
              <w:rPr>
                <w:rFonts w:ascii="Calibri" w:hAnsi="Calibri"/>
                <w:color w:val="333333"/>
                <w:sz w:val="18"/>
              </w:rPr>
              <w:t>273.4M</w:t>
            </w:r>
          </w:p>
        </w:tc>
        <w:tc>
          <w:tcPr>
            <w:tcW w:type="dxa" w:w="2520"/>
            <w:shd w:fill="F2F4F8" w:val="clear"/>
          </w:tcPr>
          <w:p>
            <w:r>
              <w:rPr>
                <w:rFonts w:ascii="Calibri" w:hAnsi="Calibri"/>
                <w:color w:val="333333"/>
                <w:sz w:val="18"/>
              </w:rPr>
              <w:t>287.2M</w:t>
            </w:r>
          </w:p>
        </w:tc>
        <w:tc>
          <w:tcPr>
            <w:tcW w:type="dxa" w:w="2520"/>
            <w:shd w:fill="F2F4F8" w:val="clear"/>
            <w:shd w:fill="FFF3CD" w:val="clear"/>
          </w:tcPr>
          <w:p>
            <w:r>
              <w:rPr>
                <w:rFonts w:ascii="Calibri" w:hAnsi="Calibri"/>
                <w:color w:val="333333"/>
                <w:sz w:val="18"/>
              </w:rPr>
              <w:t>5.1%</w:t>
            </w:r>
          </w:p>
        </w:tc>
      </w:tr>
      <w:tr>
        <w:tc>
          <w:tcPr>
            <w:tcW w:type="dxa" w:w="2520"/>
          </w:tcPr>
          <w:p>
            <w:r>
              <w:rPr>
                <w:rFonts w:ascii="Calibri" w:hAnsi="Calibri"/>
                <w:color w:val="333333"/>
                <w:sz w:val="18"/>
              </w:rPr>
              <w:t>Total comprehensive income / loss</w:t>
            </w:r>
          </w:p>
        </w:tc>
        <w:tc>
          <w:tcPr>
            <w:tcW w:type="dxa" w:w="2520"/>
          </w:tcPr>
          <w:p>
            <w:r>
              <w:rPr>
                <w:rFonts w:ascii="Calibri" w:hAnsi="Calibri"/>
                <w:color w:val="333333"/>
                <w:sz w:val="18"/>
              </w:rPr>
              <w:t>$2.6B</w:t>
            </w:r>
          </w:p>
        </w:tc>
        <w:tc>
          <w:tcPr>
            <w:tcW w:type="dxa" w:w="2520"/>
          </w:tcPr>
          <w:p>
            <w:r>
              <w:rPr>
                <w:rFonts w:ascii="Calibri" w:hAnsi="Calibri"/>
                <w:color w:val="333333"/>
                <w:sz w:val="18"/>
              </w:rPr>
              <w:t>$1.3B</w:t>
            </w:r>
          </w:p>
        </w:tc>
        <w:tc>
          <w:tcPr>
            <w:tcW w:type="dxa" w:w="2520"/>
            <w:shd w:fill="FCE8E6" w:val="clear"/>
          </w:tcPr>
          <w:p>
            <w:r>
              <w:rPr>
                <w:rFonts w:ascii="Calibri" w:hAnsi="Calibri"/>
                <w:color w:val="333333"/>
                <w:sz w:val="18"/>
              </w:rPr>
              <w:t>-48.6%</w:t>
            </w:r>
          </w:p>
        </w:tc>
      </w:tr>
      <w:tr>
        <w:tc>
          <w:tcPr>
            <w:tcW w:type="dxa" w:w="2520"/>
            <w:shd w:fill="F2F4F8" w:val="clear"/>
          </w:tcPr>
          <w:p>
            <w:r>
              <w:rPr>
                <w:rFonts w:ascii="Calibri" w:hAnsi="Calibri"/>
                <w:color w:val="333333"/>
                <w:sz w:val="18"/>
              </w:rPr>
              <w:t>Other income / non-operating income</w:t>
            </w:r>
          </w:p>
        </w:tc>
        <w:tc>
          <w:tcPr>
            <w:tcW w:type="dxa" w:w="2520"/>
            <w:shd w:fill="F2F4F8" w:val="clear"/>
          </w:tcPr>
          <w:p>
            <w:r>
              <w:rPr>
                <w:rFonts w:ascii="Calibri" w:hAnsi="Calibri"/>
                <w:color w:val="333333"/>
                <w:sz w:val="18"/>
              </w:rPr>
              <w:t>$29.1M</w:t>
            </w:r>
          </w:p>
        </w:tc>
        <w:tc>
          <w:tcPr>
            <w:tcW w:type="dxa" w:w="2520"/>
            <w:shd w:fill="F2F4F8" w:val="clear"/>
          </w:tcPr>
          <w:p>
            <w:r>
              <w:rPr>
                <w:rFonts w:ascii="Calibri" w:hAnsi="Calibri"/>
                <w:color w:val="333333"/>
                <w:sz w:val="18"/>
              </w:rPr>
              <w:t>$700.9M</w:t>
            </w:r>
          </w:p>
        </w:tc>
        <w:tc>
          <w:tcPr>
            <w:tcW w:type="dxa" w:w="2520"/>
            <w:shd w:fill="F2F4F8" w:val="clear"/>
            <w:shd w:fill="DCEEF8" w:val="clear"/>
          </w:tcPr>
          <w:p>
            <w:r>
              <w:rPr>
                <w:rFonts w:ascii="Calibri" w:hAnsi="Calibri"/>
                <w:color w:val="333333"/>
                <w:sz w:val="18"/>
              </w:rPr>
              <w:t>2310.7%</w:t>
            </w:r>
          </w:p>
        </w:tc>
      </w:tr>
      <w:tr>
        <w:tc>
          <w:tcPr>
            <w:tcW w:type="dxa" w:w="2520"/>
          </w:tcPr>
          <w:p>
            <w:r>
              <w:rPr>
                <w:rFonts w:ascii="Calibri" w:hAnsi="Calibri"/>
                <w:color w:val="333333"/>
                <w:sz w:val="18"/>
              </w:rPr>
              <w:t>Restructuring charges</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Income from operations</w:t>
            </w:r>
          </w:p>
        </w:tc>
        <w:tc>
          <w:tcPr>
            <w:tcW w:type="dxa" w:w="2520"/>
            <w:shd w:fill="F2F4F8" w:val="clear"/>
          </w:tcPr>
          <w:p>
            <w:r>
              <w:rPr>
                <w:rFonts w:ascii="Calibri" w:hAnsi="Calibri"/>
                <w:color w:val="333333"/>
                <w:sz w:val="18"/>
              </w:rPr>
              <w:t>$2.3B</w:t>
            </w:r>
          </w:p>
        </w:tc>
        <w:tc>
          <w:tcPr>
            <w:tcW w:type="dxa" w:w="2520"/>
            <w:shd w:fill="F2F4F8" w:val="clear"/>
          </w:tcPr>
          <w:p>
            <w:r>
              <w:rPr>
                <w:rFonts w:ascii="Calibri" w:hAnsi="Calibri"/>
                <w:color w:val="333333"/>
                <w:sz w:val="18"/>
              </w:rPr>
              <w:t>$1.4B</w:t>
            </w:r>
          </w:p>
        </w:tc>
        <w:tc>
          <w:tcPr>
            <w:tcW w:type="dxa" w:w="2520"/>
            <w:shd w:fill="F2F4F8" w:val="clear"/>
            <w:shd w:fill="FCE8E6" w:val="clear"/>
          </w:tcPr>
          <w:p>
            <w:r>
              <w:rPr>
                <w:rFonts w:ascii="Calibri" w:hAnsi="Calibri"/>
                <w:color w:val="333333"/>
                <w:sz w:val="18"/>
              </w:rPr>
              <w:t>-37.8%</w:t>
            </w:r>
          </w:p>
        </w:tc>
      </w:tr>
      <w:tr>
        <w:tc>
          <w:tcPr>
            <w:tcW w:type="dxa" w:w="2520"/>
          </w:tcPr>
          <w:p>
            <w:r>
              <w:rPr>
                <w:rFonts w:ascii="Calibri" w:hAnsi="Calibri"/>
                <w:color w:val="333333"/>
                <w:sz w:val="18"/>
              </w:rPr>
              <w:t>Pre-tax income</w:t>
            </w:r>
          </w:p>
        </w:tc>
        <w:tc>
          <w:tcPr>
            <w:tcW w:type="dxa" w:w="2520"/>
          </w:tcPr>
          <w:p>
            <w:r>
              <w:rPr>
                <w:rFonts w:ascii="Calibri" w:hAnsi="Calibri"/>
                <w:color w:val="333333"/>
                <w:sz w:val="18"/>
              </w:rPr>
              <w:t>$2.9B</w:t>
            </w:r>
          </w:p>
        </w:tc>
        <w:tc>
          <w:tcPr>
            <w:tcW w:type="dxa" w:w="2520"/>
          </w:tcPr>
          <w:p>
            <w:r>
              <w:rPr>
                <w:rFonts w:ascii="Calibri" w:hAnsi="Calibri"/>
                <w:color w:val="333333"/>
                <w:sz w:val="18"/>
              </w:rPr>
              <w:t>$1.5B</w:t>
            </w:r>
          </w:p>
        </w:tc>
        <w:tc>
          <w:tcPr>
            <w:tcW w:type="dxa" w:w="2520"/>
            <w:shd w:fill="FCE8E6" w:val="clear"/>
          </w:tcPr>
          <w:p>
            <w:r>
              <w:rPr>
                <w:rFonts w:ascii="Calibri" w:hAnsi="Calibri"/>
                <w:color w:val="333333"/>
                <w:sz w:val="18"/>
              </w:rPr>
              <w:t>-48.3%</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$912.8M</w:t>
            </w:r>
          </w:p>
        </w:tc>
        <w:tc>
          <w:tcPr>
            <w:tcW w:type="dxa" w:w="2520"/>
            <w:shd w:fill="F2F4F8" w:val="clear"/>
          </w:tcPr>
          <w:p>
            <w:r>
              <w:rPr>
                <w:rFonts w:ascii="Calibri" w:hAnsi="Calibri"/>
                <w:color w:val="333333"/>
                <w:sz w:val="18"/>
              </w:rPr>
              <w:t>$839.4M</w:t>
            </w:r>
          </w:p>
        </w:tc>
        <w:tc>
          <w:tcPr>
            <w:tcW w:type="dxa" w:w="2520"/>
            <w:shd w:fill="F2F4F8" w:val="clear"/>
            <w:shd w:fill="FFF3CD" w:val="clear"/>
          </w:tcPr>
          <w:p>
            <w:r>
              <w:rPr>
                <w:rFonts w:ascii="Calibri" w:hAnsi="Calibri"/>
                <w:color w:val="333333"/>
                <w:sz w:val="18"/>
              </w:rPr>
              <w:t>-8.0%</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$2.9B</w:t>
            </w:r>
          </w:p>
        </w:tc>
        <w:tc>
          <w:tcPr>
            <w:tcW w:type="dxa" w:w="2520"/>
          </w:tcPr>
          <w:p>
            <w:r>
              <w:rPr>
                <w:rFonts w:ascii="Calibri" w:hAnsi="Calibri"/>
                <w:color w:val="333333"/>
                <w:sz w:val="18"/>
              </w:rPr>
              <w:t>$1.5B</w:t>
            </w:r>
          </w:p>
        </w:tc>
        <w:tc>
          <w:tcPr>
            <w:tcW w:type="dxa" w:w="2520"/>
            <w:shd w:fill="FCE8E6" w:val="clear"/>
          </w:tcPr>
          <w:p>
            <w:r>
              <w:rPr>
                <w:rFonts w:ascii="Calibri" w:hAnsi="Calibri"/>
                <w:color w:val="333333"/>
                <w:sz w:val="18"/>
              </w:rPr>
              <w:t>-48.3%</w:t>
            </w:r>
          </w:p>
        </w:tc>
      </w:tr>
      <w:tr>
        <w:tc>
          <w:tcPr>
            <w:tcW w:type="dxa" w:w="2520"/>
            <w:shd w:fill="F2F4F8" w:val="clear"/>
          </w:tcPr>
          <w:p>
            <w:r>
              <w:rPr>
                <w:rFonts w:ascii="Calibri" w:hAnsi="Calibri"/>
                <w:color w:val="333333"/>
                <w:sz w:val="18"/>
              </w:rPr>
              <w:t>Gain/loss on investments</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$680.5M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$-19.8M</w:t>
            </w:r>
          </w:p>
        </w:tc>
        <w:tc>
          <w:tcPr>
            <w:tcW w:type="dxa" w:w="2520"/>
          </w:tcPr>
          <w:p>
            <w:r>
              <w:rPr>
                <w:rFonts w:ascii="Calibri" w:hAnsi="Calibri"/>
                <w:color w:val="333333"/>
                <w:sz w:val="18"/>
              </w:rPr>
              <w:t>$55.0M</w:t>
            </w:r>
          </w:p>
        </w:tc>
        <w:tc>
          <w:tcPr>
            <w:tcW w:type="dxa" w:w="2520"/>
            <w:shd w:fill="DCEEF8" w:val="clear"/>
          </w:tcPr>
          <w:p>
            <w:r>
              <w:rPr>
                <w:rFonts w:ascii="Calibri" w:hAnsi="Calibri"/>
                <w:color w:val="333333"/>
                <w:sz w:val="18"/>
              </w:rPr>
              <w:t>378.2%</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$4.3B</w:t>
            </w:r>
          </w:p>
        </w:tc>
        <w:tc>
          <w:tcPr>
            <w:tcW w:type="dxa" w:w="2520"/>
            <w:shd w:fill="F2F4F8" w:val="clear"/>
          </w:tcPr>
          <w:p>
            <w:r>
              <w:rPr>
                <w:rFonts w:ascii="Calibri" w:hAnsi="Calibri"/>
                <w:color w:val="333333"/>
                <w:sz w:val="18"/>
              </w:rPr>
              <w:t>$5.7B</w:t>
            </w:r>
          </w:p>
        </w:tc>
        <w:tc>
          <w:tcPr>
            <w:tcW w:type="dxa" w:w="2520"/>
            <w:shd w:fill="F2F4F8" w:val="clear"/>
            <w:shd w:fill="DCEEF8" w:val="clear"/>
          </w:tcPr>
          <w:p>
            <w:r>
              <w:rPr>
                <w:rFonts w:ascii="Calibri" w:hAnsi="Calibri"/>
                <w:color w:val="333333"/>
                <w:sz w:val="18"/>
              </w:rPr>
              <w:t>35.0%</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$4.3B</w:t>
            </w:r>
          </w:p>
        </w:tc>
        <w:tc>
          <w:tcPr>
            <w:tcW w:type="dxa" w:w="2520"/>
          </w:tcPr>
          <w:p>
            <w:r>
              <w:rPr>
                <w:rFonts w:ascii="Calibri" w:hAnsi="Calibri"/>
                <w:color w:val="333333"/>
                <w:sz w:val="18"/>
              </w:rPr>
              <w:t>$5.7B</w:t>
            </w:r>
          </w:p>
        </w:tc>
        <w:tc>
          <w:tcPr>
            <w:tcW w:type="dxa" w:w="2520"/>
            <w:shd w:fill="DCEEF8" w:val="clear"/>
          </w:tcPr>
          <w:p>
            <w:r>
              <w:rPr>
                <w:rFonts w:ascii="Calibri" w:hAnsi="Calibri"/>
                <w:color w:val="333333"/>
                <w:sz w:val="18"/>
              </w:rPr>
              <w:t>35.0%</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$29.1M</w:t>
            </w:r>
          </w:p>
        </w:tc>
        <w:tc>
          <w:tcPr>
            <w:tcW w:type="dxa" w:w="2520"/>
            <w:shd w:fill="F2F4F8" w:val="clear"/>
          </w:tcPr>
          <w:p>
            <w:r>
              <w:rPr>
                <w:rFonts w:ascii="Calibri" w:hAnsi="Calibri"/>
                <w:color w:val="333333"/>
                <w:sz w:val="18"/>
              </w:rPr>
              <w:t>$700.9M</w:t>
            </w:r>
          </w:p>
        </w:tc>
        <w:tc>
          <w:tcPr>
            <w:tcW w:type="dxa" w:w="2520"/>
            <w:shd w:fill="F2F4F8" w:val="clear"/>
            <w:shd w:fill="DCEEF8" w:val="clear"/>
          </w:tcPr>
          <w:p>
            <w:r>
              <w:rPr>
                <w:rFonts w:ascii="Calibri" w:hAnsi="Calibri"/>
                <w:color w:val="333333"/>
                <w:sz w:val="18"/>
              </w:rPr>
              <w:t>2310.7%</w:t>
            </w:r>
          </w:p>
        </w:tc>
      </w:tr>
      <w:tr>
        <w:tc>
          <w:tcPr>
            <w:tcW w:type="dxa" w:w="2520"/>
          </w:tcPr>
          <w:p>
            <w:r>
              <w:rPr>
                <w:rFonts w:ascii="Calibri" w:hAnsi="Calibri"/>
                <w:color w:val="333333"/>
                <w:sz w:val="18"/>
              </w:rPr>
              <w:t>Current federal income tax expense / benefit</w:t>
            </w:r>
          </w:p>
        </w:tc>
        <w:tc>
          <w:tcPr>
            <w:tcW w:type="dxa" w:w="2520"/>
          </w:tcPr>
          <w:p>
            <w:r>
              <w:rPr>
                <w:rFonts w:ascii="Calibri" w:hAnsi="Calibri"/>
                <w:color w:val="333333"/>
                <w:sz w:val="18"/>
              </w:rPr>
              <w:t>$120.4M</w:t>
            </w:r>
          </w:p>
        </w:tc>
        <w:tc>
          <w:tcPr>
            <w:tcW w:type="dxa" w:w="2520"/>
          </w:tcPr>
          <w:p>
            <w:r>
              <w:rPr>
                <w:rFonts w:ascii="Calibri" w:hAnsi="Calibri"/>
                <w:color w:val="333333"/>
                <w:sz w:val="18"/>
              </w:rPr>
              <w:t>$-29.2M</w:t>
            </w:r>
          </w:p>
        </w:tc>
        <w:tc>
          <w:tcPr>
            <w:tcW w:type="dxa" w:w="2520"/>
            <w:shd w:fill="FCE8E6" w:val="clear"/>
          </w:tcPr>
          <w:p>
            <w:r>
              <w:rPr>
                <w:rFonts w:ascii="Calibri" w:hAnsi="Calibri"/>
                <w:color w:val="333333"/>
                <w:sz w:val="18"/>
              </w:rPr>
              <w:t>-124.2%</w:t>
            </w:r>
          </w:p>
        </w:tc>
      </w:tr>
      <w:tr>
        <w:tc>
          <w:tcPr>
            <w:tcW w:type="dxa" w:w="2520"/>
            <w:shd w:fill="F2F4F8" w:val="clear"/>
          </w:tcPr>
          <w:p>
            <w:r>
              <w:rPr>
                <w:rFonts w:ascii="Calibri" w:hAnsi="Calibri"/>
                <w:color w:val="333333"/>
                <w:sz w:val="18"/>
              </w:rPr>
              <w:t>Current state and local income tax expense / benefit</w:t>
            </w:r>
          </w:p>
        </w:tc>
        <w:tc>
          <w:tcPr>
            <w:tcW w:type="dxa" w:w="2520"/>
            <w:shd w:fill="F2F4F8" w:val="clear"/>
          </w:tcPr>
          <w:p>
            <w:r>
              <w:rPr>
                <w:rFonts w:ascii="Calibri" w:hAnsi="Calibri"/>
                <w:color w:val="333333"/>
                <w:sz w:val="18"/>
              </w:rPr>
              <w:t>$60.0M</w:t>
            </w:r>
          </w:p>
        </w:tc>
        <w:tc>
          <w:tcPr>
            <w:tcW w:type="dxa" w:w="2520"/>
            <w:shd w:fill="F2F4F8" w:val="clear"/>
          </w:tcPr>
          <w:p>
            <w:r>
              <w:rPr>
                <w:rFonts w:ascii="Calibri" w:hAnsi="Calibri"/>
                <w:color w:val="333333"/>
                <w:sz w:val="18"/>
              </w:rPr>
              <w:t>$1.9M</w:t>
            </w:r>
          </w:p>
        </w:tc>
        <w:tc>
          <w:tcPr>
            <w:tcW w:type="dxa" w:w="2520"/>
            <w:shd w:fill="F2F4F8" w:val="clear"/>
            <w:shd w:fill="FCE8E6" w:val="clear"/>
          </w:tcPr>
          <w:p>
            <w:r>
              <w:rPr>
                <w:rFonts w:ascii="Calibri" w:hAnsi="Calibri"/>
                <w:color w:val="333333"/>
                <w:sz w:val="18"/>
              </w:rPr>
              <w:t>-96.8%</w:t>
            </w:r>
          </w:p>
        </w:tc>
      </w:tr>
      <w:tr>
        <w:tc>
          <w:tcPr>
            <w:tcW w:type="dxa" w:w="2520"/>
          </w:tcPr>
          <w:p>
            <w:r>
              <w:rPr>
                <w:rFonts w:ascii="Calibri" w:hAnsi="Calibri"/>
                <w:color w:val="333333"/>
                <w:sz w:val="18"/>
              </w:rPr>
              <w:t>Current foreign income tax expense / benefit</w:t>
            </w:r>
          </w:p>
        </w:tc>
        <w:tc>
          <w:tcPr>
            <w:tcW w:type="dxa" w:w="2520"/>
          </w:tcPr>
          <w:p>
            <w:r>
              <w:rPr>
                <w:rFonts w:ascii="Calibri" w:hAnsi="Calibri"/>
                <w:color w:val="333333"/>
                <w:sz w:val="18"/>
              </w:rPr>
              <w:t>$31.9M</w:t>
            </w:r>
          </w:p>
        </w:tc>
        <w:tc>
          <w:tcPr>
            <w:tcW w:type="dxa" w:w="2520"/>
          </w:tcPr>
          <w:p>
            <w:r>
              <w:rPr>
                <w:rFonts w:ascii="Calibri" w:hAnsi="Calibri"/>
                <w:color w:val="333333"/>
                <w:sz w:val="18"/>
              </w:rPr>
              <w:t>$50.6M</w:t>
            </w:r>
          </w:p>
        </w:tc>
        <w:tc>
          <w:tcPr>
            <w:tcW w:type="dxa" w:w="2520"/>
            <w:shd w:fill="DCEEF8" w:val="clear"/>
          </w:tcPr>
          <w:p>
            <w:r>
              <w:rPr>
                <w:rFonts w:ascii="Calibri" w:hAnsi="Calibri"/>
                <w:color w:val="333333"/>
                <w:sz w:val="18"/>
              </w:rPr>
              <w:t>58.8%</w:t>
            </w:r>
          </w:p>
        </w:tc>
      </w:tr>
      <w:tr>
        <w:tc>
          <w:tcPr>
            <w:tcW w:type="dxa" w:w="2520"/>
            <w:shd w:fill="F2F4F8" w:val="clear"/>
          </w:tcPr>
          <w:p>
            <w:r>
              <w:rPr>
                <w:rFonts w:ascii="Calibri" w:hAnsi="Calibri"/>
                <w:color w:val="333333"/>
                <w:sz w:val="18"/>
              </w:rPr>
              <w:t>Deferred federal income tax expense / benefit</w:t>
            </w:r>
          </w:p>
        </w:tc>
        <w:tc>
          <w:tcPr>
            <w:tcW w:type="dxa" w:w="2520"/>
            <w:shd w:fill="F2F4F8" w:val="clear"/>
          </w:tcPr>
          <w:p>
            <w:r>
              <w:rPr>
                <w:rFonts w:ascii="Calibri" w:hAnsi="Calibri"/>
                <w:color w:val="333333"/>
                <w:sz w:val="18"/>
              </w:rPr>
              <w:t>$134.7M</w:t>
            </w:r>
          </w:p>
        </w:tc>
        <w:tc>
          <w:tcPr>
            <w:tcW w:type="dxa" w:w="2520"/>
            <w:shd w:fill="F2F4F8" w:val="clear"/>
          </w:tcPr>
          <w:p>
            <w:r>
              <w:rPr>
                <w:rFonts w:ascii="Calibri" w:hAnsi="Calibri"/>
                <w:color w:val="333333"/>
                <w:sz w:val="18"/>
              </w:rPr>
              <w:t>$210.0M</w:t>
            </w:r>
          </w:p>
        </w:tc>
        <w:tc>
          <w:tcPr>
            <w:tcW w:type="dxa" w:w="2520"/>
            <w:shd w:fill="F2F4F8" w:val="clear"/>
            <w:shd w:fill="DCEEF8" w:val="clear"/>
          </w:tcPr>
          <w:p>
            <w:r>
              <w:rPr>
                <w:rFonts w:ascii="Calibri" w:hAnsi="Calibri"/>
                <w:color w:val="333333"/>
                <w:sz w:val="18"/>
              </w:rPr>
              <w:t>55.9%</w:t>
            </w:r>
          </w:p>
        </w:tc>
      </w:tr>
      <w:tr>
        <w:tc>
          <w:tcPr>
            <w:tcW w:type="dxa" w:w="2520"/>
          </w:tcPr>
          <w:p>
            <w:r>
              <w:rPr>
                <w:rFonts w:ascii="Calibri" w:hAnsi="Calibri"/>
                <w:color w:val="333333"/>
                <w:sz w:val="18"/>
              </w:rPr>
              <w:t>Deferred state and local income tax expense / benefit</w:t>
            </w:r>
          </w:p>
        </w:tc>
        <w:tc>
          <w:tcPr>
            <w:tcW w:type="dxa" w:w="2520"/>
          </w:tcPr>
          <w:p>
            <w:r>
              <w:rPr>
                <w:rFonts w:ascii="Calibri" w:hAnsi="Calibri"/>
                <w:color w:val="333333"/>
                <w:sz w:val="18"/>
              </w:rPr>
              <w:t>$22.4M</w:t>
            </w:r>
          </w:p>
        </w:tc>
        <w:tc>
          <w:tcPr>
            <w:tcW w:type="dxa" w:w="2520"/>
          </w:tcPr>
          <w:p>
            <w:r>
              <w:rPr>
                <w:rFonts w:ascii="Calibri" w:hAnsi="Calibri"/>
                <w:color w:val="333333"/>
                <w:sz w:val="18"/>
              </w:rPr>
              <w:t>$40.2M</w:t>
            </w:r>
          </w:p>
        </w:tc>
        <w:tc>
          <w:tcPr>
            <w:tcW w:type="dxa" w:w="2520"/>
            <w:shd w:fill="DCEEF8" w:val="clear"/>
          </w:tcPr>
          <w:p>
            <w:r>
              <w:rPr>
                <w:rFonts w:ascii="Calibri" w:hAnsi="Calibri"/>
                <w:color w:val="333333"/>
                <w:sz w:val="18"/>
              </w:rPr>
              <w:t>79.6%</w:t>
            </w:r>
          </w:p>
        </w:tc>
      </w:tr>
      <w:tr>
        <w:tc>
          <w:tcPr>
            <w:tcW w:type="dxa" w:w="2520"/>
            <w:shd w:fill="F2F4F8" w:val="clear"/>
          </w:tcPr>
          <w:p>
            <w:r>
              <w:rPr>
                <w:rFonts w:ascii="Calibri" w:hAnsi="Calibri"/>
                <w:color w:val="333333"/>
                <w:sz w:val="18"/>
              </w:rPr>
              <w:t>Deferred foreign income tax expense / benefit</w:t>
            </w:r>
          </w:p>
        </w:tc>
        <w:tc>
          <w:tcPr>
            <w:tcW w:type="dxa" w:w="2520"/>
            <w:shd w:fill="F2F4F8" w:val="clear"/>
          </w:tcPr>
          <w:p>
            <w:r>
              <w:rPr>
                <w:rFonts w:ascii="Calibri" w:hAnsi="Calibri"/>
                <w:color w:val="333333"/>
                <w:sz w:val="18"/>
              </w:rPr>
              <w:t>$-5.8M</w:t>
            </w:r>
          </w:p>
        </w:tc>
        <w:tc>
          <w:tcPr>
            <w:tcW w:type="dxa" w:w="2520"/>
            <w:shd w:fill="F2F4F8" w:val="clear"/>
          </w:tcPr>
          <w:p>
            <w:r>
              <w:rPr>
                <w:rFonts w:ascii="Calibri" w:hAnsi="Calibri"/>
                <w:color w:val="333333"/>
                <w:sz w:val="18"/>
              </w:rPr>
              <w:t>$-11.9M</w:t>
            </w:r>
          </w:p>
        </w:tc>
        <w:tc>
          <w:tcPr>
            <w:tcW w:type="dxa" w:w="2520"/>
            <w:shd w:fill="F2F4F8" w:val="clear"/>
            <w:shd w:fill="FCE8E6" w:val="clear"/>
          </w:tcPr>
          <w:p>
            <w:r>
              <w:rPr>
                <w:rFonts w:ascii="Calibri" w:hAnsi="Calibri"/>
                <w:color w:val="333333"/>
                <w:sz w:val="18"/>
              </w:rPr>
              <w:t>-105.2%</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35.1%</w:t>
            </w:r>
          </w:p>
        </w:tc>
        <w:tc>
          <w:tcPr>
            <w:tcW w:type="dxa" w:w="2520"/>
          </w:tcPr>
          <w:p>
            <w:r>
              <w:rPr>
                <w:rFonts w:ascii="Calibri" w:hAnsi="Calibri"/>
                <w:color w:val="333333"/>
                <w:sz w:val="18"/>
              </w:rPr>
              <w:t>20.0%</w:t>
            </w:r>
          </w:p>
        </w:tc>
        <w:tc>
          <w:tcPr>
            <w:tcW w:type="dxa" w:w="2520"/>
            <w:shd w:fill="FCE8E6" w:val="clear"/>
          </w:tcPr>
          <w:p>
            <w:r>
              <w:rPr>
                <w:rFonts w:ascii="Calibri" w:hAnsi="Calibri"/>
                <w:color w:val="333333"/>
                <w:sz w:val="18"/>
              </w:rPr>
              <w:t>-43.1%</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39.3%</w:t>
            </w:r>
          </w:p>
        </w:tc>
        <w:tc>
          <w:tcPr>
            <w:tcW w:type="dxa" w:w="2520"/>
            <w:shd w:fill="F2F4F8" w:val="clear"/>
          </w:tcPr>
          <w:p>
            <w:r>
              <w:rPr>
                <w:rFonts w:ascii="Calibri" w:hAnsi="Calibri"/>
                <w:color w:val="333333"/>
                <w:sz w:val="18"/>
              </w:rPr>
              <w:t>17.6%</w:t>
            </w:r>
          </w:p>
        </w:tc>
        <w:tc>
          <w:tcPr>
            <w:tcW w:type="dxa" w:w="2520"/>
            <w:shd w:fill="F2F4F8" w:val="clear"/>
            <w:shd w:fill="FCE8E6" w:val="clear"/>
          </w:tcPr>
          <w:p>
            <w:r>
              <w:rPr>
                <w:rFonts w:ascii="Calibri" w:hAnsi="Calibri"/>
                <w:color w:val="333333"/>
                <w:sz w:val="18"/>
              </w:rPr>
              <w:t>-55.3%</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37.1%</w:t>
            </w:r>
          </w:p>
        </w:tc>
        <w:tc>
          <w:tcPr>
            <w:tcW w:type="dxa" w:w="2520"/>
          </w:tcPr>
          <w:p>
            <w:r>
              <w:rPr>
                <w:rFonts w:ascii="Calibri" w:hAnsi="Calibri"/>
                <w:color w:val="333333"/>
                <w:sz w:val="18"/>
              </w:rPr>
              <w:t>22.6%</w:t>
            </w:r>
          </w:p>
        </w:tc>
        <w:tc>
          <w:tcPr>
            <w:tcW w:type="dxa" w:w="2520"/>
            <w:shd w:fill="FCE8E6" w:val="clear"/>
          </w:tcPr>
          <w:p>
            <w:r>
              <w:rPr>
                <w:rFonts w:ascii="Calibri" w:hAnsi="Calibri"/>
                <w:color w:val="333333"/>
                <w:sz w:val="18"/>
              </w:rPr>
              <w:t>-39.0%</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$12</w:t>
            </w:r>
          </w:p>
        </w:tc>
        <w:tc>
          <w:tcPr>
            <w:tcW w:type="dxa" w:w="2520"/>
            <w:shd w:fill="F2F4F8" w:val="clear"/>
          </w:tcPr>
          <w:p>
            <w:r>
              <w:rPr>
                <w:rFonts w:ascii="Calibri" w:hAnsi="Calibri"/>
                <w:color w:val="333333"/>
                <w:sz w:val="18"/>
              </w:rPr>
              <w:t>$17</w:t>
            </w:r>
          </w:p>
        </w:tc>
        <w:tc>
          <w:tcPr>
            <w:tcW w:type="dxa" w:w="2520"/>
            <w:shd w:fill="F2F4F8" w:val="clear"/>
            <w:shd w:fill="DCEEF8" w:val="clear"/>
          </w:tcPr>
          <w:p>
            <w:r>
              <w:rPr>
                <w:rFonts w:ascii="Calibri" w:hAnsi="Calibri"/>
                <w:color w:val="333333"/>
                <w:sz w:val="18"/>
              </w:rPr>
              <w:t>39.2%</w:t>
            </w:r>
          </w:p>
        </w:tc>
      </w:tr>
      <w:tr>
        <w:tc>
          <w:tcPr>
            <w:tcW w:type="dxa" w:w="2520"/>
          </w:tcPr>
          <w:p>
            <w:r>
              <w:rPr>
                <w:rFonts w:ascii="Calibri" w:hAnsi="Calibri"/>
                <w:color w:val="333333"/>
                <w:sz w:val="18"/>
              </w:rPr>
              <w:t>Interest coverage ratio</w:t>
            </w:r>
          </w:p>
        </w:tc>
        <w:tc>
          <w:tcPr>
            <w:tcW w:type="dxa" w:w="2520"/>
          </w:tcPr>
          <w:p>
            <w:r>
              <w:rPr>
                <w:rFonts w:ascii="Calibri" w:hAnsi="Calibri"/>
                <w:color w:val="333333"/>
                <w:sz w:val="18"/>
              </w:rPr>
              <w:t>$34</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$22.5B</w:t>
            </w:r>
          </w:p>
        </w:tc>
        <w:tc>
          <w:tcPr>
            <w:tcW w:type="dxa" w:w="2520"/>
          </w:tcPr>
          <w:p>
            <w:r>
              <w:rPr>
                <w:rFonts w:ascii="Calibri" w:hAnsi="Calibri"/>
                <w:color w:val="333333"/>
                <w:sz w:val="18"/>
              </w:rPr>
              <w:t>$29.7B</w:t>
            </w:r>
          </w:p>
        </w:tc>
        <w:tc>
          <w:tcPr>
            <w:tcW w:type="dxa" w:w="2520"/>
            <w:shd w:fill="DCEEF8" w:val="clear"/>
          </w:tcPr>
          <w:p>
            <w:r>
              <w:rPr>
                <w:rFonts w:ascii="Calibri" w:hAnsi="Calibri"/>
                <w:color w:val="333333"/>
                <w:sz w:val="18"/>
              </w:rPr>
              <w:t>31.6%</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$12.3B</w:t>
            </w:r>
          </w:p>
        </w:tc>
        <w:tc>
          <w:tcPr>
            <w:tcW w:type="dxa" w:w="2520"/>
            <w:shd w:fill="F2F4F8" w:val="clear"/>
          </w:tcPr>
          <w:p>
            <w:r>
              <w:rPr>
                <w:rFonts w:ascii="Calibri" w:hAnsi="Calibri"/>
                <w:color w:val="333333"/>
                <w:sz w:val="18"/>
              </w:rPr>
              <w:t>$14.9B</w:t>
            </w:r>
          </w:p>
        </w:tc>
        <w:tc>
          <w:tcPr>
            <w:tcW w:type="dxa" w:w="2520"/>
            <w:shd w:fill="F2F4F8" w:val="clear"/>
            <w:shd w:fill="DCEEF8" w:val="clear"/>
          </w:tcPr>
          <w:p>
            <w:r>
              <w:rPr>
                <w:rFonts w:ascii="Calibri" w:hAnsi="Calibri"/>
                <w:color w:val="333333"/>
                <w:sz w:val="18"/>
              </w:rPr>
              <w:t>21.3%</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$10.3B</w:t>
            </w:r>
          </w:p>
        </w:tc>
        <w:tc>
          <w:tcPr>
            <w:tcW w:type="dxa" w:w="2520"/>
          </w:tcPr>
          <w:p>
            <w:r>
              <w:rPr>
                <w:rFonts w:ascii="Calibri" w:hAnsi="Calibri"/>
                <w:color w:val="333333"/>
                <w:sz w:val="18"/>
              </w:rPr>
              <w:t>$14.8B</w:t>
            </w:r>
          </w:p>
        </w:tc>
        <w:tc>
          <w:tcPr>
            <w:tcW w:type="dxa" w:w="2520"/>
            <w:shd w:fill="DCEEF8" w:val="clear"/>
          </w:tcPr>
          <w:p>
            <w:r>
              <w:rPr>
                <w:rFonts w:ascii="Calibri" w:hAnsi="Calibri"/>
                <w:color w:val="333333"/>
                <w:sz w:val="18"/>
              </w:rPr>
              <w:t>44.0%</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$18.1B</w:t>
            </w:r>
          </w:p>
        </w:tc>
        <w:tc>
          <w:tcPr>
            <w:tcW w:type="dxa" w:w="2520"/>
            <w:shd w:fill="F2F4F8" w:val="clear"/>
          </w:tcPr>
          <w:p>
            <w:r>
              <w:rPr>
                <w:rFonts w:ascii="Calibri" w:hAnsi="Calibri"/>
                <w:color w:val="333333"/>
                <w:sz w:val="18"/>
              </w:rPr>
              <w:t>$20.4B</w:t>
            </w:r>
          </w:p>
        </w:tc>
        <w:tc>
          <w:tcPr>
            <w:tcW w:type="dxa" w:w="2520"/>
            <w:shd w:fill="F2F4F8" w:val="clear"/>
            <w:shd w:fill="DCEEF8" w:val="clear"/>
          </w:tcPr>
          <w:p>
            <w:r>
              <w:rPr>
                <w:rFonts w:ascii="Calibri" w:hAnsi="Calibri"/>
                <w:color w:val="333333"/>
                <w:sz w:val="18"/>
              </w:rPr>
              <w:t>12.6%</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$7.9B</w:t>
            </w:r>
          </w:p>
        </w:tc>
        <w:tc>
          <w:tcPr>
            <w:tcW w:type="dxa" w:w="2520"/>
          </w:tcPr>
          <w:p>
            <w:r>
              <w:rPr>
                <w:rFonts w:ascii="Calibri" w:hAnsi="Calibri"/>
                <w:color w:val="333333"/>
                <w:sz w:val="18"/>
              </w:rPr>
              <w:t>$8.7B</w:t>
            </w:r>
          </w:p>
        </w:tc>
        <w:tc>
          <w:tcPr>
            <w:tcW w:type="dxa" w:w="2520"/>
            <w:shd w:fill="FFF3CD" w:val="clear"/>
          </w:tcPr>
          <w:p>
            <w:r>
              <w:rPr>
                <w:rFonts w:ascii="Calibri" w:hAnsi="Calibri"/>
                <w:color w:val="333333"/>
                <w:sz w:val="18"/>
              </w:rPr>
              <w:t>9.6%</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$8.5B</w:t>
            </w:r>
          </w:p>
        </w:tc>
        <w:tc>
          <w:tcPr>
            <w:tcW w:type="dxa" w:w="2520"/>
            <w:shd w:fill="F2F4F8" w:val="clear"/>
          </w:tcPr>
          <w:p>
            <w:r>
              <w:rPr>
                <w:rFonts w:ascii="Calibri" w:hAnsi="Calibri"/>
                <w:color w:val="333333"/>
                <w:sz w:val="18"/>
              </w:rPr>
              <w:t>$11.3B</w:t>
            </w:r>
          </w:p>
        </w:tc>
        <w:tc>
          <w:tcPr>
            <w:tcW w:type="dxa" w:w="2520"/>
            <w:shd w:fill="F2F4F8" w:val="clear"/>
            <w:shd w:fill="DCEEF8" w:val="clear"/>
          </w:tcPr>
          <w:p>
            <w:r>
              <w:rPr>
                <w:rFonts w:ascii="Calibri" w:hAnsi="Calibri"/>
                <w:color w:val="333333"/>
                <w:sz w:val="18"/>
              </w:rPr>
              <w:t>32.1%</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$265.3M</w:t>
            </w:r>
          </w:p>
        </w:tc>
        <w:tc>
          <w:tcPr>
            <w:tcW w:type="dxa" w:w="2520"/>
          </w:tcPr>
          <w:p>
            <w:r>
              <w:rPr>
                <w:rFonts w:ascii="Calibri" w:hAnsi="Calibri"/>
                <w:color w:val="333333"/>
                <w:sz w:val="18"/>
              </w:rPr>
              <w:t>$307.1M</w:t>
            </w:r>
          </w:p>
        </w:tc>
        <w:tc>
          <w:tcPr>
            <w:tcW w:type="dxa" w:w="2520"/>
            <w:shd w:fill="DCEEF8" w:val="clear"/>
          </w:tcPr>
          <w:p>
            <w:r>
              <w:rPr>
                <w:rFonts w:ascii="Calibri" w:hAnsi="Calibri"/>
                <w:color w:val="333333"/>
                <w:sz w:val="18"/>
              </w:rPr>
              <w:t>15.8%</w:t>
            </w:r>
          </w:p>
        </w:tc>
      </w:tr>
      <w:tr>
        <w:tc>
          <w:tcPr>
            <w:tcW w:type="dxa" w:w="2520"/>
            <w:shd w:fill="F2F4F8" w:val="clear"/>
          </w:tcPr>
          <w:p>
            <w:r>
              <w:rPr>
                <w:rFonts w:ascii="Calibri" w:hAnsi="Calibri"/>
                <w:color w:val="333333"/>
                <w:sz w:val="18"/>
              </w:rPr>
              <w:t>Property, plant and equipment, net</w:t>
            </w:r>
          </w:p>
        </w:tc>
        <w:tc>
          <w:tcPr>
            <w:tcW w:type="dxa" w:w="2520"/>
            <w:shd w:fill="F2F4F8" w:val="clear"/>
          </w:tcPr>
          <w:p>
            <w:r>
              <w:rPr>
                <w:rFonts w:ascii="Calibri" w:hAnsi="Calibri"/>
                <w:color w:val="333333"/>
                <w:sz w:val="18"/>
              </w:rPr>
              <w:t>$200.1M</w:t>
            </w:r>
          </w:p>
        </w:tc>
        <w:tc>
          <w:tcPr>
            <w:tcW w:type="dxa" w:w="2520"/>
            <w:shd w:fill="F2F4F8" w:val="clear"/>
          </w:tcPr>
          <w:p>
            <w:r>
              <w:rPr>
                <w:rFonts w:ascii="Calibri" w:hAnsi="Calibri"/>
                <w:color w:val="333333"/>
                <w:sz w:val="18"/>
              </w:rPr>
              <w:t>$264.6M</w:t>
            </w:r>
          </w:p>
        </w:tc>
        <w:tc>
          <w:tcPr>
            <w:tcW w:type="dxa" w:w="2520"/>
            <w:shd w:fill="F2F4F8" w:val="clear"/>
            <w:shd w:fill="DCEEF8" w:val="clear"/>
          </w:tcPr>
          <w:p>
            <w:r>
              <w:rPr>
                <w:rFonts w:ascii="Calibri" w:hAnsi="Calibri"/>
                <w:color w:val="333333"/>
                <w:sz w:val="18"/>
              </w:rPr>
              <w:t>32.2%</w:t>
            </w:r>
          </w:p>
        </w:tc>
      </w:tr>
      <w:tr>
        <w:tc>
          <w:tcPr>
            <w:tcW w:type="dxa" w:w="2520"/>
          </w:tcPr>
          <w:p>
            <w:r>
              <w:rPr>
                <w:rFonts w:ascii="Calibri" w:hAnsi="Calibri"/>
                <w:color w:val="333333"/>
                <w:sz w:val="18"/>
              </w:rPr>
              <w:t>Goodwill</w:t>
            </w:r>
          </w:p>
        </w:tc>
        <w:tc>
          <w:tcPr>
            <w:tcW w:type="dxa" w:w="2520"/>
          </w:tcPr>
          <w:p>
            <w:r>
              <w:rPr>
                <w:rFonts w:ascii="Calibri" w:hAnsi="Calibri"/>
                <w:color w:val="333333"/>
                <w:sz w:val="18"/>
              </w:rPr>
              <w:t>$1.1B</w:t>
            </w:r>
          </w:p>
        </w:tc>
        <w:tc>
          <w:tcPr>
            <w:tcW w:type="dxa" w:w="2520"/>
          </w:tcPr>
          <w:p>
            <w:r>
              <w:rPr>
                <w:rFonts w:ascii="Calibri" w:hAnsi="Calibri"/>
                <w:color w:val="333333"/>
                <w:sz w:val="18"/>
              </w:rPr>
              <w:t>$4.2B</w:t>
            </w:r>
          </w:p>
        </w:tc>
        <w:tc>
          <w:tcPr>
            <w:tcW w:type="dxa" w:w="2520"/>
            <w:shd w:fill="DCEEF8" w:val="clear"/>
          </w:tcPr>
          <w:p>
            <w:r>
              <w:rPr>
                <w:rFonts w:ascii="Calibri" w:hAnsi="Calibri"/>
                <w:color w:val="333333"/>
                <w:sz w:val="18"/>
              </w:rPr>
              <w:t>265.8%</w:t>
            </w:r>
          </w:p>
        </w:tc>
      </w:tr>
      <w:tr>
        <w:tc>
          <w:tcPr>
            <w:tcW w:type="dxa" w:w="2520"/>
            <w:shd w:fill="F2F4F8" w:val="clear"/>
          </w:tcPr>
          <w:p>
            <w:r>
              <w:rPr>
                <w:rFonts w:ascii="Calibri" w:hAnsi="Calibri"/>
                <w:color w:val="333333"/>
                <w:sz w:val="18"/>
              </w:rPr>
              <w:t>Intangible assets, net (excluding goodwill)</w:t>
            </w:r>
          </w:p>
        </w:tc>
        <w:tc>
          <w:tcPr>
            <w:tcW w:type="dxa" w:w="2520"/>
            <w:shd w:fill="F2F4F8" w:val="clear"/>
          </w:tcPr>
          <w:p>
            <w:r>
              <w:rPr>
                <w:rFonts w:ascii="Calibri" w:hAnsi="Calibri"/>
                <w:color w:val="333333"/>
                <w:sz w:val="18"/>
              </w:rPr>
              <w:t>$46.8M</w:t>
            </w:r>
          </w:p>
        </w:tc>
        <w:tc>
          <w:tcPr>
            <w:tcW w:type="dxa" w:w="2520"/>
            <w:shd w:fill="F2F4F8" w:val="clear"/>
          </w:tcPr>
          <w:p>
            <w:r>
              <w:rPr>
                <w:rFonts w:ascii="Calibri" w:hAnsi="Calibri"/>
                <w:color w:val="333333"/>
                <w:sz w:val="18"/>
              </w:rPr>
              <w:t>$1.4B</w:t>
            </w:r>
          </w:p>
        </w:tc>
        <w:tc>
          <w:tcPr>
            <w:tcW w:type="dxa" w:w="2520"/>
            <w:shd w:fill="F2F4F8" w:val="clear"/>
            <w:shd w:fill="DCEEF8" w:val="clear"/>
          </w:tcPr>
          <w:p>
            <w:r>
              <w:rPr>
                <w:rFonts w:ascii="Calibri" w:hAnsi="Calibri"/>
                <w:color w:val="333333"/>
                <w:sz w:val="18"/>
              </w:rPr>
              <w:t>2886.5%</w:t>
            </w:r>
          </w:p>
        </w:tc>
      </w:tr>
      <w:tr>
        <w:tc>
          <w:tcPr>
            <w:tcW w:type="dxa" w:w="2520"/>
          </w:tcPr>
          <w:p>
            <w:r>
              <w:rPr>
                <w:rFonts w:ascii="Calibri" w:hAnsi="Calibri"/>
                <w:color w:val="333333"/>
                <w:sz w:val="18"/>
              </w:rPr>
              <w:t>Long-term debt, non-current</w:t>
            </w:r>
          </w:p>
        </w:tc>
        <w:tc>
          <w:tcPr>
            <w:tcW w:type="dxa" w:w="2520"/>
          </w:tcPr>
          <w:p>
            <w:r>
              <w:rPr>
                <w:rFonts w:ascii="Calibri" w:hAnsi="Calibri"/>
                <w:color w:val="333333"/>
                <w:sz w:val="18"/>
              </w:rPr>
              <w:t>$4.2B</w:t>
            </w:r>
          </w:p>
        </w:tc>
        <w:tc>
          <w:tcPr>
            <w:tcW w:type="dxa" w:w="2520"/>
          </w:tcPr>
          <w:p>
            <w:r>
              <w:rPr>
                <w:rFonts w:ascii="Calibri" w:hAnsi="Calibri"/>
                <w:color w:val="333333"/>
                <w:sz w:val="18"/>
              </w:rPr>
              <w:t>$5.9B</w:t>
            </w:r>
          </w:p>
        </w:tc>
        <w:tc>
          <w:tcPr>
            <w:tcW w:type="dxa" w:w="2520"/>
            <w:shd w:fill="DCEEF8" w:val="clear"/>
          </w:tcPr>
          <w:p>
            <w:r>
              <w:rPr>
                <w:rFonts w:ascii="Calibri" w:hAnsi="Calibri"/>
                <w:color w:val="333333"/>
                <w:sz w:val="18"/>
              </w:rPr>
              <w:t>40.2%</w:t>
            </w:r>
          </w:p>
        </w:tc>
      </w:tr>
      <w:tr>
        <w:tc>
          <w:tcPr>
            <w:tcW w:type="dxa" w:w="2520"/>
            <w:shd w:fill="F2F4F8" w:val="clear"/>
          </w:tcPr>
          <w:p>
            <w:r>
              <w:rPr>
                <w:rFonts w:ascii="Calibri" w:hAnsi="Calibri"/>
                <w:color w:val="333333"/>
                <w:sz w:val="18"/>
              </w:rPr>
              <w:t>Short-term debt / current portion of long-term debt</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$452.1M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Retained earnings / accumulated deficit</w:t>
            </w:r>
          </w:p>
        </w:tc>
        <w:tc>
          <w:tcPr>
            <w:tcW w:type="dxa" w:w="2520"/>
          </w:tcPr>
          <w:p>
            <w:r>
              <w:rPr>
                <w:rFonts w:ascii="Calibri" w:hAnsi="Calibri"/>
                <w:color w:val="333333"/>
                <w:sz w:val="18"/>
              </w:rPr>
              <w:t>$5.0B</w:t>
            </w:r>
          </w:p>
        </w:tc>
        <w:tc>
          <w:tcPr>
            <w:tcW w:type="dxa" w:w="2520"/>
          </w:tcPr>
          <w:p>
            <w:r>
              <w:rPr>
                <w:rFonts w:ascii="Calibri" w:hAnsi="Calibri"/>
                <w:color w:val="333333"/>
                <w:sz w:val="18"/>
              </w:rPr>
              <w:t>$6.2B</w:t>
            </w:r>
          </w:p>
        </w:tc>
        <w:tc>
          <w:tcPr>
            <w:tcW w:type="dxa" w:w="2520"/>
            <w:shd w:fill="DCEEF8" w:val="clear"/>
          </w:tcPr>
          <w:p>
            <w:r>
              <w:rPr>
                <w:rFonts w:ascii="Calibri" w:hAnsi="Calibri"/>
                <w:color w:val="333333"/>
                <w:sz w:val="18"/>
              </w:rPr>
              <w:t>25.4%</w:t>
            </w:r>
          </w:p>
        </w:tc>
      </w:tr>
      <w:tr>
        <w:tc>
          <w:tcPr>
            <w:tcW w:type="dxa" w:w="2520"/>
            <w:shd w:fill="F2F4F8" w:val="clear"/>
          </w:tcPr>
          <w:p>
            <w:r>
              <w:rPr>
                <w:rFonts w:ascii="Calibri" w:hAnsi="Calibri"/>
                <w:color w:val="333333"/>
                <w:sz w:val="18"/>
              </w:rPr>
              <w:t>Total debt (short-term + long-term)</w:t>
            </w:r>
          </w:p>
        </w:tc>
        <w:tc>
          <w:tcPr>
            <w:tcW w:type="dxa" w:w="2520"/>
            <w:shd w:fill="F2F4F8" w:val="clear"/>
          </w:tcPr>
          <w:p>
            <w:r>
              <w:rPr>
                <w:rFonts w:ascii="Calibri" w:hAnsi="Calibri"/>
                <w:color w:val="333333"/>
                <w:sz w:val="18"/>
              </w:rPr>
              <w:t>$4.2B</w:t>
            </w:r>
          </w:p>
        </w:tc>
        <w:tc>
          <w:tcPr>
            <w:tcW w:type="dxa" w:w="2520"/>
            <w:shd w:fill="F2F4F8" w:val="clear"/>
          </w:tcPr>
          <w:p>
            <w:r>
              <w:rPr>
                <w:rFonts w:ascii="Calibri" w:hAnsi="Calibri"/>
                <w:color w:val="333333"/>
                <w:sz w:val="18"/>
              </w:rPr>
              <w:t>$7.2B</w:t>
            </w:r>
          </w:p>
        </w:tc>
        <w:tc>
          <w:tcPr>
            <w:tcW w:type="dxa" w:w="2520"/>
            <w:shd w:fill="F2F4F8" w:val="clear"/>
            <w:shd w:fill="DCEEF8" w:val="clear"/>
          </w:tcPr>
          <w:p>
            <w:r>
              <w:rPr>
                <w:rFonts w:ascii="Calibri" w:hAnsi="Calibri"/>
                <w:color w:val="333333"/>
                <w:sz w:val="18"/>
              </w:rPr>
              <w:t>70.2%</w:t>
            </w:r>
          </w:p>
        </w:tc>
      </w:tr>
      <w:tr>
        <w:tc>
          <w:tcPr>
            <w:tcW w:type="dxa" w:w="2520"/>
          </w:tcPr>
          <w:p>
            <w:r>
              <w:rPr>
                <w:rFonts w:ascii="Calibri" w:hAnsi="Calibri"/>
                <w:color w:val="333333"/>
                <w:sz w:val="18"/>
              </w:rPr>
              <w:t>Common shares outstanding</w:t>
            </w:r>
          </w:p>
        </w:tc>
        <w:tc>
          <w:tcPr>
            <w:tcW w:type="dxa" w:w="2520"/>
          </w:tcPr>
          <w:p>
            <w:r>
              <w:rPr>
                <w:rFonts w:ascii="Calibri" w:hAnsi="Calibri"/>
                <w:color w:val="333333"/>
                <w:sz w:val="18"/>
              </w:rPr>
              <w:t>N/A</w:t>
            </w:r>
          </w:p>
        </w:tc>
        <w:tc>
          <w:tcPr>
            <w:tcW w:type="dxa" w:w="2520"/>
          </w:tcPr>
          <w:p>
            <w:r>
              <w:rPr>
                <w:rFonts w:ascii="Calibri" w:hAnsi="Calibri"/>
                <w:color w:val="333333"/>
                <w:sz w:val="18"/>
              </w:rPr>
              <w:t>267.8M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Accounts payable</w:t>
            </w:r>
          </w:p>
        </w:tc>
        <w:tc>
          <w:tcPr>
            <w:tcW w:type="dxa" w:w="2520"/>
            <w:shd w:fill="F2F4F8" w:val="clear"/>
          </w:tcPr>
          <w:p>
            <w:r>
              <w:rPr>
                <w:rFonts w:ascii="Calibri" w:hAnsi="Calibri"/>
                <w:color w:val="333333"/>
                <w:sz w:val="18"/>
              </w:rPr>
              <w:t>$63.3M</w:t>
            </w:r>
          </w:p>
        </w:tc>
        <w:tc>
          <w:tcPr>
            <w:tcW w:type="dxa" w:w="2520"/>
            <w:shd w:fill="F2F4F8" w:val="clear"/>
          </w:tcPr>
          <w:p>
            <w:r>
              <w:rPr>
                <w:rFonts w:ascii="Calibri" w:hAnsi="Calibri"/>
                <w:color w:val="333333"/>
                <w:sz w:val="18"/>
              </w:rPr>
              <w:t>$117.6M</w:t>
            </w:r>
          </w:p>
        </w:tc>
        <w:tc>
          <w:tcPr>
            <w:tcW w:type="dxa" w:w="2520"/>
            <w:shd w:fill="F2F4F8" w:val="clear"/>
            <w:shd w:fill="DCEEF8" w:val="clear"/>
          </w:tcPr>
          <w:p>
            <w:r>
              <w:rPr>
                <w:rFonts w:ascii="Calibri" w:hAnsi="Calibri"/>
                <w:color w:val="333333"/>
                <w:sz w:val="18"/>
              </w:rPr>
              <w:t>85.7%</w:t>
            </w:r>
          </w:p>
        </w:tc>
      </w:tr>
      <w:tr>
        <w:tc>
          <w:tcPr>
            <w:tcW w:type="dxa" w:w="2520"/>
          </w:tcPr>
          <w:p>
            <w:r>
              <w:rPr>
                <w:rFonts w:ascii="Calibri" w:hAnsi="Calibri"/>
                <w:color w:val="333333"/>
                <w:sz w:val="18"/>
              </w:rPr>
              <w:t>Operating lease liabilities</w:t>
            </w:r>
          </w:p>
        </w:tc>
        <w:tc>
          <w:tcPr>
            <w:tcW w:type="dxa" w:w="2520"/>
          </w:tcPr>
          <w:p>
            <w:r>
              <w:rPr>
                <w:rFonts w:ascii="Calibri" w:hAnsi="Calibri"/>
                <w:color w:val="333333"/>
                <w:sz w:val="18"/>
              </w:rPr>
              <w:t>$95.4M</w:t>
            </w:r>
          </w:p>
        </w:tc>
        <w:tc>
          <w:tcPr>
            <w:tcW w:type="dxa" w:w="2520"/>
          </w:tcPr>
          <w:p>
            <w:r>
              <w:rPr>
                <w:rFonts w:ascii="Calibri" w:hAnsi="Calibri"/>
                <w:color w:val="333333"/>
                <w:sz w:val="18"/>
              </w:rPr>
              <w:t>$199.3M</w:t>
            </w:r>
          </w:p>
        </w:tc>
        <w:tc>
          <w:tcPr>
            <w:tcW w:type="dxa" w:w="2520"/>
            <w:shd w:fill="DCEEF8" w:val="clear"/>
          </w:tcPr>
          <w:p>
            <w:r>
              <w:rPr>
                <w:rFonts w:ascii="Calibri" w:hAnsi="Calibri"/>
                <w:color w:val="333333"/>
                <w:sz w:val="18"/>
              </w:rPr>
              <w:t>108.9%</w:t>
            </w:r>
          </w:p>
        </w:tc>
      </w:tr>
      <w:tr>
        <w:tc>
          <w:tcPr>
            <w:tcW w:type="dxa" w:w="2520"/>
            <w:shd w:fill="F2F4F8" w:val="clear"/>
          </w:tcPr>
          <w:p>
            <w:r>
              <w:rPr>
                <w:rFonts w:ascii="Calibri" w:hAnsi="Calibri"/>
                <w:color w:val="333333"/>
                <w:sz w:val="18"/>
              </w:rPr>
              <w:t>Short-term investments / marketable securities</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$309.8M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Other current assets</w:t>
            </w:r>
          </w:p>
        </w:tc>
        <w:tc>
          <w:tcPr>
            <w:tcW w:type="dxa" w:w="2520"/>
          </w:tcPr>
          <w:p>
            <w:r>
              <w:rPr>
                <w:rFonts w:ascii="Calibri" w:hAnsi="Calibri"/>
                <w:color w:val="333333"/>
                <w:sz w:val="18"/>
              </w:rPr>
              <w:t>$277.5M</w:t>
            </w:r>
          </w:p>
        </w:tc>
        <w:tc>
          <w:tcPr>
            <w:tcW w:type="dxa" w:w="2520"/>
          </w:tcPr>
          <w:p>
            <w:r>
              <w:rPr>
                <w:rFonts w:ascii="Calibri" w:hAnsi="Calibri"/>
                <w:color w:val="333333"/>
                <w:sz w:val="18"/>
              </w:rPr>
              <w:t>$187.2M</w:t>
            </w:r>
          </w:p>
        </w:tc>
        <w:tc>
          <w:tcPr>
            <w:tcW w:type="dxa" w:w="2520"/>
            <w:shd w:fill="FCE8E6" w:val="clear"/>
          </w:tcPr>
          <w:p>
            <w:r>
              <w:rPr>
                <w:rFonts w:ascii="Calibri" w:hAnsi="Calibri"/>
                <w:color w:val="333333"/>
                <w:sz w:val="18"/>
              </w:rPr>
              <w:t>-32.6%</w:t>
            </w:r>
          </w:p>
        </w:tc>
      </w:tr>
      <w:tr>
        <w:tc>
          <w:tcPr>
            <w:tcW w:type="dxa" w:w="2520"/>
            <w:shd w:fill="F2F4F8" w:val="clear"/>
          </w:tcPr>
          <w:p>
            <w:r>
              <w:rPr>
                <w:rFonts w:ascii="Calibri" w:hAnsi="Calibri"/>
                <w:color w:val="333333"/>
                <w:sz w:val="18"/>
              </w:rPr>
              <w:t>Accrued liabilities</w:t>
            </w:r>
          </w:p>
        </w:tc>
        <w:tc>
          <w:tcPr>
            <w:tcW w:type="dxa" w:w="2520"/>
            <w:shd w:fill="F2F4F8" w:val="clear"/>
          </w:tcPr>
          <w:p>
            <w:r>
              <w:rPr>
                <w:rFonts w:ascii="Calibri" w:hAnsi="Calibri"/>
                <w:color w:val="333333"/>
                <w:sz w:val="18"/>
              </w:rPr>
              <w:t>$626.8M</w:t>
            </w:r>
          </w:p>
        </w:tc>
        <w:tc>
          <w:tcPr>
            <w:tcW w:type="dxa" w:w="2520"/>
            <w:shd w:fill="F2F4F8" w:val="clear"/>
          </w:tcPr>
          <w:p>
            <w:r>
              <w:rPr>
                <w:rFonts w:ascii="Calibri" w:hAnsi="Calibri"/>
                <w:color w:val="333333"/>
                <w:sz w:val="18"/>
              </w:rPr>
              <w:t>$687.7M</w:t>
            </w:r>
          </w:p>
        </w:tc>
        <w:tc>
          <w:tcPr>
            <w:tcW w:type="dxa" w:w="2520"/>
            <w:shd w:fill="F2F4F8" w:val="clear"/>
            <w:shd w:fill="FFF3CD" w:val="clear"/>
          </w:tcPr>
          <w:p>
            <w:r>
              <w:rPr>
                <w:rFonts w:ascii="Calibri" w:hAnsi="Calibri"/>
                <w:color w:val="333333"/>
                <w:sz w:val="18"/>
              </w:rPr>
              <w:t>9.7%</w:t>
            </w:r>
          </w:p>
        </w:tc>
      </w:tr>
      <w:tr>
        <w:tc>
          <w:tcPr>
            <w:tcW w:type="dxa" w:w="2520"/>
          </w:tcPr>
          <w:p>
            <w:r>
              <w:rPr>
                <w:rFonts w:ascii="Calibri" w:hAnsi="Calibri"/>
                <w:color w:val="333333"/>
                <w:sz w:val="18"/>
              </w:rPr>
              <w:t>Deferred income tax assets, net</w:t>
            </w:r>
          </w:p>
        </w:tc>
        <w:tc>
          <w:tcPr>
            <w:tcW w:type="dxa" w:w="2520"/>
          </w:tcPr>
          <w:p>
            <w:r>
              <w:rPr>
                <w:rFonts w:ascii="Calibri" w:hAnsi="Calibri"/>
                <w:color w:val="333333"/>
                <w:sz w:val="18"/>
              </w:rPr>
              <w:t>$941.3M</w:t>
            </w:r>
          </w:p>
        </w:tc>
        <w:tc>
          <w:tcPr>
            <w:tcW w:type="dxa" w:w="2520"/>
          </w:tcPr>
          <w:p>
            <w:r>
              <w:rPr>
                <w:rFonts w:ascii="Calibri" w:hAnsi="Calibri"/>
                <w:color w:val="333333"/>
                <w:sz w:val="18"/>
              </w:rPr>
              <w:t>$570.8M</w:t>
            </w:r>
          </w:p>
        </w:tc>
        <w:tc>
          <w:tcPr>
            <w:tcW w:type="dxa" w:w="2520"/>
            <w:shd w:fill="FCE8E6" w:val="clear"/>
          </w:tcPr>
          <w:p>
            <w:r>
              <w:rPr>
                <w:rFonts w:ascii="Calibri" w:hAnsi="Calibri"/>
                <w:color w:val="333333"/>
                <w:sz w:val="18"/>
              </w:rPr>
              <w:t>-39.4%</w:t>
            </w:r>
          </w:p>
        </w:tc>
      </w:tr>
      <w:tr>
        <w:tc>
          <w:tcPr>
            <w:tcW w:type="dxa" w:w="2520"/>
            <w:shd w:fill="F2F4F8" w:val="clear"/>
          </w:tcPr>
          <w:p>
            <w:r>
              <w:rPr>
                <w:rFonts w:ascii="Calibri" w:hAnsi="Calibri"/>
                <w:color w:val="333333"/>
                <w:sz w:val="18"/>
              </w:rPr>
              <w:t>Accumulated other comprehensive income/loss</w:t>
            </w:r>
          </w:p>
        </w:tc>
        <w:tc>
          <w:tcPr>
            <w:tcW w:type="dxa" w:w="2520"/>
            <w:shd w:fill="F2F4F8" w:val="clear"/>
          </w:tcPr>
          <w:p>
            <w:r>
              <w:rPr>
                <w:rFonts w:ascii="Calibri" w:hAnsi="Calibri"/>
                <w:color w:val="333333"/>
                <w:sz w:val="18"/>
              </w:rPr>
              <w:t>$-50.1M</w:t>
            </w:r>
          </w:p>
        </w:tc>
        <w:tc>
          <w:tcPr>
            <w:tcW w:type="dxa" w:w="2520"/>
            <w:shd w:fill="F2F4F8" w:val="clear"/>
          </w:tcPr>
          <w:p>
            <w:r>
              <w:rPr>
                <w:rFonts w:ascii="Calibri" w:hAnsi="Calibri"/>
                <w:color w:val="333333"/>
                <w:sz w:val="18"/>
              </w:rPr>
              <w:t>$5.0M</w:t>
            </w:r>
          </w:p>
        </w:tc>
        <w:tc>
          <w:tcPr>
            <w:tcW w:type="dxa" w:w="2520"/>
            <w:shd w:fill="F2F4F8" w:val="clear"/>
            <w:shd w:fill="DCEEF8" w:val="clear"/>
          </w:tcPr>
          <w:p>
            <w:r>
              <w:rPr>
                <w:rFonts w:ascii="Calibri" w:hAnsi="Calibri"/>
                <w:color w:val="333333"/>
                <w:sz w:val="18"/>
              </w:rPr>
              <w:t>109.9%</w:t>
            </w:r>
          </w:p>
        </w:tc>
      </w:tr>
      <w:tr>
        <w:tc>
          <w:tcPr>
            <w:tcW w:type="dxa" w:w="2520"/>
          </w:tcPr>
          <w:p>
            <w:r>
              <w:rPr>
                <w:rFonts w:ascii="Calibri" w:hAnsi="Calibri"/>
                <w:color w:val="333333"/>
                <w:sz w:val="18"/>
              </w:rPr>
              <w:t>Common stock par value</w:t>
            </w:r>
          </w:p>
        </w:tc>
        <w:tc>
          <w:tcPr>
            <w:tcW w:type="dxa" w:w="2520"/>
          </w:tcPr>
          <w:p>
            <w:r>
              <w:rPr>
                <w:rFonts w:ascii="Calibri" w:hAnsi="Calibri"/>
                <w:color w:val="333333"/>
                <w:sz w:val="18"/>
              </w:rPr>
              <w:t>N/A</w:t>
            </w:r>
          </w:p>
        </w:tc>
        <w:tc>
          <w:tcPr>
            <w:tcW w:type="dxa" w:w="2520"/>
          </w:tcPr>
          <w:p>
            <w:r>
              <w:rPr>
                <w:rFonts w:ascii="Calibri" w:hAnsi="Calibri"/>
                <w:color w:val="333333"/>
                <w:sz w:val="18"/>
              </w:rPr>
              <w:t>$3.0K</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Additional paid-in capital</w:t>
            </w:r>
          </w:p>
        </w:tc>
        <w:tc>
          <w:tcPr>
            <w:tcW w:type="dxa" w:w="2520"/>
            <w:shd w:fill="F2F4F8" w:val="clear"/>
          </w:tcPr>
          <w:p>
            <w:r>
              <w:rPr>
                <w:rFonts w:ascii="Calibri" w:hAnsi="Calibri"/>
                <w:color w:val="333333"/>
                <w:sz w:val="18"/>
              </w:rPr>
              <w:t>$5.4B</w:t>
            </w:r>
          </w:p>
        </w:tc>
        <w:tc>
          <w:tcPr>
            <w:tcW w:type="dxa" w:w="2520"/>
            <w:shd w:fill="F2F4F8" w:val="clear"/>
          </w:tcPr>
          <w:p>
            <w:r>
              <w:rPr>
                <w:rFonts w:ascii="Calibri" w:hAnsi="Calibri"/>
                <w:color w:val="333333"/>
                <w:sz w:val="18"/>
              </w:rPr>
              <w:t>$8.6B</w:t>
            </w:r>
          </w:p>
        </w:tc>
        <w:tc>
          <w:tcPr>
            <w:tcW w:type="dxa" w:w="2520"/>
            <w:shd w:fill="F2F4F8" w:val="clear"/>
            <w:shd w:fill="DCEEF8" w:val="clear"/>
          </w:tcPr>
          <w:p>
            <w:r>
              <w:rPr>
                <w:rFonts w:ascii="Calibri" w:hAnsi="Calibri"/>
                <w:color w:val="333333"/>
                <w:sz w:val="18"/>
              </w:rPr>
              <w:t>59.6%</w:t>
            </w:r>
          </w:p>
        </w:tc>
      </w:tr>
      <w:tr>
        <w:tc>
          <w:tcPr>
            <w:tcW w:type="dxa" w:w="2520"/>
          </w:tcPr>
          <w:p>
            <w:r>
              <w:rPr>
                <w:rFonts w:ascii="Calibri" w:hAnsi="Calibri"/>
                <w:color w:val="333333"/>
                <w:sz w:val="18"/>
              </w:rPr>
              <w:t>Total liabilities and stockholders' equity</w:t>
            </w:r>
          </w:p>
        </w:tc>
        <w:tc>
          <w:tcPr>
            <w:tcW w:type="dxa" w:w="2520"/>
          </w:tcPr>
          <w:p>
            <w:r>
              <w:rPr>
                <w:rFonts w:ascii="Calibri" w:hAnsi="Calibri"/>
                <w:color w:val="333333"/>
                <w:sz w:val="18"/>
              </w:rPr>
              <w:t>$22.5B</w:t>
            </w:r>
          </w:p>
        </w:tc>
        <w:tc>
          <w:tcPr>
            <w:tcW w:type="dxa" w:w="2520"/>
          </w:tcPr>
          <w:p>
            <w:r>
              <w:rPr>
                <w:rFonts w:ascii="Calibri" w:hAnsi="Calibri"/>
                <w:color w:val="333333"/>
                <w:sz w:val="18"/>
              </w:rPr>
              <w:t>$29.7B</w:t>
            </w:r>
          </w:p>
        </w:tc>
        <w:tc>
          <w:tcPr>
            <w:tcW w:type="dxa" w:w="2520"/>
            <w:shd w:fill="DCEEF8" w:val="clear"/>
          </w:tcPr>
          <w:p>
            <w:r>
              <w:rPr>
                <w:rFonts w:ascii="Calibri" w:hAnsi="Calibri"/>
                <w:color w:val="333333"/>
                <w:sz w:val="18"/>
              </w:rPr>
              <w:t>31.6%</w:t>
            </w:r>
          </w:p>
        </w:tc>
      </w:tr>
      <w:tr>
        <w:tc>
          <w:tcPr>
            <w:tcW w:type="dxa" w:w="2520"/>
            <w:shd w:fill="F2F4F8" w:val="clear"/>
          </w:tcPr>
          <w:p>
            <w:r>
              <w:rPr>
                <w:rFonts w:ascii="Calibri" w:hAnsi="Calibri"/>
                <w:color w:val="333333"/>
                <w:sz w:val="18"/>
              </w:rPr>
              <w:t>Preferred stock value</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Right-of-use assets (operating and finance leases)</w:t>
            </w:r>
          </w:p>
        </w:tc>
        <w:tc>
          <w:tcPr>
            <w:tcW w:type="dxa" w:w="2520"/>
          </w:tcPr>
          <w:p>
            <w:r>
              <w:rPr>
                <w:rFonts w:ascii="Calibri" w:hAnsi="Calibri"/>
                <w:color w:val="333333"/>
                <w:sz w:val="18"/>
              </w:rPr>
              <w:t>$81.2M</w:t>
            </w:r>
          </w:p>
        </w:tc>
        <w:tc>
          <w:tcPr>
            <w:tcW w:type="dxa" w:w="2520"/>
          </w:tcPr>
          <w:p>
            <w:r>
              <w:rPr>
                <w:rFonts w:ascii="Calibri" w:hAnsi="Calibri"/>
                <w:color w:val="333333"/>
                <w:sz w:val="18"/>
              </w:rPr>
              <w:t>$141.6M</w:t>
            </w:r>
          </w:p>
        </w:tc>
        <w:tc>
          <w:tcPr>
            <w:tcW w:type="dxa" w:w="2520"/>
            <w:shd w:fill="DCEEF8" w:val="clear"/>
          </w:tcPr>
          <w:p>
            <w:r>
              <w:rPr>
                <w:rFonts w:ascii="Calibri" w:hAnsi="Calibri"/>
                <w:color w:val="333333"/>
                <w:sz w:val="18"/>
              </w:rPr>
              <w:t>74.5%</w:t>
            </w:r>
          </w:p>
        </w:tc>
      </w:tr>
      <w:tr>
        <w:tc>
          <w:tcPr>
            <w:tcW w:type="dxa" w:w="2520"/>
            <w:shd w:fill="F2F4F8" w:val="clear"/>
          </w:tcPr>
          <w:p>
            <w:r>
              <w:rPr>
                <w:rFonts w:ascii="Calibri" w:hAnsi="Calibri"/>
                <w:color w:val="333333"/>
                <w:sz w:val="18"/>
              </w:rPr>
              <w:t>Other non-current assets</w:t>
            </w:r>
          </w:p>
        </w:tc>
        <w:tc>
          <w:tcPr>
            <w:tcW w:type="dxa" w:w="2520"/>
            <w:shd w:fill="F2F4F8" w:val="clear"/>
          </w:tcPr>
          <w:p>
            <w:r>
              <w:rPr>
                <w:rFonts w:ascii="Calibri" w:hAnsi="Calibri"/>
                <w:color w:val="333333"/>
                <w:sz w:val="18"/>
              </w:rPr>
              <w:t>$548.5M</w:t>
            </w:r>
          </w:p>
        </w:tc>
        <w:tc>
          <w:tcPr>
            <w:tcW w:type="dxa" w:w="2520"/>
            <w:shd w:fill="F2F4F8" w:val="clear"/>
          </w:tcPr>
          <w:p>
            <w:r>
              <w:rPr>
                <w:rFonts w:ascii="Calibri" w:hAnsi="Calibri"/>
                <w:color w:val="333333"/>
                <w:sz w:val="18"/>
              </w:rPr>
              <w:t>$259.4M</w:t>
            </w:r>
          </w:p>
        </w:tc>
        <w:tc>
          <w:tcPr>
            <w:tcW w:type="dxa" w:w="2520"/>
            <w:shd w:fill="F2F4F8" w:val="clear"/>
            <w:shd w:fill="FCE8E6" w:val="clear"/>
          </w:tcPr>
          <w:p>
            <w:r>
              <w:rPr>
                <w:rFonts w:ascii="Calibri" w:hAnsi="Calibri"/>
                <w:color w:val="333333"/>
                <w:sz w:val="18"/>
              </w:rPr>
              <w:t>-52.7%</w:t>
            </w:r>
          </w:p>
        </w:tc>
      </w:tr>
      <w:tr>
        <w:tc>
          <w:tcPr>
            <w:tcW w:type="dxa" w:w="2520"/>
          </w:tcPr>
          <w:p>
            <w:r>
              <w:rPr>
                <w:rFonts w:ascii="Calibri" w:hAnsi="Calibri"/>
                <w:color w:val="333333"/>
                <w:sz w:val="18"/>
              </w:rPr>
              <w:t>Other non-current liabilities</w:t>
            </w:r>
          </w:p>
        </w:tc>
        <w:tc>
          <w:tcPr>
            <w:tcW w:type="dxa" w:w="2520"/>
          </w:tcPr>
          <w:p>
            <w:r>
              <w:rPr>
                <w:rFonts w:ascii="Calibri" w:hAnsi="Calibri"/>
                <w:color w:val="333333"/>
                <w:sz w:val="18"/>
              </w:rPr>
              <w:t>$89.7M</w:t>
            </w:r>
          </w:p>
        </w:tc>
        <w:tc>
          <w:tcPr>
            <w:tcW w:type="dxa" w:w="2520"/>
          </w:tcPr>
          <w:p>
            <w:r>
              <w:rPr>
                <w:rFonts w:ascii="Calibri" w:hAnsi="Calibri"/>
                <w:color w:val="333333"/>
                <w:sz w:val="18"/>
              </w:rPr>
              <w:t>$240.5M</w:t>
            </w:r>
          </w:p>
        </w:tc>
        <w:tc>
          <w:tcPr>
            <w:tcW w:type="dxa" w:w="2520"/>
            <w:shd w:fill="DCEEF8" w:val="clear"/>
          </w:tcPr>
          <w:p>
            <w:r>
              <w:rPr>
                <w:rFonts w:ascii="Calibri" w:hAnsi="Calibri"/>
                <w:color w:val="333333"/>
                <w:sz w:val="18"/>
              </w:rPr>
              <w:t>168.1%</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$190.9M</w:t>
            </w:r>
          </w:p>
        </w:tc>
        <w:tc>
          <w:tcPr>
            <w:tcW w:type="dxa" w:w="2520"/>
            <w:shd w:fill="F2F4F8" w:val="clear"/>
          </w:tcPr>
          <w:p>
            <w:r>
              <w:rPr>
                <w:rFonts w:ascii="Calibri" w:hAnsi="Calibri"/>
                <w:color w:val="333333"/>
                <w:sz w:val="18"/>
              </w:rPr>
              <w:t>$224.5M</w:t>
            </w:r>
          </w:p>
        </w:tc>
        <w:tc>
          <w:tcPr>
            <w:tcW w:type="dxa" w:w="2520"/>
            <w:shd w:fill="F2F4F8" w:val="clear"/>
            <w:shd w:fill="DCEEF8" w:val="clear"/>
          </w:tcPr>
          <w:p>
            <w:r>
              <w:rPr>
                <w:rFonts w:ascii="Calibri" w:hAnsi="Calibri"/>
                <w:color w:val="333333"/>
                <w:sz w:val="18"/>
              </w:rPr>
              <w:t>17.6%</w:t>
            </w:r>
          </w:p>
        </w:tc>
      </w:tr>
      <w:tr>
        <w:tc>
          <w:tcPr>
            <w:tcW w:type="dxa" w:w="2520"/>
          </w:tcPr>
          <w:p>
            <w:r>
              <w:rPr>
                <w:rFonts w:ascii="Calibri" w:hAnsi="Calibri"/>
                <w:color w:val="333333"/>
                <w:sz w:val="18"/>
              </w:rPr>
              <w:t>Debt instrument carrying amount (face value)</w:t>
            </w:r>
          </w:p>
        </w:tc>
        <w:tc>
          <w:tcPr>
            <w:tcW w:type="dxa" w:w="2520"/>
          </w:tcPr>
          <w:p>
            <w:r>
              <w:rPr>
                <w:rFonts w:ascii="Calibri" w:hAnsi="Calibri"/>
                <w:color w:val="333333"/>
                <w:sz w:val="18"/>
              </w:rPr>
              <w:t>$4.3B</w:t>
            </w:r>
          </w:p>
        </w:tc>
        <w:tc>
          <w:tcPr>
            <w:tcW w:type="dxa" w:w="2520"/>
          </w:tcPr>
          <w:p>
            <w:r>
              <w:rPr>
                <w:rFonts w:ascii="Calibri" w:hAnsi="Calibri"/>
                <w:color w:val="333333"/>
                <w:sz w:val="18"/>
              </w:rPr>
              <w:t>$7.3B</w:t>
            </w:r>
          </w:p>
        </w:tc>
        <w:tc>
          <w:tcPr>
            <w:tcW w:type="dxa" w:w="2520"/>
            <w:shd w:fill="DCEEF8" w:val="clear"/>
          </w:tcPr>
          <w:p>
            <w:r>
              <w:rPr>
                <w:rFonts w:ascii="Calibri" w:hAnsi="Calibri"/>
                <w:color w:val="333333"/>
                <w:sz w:val="18"/>
              </w:rPr>
              <w:t>70.2%</w:t>
            </w:r>
          </w:p>
        </w:tc>
      </w:tr>
      <w:tr>
        <w:tc>
          <w:tcPr>
            <w:tcW w:type="dxa" w:w="2520"/>
            <w:shd w:fill="F2F4F8" w:val="clear"/>
          </w:tcPr>
          <w:p>
            <w:r>
              <w:rPr>
                <w:rFonts w:ascii="Calibri" w:hAnsi="Calibri"/>
                <w:color w:val="333333"/>
                <w:sz w:val="18"/>
              </w:rPr>
              <w:t>Common stock shares authorized</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10.5B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Current ratio</w:t>
            </w:r>
          </w:p>
        </w:tc>
        <w:tc>
          <w:tcPr>
            <w:tcW w:type="dxa" w:w="2520"/>
          </w:tcPr>
          <w:p>
            <w:r>
              <w:rPr>
                <w:rFonts w:ascii="Calibri" w:hAnsi="Calibri"/>
                <w:color w:val="333333"/>
                <w:sz w:val="18"/>
              </w:rPr>
              <w:t>$2</w:t>
            </w:r>
          </w:p>
        </w:tc>
        <w:tc>
          <w:tcPr>
            <w:tcW w:type="dxa" w:w="2520"/>
          </w:tcPr>
          <w:p>
            <w:r>
              <w:rPr>
                <w:rFonts w:ascii="Calibri" w:hAnsi="Calibri"/>
                <w:color w:val="333333"/>
                <w:sz w:val="18"/>
              </w:rPr>
              <w:t>$2</w:t>
            </w:r>
          </w:p>
        </w:tc>
        <w:tc>
          <w:tcPr>
            <w:tcW w:type="dxa" w:w="2520"/>
            <w:shd w:fill="FFF3CD" w:val="clear"/>
          </w:tcPr>
          <w:p>
            <w:r>
              <w:rPr>
                <w:rFonts w:ascii="Calibri" w:hAnsi="Calibri"/>
                <w:color w:val="333333"/>
                <w:sz w:val="18"/>
              </w:rPr>
              <w:t>2.7%</w:t>
            </w:r>
          </w:p>
        </w:tc>
      </w:tr>
      <w:tr>
        <w:tc>
          <w:tcPr>
            <w:tcW w:type="dxa" w:w="2520"/>
            <w:shd w:fill="F2F4F8" w:val="clear"/>
          </w:tcPr>
          <w:p>
            <w:r>
              <w:rPr>
                <w:rFonts w:ascii="Calibri" w:hAnsi="Calibri"/>
                <w:color w:val="333333"/>
                <w:sz w:val="18"/>
              </w:rPr>
              <w:t>Debt-to-equity ratio</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shd w:fill="DCEEF8" w:val="clear"/>
          </w:tcPr>
          <w:p>
            <w:r>
              <w:rPr>
                <w:rFonts w:ascii="Calibri" w:hAnsi="Calibri"/>
                <w:color w:val="333333"/>
                <w:sz w:val="18"/>
              </w:rPr>
              <w:t>18.2%</w:t>
            </w:r>
          </w:p>
        </w:tc>
      </w:tr>
      <w:tr>
        <w:tc>
          <w:tcPr>
            <w:tcW w:type="dxa" w:w="2520"/>
          </w:tcPr>
          <w:p>
            <w:r>
              <w:rPr>
                <w:rFonts w:ascii="Calibri" w:hAnsi="Calibri"/>
                <w:color w:val="333333"/>
                <w:sz w:val="18"/>
              </w:rPr>
              <w:t>Debt-to-EBITDA ratio</w:t>
            </w:r>
          </w:p>
        </w:tc>
        <w:tc>
          <w:tcPr>
            <w:tcW w:type="dxa" w:w="2520"/>
          </w:tcPr>
          <w:p>
            <w:r>
              <w:rPr>
                <w:rFonts w:ascii="Calibri" w:hAnsi="Calibri"/>
                <w:color w:val="333333"/>
                <w:sz w:val="18"/>
              </w:rPr>
              <w:t>$2</w:t>
            </w:r>
          </w:p>
        </w:tc>
        <w:tc>
          <w:tcPr>
            <w:tcW w:type="dxa" w:w="2520"/>
          </w:tcPr>
          <w:p>
            <w:r>
              <w:rPr>
                <w:rFonts w:ascii="Calibri" w:hAnsi="Calibri"/>
                <w:color w:val="333333"/>
                <w:sz w:val="18"/>
              </w:rPr>
              <w:t>$4</w:t>
            </w:r>
          </w:p>
        </w:tc>
        <w:tc>
          <w:tcPr>
            <w:tcW w:type="dxa" w:w="2520"/>
            <w:shd w:fill="DCEEF8" w:val="clear"/>
          </w:tcPr>
          <w:p>
            <w:r>
              <w:rPr>
                <w:rFonts w:ascii="Calibri" w:hAnsi="Calibri"/>
                <w:color w:val="333333"/>
                <w:sz w:val="18"/>
              </w:rPr>
              <w:t>155.2%</w:t>
            </w:r>
          </w:p>
        </w:tc>
      </w:tr>
      <w:tr>
        <w:tc>
          <w:tcPr>
            <w:tcW w:type="dxa" w:w="2520"/>
            <w:shd w:fill="F2F4F8" w:val="clear"/>
          </w:tcPr>
          <w:p>
            <w:r>
              <w:rPr>
                <w:rFonts w:ascii="Calibri" w:hAnsi="Calibri"/>
                <w:color w:val="333333"/>
                <w:sz w:val="18"/>
              </w:rPr>
              <w:t>Tangible book value</w:t>
            </w:r>
          </w:p>
        </w:tc>
        <w:tc>
          <w:tcPr>
            <w:tcW w:type="dxa" w:w="2520"/>
            <w:shd w:fill="F2F4F8" w:val="clear"/>
          </w:tcPr>
          <w:p>
            <w:r>
              <w:rPr>
                <w:rFonts w:ascii="Calibri" w:hAnsi="Calibri"/>
                <w:color w:val="333333"/>
                <w:sz w:val="18"/>
              </w:rPr>
              <w:t>$9.1B</w:t>
            </w:r>
          </w:p>
        </w:tc>
        <w:tc>
          <w:tcPr>
            <w:tcW w:type="dxa" w:w="2520"/>
            <w:shd w:fill="F2F4F8" w:val="clear"/>
          </w:tcPr>
          <w:p>
            <w:r>
              <w:rPr>
                <w:rFonts w:ascii="Calibri" w:hAnsi="Calibri"/>
                <w:color w:val="333333"/>
                <w:sz w:val="18"/>
              </w:rPr>
              <w:t>$9.2B</w:t>
            </w:r>
          </w:p>
        </w:tc>
        <w:tc>
          <w:tcPr>
            <w:tcW w:type="dxa" w:w="2520"/>
            <w:shd w:fill="F2F4F8" w:val="clear"/>
            <w:shd w:fill="FFF3CD" w:val="clear"/>
          </w:tcPr>
          <w:p>
            <w:r>
              <w:rPr>
                <w:rFonts w:ascii="Calibri" w:hAnsi="Calibri"/>
                <w:color w:val="333333"/>
                <w:sz w:val="18"/>
              </w:rPr>
              <w:t>1.5%</w:t>
            </w:r>
          </w:p>
        </w:tc>
      </w:tr>
      <w:tr>
        <w:tc>
          <w:tcPr>
            <w:tcW w:type="dxa" w:w="2520"/>
          </w:tcPr>
          <w:p>
            <w:r>
              <w:rPr>
                <w:rFonts w:ascii="Calibri" w:hAnsi="Calibri"/>
                <w:color w:val="333333"/>
                <w:sz w:val="18"/>
              </w:rPr>
              <w:t>Net debt</w:t>
            </w:r>
          </w:p>
        </w:tc>
        <w:tc>
          <w:tcPr>
            <w:tcW w:type="dxa" w:w="2520"/>
          </w:tcPr>
          <w:p>
            <w:r>
              <w:rPr>
                <w:rFonts w:ascii="Calibri" w:hAnsi="Calibri"/>
                <w:color w:val="333333"/>
                <w:sz w:val="18"/>
              </w:rPr>
              <w:t>$-4.3B</w:t>
            </w:r>
          </w:p>
        </w:tc>
        <w:tc>
          <w:tcPr>
            <w:tcW w:type="dxa" w:w="2520"/>
          </w:tcPr>
          <w:p>
            <w:r>
              <w:rPr>
                <w:rFonts w:ascii="Calibri" w:hAnsi="Calibri"/>
                <w:color w:val="333333"/>
                <w:sz w:val="18"/>
              </w:rPr>
              <w:t>$-4.1B</w:t>
            </w:r>
          </w:p>
        </w:tc>
        <w:tc>
          <w:tcPr>
            <w:tcW w:type="dxa" w:w="2520"/>
            <w:shd w:fill="FFF3CD" w:val="clear"/>
          </w:tcPr>
          <w:p>
            <w:r>
              <w:rPr>
                <w:rFonts w:ascii="Calibri" w:hAnsi="Calibri"/>
                <w:color w:val="333333"/>
                <w:sz w:val="18"/>
              </w:rPr>
              <w:t>5.4%</w:t>
            </w:r>
          </w:p>
        </w:tc>
      </w:tr>
      <w:tr>
        <w:tc>
          <w:tcPr>
            <w:tcW w:type="dxa" w:w="2520"/>
            <w:shd w:fill="F2F4F8" w:val="clear"/>
          </w:tcPr>
          <w:p>
            <w:r>
              <w:rPr>
                <w:rFonts w:ascii="Calibri" w:hAnsi="Calibri"/>
                <w:color w:val="333333"/>
                <w:sz w:val="18"/>
              </w:rPr>
              <w:t>Book value per share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$55.23</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Return on assets</w:t>
            </w:r>
          </w:p>
        </w:tc>
        <w:tc>
          <w:tcPr>
            <w:tcW w:type="dxa" w:w="2520"/>
          </w:tcPr>
          <w:p>
            <w:r>
              <w:rPr>
                <w:rFonts w:ascii="Calibri" w:hAnsi="Calibri"/>
                <w:color w:val="333333"/>
                <w:sz w:val="18"/>
              </w:rPr>
              <w:t>$11</w:t>
            </w:r>
          </w:p>
        </w:tc>
        <w:tc>
          <w:tcPr>
            <w:tcW w:type="dxa" w:w="2520"/>
          </w:tcPr>
          <w:p>
            <w:r>
              <w:rPr>
                <w:rFonts w:ascii="Calibri" w:hAnsi="Calibri"/>
                <w:color w:val="333333"/>
                <w:sz w:val="18"/>
              </w:rPr>
              <w:t>$4</w:t>
            </w:r>
          </w:p>
        </w:tc>
        <w:tc>
          <w:tcPr>
            <w:tcW w:type="dxa" w:w="2520"/>
            <w:shd w:fill="FCE8E6" w:val="clear"/>
          </w:tcPr>
          <w:p>
            <w:r>
              <w:rPr>
                <w:rFonts w:ascii="Calibri" w:hAnsi="Calibri"/>
                <w:color w:val="333333"/>
                <w:sz w:val="18"/>
              </w:rPr>
              <w:t>-62.9%</w:t>
            </w:r>
          </w:p>
        </w:tc>
      </w:tr>
      <w:tr>
        <w:tc>
          <w:tcPr>
            <w:tcW w:type="dxa" w:w="2520"/>
            <w:shd w:fill="F2F4F8" w:val="clear"/>
          </w:tcPr>
          <w:p>
            <w:r>
              <w:rPr>
                <w:rFonts w:ascii="Calibri" w:hAnsi="Calibri"/>
                <w:color w:val="333333"/>
                <w:sz w:val="18"/>
              </w:rPr>
              <w:t>Return on equity</w:t>
            </w:r>
          </w:p>
        </w:tc>
        <w:tc>
          <w:tcPr>
            <w:tcW w:type="dxa" w:w="2520"/>
            <w:shd w:fill="F2F4F8" w:val="clear"/>
          </w:tcPr>
          <w:p>
            <w:r>
              <w:rPr>
                <w:rFonts w:ascii="Calibri" w:hAnsi="Calibri"/>
                <w:color w:val="333333"/>
                <w:sz w:val="18"/>
              </w:rPr>
              <w:t>$25</w:t>
            </w:r>
          </w:p>
        </w:tc>
        <w:tc>
          <w:tcPr>
            <w:tcW w:type="dxa" w:w="2520"/>
            <w:shd w:fill="F2F4F8" w:val="clear"/>
          </w:tcPr>
          <w:p>
            <w:r>
              <w:rPr>
                <w:rFonts w:ascii="Calibri" w:hAnsi="Calibri"/>
                <w:color w:val="333333"/>
                <w:sz w:val="18"/>
              </w:rPr>
              <w:t>$9</w:t>
            </w:r>
          </w:p>
        </w:tc>
        <w:tc>
          <w:tcPr>
            <w:tcW w:type="dxa" w:w="2520"/>
            <w:shd w:fill="F2F4F8" w:val="clear"/>
            <w:shd w:fill="FCE8E6" w:val="clear"/>
          </w:tcPr>
          <w:p>
            <w:r>
              <w:rPr>
                <w:rFonts w:ascii="Calibri" w:hAnsi="Calibri"/>
                <w:color w:val="333333"/>
                <w:sz w:val="18"/>
              </w:rPr>
              <w:t>-66.1%</w:t>
            </w:r>
          </w:p>
        </w:tc>
      </w:tr>
      <w:tr>
        <w:tc>
          <w:tcPr>
            <w:tcW w:type="dxa" w:w="2520"/>
          </w:tcPr>
          <w:p>
            <w:r>
              <w:rPr>
                <w:rFonts w:ascii="Calibri" w:hAnsi="Calibri"/>
                <w:color w:val="333333"/>
                <w:sz w:val="18"/>
              </w:rPr>
              <w:t>Asset turnover ratio</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shd w:fill="FCE8E6" w:val="clear"/>
          </w:tcPr>
          <w:p>
            <w:r>
              <w:rPr>
                <w:rFonts w:ascii="Calibri" w:hAnsi="Calibri"/>
                <w:color w:val="333333"/>
                <w:sz w:val="18"/>
              </w:rPr>
              <w:t>-16.9%</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2.34</w:t>
            </w:r>
          </w:p>
        </w:tc>
        <w:tc>
          <w:tcPr>
            <w:tcW w:type="dxa" w:w="3360"/>
          </w:tcPr>
          <w:p>
            <w:r>
              <w:rPr>
                <w:rFonts w:ascii="Calibri" w:hAnsi="Calibri"/>
                <w:color w:val="333333"/>
                <w:sz w:val="18"/>
              </w:rPr>
              <w:t>Healthy</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0.49</w:t>
            </w:r>
          </w:p>
        </w:tc>
        <w:tc>
          <w:tcPr>
            <w:tcW w:type="dxa" w:w="3360"/>
            <w:shd w:fill="F2F4F8" w:val="clear"/>
          </w:tcPr>
          <w:p>
            <w:r>
              <w:rPr>
                <w:rFonts w:ascii="Calibri" w:hAnsi="Calibri"/>
                <w:color w:val="333333"/>
                <w:sz w:val="18"/>
              </w:rPr>
              <w:t>Conservative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0.50</w:t>
            </w:r>
          </w:p>
        </w:tc>
        <w:tc>
          <w:tcPr>
            <w:tcW w:type="dxa" w:w="3360"/>
          </w:tcPr>
          <w:p>
            <w:r>
              <w:rPr>
                <w:rFonts w:ascii="Calibri" w:hAnsi="Calibri"/>
                <w:color w:val="333333"/>
                <w:sz w:val="18"/>
              </w:rPr>
              <w:t>Moderate</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38.0%</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Metric</w:t>
            </w:r>
          </w:p>
        </w:tc>
        <w:tc>
          <w:tcPr>
            <w:tcW w:type="dxa" w:w="2016"/>
            <w:shd w:fill="1A1446" w:val="clear"/>
          </w:tcPr>
          <w:p>
            <w:r>
              <w:rPr>
                <w:rFonts w:ascii="Calibri" w:hAnsi="Calibri"/>
                <w:b/>
                <w:color w:val="FFFFFF"/>
                <w:sz w:val="18"/>
              </w:rPr>
              <w:t>FY2023</w:t>
            </w:r>
          </w:p>
        </w:tc>
        <w:tc>
          <w:tcPr>
            <w:tcW w:type="dxa" w:w="2016"/>
            <w:shd w:fill="1A1446" w:val="clear"/>
          </w:tcPr>
          <w:p>
            <w:r>
              <w:rPr>
                <w:rFonts w:ascii="Calibri" w:hAnsi="Calibri"/>
                <w:b/>
                <w:color w:val="FFFFFF"/>
                <w:sz w:val="18"/>
              </w:rPr>
              <w:t>FY2024</w:t>
            </w:r>
          </w:p>
        </w:tc>
        <w:tc>
          <w:tcPr>
            <w:tcW w:type="dxa" w:w="2016"/>
            <w:shd w:fill="1A1446" w:val="clear"/>
          </w:tcPr>
          <w:p>
            <w:r>
              <w:rPr>
                <w:rFonts w:ascii="Calibri" w:hAnsi="Calibri"/>
                <w:b/>
                <w:color w:val="FFFFFF"/>
                <w:sz w:val="18"/>
              </w:rPr>
              <w:t>FY2025</w:t>
            </w:r>
          </w:p>
        </w:tc>
        <w:tc>
          <w:tcPr>
            <w:tcW w:type="dxa" w:w="2016"/>
            <w:shd w:fill="1A1446" w:val="clear"/>
          </w:tcPr>
          <w:p>
            <w:r>
              <w:rPr>
                <w:rFonts w:ascii="Calibri" w:hAnsi="Calibri"/>
                <w:b/>
                <w:color w:val="FFFFFF"/>
                <w:sz w:val="18"/>
              </w:rPr>
              <w:t>YoY Change</w:t>
            </w:r>
          </w:p>
        </w:tc>
      </w:tr>
      <w:tr>
        <w:tc>
          <w:tcPr>
            <w:tcW w:type="dxa" w:w="2016"/>
          </w:tcPr>
          <w:p>
            <w:r>
              <w:rPr>
                <w:rFonts w:ascii="Calibri" w:hAnsi="Calibri"/>
                <w:color w:val="333333"/>
                <w:sz w:val="18"/>
              </w:rPr>
              <w:t>Net cash from operating activities</w:t>
            </w:r>
          </w:p>
        </w:tc>
        <w:tc>
          <w:tcPr>
            <w:tcW w:type="dxa" w:w="2016"/>
          </w:tcPr>
          <w:p>
            <w:r>
              <w:rPr>
                <w:rFonts w:ascii="Calibri" w:hAnsi="Calibri"/>
                <w:color w:val="333333"/>
                <w:sz w:val="18"/>
              </w:rPr>
              <w:t>N/A</w:t>
            </w:r>
          </w:p>
        </w:tc>
        <w:tc>
          <w:tcPr>
            <w:tcW w:type="dxa" w:w="2016"/>
          </w:tcPr>
          <w:p>
            <w:r>
              <w:rPr>
                <w:rFonts w:ascii="Calibri" w:hAnsi="Calibri"/>
                <w:color w:val="333333"/>
                <w:sz w:val="18"/>
              </w:rPr>
              <w:t>$2.6B</w:t>
            </w:r>
          </w:p>
        </w:tc>
        <w:tc>
          <w:tcPr>
            <w:tcW w:type="dxa" w:w="2016"/>
          </w:tcPr>
          <w:p>
            <w:r>
              <w:rPr>
                <w:rFonts w:ascii="Calibri" w:hAnsi="Calibri"/>
                <w:color w:val="333333"/>
                <w:sz w:val="18"/>
              </w:rPr>
              <w:t>$2.4B</w:t>
            </w:r>
          </w:p>
        </w:tc>
        <w:tc>
          <w:tcPr>
            <w:tcW w:type="dxa" w:w="2016"/>
            <w:shd w:fill="FFF3CD" w:val="clear"/>
          </w:tcPr>
          <w:p>
            <w:r>
              <w:rPr>
                <w:rFonts w:ascii="Calibri" w:hAnsi="Calibri"/>
                <w:color w:val="333333"/>
                <w:sz w:val="18"/>
              </w:rPr>
              <w:t>-5.1%</w:t>
            </w:r>
          </w:p>
        </w:tc>
      </w:tr>
      <w:tr>
        <w:tc>
          <w:tcPr>
            <w:tcW w:type="dxa" w:w="2016"/>
            <w:shd w:fill="F2F4F8" w:val="clear"/>
          </w:tcPr>
          <w:p>
            <w:r>
              <w:rPr>
                <w:rFonts w:ascii="Calibri" w:hAnsi="Calibri"/>
                <w:color w:val="333333"/>
                <w:sz w:val="18"/>
              </w:rPr>
              <w:t>Net cash from investing activities</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$-282.4M</w:t>
            </w:r>
          </w:p>
        </w:tc>
        <w:tc>
          <w:tcPr>
            <w:tcW w:type="dxa" w:w="2016"/>
            <w:shd w:fill="F2F4F8" w:val="clear"/>
          </w:tcPr>
          <w:p>
            <w:r>
              <w:rPr>
                <w:rFonts w:ascii="Calibri" w:hAnsi="Calibri"/>
                <w:color w:val="333333"/>
                <w:sz w:val="18"/>
              </w:rPr>
              <w:t>$-2.0B</w:t>
            </w:r>
          </w:p>
        </w:tc>
        <w:tc>
          <w:tcPr>
            <w:tcW w:type="dxa" w:w="2016"/>
            <w:shd w:fill="F2F4F8" w:val="clear"/>
            <w:shd w:fill="FCE8E6" w:val="clear"/>
          </w:tcPr>
          <w:p>
            <w:r>
              <w:rPr>
                <w:rFonts w:ascii="Calibri" w:hAnsi="Calibri"/>
                <w:color w:val="333333"/>
                <w:sz w:val="18"/>
              </w:rPr>
              <w:t>-625.8%</w:t>
            </w:r>
          </w:p>
        </w:tc>
      </w:tr>
      <w:tr>
        <w:tc>
          <w:tcPr>
            <w:tcW w:type="dxa" w:w="2016"/>
          </w:tcPr>
          <w:p>
            <w:r>
              <w:rPr>
                <w:rFonts w:ascii="Calibri" w:hAnsi="Calibri"/>
                <w:color w:val="333333"/>
                <w:sz w:val="18"/>
              </w:rPr>
              <w:t>Net cash from financing activities</w:t>
            </w:r>
          </w:p>
        </w:tc>
        <w:tc>
          <w:tcPr>
            <w:tcW w:type="dxa" w:w="2016"/>
          </w:tcPr>
          <w:p>
            <w:r>
              <w:rPr>
                <w:rFonts w:ascii="Calibri" w:hAnsi="Calibri"/>
                <w:color w:val="333333"/>
                <w:sz w:val="18"/>
              </w:rPr>
              <w:t>N/A</w:t>
            </w:r>
          </w:p>
        </w:tc>
        <w:tc>
          <w:tcPr>
            <w:tcW w:type="dxa" w:w="2016"/>
          </w:tcPr>
          <w:p>
            <w:r>
              <w:rPr>
                <w:rFonts w:ascii="Calibri" w:hAnsi="Calibri"/>
                <w:color w:val="333333"/>
                <w:sz w:val="18"/>
              </w:rPr>
              <w:t>$2.8B</w:t>
            </w:r>
          </w:p>
        </w:tc>
        <w:tc>
          <w:tcPr>
            <w:tcW w:type="dxa" w:w="2016"/>
          </w:tcPr>
          <w:p>
            <w:r>
              <w:rPr>
                <w:rFonts w:ascii="Calibri" w:hAnsi="Calibri"/>
                <w:color w:val="333333"/>
                <w:sz w:val="18"/>
              </w:rPr>
              <w:t>$740.3M</w:t>
            </w:r>
          </w:p>
        </w:tc>
        <w:tc>
          <w:tcPr>
            <w:tcW w:type="dxa" w:w="2016"/>
            <w:shd w:fill="FCE8E6" w:val="clear"/>
          </w:tcPr>
          <w:p>
            <w:r>
              <w:rPr>
                <w:rFonts w:ascii="Calibri" w:hAnsi="Calibri"/>
                <w:color w:val="333333"/>
                <w:sz w:val="18"/>
              </w:rPr>
              <w:t>-73.8%</w:t>
            </w:r>
          </w:p>
        </w:tc>
      </w:tr>
      <w:tr>
        <w:tc>
          <w:tcPr>
            <w:tcW w:type="dxa" w:w="2016"/>
            <w:shd w:fill="F2F4F8" w:val="clear"/>
          </w:tcPr>
          <w:p>
            <w:r>
              <w:rPr>
                <w:rFonts w:ascii="Calibri" w:hAnsi="Calibri"/>
                <w:color w:val="333333"/>
                <w:sz w:val="18"/>
              </w:rPr>
              <w:t>Capital expenditures</w:t>
            </w:r>
          </w:p>
        </w:tc>
        <w:tc>
          <w:tcPr>
            <w:tcW w:type="dxa" w:w="2016"/>
            <w:shd w:fill="F2F4F8" w:val="clear"/>
          </w:tcPr>
          <w:p>
            <w:r>
              <w:rPr>
                <w:rFonts w:ascii="Calibri" w:hAnsi="Calibri"/>
                <w:color w:val="333333"/>
                <w:sz w:val="18"/>
              </w:rPr>
              <w:t>$533.0K</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Depreciation and amortization</w:t>
            </w:r>
          </w:p>
        </w:tc>
        <w:tc>
          <w:tcPr>
            <w:tcW w:type="dxa" w:w="2016"/>
          </w:tcPr>
          <w:p>
            <w:r>
              <w:rPr>
                <w:rFonts w:ascii="Calibri" w:hAnsi="Calibri"/>
                <w:color w:val="333333"/>
                <w:sz w:val="18"/>
              </w:rPr>
              <w:t>N/A</w:t>
            </w:r>
          </w:p>
        </w:tc>
        <w:tc>
          <w:tcPr>
            <w:tcW w:type="dxa" w:w="2016"/>
          </w:tcPr>
          <w:p>
            <w:r>
              <w:rPr>
                <w:rFonts w:ascii="Calibri" w:hAnsi="Calibri"/>
                <w:color w:val="333333"/>
                <w:sz w:val="18"/>
              </w:rPr>
              <w:t>$127.5M</w:t>
            </w:r>
          </w:p>
        </w:tc>
        <w:tc>
          <w:tcPr>
            <w:tcW w:type="dxa" w:w="2016"/>
          </w:tcPr>
          <w:p>
            <w:r>
              <w:rPr>
                <w:rFonts w:ascii="Calibri" w:hAnsi="Calibri"/>
                <w:color w:val="333333"/>
                <w:sz w:val="18"/>
              </w:rPr>
              <w:t>$188.4M</w:t>
            </w:r>
          </w:p>
        </w:tc>
        <w:tc>
          <w:tcPr>
            <w:tcW w:type="dxa" w:w="2016"/>
            <w:shd w:fill="DCEEF8" w:val="clear"/>
          </w:tcPr>
          <w:p>
            <w:r>
              <w:rPr>
                <w:rFonts w:ascii="Calibri" w:hAnsi="Calibri"/>
                <w:color w:val="333333"/>
                <w:sz w:val="18"/>
              </w:rPr>
              <w:t>47.8%</w:t>
            </w:r>
          </w:p>
        </w:tc>
      </w:tr>
      <w:tr>
        <w:tc>
          <w:tcPr>
            <w:tcW w:type="dxa" w:w="2016"/>
            <w:shd w:fill="F2F4F8" w:val="clear"/>
          </w:tcPr>
          <w:p>
            <w:r>
              <w:rPr>
                <w:rFonts w:ascii="Calibri" w:hAnsi="Calibri"/>
                <w:color w:val="333333"/>
                <w:sz w:val="18"/>
              </w:rPr>
              <w:t>Share repurchases / buybacks</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$790.2M</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Acquisitions, net of cash acquired</w:t>
            </w:r>
          </w:p>
        </w:tc>
        <w:tc>
          <w:tcPr>
            <w:tcW w:type="dxa" w:w="2016"/>
          </w:tcPr>
          <w:p>
            <w:r>
              <w:rPr>
                <w:rFonts w:ascii="Calibri" w:hAnsi="Calibri"/>
                <w:color w:val="333333"/>
                <w:sz w:val="18"/>
              </w:rPr>
              <w:t>N/A</w:t>
            </w:r>
          </w:p>
        </w:tc>
        <w:tc>
          <w:tcPr>
            <w:tcW w:type="dxa" w:w="2016"/>
          </w:tcPr>
          <w:p>
            <w:r>
              <w:rPr>
                <w:rFonts w:ascii="Calibri" w:hAnsi="Calibri"/>
                <w:color w:val="333333"/>
                <w:sz w:val="18"/>
              </w:rPr>
              <w:t>$0</w:t>
            </w:r>
          </w:p>
        </w:tc>
        <w:tc>
          <w:tcPr>
            <w:tcW w:type="dxa" w:w="2016"/>
          </w:tcPr>
          <w:p>
            <w:r>
              <w:rPr>
                <w:rFonts w:ascii="Calibri" w:hAnsi="Calibri"/>
                <w:color w:val="333333"/>
                <w:sz w:val="18"/>
              </w:rPr>
              <w:t>$742.0M</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Repayments of debt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Proceeds from stock issuance</w:t>
            </w:r>
          </w:p>
        </w:tc>
        <w:tc>
          <w:tcPr>
            <w:tcW w:type="dxa" w:w="2016"/>
          </w:tcPr>
          <w:p>
            <w:r>
              <w:rPr>
                <w:rFonts w:ascii="Calibri" w:hAnsi="Calibri"/>
                <w:color w:val="333333"/>
                <w:sz w:val="18"/>
              </w:rPr>
              <w:t>$16.3M</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Interest paid (supplemental)</w:t>
            </w:r>
          </w:p>
        </w:tc>
        <w:tc>
          <w:tcPr>
            <w:tcW w:type="dxa" w:w="2016"/>
            <w:shd w:fill="F2F4F8" w:val="clear"/>
          </w:tcPr>
          <w:p>
            <w:r>
              <w:rPr>
                <w:rFonts w:ascii="Calibri" w:hAnsi="Calibri"/>
                <w:color w:val="333333"/>
                <w:sz w:val="18"/>
              </w:rPr>
              <w:t>$76.1M</w:t>
            </w:r>
          </w:p>
        </w:tc>
        <w:tc>
          <w:tcPr>
            <w:tcW w:type="dxa" w:w="2016"/>
            <w:shd w:fill="F2F4F8" w:val="clear"/>
          </w:tcPr>
          <w:p>
            <w:r>
              <w:rPr>
                <w:rFonts w:ascii="Calibri" w:hAnsi="Calibri"/>
                <w:color w:val="333333"/>
                <w:sz w:val="18"/>
              </w:rPr>
              <w:t>$68.5M</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Income taxes paid (supplemental)</w:t>
            </w:r>
          </w:p>
        </w:tc>
        <w:tc>
          <w:tcPr>
            <w:tcW w:type="dxa" w:w="2016"/>
          </w:tcPr>
          <w:p>
            <w:r>
              <w:rPr>
                <w:rFonts w:ascii="Calibri" w:hAnsi="Calibri"/>
                <w:color w:val="333333"/>
                <w:sz w:val="18"/>
              </w:rPr>
              <w:t>N/A</w:t>
            </w:r>
          </w:p>
        </w:tc>
        <w:tc>
          <w:tcPr>
            <w:tcW w:type="dxa" w:w="2016"/>
          </w:tcPr>
          <w:p>
            <w:r>
              <w:rPr>
                <w:rFonts w:ascii="Calibri" w:hAnsi="Calibri"/>
                <w:color w:val="333333"/>
                <w:sz w:val="18"/>
              </w:rPr>
              <w:t>$140.3M</w:t>
            </w:r>
          </w:p>
        </w:tc>
        <w:tc>
          <w:tcPr>
            <w:tcW w:type="dxa" w:w="2016"/>
          </w:tcPr>
          <w:p>
            <w:r>
              <w:rPr>
                <w:rFonts w:ascii="Calibri" w:hAnsi="Calibri"/>
                <w:color w:val="333333"/>
                <w:sz w:val="18"/>
              </w:rPr>
              <w:t>$164.9M</w:t>
            </w:r>
          </w:p>
        </w:tc>
        <w:tc>
          <w:tcPr>
            <w:tcW w:type="dxa" w:w="2016"/>
            <w:shd w:fill="DCEEF8" w:val="clear"/>
          </w:tcPr>
          <w:p>
            <w:r>
              <w:rPr>
                <w:rFonts w:ascii="Calibri" w:hAnsi="Calibri"/>
                <w:color w:val="333333"/>
                <w:sz w:val="18"/>
              </w:rPr>
              <w:t>17.5%</w:t>
            </w:r>
          </w:p>
        </w:tc>
      </w:tr>
      <w:tr>
        <w:tc>
          <w:tcPr>
            <w:tcW w:type="dxa" w:w="2016"/>
            <w:shd w:fill="F2F4F8" w:val="clear"/>
          </w:tcPr>
          <w:p>
            <w:r>
              <w:rPr>
                <w:rFonts w:ascii="Calibri" w:hAnsi="Calibri"/>
                <w:color w:val="333333"/>
                <w:sz w:val="18"/>
              </w:rPr>
              <w:t>Stock-based compensation (cash flow adjustment)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$912.8M</w:t>
            </w:r>
          </w:p>
        </w:tc>
        <w:tc>
          <w:tcPr>
            <w:tcW w:type="dxa" w:w="2016"/>
            <w:shd w:fill="F2F4F8" w:val="clear"/>
          </w:tcPr>
          <w:p>
            <w:r>
              <w:rPr>
                <w:rFonts w:ascii="Calibri" w:hAnsi="Calibri"/>
                <w:color w:val="333333"/>
                <w:sz w:val="18"/>
              </w:rPr>
              <w:t>$839.4M</w:t>
            </w:r>
          </w:p>
        </w:tc>
        <w:tc>
          <w:tcPr>
            <w:tcW w:type="dxa" w:w="2016"/>
            <w:shd w:fill="F2F4F8" w:val="clear"/>
            <w:shd w:fill="FFF3CD" w:val="clear"/>
          </w:tcPr>
          <w:p>
            <w:r>
              <w:rPr>
                <w:rFonts w:ascii="Calibri" w:hAnsi="Calibri"/>
                <w:color w:val="333333"/>
                <w:sz w:val="18"/>
              </w:rPr>
              <w:t>-8.0%</w:t>
            </w:r>
          </w:p>
        </w:tc>
      </w:tr>
      <w:tr>
        <w:tc>
          <w:tcPr>
            <w:tcW w:type="dxa" w:w="2016"/>
          </w:tcPr>
          <w:p>
            <w:r>
              <w:rPr>
                <w:rFonts w:ascii="Calibri" w:hAnsi="Calibri"/>
                <w:color w:val="333333"/>
                <w:sz w:val="18"/>
              </w:rPr>
              <w:t>Changes in operating working capital</w:t>
            </w:r>
          </w:p>
        </w:tc>
        <w:tc>
          <w:tcPr>
            <w:tcW w:type="dxa" w:w="2016"/>
          </w:tcPr>
          <w:p>
            <w:r>
              <w:rPr>
                <w:rFonts w:ascii="Calibri" w:hAnsi="Calibri"/>
                <w:color w:val="333333"/>
                <w:sz w:val="18"/>
              </w:rPr>
              <w:t>$-326.2M</w:t>
            </w:r>
          </w:p>
        </w:tc>
        <w:tc>
          <w:tcPr>
            <w:tcW w:type="dxa" w:w="2016"/>
          </w:tcPr>
          <w:p>
            <w:r>
              <w:rPr>
                <w:rFonts w:ascii="Calibri" w:hAnsi="Calibri"/>
                <w:color w:val="333333"/>
                <w:sz w:val="18"/>
              </w:rPr>
              <w:t>$478.0M</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Net increase/decrease in cash and equivalents</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$5.1B</w:t>
            </w:r>
          </w:p>
        </w:tc>
        <w:tc>
          <w:tcPr>
            <w:tcW w:type="dxa" w:w="2016"/>
            <w:shd w:fill="F2F4F8" w:val="clear"/>
          </w:tcPr>
          <w:p>
            <w:r>
              <w:rPr>
                <w:rFonts w:ascii="Calibri" w:hAnsi="Calibri"/>
                <w:color w:val="333333"/>
                <w:sz w:val="18"/>
              </w:rPr>
              <w:t>$1.1B</w:t>
            </w:r>
          </w:p>
        </w:tc>
        <w:tc>
          <w:tcPr>
            <w:tcW w:type="dxa" w:w="2016"/>
            <w:shd w:fill="F2F4F8" w:val="clear"/>
            <w:shd w:fill="FCE8E6" w:val="clear"/>
          </w:tcPr>
          <w:p>
            <w:r>
              <w:rPr>
                <w:rFonts w:ascii="Calibri" w:hAnsi="Calibri"/>
                <w:color w:val="333333"/>
                <w:sz w:val="18"/>
              </w:rPr>
              <w:t>-78.1%</w:t>
            </w:r>
          </w:p>
        </w:tc>
      </w:tr>
      <w:tr>
        <w:tc>
          <w:tcPr>
            <w:tcW w:type="dxa" w:w="2016"/>
          </w:tcPr>
          <w:p>
            <w:r>
              <w:rPr>
                <w:rFonts w:ascii="Calibri" w:hAnsi="Calibri"/>
                <w:color w:val="333333"/>
                <w:sz w:val="18"/>
              </w:rPr>
              <w:t>Purchases of investments</w:t>
            </w:r>
          </w:p>
        </w:tc>
        <w:tc>
          <w:tcPr>
            <w:tcW w:type="dxa" w:w="2016"/>
          </w:tcPr>
          <w:p>
            <w:r>
              <w:rPr>
                <w:rFonts w:ascii="Calibri" w:hAnsi="Calibri"/>
                <w:color w:val="333333"/>
                <w:sz w:val="18"/>
              </w:rPr>
              <w:t>$11.8M</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Deferred income taxes (cash flow adjustment)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$151.3M</w:t>
            </w:r>
          </w:p>
        </w:tc>
        <w:tc>
          <w:tcPr>
            <w:tcW w:type="dxa" w:w="2016"/>
            <w:shd w:fill="F2F4F8" w:val="clear"/>
          </w:tcPr>
          <w:p>
            <w:r>
              <w:rPr>
                <w:rFonts w:ascii="Calibri" w:hAnsi="Calibri"/>
                <w:color w:val="333333"/>
                <w:sz w:val="18"/>
              </w:rPr>
              <w:t>$238.3M</w:t>
            </w:r>
          </w:p>
        </w:tc>
        <w:tc>
          <w:tcPr>
            <w:tcW w:type="dxa" w:w="2016"/>
            <w:shd w:fill="F2F4F8" w:val="clear"/>
            <w:shd w:fill="DCEEF8" w:val="clear"/>
          </w:tcPr>
          <w:p>
            <w:r>
              <w:rPr>
                <w:rFonts w:ascii="Calibri" w:hAnsi="Calibri"/>
                <w:color w:val="333333"/>
                <w:sz w:val="18"/>
              </w:rPr>
              <w:t>57.5%</w:t>
            </w:r>
          </w:p>
        </w:tc>
      </w:tr>
      <w:tr>
        <w:tc>
          <w:tcPr>
            <w:tcW w:type="dxa" w:w="2016"/>
          </w:tcPr>
          <w:p>
            <w:r>
              <w:rPr>
                <w:rFonts w:ascii="Calibri" w:hAnsi="Calibri"/>
                <w:color w:val="333333"/>
                <w:sz w:val="18"/>
              </w:rPr>
              <w:t>Change in accounts receivable</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$2.0M</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Change in accounts payable</w:t>
            </w:r>
          </w:p>
        </w:tc>
        <w:tc>
          <w:tcPr>
            <w:tcW w:type="dxa" w:w="2016"/>
            <w:shd w:fill="F2F4F8" w:val="clear"/>
          </w:tcPr>
          <w:p>
            <w:r>
              <w:rPr>
                <w:rFonts w:ascii="Calibri" w:hAnsi="Calibri"/>
                <w:color w:val="333333"/>
                <w:sz w:val="18"/>
              </w:rPr>
              <w:t>$954.0K</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Amortization of intangible assets</w:t>
            </w:r>
          </w:p>
        </w:tc>
        <w:tc>
          <w:tcPr>
            <w:tcW w:type="dxa" w:w="2016"/>
          </w:tcPr>
          <w:p>
            <w:r>
              <w:rPr>
                <w:rFonts w:ascii="Calibri" w:hAnsi="Calibri"/>
                <w:color w:val="333333"/>
                <w:sz w:val="18"/>
              </w:rPr>
              <w:t>N/A</w:t>
            </w:r>
          </w:p>
        </w:tc>
        <w:tc>
          <w:tcPr>
            <w:tcW w:type="dxa" w:w="2016"/>
          </w:tcPr>
          <w:p>
            <w:r>
              <w:rPr>
                <w:rFonts w:ascii="Calibri" w:hAnsi="Calibri"/>
                <w:color w:val="333333"/>
                <w:sz w:val="18"/>
              </w:rPr>
              <w:t>$27.0M</w:t>
            </w:r>
          </w:p>
        </w:tc>
        <w:tc>
          <w:tcPr>
            <w:tcW w:type="dxa" w:w="2016"/>
          </w:tcPr>
          <w:p>
            <w:r>
              <w:rPr>
                <w:rFonts w:ascii="Calibri" w:hAnsi="Calibri"/>
                <w:color w:val="333333"/>
                <w:sz w:val="18"/>
              </w:rPr>
              <w:t>$67.1M</w:t>
            </w:r>
          </w:p>
        </w:tc>
        <w:tc>
          <w:tcPr>
            <w:tcW w:type="dxa" w:w="2016"/>
            <w:shd w:fill="DCEEF8" w:val="clear"/>
          </w:tcPr>
          <w:p>
            <w:r>
              <w:rPr>
                <w:rFonts w:ascii="Calibri" w:hAnsi="Calibri"/>
                <w:color w:val="333333"/>
                <w:sz w:val="18"/>
              </w:rPr>
              <w:t>148.6%</w:t>
            </w:r>
          </w:p>
        </w:tc>
      </w:tr>
      <w:tr>
        <w:tc>
          <w:tcPr>
            <w:tcW w:type="dxa" w:w="2016"/>
            <w:shd w:fill="F2F4F8" w:val="clear"/>
          </w:tcPr>
          <w:p>
            <w:r>
              <w:rPr>
                <w:rFonts w:ascii="Calibri" w:hAnsi="Calibri"/>
                <w:color w:val="333333"/>
                <w:sz w:val="18"/>
              </w:rPr>
              <w:t>Effect of exchange rate changes on cash</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$-48.4M</w:t>
            </w:r>
          </w:p>
        </w:tc>
        <w:tc>
          <w:tcPr>
            <w:tcW w:type="dxa" w:w="2016"/>
            <w:shd w:fill="F2F4F8" w:val="clear"/>
          </w:tcPr>
          <w:p>
            <w:r>
              <w:rPr>
                <w:rFonts w:ascii="Calibri" w:hAnsi="Calibri"/>
                <w:color w:val="333333"/>
                <w:sz w:val="18"/>
              </w:rPr>
              <w:t>$92.8M</w:t>
            </w:r>
          </w:p>
        </w:tc>
        <w:tc>
          <w:tcPr>
            <w:tcW w:type="dxa" w:w="2016"/>
            <w:shd w:fill="F2F4F8" w:val="clear"/>
            <w:shd w:fill="DCEEF8" w:val="clear"/>
          </w:tcPr>
          <w:p>
            <w:r>
              <w:rPr>
                <w:rFonts w:ascii="Calibri" w:hAnsi="Calibri"/>
                <w:color w:val="333333"/>
                <w:sz w:val="18"/>
              </w:rPr>
              <w:t>292.0%</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2.34</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2.34</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0.49</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18.9x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4.64</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FY2024: 5.2 -&gt; FY2025: 4.6 (declining)</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-2.81</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4.00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4/9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78th percentile among 0 peers (peer median: 10.0x).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1.93</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-0.04</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Deloitte, 6 year tenure, 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0.49</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4.44</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18.85</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17.2%</w:t>
            </w:r>
          </w:p>
        </w:tc>
        <w:tc>
          <w:tcPr>
            <w:tcW w:type="dxa" w:w="3360"/>
          </w:tcPr>
          <w:p>
            <w:r>
              <w:rPr>
                <w:rFonts w:ascii="Calibri" w:hAnsi="Calibri"/>
                <w:color w:val="333333"/>
                <w:sz w:val="18"/>
              </w:rPr>
              <w:t>Normal range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JPM</w:t>
            </w:r>
          </w:p>
        </w:tc>
        <w:tc>
          <w:tcPr>
            <w:tcW w:type="dxa" w:w="2016"/>
          </w:tcPr>
          <w:p>
            <w:r>
              <w:rPr>
                <w:rFonts w:ascii="Calibri" w:hAnsi="Calibri"/>
                <w:color w:val="333333"/>
                <w:sz w:val="18"/>
              </w:rPr>
              <w:t>JP Morgan Chase &amp; Co.</w:t>
            </w:r>
          </w:p>
        </w:tc>
        <w:tc>
          <w:tcPr>
            <w:tcW w:type="dxa" w:w="2016"/>
          </w:tcPr>
          <w:p>
            <w:r>
              <w:rPr>
                <w:rFonts w:ascii="Calibri" w:hAnsi="Calibri"/>
                <w:color w:val="333333"/>
                <w:sz w:val="18"/>
              </w:rPr>
              <w:t>$794.5B</w:t>
            </w:r>
          </w:p>
        </w:tc>
        <w:tc>
          <w:tcPr>
            <w:tcW w:type="dxa" w:w="2016"/>
          </w:tcPr>
          <w:p>
            <w:r>
              <w:rPr>
                <w:rFonts w:ascii="Calibri" w:hAnsi="Calibri"/>
                <w:color w:val="333333"/>
                <w:sz w:val="18"/>
              </w:rPr>
              <w:t>$168.2B</w:t>
            </w:r>
          </w:p>
        </w:tc>
        <w:tc>
          <w:tcPr>
            <w:tcW w:type="dxa" w:w="2016"/>
          </w:tcPr>
          <w:p>
            <w:r>
              <w:rPr>
                <w:rFonts w:ascii="Calibri" w:hAnsi="Calibri"/>
                <w:color w:val="333333"/>
                <w:sz w:val="18"/>
              </w:rPr>
              <w:t>12</w:t>
            </w:r>
          </w:p>
        </w:tc>
      </w:tr>
      <w:tr>
        <w:tc>
          <w:tcPr>
            <w:tcW w:type="dxa" w:w="2016"/>
            <w:shd w:fill="F2F4F8" w:val="clear"/>
          </w:tcPr>
          <w:p>
            <w:r>
              <w:rPr>
                <w:rFonts w:ascii="Calibri" w:hAnsi="Calibri"/>
                <w:color w:val="333333"/>
                <w:sz w:val="18"/>
              </w:rPr>
              <w:t>V</w:t>
            </w:r>
          </w:p>
        </w:tc>
        <w:tc>
          <w:tcPr>
            <w:tcW w:type="dxa" w:w="2016"/>
            <w:shd w:fill="F2F4F8" w:val="clear"/>
          </w:tcPr>
          <w:p>
            <w:r>
              <w:rPr>
                <w:rFonts w:ascii="Calibri" w:hAnsi="Calibri"/>
                <w:color w:val="333333"/>
                <w:sz w:val="18"/>
              </w:rPr>
              <w:t>Visa Inc.</w:t>
            </w:r>
          </w:p>
        </w:tc>
        <w:tc>
          <w:tcPr>
            <w:tcW w:type="dxa" w:w="2016"/>
            <w:shd w:fill="F2F4F8" w:val="clear"/>
          </w:tcPr>
          <w:p>
            <w:r>
              <w:rPr>
                <w:rFonts w:ascii="Calibri" w:hAnsi="Calibri"/>
                <w:color w:val="333333"/>
                <w:sz w:val="18"/>
              </w:rPr>
              <w:t>$580.0B</w:t>
            </w:r>
          </w:p>
        </w:tc>
        <w:tc>
          <w:tcPr>
            <w:tcW w:type="dxa" w:w="2016"/>
            <w:shd w:fill="F2F4F8" w:val="clear"/>
          </w:tcPr>
          <w:p>
            <w:r>
              <w:rPr>
                <w:rFonts w:ascii="Calibri" w:hAnsi="Calibri"/>
                <w:color w:val="333333"/>
                <w:sz w:val="18"/>
              </w:rPr>
              <w:t>$41.4B</w:t>
            </w:r>
          </w:p>
        </w:tc>
        <w:tc>
          <w:tcPr>
            <w:tcW w:type="dxa" w:w="2016"/>
            <w:shd w:fill="F2F4F8" w:val="clear"/>
          </w:tcPr>
          <w:p>
            <w:r>
              <w:rPr>
                <w:rFonts w:ascii="Calibri" w:hAnsi="Calibri"/>
                <w:color w:val="333333"/>
                <w:sz w:val="18"/>
              </w:rPr>
              <w:t>14</w:t>
            </w:r>
          </w:p>
        </w:tc>
      </w:tr>
      <w:tr>
        <w:tc>
          <w:tcPr>
            <w:tcW w:type="dxa" w:w="2016"/>
          </w:tcPr>
          <w:p>
            <w:r>
              <w:rPr>
                <w:rFonts w:ascii="Calibri" w:hAnsi="Calibri"/>
                <w:color w:val="333333"/>
                <w:sz w:val="18"/>
              </w:rPr>
              <w:t>MA</w:t>
            </w:r>
          </w:p>
        </w:tc>
        <w:tc>
          <w:tcPr>
            <w:tcW w:type="dxa" w:w="2016"/>
          </w:tcPr>
          <w:p>
            <w:r>
              <w:rPr>
                <w:rFonts w:ascii="Calibri" w:hAnsi="Calibri"/>
                <w:color w:val="333333"/>
                <w:sz w:val="18"/>
              </w:rPr>
              <w:t>Mastercard Incorporated</w:t>
            </w:r>
          </w:p>
        </w:tc>
        <w:tc>
          <w:tcPr>
            <w:tcW w:type="dxa" w:w="2016"/>
          </w:tcPr>
          <w:p>
            <w:r>
              <w:rPr>
                <w:rFonts w:ascii="Calibri" w:hAnsi="Calibri"/>
                <w:color w:val="333333"/>
                <w:sz w:val="18"/>
              </w:rPr>
              <w:t>$440.4B</w:t>
            </w:r>
          </w:p>
        </w:tc>
        <w:tc>
          <w:tcPr>
            <w:tcW w:type="dxa" w:w="2016"/>
          </w:tcPr>
          <w:p>
            <w:r>
              <w:rPr>
                <w:rFonts w:ascii="Calibri" w:hAnsi="Calibri"/>
                <w:color w:val="333333"/>
                <w:sz w:val="18"/>
              </w:rPr>
              <w:t>$32.8B</w:t>
            </w:r>
          </w:p>
        </w:tc>
        <w:tc>
          <w:tcPr>
            <w:tcW w:type="dxa" w:w="2016"/>
          </w:tcPr>
          <w:p>
            <w:r>
              <w:rPr>
                <w:rFonts w:ascii="Calibri" w:hAnsi="Calibri"/>
                <w:color w:val="333333"/>
                <w:sz w:val="18"/>
              </w:rPr>
              <w:t>14</w:t>
            </w:r>
          </w:p>
        </w:tc>
      </w:tr>
      <w:tr>
        <w:tc>
          <w:tcPr>
            <w:tcW w:type="dxa" w:w="2016"/>
            <w:shd w:fill="F2F4F8" w:val="clear"/>
          </w:tcPr>
          <w:p>
            <w:r>
              <w:rPr>
                <w:rFonts w:ascii="Calibri" w:hAnsi="Calibri"/>
                <w:color w:val="333333"/>
                <w:sz w:val="18"/>
              </w:rPr>
              <w:t>BAC</w:t>
            </w:r>
          </w:p>
        </w:tc>
        <w:tc>
          <w:tcPr>
            <w:tcW w:type="dxa" w:w="2016"/>
            <w:shd w:fill="F2F4F8" w:val="clear"/>
          </w:tcPr>
          <w:p>
            <w:r>
              <w:rPr>
                <w:rFonts w:ascii="Calibri" w:hAnsi="Calibri"/>
                <w:color w:val="333333"/>
                <w:sz w:val="18"/>
              </w:rPr>
              <w:t>Bank of America Corporation</w:t>
            </w:r>
          </w:p>
        </w:tc>
        <w:tc>
          <w:tcPr>
            <w:tcW w:type="dxa" w:w="2016"/>
            <w:shd w:fill="F2F4F8" w:val="clear"/>
          </w:tcPr>
          <w:p>
            <w:r>
              <w:rPr>
                <w:rFonts w:ascii="Calibri" w:hAnsi="Calibri"/>
                <w:color w:val="333333"/>
                <w:sz w:val="18"/>
              </w:rPr>
              <w:t>$354.4B</w:t>
            </w:r>
          </w:p>
        </w:tc>
        <w:tc>
          <w:tcPr>
            <w:tcW w:type="dxa" w:w="2016"/>
            <w:shd w:fill="F2F4F8" w:val="clear"/>
          </w:tcPr>
          <w:p>
            <w:r>
              <w:rPr>
                <w:rFonts w:ascii="Calibri" w:hAnsi="Calibri"/>
                <w:color w:val="333333"/>
                <w:sz w:val="18"/>
              </w:rPr>
              <w:t>$107.4B</w:t>
            </w:r>
          </w:p>
        </w:tc>
        <w:tc>
          <w:tcPr>
            <w:tcW w:type="dxa" w:w="2016"/>
            <w:shd w:fill="F2F4F8" w:val="clear"/>
          </w:tcPr>
          <w:p>
            <w:r>
              <w:rPr>
                <w:rFonts w:ascii="Calibri" w:hAnsi="Calibri"/>
                <w:color w:val="333333"/>
                <w:sz w:val="18"/>
              </w:rPr>
              <w:t>12</w:t>
            </w:r>
          </w:p>
        </w:tc>
      </w:tr>
      <w:tr>
        <w:tc>
          <w:tcPr>
            <w:tcW w:type="dxa" w:w="2016"/>
          </w:tcPr>
          <w:p>
            <w:r>
              <w:rPr>
                <w:rFonts w:ascii="Calibri" w:hAnsi="Calibri"/>
                <w:color w:val="333333"/>
                <w:sz w:val="18"/>
              </w:rPr>
              <w:t>WFC</w:t>
            </w:r>
          </w:p>
        </w:tc>
        <w:tc>
          <w:tcPr>
            <w:tcW w:type="dxa" w:w="2016"/>
          </w:tcPr>
          <w:p>
            <w:r>
              <w:rPr>
                <w:rFonts w:ascii="Calibri" w:hAnsi="Calibri"/>
                <w:color w:val="333333"/>
                <w:sz w:val="18"/>
              </w:rPr>
              <w:t>Wells Fargo &amp; Company</w:t>
            </w:r>
          </w:p>
        </w:tc>
        <w:tc>
          <w:tcPr>
            <w:tcW w:type="dxa" w:w="2016"/>
          </w:tcPr>
          <w:p>
            <w:r>
              <w:rPr>
                <w:rFonts w:ascii="Calibri" w:hAnsi="Calibri"/>
                <w:color w:val="333333"/>
                <w:sz w:val="18"/>
              </w:rPr>
              <w:t>$248.7B</w:t>
            </w:r>
          </w:p>
        </w:tc>
        <w:tc>
          <w:tcPr>
            <w:tcW w:type="dxa" w:w="2016"/>
          </w:tcPr>
          <w:p>
            <w:r>
              <w:rPr>
                <w:rFonts w:ascii="Calibri" w:hAnsi="Calibri"/>
                <w:color w:val="333333"/>
                <w:sz w:val="18"/>
              </w:rPr>
              <w:t>$80.0B</w:t>
            </w:r>
          </w:p>
        </w:tc>
        <w:tc>
          <w:tcPr>
            <w:tcW w:type="dxa" w:w="2016"/>
          </w:tcPr>
          <w:p>
            <w:r>
              <w:rPr>
                <w:rFonts w:ascii="Calibri" w:hAnsi="Calibri"/>
                <w:color w:val="333333"/>
                <w:sz w:val="18"/>
              </w:rPr>
              <w:t>13</w:t>
            </w:r>
          </w:p>
        </w:tc>
      </w:tr>
      <w:tr>
        <w:tc>
          <w:tcPr>
            <w:tcW w:type="dxa" w:w="2016"/>
            <w:shd w:fill="F2F4F8" w:val="clear"/>
          </w:tcPr>
          <w:p>
            <w:r>
              <w:rPr>
                <w:rFonts w:ascii="Calibri" w:hAnsi="Calibri"/>
                <w:color w:val="333333"/>
                <w:sz w:val="18"/>
              </w:rPr>
              <w:t>GS</w:t>
            </w:r>
          </w:p>
        </w:tc>
        <w:tc>
          <w:tcPr>
            <w:tcW w:type="dxa" w:w="2016"/>
            <w:shd w:fill="F2F4F8" w:val="clear"/>
          </w:tcPr>
          <w:p>
            <w:r>
              <w:rPr>
                <w:rFonts w:ascii="Calibri" w:hAnsi="Calibri"/>
                <w:color w:val="333333"/>
                <w:sz w:val="18"/>
              </w:rPr>
              <w:t>Goldman Sachs Group, Inc. (The)</w:t>
            </w:r>
          </w:p>
        </w:tc>
        <w:tc>
          <w:tcPr>
            <w:tcW w:type="dxa" w:w="2016"/>
            <w:shd w:fill="F2F4F8" w:val="clear"/>
          </w:tcPr>
          <w:p>
            <w:r>
              <w:rPr>
                <w:rFonts w:ascii="Calibri" w:hAnsi="Calibri"/>
                <w:color w:val="333333"/>
                <w:sz w:val="18"/>
              </w:rPr>
              <w:t>$256.1B</w:t>
            </w:r>
          </w:p>
        </w:tc>
        <w:tc>
          <w:tcPr>
            <w:tcW w:type="dxa" w:w="2016"/>
            <w:shd w:fill="F2F4F8" w:val="clear"/>
          </w:tcPr>
          <w:p>
            <w:r>
              <w:rPr>
                <w:rFonts w:ascii="Calibri" w:hAnsi="Calibri"/>
                <w:color w:val="333333"/>
                <w:sz w:val="18"/>
              </w:rPr>
              <w:t>$59.4B</w:t>
            </w:r>
          </w:p>
        </w:tc>
        <w:tc>
          <w:tcPr>
            <w:tcW w:type="dxa" w:w="2016"/>
            <w:shd w:fill="F2F4F8" w:val="clear"/>
          </w:tcPr>
          <w:p>
            <w:r>
              <w:rPr>
                <w:rFonts w:ascii="Calibri" w:hAnsi="Calibri"/>
                <w:color w:val="333333"/>
                <w:sz w:val="18"/>
              </w:rPr>
              <w:t>13</w:t>
            </w:r>
          </w:p>
        </w:tc>
      </w:tr>
      <w:tr>
        <w:tc>
          <w:tcPr>
            <w:tcW w:type="dxa" w:w="2016"/>
          </w:tcPr>
          <w:p>
            <w:r>
              <w:rPr>
                <w:rFonts w:ascii="Calibri" w:hAnsi="Calibri"/>
                <w:color w:val="333333"/>
                <w:sz w:val="18"/>
              </w:rPr>
              <w:t>MS</w:t>
            </w:r>
          </w:p>
        </w:tc>
        <w:tc>
          <w:tcPr>
            <w:tcW w:type="dxa" w:w="2016"/>
          </w:tcPr>
          <w:p>
            <w:r>
              <w:rPr>
                <w:rFonts w:ascii="Calibri" w:hAnsi="Calibri"/>
                <w:color w:val="333333"/>
                <w:sz w:val="18"/>
              </w:rPr>
              <w:t>Morgan Stanley</w:t>
            </w:r>
          </w:p>
        </w:tc>
        <w:tc>
          <w:tcPr>
            <w:tcW w:type="dxa" w:w="2016"/>
          </w:tcPr>
          <w:p>
            <w:r>
              <w:rPr>
                <w:rFonts w:ascii="Calibri" w:hAnsi="Calibri"/>
                <w:color w:val="333333"/>
                <w:sz w:val="18"/>
              </w:rPr>
              <w:t>$263.3B</w:t>
            </w:r>
          </w:p>
        </w:tc>
        <w:tc>
          <w:tcPr>
            <w:tcW w:type="dxa" w:w="2016"/>
          </w:tcPr>
          <w:p>
            <w:r>
              <w:rPr>
                <w:rFonts w:ascii="Calibri" w:hAnsi="Calibri"/>
                <w:color w:val="333333"/>
                <w:sz w:val="18"/>
              </w:rPr>
              <w:t>$70.3B</w:t>
            </w:r>
          </w:p>
        </w:tc>
        <w:tc>
          <w:tcPr>
            <w:tcW w:type="dxa" w:w="2016"/>
          </w:tcPr>
          <w:p>
            <w:r>
              <w:rPr>
                <w:rFonts w:ascii="Calibri" w:hAnsi="Calibri"/>
                <w:color w:val="333333"/>
                <w:sz w:val="18"/>
              </w:rPr>
              <w:t>12</w:t>
            </w:r>
          </w:p>
        </w:tc>
      </w:tr>
      <w:tr>
        <w:tc>
          <w:tcPr>
            <w:tcW w:type="dxa" w:w="2016"/>
            <w:shd w:fill="F2F4F8" w:val="clear"/>
          </w:tcPr>
          <w:p>
            <w:r>
              <w:rPr>
                <w:rFonts w:ascii="Calibri" w:hAnsi="Calibri"/>
                <w:color w:val="333333"/>
                <w:sz w:val="18"/>
              </w:rPr>
              <w:t>AXP</w:t>
            </w:r>
          </w:p>
        </w:tc>
        <w:tc>
          <w:tcPr>
            <w:tcW w:type="dxa" w:w="2016"/>
            <w:shd w:fill="F2F4F8" w:val="clear"/>
          </w:tcPr>
          <w:p>
            <w:r>
              <w:rPr>
                <w:rFonts w:ascii="Calibri" w:hAnsi="Calibri"/>
                <w:color w:val="333333"/>
                <w:sz w:val="18"/>
              </w:rPr>
              <w:t>American Express Company</w:t>
            </w:r>
          </w:p>
        </w:tc>
        <w:tc>
          <w:tcPr>
            <w:tcW w:type="dxa" w:w="2016"/>
            <w:shd w:fill="F2F4F8" w:val="clear"/>
          </w:tcPr>
          <w:p>
            <w:r>
              <w:rPr>
                <w:rFonts w:ascii="Calibri" w:hAnsi="Calibri"/>
                <w:color w:val="333333"/>
                <w:sz w:val="18"/>
              </w:rPr>
              <w:t>$206.1B</w:t>
            </w:r>
          </w:p>
        </w:tc>
        <w:tc>
          <w:tcPr>
            <w:tcW w:type="dxa" w:w="2016"/>
            <w:shd w:fill="F2F4F8" w:val="clear"/>
          </w:tcPr>
          <w:p>
            <w:r>
              <w:rPr>
                <w:rFonts w:ascii="Calibri" w:hAnsi="Calibri"/>
                <w:color w:val="333333"/>
                <w:sz w:val="18"/>
              </w:rPr>
              <w:t>$67.0B</w:t>
            </w:r>
          </w:p>
        </w:tc>
        <w:tc>
          <w:tcPr>
            <w:tcW w:type="dxa" w:w="2016"/>
            <w:shd w:fill="F2F4F8" w:val="clear"/>
          </w:tcPr>
          <w:p>
            <w:r>
              <w:rPr>
                <w:rFonts w:ascii="Calibri" w:hAnsi="Calibri"/>
                <w:color w:val="333333"/>
                <w:sz w:val="18"/>
              </w:rPr>
              <w:t>13</w:t>
            </w:r>
          </w:p>
        </w:tc>
      </w:tr>
      <w:tr>
        <w:tc>
          <w:tcPr>
            <w:tcW w:type="dxa" w:w="2016"/>
          </w:tcPr>
          <w:p>
            <w:r>
              <w:rPr>
                <w:rFonts w:ascii="Calibri" w:hAnsi="Calibri"/>
                <w:color w:val="333333"/>
                <w:sz w:val="18"/>
              </w:rPr>
              <w:t>BLK</w:t>
            </w:r>
          </w:p>
        </w:tc>
        <w:tc>
          <w:tcPr>
            <w:tcW w:type="dxa" w:w="2016"/>
          </w:tcPr>
          <w:p>
            <w:r>
              <w:rPr>
                <w:rFonts w:ascii="Calibri" w:hAnsi="Calibri"/>
                <w:color w:val="333333"/>
                <w:sz w:val="18"/>
              </w:rPr>
              <w:t>BlackRock, Inc.</w:t>
            </w:r>
          </w:p>
        </w:tc>
        <w:tc>
          <w:tcPr>
            <w:tcW w:type="dxa" w:w="2016"/>
          </w:tcPr>
          <w:p>
            <w:r>
              <w:rPr>
                <w:rFonts w:ascii="Calibri" w:hAnsi="Calibri"/>
                <w:color w:val="333333"/>
                <w:sz w:val="18"/>
              </w:rPr>
              <w:t>$150.3B</w:t>
            </w:r>
          </w:p>
        </w:tc>
        <w:tc>
          <w:tcPr>
            <w:tcW w:type="dxa" w:w="2016"/>
          </w:tcPr>
          <w:p>
            <w:r>
              <w:rPr>
                <w:rFonts w:ascii="Calibri" w:hAnsi="Calibri"/>
                <w:color w:val="333333"/>
                <w:sz w:val="18"/>
              </w:rPr>
              <w:t>$24.2B</w:t>
            </w:r>
          </w:p>
        </w:tc>
        <w:tc>
          <w:tcPr>
            <w:tcW w:type="dxa" w:w="2016"/>
          </w:tcPr>
          <w:p>
            <w:r>
              <w:rPr>
                <w:rFonts w:ascii="Calibri" w:hAnsi="Calibri"/>
                <w:color w:val="333333"/>
                <w:sz w:val="18"/>
              </w:rPr>
              <w:t>15</w:t>
            </w:r>
          </w:p>
        </w:tc>
      </w:tr>
      <w:tr>
        <w:tc>
          <w:tcPr>
            <w:tcW w:type="dxa" w:w="2016"/>
            <w:shd w:fill="F2F4F8" w:val="clear"/>
          </w:tcPr>
          <w:p>
            <w:r>
              <w:rPr>
                <w:rFonts w:ascii="Calibri" w:hAnsi="Calibri"/>
                <w:color w:val="333333"/>
                <w:sz w:val="18"/>
              </w:rPr>
              <w:t>SCHW</w:t>
            </w:r>
          </w:p>
        </w:tc>
        <w:tc>
          <w:tcPr>
            <w:tcW w:type="dxa" w:w="2016"/>
            <w:shd w:fill="F2F4F8" w:val="clear"/>
          </w:tcPr>
          <w:p>
            <w:r>
              <w:rPr>
                <w:rFonts w:ascii="Calibri" w:hAnsi="Calibri"/>
                <w:color w:val="333333"/>
                <w:sz w:val="18"/>
              </w:rPr>
              <w:t>Charles Schwab Corporation (The</w:t>
            </w:r>
          </w:p>
        </w:tc>
        <w:tc>
          <w:tcPr>
            <w:tcW w:type="dxa" w:w="2016"/>
            <w:shd w:fill="F2F4F8" w:val="clear"/>
          </w:tcPr>
          <w:p>
            <w:r>
              <w:rPr>
                <w:rFonts w:ascii="Calibri" w:hAnsi="Calibri"/>
                <w:color w:val="333333"/>
                <w:sz w:val="18"/>
              </w:rPr>
              <w:t>$166.6B</w:t>
            </w:r>
          </w:p>
        </w:tc>
        <w:tc>
          <w:tcPr>
            <w:tcW w:type="dxa" w:w="2016"/>
            <w:shd w:fill="F2F4F8" w:val="clear"/>
          </w:tcPr>
          <w:p>
            <w:r>
              <w:rPr>
                <w:rFonts w:ascii="Calibri" w:hAnsi="Calibri"/>
                <w:color w:val="333333"/>
                <w:sz w:val="18"/>
              </w:rPr>
              <w:t>$23.9B</w:t>
            </w:r>
          </w:p>
        </w:tc>
        <w:tc>
          <w:tcPr>
            <w:tcW w:type="dxa" w:w="2016"/>
            <w:shd w:fill="F2F4F8" w:val="clear"/>
          </w:tcPr>
          <w:p>
            <w:r>
              <w:rPr>
                <w:rFonts w:ascii="Calibri" w:hAnsi="Calibri"/>
                <w:color w:val="333333"/>
                <w:sz w:val="18"/>
              </w:rPr>
              <w:t>15</w:t>
            </w:r>
          </w:p>
        </w:tc>
      </w:tr>
    </w:tbl>
    <w:p>
      <w:pPr>
        <w:pStyle w:val="DOBody"/>
      </w:pPr>
      <w:r>
        <w:t>Revenue: Ranks at the 0th percentile among 10 peers. Leverage: Ranks at the 78th percentile among 0 peers (peer median: 10.0x).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The board's structural opacity, with only one disclosed director and no calculable independence ratio, creates a severe disclosure deficit that directly impairs our ability to assess oversight for a company facing 4 triggered governance checks. While CEO Brian Armstrong lacks formal Chair duality, this nominal separation is meaningless against a board that appears skeletal with just 1 director, amplifying his de facto control. The 99% say-on-pay approval for $3.27 million in CEO compensation is a governance artifact, not a risk mitigant, given the absence of a visible compensation committee, which fails to justify pay against a total governance score of 45.6. The core D&amp;O exposure here is a pure Caremark claim: a regulator or plaintiff will argue that a one-director board is structurally incapable of fulfilling its duty to monitor the existential legal and compliance risks endemic to crypto. This feeds directly into duty of candor violations in proxy statements that likely obscure this governance reality, a tangible litigation trigger. Underwriting this requires pricing for the inevitability of a derivative suit alleging the entire board failed to install reporting systems for the regulatory onslaught Coinbase faces daily, given its low score of 45.6. The 14-year tenures of the 4 listed executives, including COO Haas and CLO Grewal, indicate deep institutional knowledge but also cement potential defendant groups for any historical oversight failures spanning their lengthy tenures.</w:t>
      </w:r>
    </w:p>
    <w:p>
      <w:pPr>
        <w:pStyle w:val="DOHeading1"/>
      </w:pPr>
      <w:r>
        <w:t>Section 5: Governance &amp; Leadership</w:t>
      </w:r>
    </w:p>
    <w:p>
      <w:pPr>
        <w:pStyle w:val="DOBody"/>
      </w:pPr>
      <w:r>
        <w:rPr>
          <w:rFonts w:ascii="Calibri" w:hAnsi="Calibri"/>
          <w:color w:val="333333"/>
          <w:sz w:val="20"/>
        </w:rPr>
        <w:t>Leadership team is stable with average tenure of 14.0 years. Board governance is moderate (46/100) with some areas for improvement. Dual-class share structure concentrates voting control.</w:t>
      </w:r>
      <w:r>
        <w:rPr>
          <w:rFonts w:ascii="Consolas" w:hAnsi="Consolas"/>
          <w:color w:val="666666"/>
          <w:sz w:val="16"/>
        </w:rPr>
        <w:t xml:space="preserve">  [Rule-based synthesis of governance extraction results, 2026-04-03, LOW]</w:t>
      </w:r>
    </w:p>
    <w:p>
      <w:pPr>
        <w:pStyle w:val="DOBody"/>
      </w:pPr>
      <w:r>
        <w:rPr>
          <w:rFonts w:ascii="Calibri" w:hAnsi="Calibri"/>
          <w:color w:val="333333"/>
          <w:sz w:val="20"/>
        </w:rPr>
        <w:t>Governance Quality Score: 45.6/10</w:t>
      </w:r>
      <w:r>
        <w:rPr>
          <w:rFonts w:ascii="Consolas" w:hAnsi="Consolas"/>
          <w:color w:val="666666"/>
          <w:sz w:val="16"/>
        </w:rPr>
        <w:t xml:space="preserve">  [Computed from governance dimensions, 2026-04-03,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Alesia Haas</w:t>
            </w:r>
          </w:p>
        </w:tc>
        <w:tc>
          <w:tcPr>
            <w:tcW w:type="dxa" w:w="1680"/>
          </w:tcPr>
          <w:p>
            <w:r>
              <w:rPr>
                <w:rFonts w:ascii="Calibri" w:hAnsi="Calibri"/>
                <w:color w:val="333333"/>
                <w:sz w:val="18"/>
              </w:rPr>
              <w:t>COO</w:t>
            </w:r>
          </w:p>
        </w:tc>
        <w:tc>
          <w:tcPr>
            <w:tcW w:type="dxa" w:w="1680"/>
          </w:tcPr>
          <w:p>
            <w:r>
              <w:rPr>
                <w:rFonts w:ascii="Calibri" w:hAnsi="Calibri"/>
                <w:color w:val="333333"/>
                <w:sz w:val="18"/>
              </w:rPr>
              <w:t>14.0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Paul Grewal</w:t>
            </w:r>
          </w:p>
        </w:tc>
        <w:tc>
          <w:tcPr>
            <w:tcW w:type="dxa" w:w="1680"/>
            <w:shd w:fill="F2F4F8" w:val="clear"/>
          </w:tcPr>
          <w:p>
            <w:r>
              <w:rPr>
                <w:rFonts w:ascii="Calibri" w:hAnsi="Calibri"/>
                <w:color w:val="333333"/>
                <w:sz w:val="18"/>
              </w:rPr>
              <w:t>CLO</w:t>
            </w:r>
          </w:p>
        </w:tc>
        <w:tc>
          <w:tcPr>
            <w:tcW w:type="dxa" w:w="1680"/>
            <w:shd w:fill="F2F4F8" w:val="clear"/>
          </w:tcPr>
          <w:p>
            <w:r>
              <w:rPr>
                <w:rFonts w:ascii="Calibri" w:hAnsi="Calibri"/>
                <w:color w:val="333333"/>
                <w:sz w:val="18"/>
              </w:rPr>
              <w:t>14.0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Legal Officer</w:t>
            </w:r>
          </w:p>
        </w:tc>
        <w:tc>
          <w:tcPr>
            <w:tcW w:type="dxa" w:w="1680"/>
          </w:tcPr>
          <w:p>
            <w:r>
              <w:rPr>
                <w:rFonts w:ascii="Calibri" w:hAnsi="Calibri"/>
                <w:color w:val="333333"/>
                <w:sz w:val="18"/>
              </w:rPr>
              <w:t>CAO</w:t>
            </w:r>
          </w:p>
        </w:tc>
        <w:tc>
          <w:tcPr>
            <w:tcW w:type="dxa" w:w="1680"/>
          </w:tcPr>
          <w:p>
            <w:r>
              <w:rPr>
                <w:rFonts w:ascii="Calibri" w:hAnsi="Calibri"/>
                <w:color w:val="333333"/>
                <w:sz w:val="18"/>
              </w:rPr>
              <w:t>14.0</w:t>
            </w:r>
          </w:p>
        </w:tc>
        <w:tc>
          <w:tcPr>
            <w:tcW w:type="dxa" w:w="1680"/>
          </w:tcPr>
          <w:p>
            <w:r>
              <w:rPr>
                <w:rFonts w:ascii="Calibri" w:hAnsi="Calibri"/>
                <w:color w:val="333333"/>
                <w:sz w:val="18"/>
              </w:rPr>
              <w:t>ACTIVE</w:t>
            </w:r>
          </w:p>
        </w:tc>
        <w:tc>
          <w:tcPr>
            <w:tcW w:type="dxa" w:w="1680"/>
          </w:tcPr>
          <w:p>
            <w:r>
              <w:rPr>
                <w:rFonts w:ascii="Calibri" w:hAnsi="Calibri"/>
                <w:color w:val="333333"/>
                <w:sz w:val="18"/>
              </w:rPr>
              <w:t>9</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America Online</w:t>
            </w:r>
          </w:p>
        </w:tc>
        <w:tc>
          <w:tcPr>
            <w:tcW w:type="dxa" w:w="1680"/>
            <w:shd w:fill="F2F4F8" w:val="clear"/>
          </w:tcPr>
          <w:p>
            <w:r>
              <w:rPr>
                <w:rFonts w:ascii="Calibri" w:hAnsi="Calibri"/>
                <w:color w:val="333333"/>
                <w:sz w:val="18"/>
              </w:rPr>
              <w:t>CTO</w:t>
            </w:r>
          </w:p>
        </w:tc>
        <w:tc>
          <w:tcPr>
            <w:tcW w:type="dxa" w:w="1680"/>
            <w:shd w:fill="F2F4F8" w:val="clear"/>
          </w:tcPr>
          <w:p>
            <w:r>
              <w:rPr>
                <w:rFonts w:ascii="Calibri" w:hAnsi="Calibri"/>
                <w:color w:val="333333"/>
                <w:sz w:val="18"/>
              </w:rPr>
              <w:t>14.0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1</w:t>
            </w:r>
          </w:p>
        </w:tc>
        <w:tc>
          <w:tcPr>
            <w:tcW w:type="dxa" w:w="1680"/>
            <w:shd w:fill="F2F4F8" w:val="clear"/>
          </w:tcPr>
          <w:p>
            <w:r>
              <w:rPr>
                <w:rFonts w:ascii="Calibri" w:hAnsi="Calibri"/>
                <w:color w:val="333333"/>
                <w:sz w:val="18"/>
              </w:rPr>
              <w:t>None</w:t>
            </w:r>
          </w:p>
        </w:tc>
      </w:tr>
    </w:tbl>
    <w:p>
      <w:pPr>
        <w:pStyle w:val="DOBody"/>
      </w:pPr>
      <w:r>
        <w:rPr>
          <w:i/>
          <w:sz w:val="16"/>
        </w:rPr>
        <w:t>D&amp;O Context (Legal Officer, 9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i/>
          <w:sz w:val="16"/>
        </w:rPr>
        <w:t>D&amp;O Context (America Online, 1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2026-04-03,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Name Age Independent Position</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$3.3M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22:1</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The following highlights aspects of our executive compensation policies and practices: 25 TABLE OF CONTENTS What We Do What We Don't Do • Maintain an independent and experienced compensation committee • No pension plans or supplemental executive retirement plans • Maintain an independent compensatio, We may provide personal security services, including certified protection officers, secure lodging and residential security to our Named Executive Officers as our security team deems appropriate, We may provide personal security services, including certified protection officers, secure lodging and residential security to our Named Executive Officers as our security team deems appropriate: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69.0%</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1.3%</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29.6%</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Geode Capital Management, LLC</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Morgan Stanley</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Coinbase currently defends five active SCAs, including the pivotal *In re Coinbase Global, Inc. Securities Litigation* with a class period from April 2021, and *Underwood et al. v. Coinbase* from 2021. The company's adjusted SCA filing rate of 10.44% is more than double the 4.0% sector average, indicating a severe and recurrent litigation posture that directly increases the frequency and severity of D&amp;O claims. With four derivative actions piggybacking on these SCAs and six open solicitation letters, plaintiff's counsel coordination is high, likely driving defense costs well above peer benchmarks and complicating unified defense strategy. The SEC's ongoing Comment Letter stage represents a clear catalyst for a future corrective disclosure, potentially inflating settlement values beyond the typical crypto-sector premium by providing plaintiffs with a low-cost regulatory roadmap. Given its moderate defense strength and a history of missing guidance by over 15%—a specific factor scoring 2.02 out of 10 on risk metrics—my claim probability estimate exceeds 40%, with settlement benchmarking suggesting a potential eight-figure resolution per major SCA. The primary underwriting catch is the regulatory timeline acting as a litigation multiplier, locking in high defense costs for years before any settlement pressure even materializes, which pressures D&amp;O limits through attrition.</w:t>
      </w:r>
    </w:p>
    <w:p>
      <w:pPr>
        <w:pStyle w:val="DOHeading1"/>
      </w:pPr>
      <w:r>
        <w:t>Section 6: Litigation &amp; Regulatory Exposure</w:t>
      </w:r>
    </w:p>
    <w:p>
      <w:pPr>
        <w:pStyle w:val="DOBody"/>
      </w:pPr>
      <w:r>
        <w:rPr>
          <w:rFonts w:ascii="Calibri" w:hAnsi="Calibri"/>
          <w:color w:val="333333"/>
          <w:sz w:val="20"/>
        </w:rPr>
        <w:t>The company faces 5 active securities class action(s). The primary case, In re Coinbase Global, Inc. Securities Litigation (2022), is currently pending. SEC enforcement pipeline position: COMMENT_LETTER. 4 derivative action(s) pending, alleging breach of fiduciary duty by directors and officers.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2 active matter(s), 0 historical matter(s)</w:t>
      </w:r>
    </w:p>
    <w:p>
      <w:pPr>
        <w:pStyle w:val="DOHeading3"/>
      </w:pPr>
      <w:r>
        <w:t>Litigation Timeline</w:t>
      </w:r>
    </w:p>
    <w:p>
      <w:r>
        <w:drawing>
          <wp:inline xmlns:a="http://schemas.openxmlformats.org/drawingml/2006/main" xmlns:pic="http://schemas.openxmlformats.org/drawingml/2006/picture">
            <wp:extent cx="5943600" cy="2934182"/>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934182"/>
                    </a:xfrm>
                    <a:prstGeom prst="rect"/>
                  </pic:spPr>
                </pic:pic>
              </a:graphicData>
            </a:graphic>
          </wp:inline>
        </w:drawing>
      </w:r>
    </w:p>
    <w:p>
      <w:pPr>
        <w:pStyle w:val="DOCaption"/>
      </w:pPr>
      <w:r>
        <w:t>Figure: Chronological litigation and regulatory events overlaid with corporate events for pattern recognition</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Coinbase Global Inc Securities (2024)</w:t>
            </w:r>
          </w:p>
        </w:tc>
        <w:tc>
          <w:tcPr>
            <w:tcW w:type="dxa" w:w="1008"/>
          </w:tcPr>
          <w:p>
            <w:r>
              <w:rPr>
                <w:rFonts w:ascii="Calibri" w:hAnsi="Calibri"/>
                <w:color w:val="333333"/>
                <w:sz w:val="18"/>
              </w:rPr>
              <w:t>N/A</w:t>
            </w:r>
          </w:p>
        </w:tc>
        <w:tc>
          <w:tcPr>
            <w:tcW w:type="dxa" w:w="1008"/>
          </w:tcPr>
          <w:p>
            <w:r>
              <w:rPr>
                <w:rFonts w:ascii="Calibri" w:hAnsi="Calibri"/>
                <w:color w:val="333333"/>
                <w:sz w:val="18"/>
              </w:rPr>
              <w:t>Regulatory</w:t>
            </w:r>
          </w:p>
        </w:tc>
        <w:tc>
          <w:tcPr>
            <w:tcW w:type="dxa" w:w="1008"/>
          </w:tcPr>
          <w:p>
            <w:r>
              <w:rPr>
                <w:rFonts w:ascii="Calibri" w:hAnsi="Calibri"/>
                <w:color w:val="333333"/>
                <w:sz w:val="18"/>
              </w:rPr>
              <w:t>N.D. Cal.</w:t>
            </w:r>
          </w:p>
        </w:tc>
        <w:tc>
          <w:tcPr>
            <w:tcW w:type="dxa" w:w="1008"/>
          </w:tcPr>
          <w:p>
            <w:r>
              <w:rPr>
                <w:rFonts w:ascii="Calibri" w:hAnsi="Calibri"/>
                <w:color w:val="333333"/>
                <w:sz w:val="18"/>
              </w:rPr>
              <w:t>2024-09-13</w:t>
            </w:r>
          </w:p>
        </w:tc>
        <w:tc>
          <w:tcPr>
            <w:tcW w:type="dxa" w:w="1008"/>
          </w:tcPr>
          <w:p>
            <w:r>
              <w:rPr>
                <w:rFonts w:ascii="Calibri" w:hAnsi="Calibri"/>
                <w:color w:val="333333"/>
                <w:sz w:val="18"/>
              </w:rPr>
              <w:t>UNKNOWN</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[web search, 2026-04-03, LOW]</w:t>
            </w:r>
          </w:p>
        </w:tc>
      </w:tr>
      <w:tr>
        <w:tc>
          <w:tcPr>
            <w:tcW w:type="dxa" w:w="1008"/>
            <w:shd w:fill="F2F4F8" w:val="clear"/>
          </w:tcPr>
          <w:p>
            <w:r>
              <w:rPr>
                <w:rFonts w:ascii="Calibri" w:hAnsi="Calibri"/>
                <w:color w:val="333333"/>
                <w:sz w:val="18"/>
              </w:rPr>
              <w:t>In re Coinbase Global, Inc. Securities Litigation (2022)</w:t>
            </w:r>
          </w:p>
        </w:tc>
        <w:tc>
          <w:tcPr>
            <w:tcW w:type="dxa" w:w="1008"/>
            <w:shd w:fill="F2F4F8" w:val="clear"/>
          </w:tcPr>
          <w:p>
            <w:r>
              <w:rPr>
                <w:rFonts w:ascii="Calibri" w:hAnsi="Calibri"/>
                <w:color w:val="333333"/>
                <w:sz w:val="18"/>
              </w:rPr>
              <w:t>Rule 10b-5, Section 11</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2022-08-04</w:t>
            </w:r>
          </w:p>
        </w:tc>
        <w:tc>
          <w:tcPr>
            <w:tcW w:type="dxa" w:w="1008"/>
            <w:shd w:fill="F2F4F8" w:val="clear"/>
          </w:tcPr>
          <w:p>
            <w:r>
              <w:rPr>
                <w:rFonts w:ascii="Calibri" w:hAnsi="Calibri"/>
                <w:color w:val="333333"/>
                <w:sz w:val="18"/>
              </w:rPr>
              <w:t>ACTIVE</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[Supabase SCA database, 2026-04-03, MEDIUM]</w:t>
            </w:r>
          </w:p>
        </w:tc>
      </w:tr>
      <w:tr>
        <w:tc>
          <w:tcPr>
            <w:tcW w:type="dxa" w:w="1008"/>
          </w:tcPr>
          <w:p>
            <w:r>
              <w:rPr>
                <w:rFonts w:ascii="Calibri" w:hAnsi="Calibri"/>
                <w:color w:val="333333"/>
                <w:sz w:val="18"/>
              </w:rPr>
              <w:t>Underwood et al. v. Coinbase Global, Inc. (2021)</w:t>
            </w:r>
          </w:p>
        </w:tc>
        <w:tc>
          <w:tcPr>
            <w:tcW w:type="dxa" w:w="1008"/>
          </w:tcPr>
          <w:p>
            <w:r>
              <w:rPr>
                <w:rFonts w:ascii="Calibri" w:hAnsi="Calibri"/>
                <w:color w:val="333333"/>
                <w:sz w:val="18"/>
              </w:rPr>
              <w:t>Securities Act Section 5, Securities Act Section 12(A)(1), Securities Act Section 15, State Statutes, Derivative / Fiduciary Duty</w:t>
            </w:r>
          </w:p>
        </w:tc>
        <w:tc>
          <w:tcPr>
            <w:tcW w:type="dxa" w:w="1008"/>
          </w:tcPr>
          <w:p>
            <w:r>
              <w:rPr>
                <w:rFonts w:ascii="Calibri" w:hAnsi="Calibri"/>
                <w:color w:val="333333"/>
                <w:sz w:val="18"/>
              </w:rPr>
              <w:t>Commercial</w:t>
            </w:r>
          </w:p>
        </w:tc>
        <w:tc>
          <w:tcPr>
            <w:tcW w:type="dxa" w:w="1008"/>
          </w:tcPr>
          <w:p>
            <w:r>
              <w:rPr>
                <w:rFonts w:ascii="Calibri" w:hAnsi="Calibri"/>
                <w:color w:val="333333"/>
                <w:sz w:val="18"/>
              </w:rPr>
              <w:t>U.S. District Court for the Southern District of New York</w:t>
            </w:r>
          </w:p>
        </w:tc>
        <w:tc>
          <w:tcPr>
            <w:tcW w:type="dxa" w:w="1008"/>
          </w:tcPr>
          <w:p>
            <w:r>
              <w:rPr>
                <w:rFonts w:ascii="Calibri" w:hAnsi="Calibri"/>
                <w:color w:val="333333"/>
                <w:sz w:val="18"/>
              </w:rPr>
              <w:t>2021-10-01</w:t>
            </w:r>
          </w:p>
        </w:tc>
        <w:tc>
          <w:tcPr>
            <w:tcW w:type="dxa" w:w="1008"/>
          </w:tcPr>
          <w:p>
            <w:r>
              <w:rPr>
                <w:rFonts w:ascii="Calibri" w:hAnsi="Calibri"/>
                <w:color w:val="333333"/>
                <w:sz w:val="18"/>
              </w:rPr>
              <w:t>ACTIVE</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[10-K (LLM), 2026-04-03, HIGH]</w:t>
            </w:r>
          </w:p>
        </w:tc>
      </w:tr>
    </w:tbl>
    <w:p>
      <w:pPr>
        <w:pStyle w:val="DOBody"/>
        <w:shd w:fill="FCE8E6" w:val="clear"/>
      </w:pPr>
      <w:r>
        <w:rPr>
          <w:b/>
          <w:color w:val="EA580C"/>
          <w:sz w:val="18"/>
        </w:rPr>
        <w:t xml:space="preserve">[HIGH] </w:t>
      </w:r>
      <w:r>
        <w:rPr>
          <w:b/>
          <w:sz w:val="20"/>
        </w:rPr>
        <w:t>2 Active Securities Class Action(s)</w:t>
      </w:r>
      <w:r>
        <w:rPr>
          <w:color w:val="666666"/>
          <w:sz w:val="16"/>
        </w:rPr>
        <w:t xml:space="preserve"> --  triggered Active SCA Status (F1) — this agent risk (executive/director actions and decisions that create D&amp;O exposure) indicates Litigation History / Settlement Patterns. Evidence: Boolean check: Active case.</w:t>
      </w:r>
    </w:p>
    <w:p>
      <w:pPr>
        <w:pStyle w:val="DOCaption"/>
        <w:ind w:left="360"/>
      </w:pPr>
      <w:r>
        <w:rPr>
          <w:i/>
          <w:color w:val="666666"/>
          <w:sz w:val="18"/>
        </w:rPr>
        <w:t>Context: Cases with PSLRA safe harbor and forum selection provisions settle at 40% lower median amounts.</w:t>
      </w:r>
    </w:p>
    <w:p>
      <w:pPr>
        <w:pStyle w:val="DOBody"/>
      </w:pPr>
      <w:r>
        <w:rPr>
          <w:i/>
          <w:color w:val="FFD000"/>
          <w:sz w:val="18"/>
        </w:rPr>
        <w:t>See Meeting Prep: Active Litigation</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b/>
        </w:rPr>
        <w:t>Current Position: Comment Letters</w:t>
      </w:r>
      <w:r>
        <w:rPr>
          <w:b/>
          <w:color w:val="2563EB"/>
          <w:sz w:val="18"/>
        </w:rPr>
        <w:t xml:space="preserve"> [MODERATE]</w:t>
      </w:r>
    </w:p>
    <w:p>
      <w:pPr>
        <w:pStyle w:val="DOBody"/>
      </w:pPr>
      <w:r>
        <w:rPr>
          <w:rFonts w:ascii="Calibri" w:hAnsi="Calibri"/>
          <w:color w:val="333333"/>
          <w:sz w:val="20"/>
        </w:rPr>
        <w:t>Company is at COMMENT_LETTER stage in the SEC enforcement pipeline, with 1 supporting signal(s) identified.</w:t>
      </w:r>
      <w:r>
        <w:rPr>
          <w:rFonts w:ascii="Consolas" w:hAnsi="Consolas"/>
          <w:color w:val="666666"/>
          <w:sz w:val="16"/>
        </w:rPr>
        <w:t xml:space="preserve">  [10-K Item 3 + Item 1A + 8-K + EFTS, 2026-04-03,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Delaware Court of Chancery</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Delaware Court of Chancery</w:t>
            </w:r>
          </w:p>
        </w:tc>
        <w:tc>
          <w:tcPr>
            <w:tcW w:type="dxa" w:w="2016"/>
            <w:shd w:fill="F2F4F8" w:val="clear"/>
          </w:tcPr>
          <w:p>
            <w:r>
              <w:rPr>
                <w:rFonts w:ascii="Calibri" w:hAnsi="Calibri"/>
                <w:color w:val="333333"/>
                <w:sz w:val="18"/>
              </w:rPr>
              <w:t>N/A</w:t>
            </w:r>
          </w:p>
        </w:tc>
      </w:tr>
    </w:tbl>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DOJ_FCPA</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FDA</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bl>
    <w:p>
      <w:pPr>
        <w:pStyle w:val="DOHeading3"/>
      </w:pPr>
      <w:r>
        <w:t>Industry Claim Patterns</w:t>
      </w:r>
    </w:p>
    <w:p>
      <w:pPr>
        <w:pStyle w:val="DOBody"/>
      </w:pPr>
      <w:r>
        <w:t>No industry-specific claim patterns identified.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2026-02-12</w:t>
            </w:r>
          </w:p>
        </w:tc>
        <w:tc>
          <w:tcPr>
            <w:tcW w:type="dxa" w:w="2016"/>
          </w:tcPr>
          <w:p>
            <w:r>
              <w:rPr>
                <w:rFonts w:ascii="Calibri" w:hAnsi="Calibri"/>
                <w:color w:val="333333"/>
                <w:sz w:val="18"/>
              </w:rPr>
              <w:t>2028-02-12</w:t>
            </w:r>
          </w:p>
        </w:tc>
        <w:tc>
          <w:tcPr>
            <w:tcW w:type="dxa" w:w="2016"/>
          </w:tcPr>
          <w:p>
            <w:r>
              <w:rPr>
                <w:rFonts w:ascii="Calibri" w:hAnsi="Calibri"/>
                <w:color w:val="333333"/>
                <w:sz w:val="18"/>
              </w:rPr>
              <w:t>2028-02-12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2026-02-12</w:t>
            </w:r>
          </w:p>
        </w:tc>
        <w:tc>
          <w:tcPr>
            <w:tcW w:type="dxa" w:w="2016"/>
            <w:shd w:fill="F2F4F8" w:val="clear"/>
          </w:tcPr>
          <w:p>
            <w:r>
              <w:rPr>
                <w:rFonts w:ascii="Calibri" w:hAnsi="Calibri"/>
                <w:color w:val="333333"/>
                <w:sz w:val="18"/>
              </w:rPr>
              <w:t>2030-02-11</w:t>
            </w:r>
          </w:p>
        </w:tc>
        <w:tc>
          <w:tcPr>
            <w:tcW w:type="dxa" w:w="2016"/>
            <w:shd w:fill="F2F4F8" w:val="clear"/>
          </w:tcPr>
          <w:p>
            <w:r>
              <w:rPr>
                <w:rFonts w:ascii="Calibri" w:hAnsi="Calibri"/>
                <w:color w:val="333333"/>
                <w:sz w:val="18"/>
              </w:rPr>
              <w:t>2030-02-11</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2026-02-12</w:t>
            </w:r>
          </w:p>
        </w:tc>
        <w:tc>
          <w:tcPr>
            <w:tcW w:type="dxa" w:w="2016"/>
          </w:tcPr>
          <w:p>
            <w:r>
              <w:rPr>
                <w:rFonts w:ascii="Calibri" w:hAnsi="Calibri"/>
                <w:color w:val="333333"/>
                <w:sz w:val="18"/>
              </w:rPr>
              <w:t>2031-02-11</w:t>
            </w:r>
          </w:p>
        </w:tc>
        <w:tc>
          <w:tcPr>
            <w:tcW w:type="dxa" w:w="2016"/>
          </w:tcPr>
          <w:p>
            <w:r>
              <w:rPr>
                <w:rFonts w:ascii="Calibri" w:hAnsi="Calibri"/>
                <w:color w:val="333333"/>
                <w:sz w:val="18"/>
              </w:rPr>
              <w:t>2031-02-11</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2026-02-12</w:t>
            </w:r>
          </w:p>
        </w:tc>
        <w:tc>
          <w:tcPr>
            <w:tcW w:type="dxa" w:w="2016"/>
            <w:shd w:fill="F2F4F8" w:val="clear"/>
          </w:tcPr>
          <w:p>
            <w:r>
              <w:rPr>
                <w:rFonts w:ascii="Calibri" w:hAnsi="Calibri"/>
                <w:color w:val="333333"/>
                <w:sz w:val="18"/>
              </w:rPr>
              <w:t>2031-02-11</w:t>
            </w:r>
          </w:p>
        </w:tc>
        <w:tc>
          <w:tcPr>
            <w:tcW w:type="dxa" w:w="2016"/>
            <w:shd w:fill="F2F4F8" w:val="clear"/>
          </w:tcPr>
          <w:p>
            <w:r>
              <w:rPr>
                <w:rFonts w:ascii="Calibri" w:hAnsi="Calibri"/>
                <w:color w:val="333333"/>
                <w:sz w:val="18"/>
              </w:rPr>
              <w:t>2031-02-11</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2026-02-12</w:t>
            </w:r>
          </w:p>
        </w:tc>
        <w:tc>
          <w:tcPr>
            <w:tcW w:type="dxa" w:w="2016"/>
          </w:tcPr>
          <w:p>
            <w:r>
              <w:rPr>
                <w:rFonts w:ascii="Calibri" w:hAnsi="Calibri"/>
                <w:color w:val="333333"/>
                <w:sz w:val="18"/>
              </w:rPr>
              <w:t>2029-02-11</w:t>
            </w:r>
          </w:p>
        </w:tc>
        <w:tc>
          <w:tcPr>
            <w:tcW w:type="dxa" w:w="2016"/>
          </w:tcPr>
          <w:p>
            <w:r>
              <w:rPr>
                <w:rFonts w:ascii="Calibri" w:hAnsi="Calibri"/>
                <w:color w:val="333333"/>
                <w:sz w:val="18"/>
              </w:rPr>
              <w:t>2032-02-11</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2026-02-12</w:t>
            </w:r>
          </w:p>
        </w:tc>
        <w:tc>
          <w:tcPr>
            <w:tcW w:type="dxa" w:w="2016"/>
            <w:shd w:fill="F2F4F8" w:val="clear"/>
          </w:tcPr>
          <w:p>
            <w:r>
              <w:rPr>
                <w:rFonts w:ascii="Calibri" w:hAnsi="Calibri"/>
                <w:color w:val="333333"/>
                <w:sz w:val="18"/>
              </w:rPr>
              <w:t>2029-02-11</w:t>
            </w:r>
          </w:p>
        </w:tc>
        <w:tc>
          <w:tcPr>
            <w:tcW w:type="dxa" w:w="2016"/>
            <w:shd w:fill="F2F4F8" w:val="clear"/>
          </w:tcPr>
          <w:p>
            <w:r>
              <w:rPr>
                <w:rFonts w:ascii="Calibri" w:hAnsi="Calibri"/>
                <w:color w:val="333333"/>
                <w:sz w:val="18"/>
              </w:rPr>
              <w:t>2032-02-11</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2021-10-01</w:t>
            </w:r>
          </w:p>
        </w:tc>
        <w:tc>
          <w:tcPr>
            <w:tcW w:type="dxa" w:w="2016"/>
          </w:tcPr>
          <w:p>
            <w:r>
              <w:rPr>
                <w:rFonts w:ascii="Calibri" w:hAnsi="Calibri"/>
                <w:color w:val="333333"/>
                <w:sz w:val="18"/>
              </w:rPr>
              <w:t>2022-10-01</w:t>
            </w:r>
          </w:p>
        </w:tc>
        <w:tc>
          <w:tcPr>
            <w:tcW w:type="dxa" w:w="2016"/>
          </w:tcPr>
          <w:p>
            <w:r>
              <w:rPr>
                <w:rFonts w:ascii="Calibri" w:hAnsi="Calibri"/>
                <w:color w:val="333333"/>
                <w:sz w:val="18"/>
              </w:rPr>
              <w:t>2024-09-30</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2021-10-01</w:t>
            </w:r>
          </w:p>
        </w:tc>
        <w:tc>
          <w:tcPr>
            <w:tcW w:type="dxa" w:w="2016"/>
            <w:shd w:fill="F2F4F8" w:val="clear"/>
          </w:tcPr>
          <w:p>
            <w:r>
              <w:rPr>
                <w:rFonts w:ascii="Calibri" w:hAnsi="Calibri"/>
                <w:color w:val="333333"/>
                <w:sz w:val="18"/>
              </w:rPr>
              <w:t>2022-10-01</w:t>
            </w:r>
          </w:p>
        </w:tc>
        <w:tc>
          <w:tcPr>
            <w:tcW w:type="dxa" w:w="2016"/>
            <w:shd w:fill="F2F4F8" w:val="clear"/>
          </w:tcPr>
          <w:p>
            <w:r>
              <w:rPr>
                <w:rFonts w:ascii="Calibri" w:hAnsi="Calibri"/>
                <w:color w:val="333333"/>
                <w:sz w:val="18"/>
              </w:rPr>
              <w:t>2024-09-30</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2021-10-01</w:t>
            </w:r>
          </w:p>
        </w:tc>
        <w:tc>
          <w:tcPr>
            <w:tcW w:type="dxa" w:w="2016"/>
          </w:tcPr>
          <w:p>
            <w:r>
              <w:rPr>
                <w:rFonts w:ascii="Calibri" w:hAnsi="Calibri"/>
                <w:color w:val="333333"/>
                <w:sz w:val="18"/>
              </w:rPr>
              <w:t>2023-10-01</w:t>
            </w:r>
          </w:p>
        </w:tc>
        <w:tc>
          <w:tcPr>
            <w:tcW w:type="dxa" w:w="2016"/>
          </w:tcPr>
          <w:p>
            <w:r>
              <w:rPr>
                <w:rFonts w:ascii="Calibri" w:hAnsi="Calibri"/>
                <w:color w:val="333333"/>
                <w:sz w:val="18"/>
              </w:rPr>
              <w:t>2026-09-30</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PARTIAL</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MODERATE with standard forward-looking statement protections.</w:t>
      </w:r>
      <w:r>
        <w:rPr>
          <w:rFonts w:ascii="Consolas" w:hAnsi="Consolas"/>
          <w:color w:val="666666"/>
          <w:sz w:val="16"/>
        </w:rPr>
        <w:t xml:space="preserve">  [DEF 14A; 10-K, 2026-04-03,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e tax basis of the exchanged crypto assets. Receipts of cryp</w:t>
            </w:r>
          </w:p>
        </w:tc>
        <w:tc>
          <w:tcPr>
            <w:tcW w:type="dxa" w:w="2520"/>
          </w:tcPr>
          <w:p>
            <w:r>
              <w:rPr>
                <w:rFonts w:ascii="Calibri" w:hAnsi="Calibri"/>
                <w:color w:val="333333"/>
                <w:sz w:val="18"/>
              </w:rPr>
              <w:t>probable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rules, and regulations, both foreign and domestic. The Compa</w:t>
            </w:r>
          </w:p>
        </w:tc>
        <w:tc>
          <w:tcPr>
            <w:tcW w:type="dxa" w:w="2520"/>
            <w:shd w:fill="F2F4F8" w:val="clear"/>
          </w:tcPr>
          <w:p>
            <w:r>
              <w:rPr>
                <w:rFonts w:ascii="Calibri" w:hAnsi="Calibri"/>
                <w:color w:val="333333"/>
                <w:sz w:val="18"/>
              </w:rPr>
              <w:t>reasonably_possible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domestic. The Company reviews its lawsuits, regulatory inves</w:t>
            </w:r>
          </w:p>
        </w:tc>
        <w:tc>
          <w:tcPr>
            <w:tcW w:type="dxa" w:w="2520"/>
          </w:tcPr>
          <w:p>
            <w:r>
              <w:rPr>
                <w:rFonts w:ascii="Calibri" w:hAnsi="Calibri"/>
                <w:color w:val="333333"/>
                <w:sz w:val="18"/>
              </w:rPr>
              <w:t>reasonably_possible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Body"/>
      </w:pPr>
      <w:r>
        <w:rPr>
          <w:i/>
          <w:sz w:val="16"/>
        </w:rPr>
        <w:t>D&amp;O Context: 1 probable contingenc(y/ies). ASC 450 probable classification indicates management believes loss is likely. Direct impact on D&amp;O exposure.</w:t>
      </w:r>
      <w:r>
        <w:rPr>
          <w:b/>
          <w:color w:val="EA580C"/>
          <w:sz w:val="18"/>
        </w:rPr>
        <w:t xml:space="preserve"> [HIGH]</w:t>
      </w:r>
    </w:p>
    <w:p>
      <w:pPr>
        <w:pStyle w:val="DOHeading3"/>
      </w:pPr>
      <w:r>
        <w:t>Workforce, Product &amp; Environmental Matters</w:t>
      </w:r>
    </w:p>
    <w:p>
      <w:pPr>
        <w:pStyle w:val="DOBody"/>
      </w:pPr>
      <w:r>
        <w:rPr>
          <w:b/>
          <w:sz w:val="20"/>
        </w:rPr>
        <w:t>Cybersecurity Incidents:</w:t>
      </w:r>
    </w:p>
    <w:p>
      <w:pPr>
        <w:pStyle w:val="DOBody"/>
      </w:pPr>
      <w:r>
        <w:t xml:space="preserve">  - [cyber_attack] r interruptions, including with respect to our platform and third-party crypto networks; • our lack of control over decentralized or third-party blockchains and networks that may experience downtime, cyberattacks, critical failures, errors, bugs, corrupted files, data losses, or other similar software failures, outages, breaches and losses; • breaches of security or privacy; • inaccessibility of our platform due to our or third-party actions; • our ability to attract and retain talent; and • ...</w:t>
      </w:r>
    </w:p>
    <w:p>
      <w:pPr>
        <w:pStyle w:val="DOBody"/>
      </w:pPr>
      <w:r>
        <w:t xml:space="preserve">  - [cyber_attack] Cyberattacks and security breaches of our platform, or those impacting our customers or third parties, could adversely affect our brand, reputation, business, operating results, and financial condition.</w:t>
      </w:r>
    </w:p>
    <w:p>
      <w:pPr>
        <w:pStyle w:val="DOBody"/>
      </w:pPr>
      <w:r>
        <w:t xml:space="preserve">  - [cyber_attack] Certain types of cyberattacks could harm us even if our systems are left undisturbed.</w:t>
      </w:r>
    </w:p>
    <w:p>
      <w:pPr>
        <w:pStyle w:val="DOBody"/>
      </w:pPr>
      <w:r>
        <w:t xml:space="preserve">  - [cyber_attack] As we grow our offering of products and services, including options and perpetual swaps, we face increased exposure to cyberattacks through third parties.</w:t>
      </w:r>
    </w:p>
    <w:p>
      <w:pPr>
        <w:pStyle w:val="DOBody"/>
      </w:pPr>
      <w:r>
        <w:t xml:space="preserve">  - [cyber_attack] Although we maintain insurance coverage, it may be insufficient to protect us against all losses and costs stemming from security breaches, cyberattacks, and other types of unlawful activity, or any resulting disruptions or data theft and loss from such events.</w:t>
      </w:r>
    </w:p>
    <w:p>
      <w:pPr>
        <w:pStyle w:val="DOBody"/>
      </w:pPr>
      <w:r>
        <w:t xml:space="preserve">  - [cyber_attack] Outages and disruptions of our platform, including any caused by cyberattacks, may harm our reputation, business, operating results, and financial condition.</w:t>
      </w:r>
    </w:p>
    <w:p>
      <w:pPr>
        <w:pStyle w:val="DOBody"/>
      </w:pPr>
      <w:r>
        <w:t xml:space="preserve">  - [data_breach] 05 Material Cybersecurity Incident.</w:t>
      </w:r>
    </w:p>
    <w:p>
      <w:pPr>
        <w:pStyle w:val="DOBody"/>
      </w:pPr>
      <w:r>
        <w:t xml:space="preserve">  - [data_breach] ts to differ from those expressed in these forward-looking statements include the ongoing assessment of the Incident; legal, reputational and financial risks resulting from the Incident or additional cybersecurity incidents; and the risks described in the Company's Annual Report on Form 10-K for the year ended December 31, 2024 and subsequent Quarterly Reports on Form 10-Q.</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Coinbase's quality score of 29.25 places it in the WALK tier, with a composite score of 83.78 and an elevated 7.3-10.4% claim probability requiring an excess/Side A-only placement with high attachment. The risk is anchored by an active securities class action red flag and a Prior Litigation factor deducting 4.93 points from 20, based on 70 signals, indicating a deep litigation history that establishes patterns for plaintiffs. Its volatile profile includes a Short Interest factor deducting 2.04 points and three separate stock drop red flags (7-day, 30-day, 90-day), which frequently trigger shareholder suits. The Guidance Misses factor deducting 2.02 points, including at least one miss exceeding 15% versus forecast, creates predictable disclosure volatility that plaintiffs' counsel exploits. The binding ceiling is constrained by the Whistleblower/Qui Tam Disclosure red flag with a 100 ceiling, capping placement at CRF-9 and making full limits challenging due to severe entity-level risk.</w:t>
      </w:r>
    </w:p>
    <w:p>
      <w:pPr>
        <w:pStyle w:val="DOHeading1"/>
      </w:pPr>
      <w:r>
        <w:t>Section 7: Risk Scoring &amp; Synthesis</w:t>
      </w:r>
    </w:p>
    <w:p>
      <w:pPr>
        <w:pStyle w:val="DOBody"/>
      </w:pPr>
      <w:r>
        <w:rPr>
          <w:rFonts w:ascii="Calibri" w:hAnsi="Calibri"/>
          <w:color w:val="333333"/>
          <w:sz w:val="20"/>
        </w:rPr>
        <w:t>Underwriting tier: **WALK** (quality score: 29.2/100). Recommended action: Excess/Side A only, high attachment required. Expected claim probability band: 7.3-10.4%. Top risk contributors: Prior Litigation (F1: -4.9 pts); IPO/SPAC/M&amp;A (F4: -2.6 pts); Short Interest (F6: -2.0 pts). Active composite patterns: Guidance Track Record. **Red flag gates active**: Active Securities Class Action (ceiling: 55); Catastrophic Stock Drop (ceiling: 55); Recent Drop - 7 Day (ceiling: 50); Recent Drop - 30 Day (ceiling: 50); Recent Drop - 90 Day (ceiling: 50); Whistleblower/Qui Tam Disclosure (ceiling: 100). Binding ceiling: CRF-9. Claim probability band: ELEVATED (7.3%-10.4%).</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29.2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83.8</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16.2</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WALK</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11 - 30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Excess/Side A only, high attachment required</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7.3-10.4%</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2x+ at high attachment</w:t>
            </w:r>
          </w:p>
        </w:tc>
      </w:tr>
      <w:tr>
        <w:tc>
          <w:tcPr>
            <w:tcW w:type="dxa" w:w="5040"/>
          </w:tcPr>
          <w:p>
            <w:r>
              <w:rPr>
                <w:rFonts w:ascii="Calibri" w:hAnsi="Calibri"/>
                <w:color w:val="333333"/>
                <w:sz w:val="18"/>
              </w:rPr>
              <w:t>Binding Ceiling</w:t>
            </w:r>
          </w:p>
        </w:tc>
        <w:tc>
          <w:tcPr>
            <w:tcW w:type="dxa" w:w="5040"/>
          </w:tcPr>
          <w:p>
            <w:r>
              <w:rPr>
                <w:rFonts w:ascii="Calibri" w:hAnsi="Calibri"/>
                <w:color w:val="333333"/>
                <w:sz w:val="18"/>
              </w:rPr>
              <w:t>CRF-9</w:t>
            </w:r>
          </w:p>
        </w:tc>
      </w:tr>
    </w:tbl>
    <w:p>
      <w:pPr>
        <w:pStyle w:val="DOBody"/>
      </w:pPr>
      <w:r>
        <w:rPr>
          <w:b/>
        </w:rPr>
        <w:t>Risk Assessment: HIGH</w:t>
      </w:r>
      <w:r>
        <w:rPr>
          <w:b/>
          <w:color w:val="EA580C"/>
          <w:sz w:val="18"/>
        </w:rPr>
        <w:t xml:space="preserve"> [HIGH]</w:t>
      </w:r>
    </w:p>
    <w:p>
      <w:pPr>
        <w:pStyle w:val="DOHeading3"/>
      </w:pPr>
      <w:r>
        <w:t>D&amp;O Claim Peril Assessment</w:t>
      </w:r>
    </w:p>
    <w:p>
      <w:pPr>
        <w:pStyle w:val="DOBody"/>
      </w:pPr>
      <w:r>
        <w:t>0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0/5</w:t>
            </w:r>
          </w:p>
        </w:tc>
        <w:tc>
          <w:tcPr>
            <w:tcW w:type="dxa" w:w="2520"/>
          </w:tcPr>
          <w:p>
            <w:r>
              <w:rPr>
                <w:rFonts w:ascii="Calibri" w:hAnsi="Calibri"/>
                <w:color w:val="666666"/>
                <w:sz w:val="18"/>
              </w:rPr>
              <w:t>—</w:t>
            </w:r>
          </w:p>
        </w:tc>
      </w:tr>
      <w:tr>
        <w:tc>
          <w:tcPr>
            <w:tcW w:type="dxa" w:w="2520"/>
          </w:tcPr>
          <w:p>
            <w:r>
              <w:rPr>
                <w:rFonts w:ascii="Calibri" w:hAnsi="Calibri"/>
                <w:b/>
                <w:color w:val="333333"/>
                <w:sz w:val="18"/>
              </w:rPr>
              <w:t>Fiduciary Breach</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0/3</w:t>
            </w:r>
          </w:p>
        </w:tc>
        <w:tc>
          <w:tcPr>
            <w:tcW w:type="dxa" w:w="2520"/>
          </w:tcPr>
          <w:p>
            <w:r>
              <w:rPr>
                <w:rFonts w:ascii="Calibri" w:hAnsi="Calibri"/>
                <w:color w:val="666666"/>
                <w:sz w:val="18"/>
              </w:rPr>
              <w:t>—</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4.9</w:t>
            </w:r>
          </w:p>
        </w:tc>
        <w:tc>
          <w:tcPr>
            <w:tcW w:type="dxa" w:w="1680"/>
          </w:tcPr>
          <w:p>
            <w:r>
              <w:rPr>
                <w:rFonts w:ascii="Calibri" w:hAnsi="Calibri"/>
                <w:color w:val="333333"/>
                <w:sz w:val="18"/>
              </w:rPr>
              <w:t>25%</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1.6</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0.9</w:t>
            </w:r>
          </w:p>
        </w:tc>
        <w:tc>
          <w:tcPr>
            <w:tcW w:type="dxa" w:w="1680"/>
          </w:tcPr>
          <w:p>
            <w:r>
              <w:rPr>
                <w:rFonts w:ascii="Calibri" w:hAnsi="Calibri"/>
                <w:color w:val="333333"/>
                <w:sz w:val="18"/>
              </w:rPr>
              <w:t>8%</w:t>
            </w:r>
          </w:p>
        </w:tc>
        <w:tc>
          <w:tcPr>
            <w:tcW w:type="dxa" w:w="1680"/>
          </w:tcPr>
          <w:p>
            <w:r>
              <w:rPr>
                <w:rFonts w:ascii="Calibri" w:hAnsi="Calibri"/>
                <w:color w:val="333333"/>
                <w:sz w:val="18"/>
              </w:rPr>
              <w:t>Signal-driven scoring: 87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2.6</w:t>
            </w:r>
          </w:p>
        </w:tc>
        <w:tc>
          <w:tcPr>
            <w:tcW w:type="dxa" w:w="1680"/>
            <w:shd w:fill="F2F4F8" w:val="clear"/>
          </w:tcPr>
          <w:p>
            <w:r>
              <w:rPr>
                <w:rFonts w:ascii="Calibri" w:hAnsi="Calibri"/>
                <w:color w:val="333333"/>
                <w:sz w:val="18"/>
              </w:rPr>
              <w:t>26%</w:t>
            </w:r>
          </w:p>
        </w:tc>
        <w:tc>
          <w:tcPr>
            <w:tcW w:type="dxa" w:w="1680"/>
            <w:shd w:fill="F2F4F8" w:val="clear"/>
          </w:tcPr>
          <w:p>
            <w:r>
              <w:rPr>
                <w:rFonts w:ascii="Calibri" w:hAnsi="Calibri"/>
                <w:color w:val="333333"/>
                <w:sz w:val="18"/>
              </w:rPr>
              <w:t>Signal-driven scoring: 19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10</w:t>
            </w:r>
          </w:p>
        </w:tc>
        <w:tc>
          <w:tcPr>
            <w:tcW w:type="dxa" w:w="1680"/>
          </w:tcPr>
          <w:p>
            <w:r>
              <w:rPr>
                <w:rFonts w:ascii="Calibri" w:hAnsi="Calibri"/>
                <w:color w:val="333333"/>
                <w:sz w:val="18"/>
              </w:rPr>
              <w:t>2.0</w:t>
            </w:r>
          </w:p>
        </w:tc>
        <w:tc>
          <w:tcPr>
            <w:tcW w:type="dxa" w:w="1680"/>
          </w:tcPr>
          <w:p>
            <w:r>
              <w:rPr>
                <w:rFonts w:ascii="Calibri" w:hAnsi="Calibri"/>
                <w:color w:val="333333"/>
                <w:sz w:val="18"/>
              </w:rPr>
              <w:t>20%</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2.0</w:t>
            </w:r>
          </w:p>
        </w:tc>
        <w:tc>
          <w:tcPr>
            <w:tcW w:type="dxa" w:w="1680"/>
            <w:shd w:fill="F2F4F8" w:val="clear"/>
          </w:tcPr>
          <w:p>
            <w:r>
              <w:rPr>
                <w:rFonts w:ascii="Calibri" w:hAnsi="Calibri"/>
                <w:color w:val="333333"/>
                <w:sz w:val="18"/>
              </w:rPr>
              <w:t>20%</w:t>
            </w:r>
          </w:p>
        </w:tc>
        <w:tc>
          <w:tcPr>
            <w:tcW w:type="dxa" w:w="1680"/>
            <w:shd w:fill="F2F4F8" w:val="clear"/>
          </w:tcPr>
          <w:p>
            <w:r>
              <w:rPr>
                <w:rFonts w:ascii="Calibri" w:hAnsi="Calibri"/>
                <w:color w:val="333333"/>
                <w:sz w:val="18"/>
              </w:rPr>
              <w:t>Signal-driven scoring: 26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9</w:t>
            </w:r>
          </w:p>
        </w:tc>
        <w:tc>
          <w:tcPr>
            <w:tcW w:type="dxa" w:w="1680"/>
          </w:tcPr>
          <w:p>
            <w:r>
              <w:rPr>
                <w:rFonts w:ascii="Calibri" w:hAnsi="Calibri"/>
                <w:color w:val="333333"/>
                <w:sz w:val="18"/>
              </w:rPr>
              <w:t>0.6</w:t>
            </w:r>
          </w:p>
        </w:tc>
        <w:tc>
          <w:tcPr>
            <w:tcW w:type="dxa" w:w="1680"/>
          </w:tcPr>
          <w:p>
            <w:r>
              <w:rPr>
                <w:rFonts w:ascii="Calibri" w:hAnsi="Calibri"/>
                <w:color w:val="333333"/>
                <w:sz w:val="18"/>
              </w:rPr>
              <w:t>6%</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0.2</w:t>
            </w:r>
          </w:p>
        </w:tc>
        <w:tc>
          <w:tcPr>
            <w:tcW w:type="dxa" w:w="1680"/>
            <w:shd w:fill="F2F4F8" w:val="clear"/>
          </w:tcPr>
          <w:p>
            <w:r>
              <w:rPr>
                <w:rFonts w:ascii="Calibri" w:hAnsi="Calibri"/>
                <w:color w:val="333333"/>
                <w:sz w:val="18"/>
              </w:rPr>
              <w:t>3%</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8</w:t>
            </w:r>
          </w:p>
        </w:tc>
        <w:tc>
          <w:tcPr>
            <w:tcW w:type="dxa" w:w="1680"/>
          </w:tcPr>
          <w:p>
            <w:r>
              <w:rPr>
                <w:rFonts w:ascii="Calibri" w:hAnsi="Calibri"/>
                <w:color w:val="333333"/>
                <w:sz w:val="18"/>
              </w:rPr>
              <w:t>1.2</w:t>
            </w:r>
          </w:p>
        </w:tc>
        <w:tc>
          <w:tcPr>
            <w:tcW w:type="dxa" w:w="1680"/>
          </w:tcPr>
          <w:p>
            <w:r>
              <w:rPr>
                <w:rFonts w:ascii="Calibri" w:hAnsi="Calibri"/>
                <w:color w:val="333333"/>
                <w:sz w:val="18"/>
              </w:rPr>
              <w:t>16%</w:t>
            </w:r>
          </w:p>
        </w:tc>
        <w:tc>
          <w:tcPr>
            <w:tcW w:type="dxa" w:w="1680"/>
          </w:tcPr>
          <w:p>
            <w:r>
              <w:rPr>
                <w:rFonts w:ascii="Calibri" w:hAnsi="Calibri"/>
                <w:color w:val="333333"/>
                <w:sz w:val="18"/>
              </w:rPr>
              <w:t>Signal-driven scoring: 42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Signal-driven scoring: 91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Active Securities Class Action</w:t>
            </w:r>
          </w:p>
        </w:tc>
        <w:tc>
          <w:tcPr>
            <w:tcW w:type="dxa" w:w="2016"/>
          </w:tcPr>
          <w:p>
            <w:r>
              <w:rPr>
                <w:rFonts w:ascii="Calibri" w:hAnsi="Calibri"/>
                <w:color w:val="333333"/>
                <w:sz w:val="18"/>
              </w:rPr>
              <w:t>Active SCA: In re Coinbase Global, Inc. Securities Litigation (2022)</w:t>
            </w:r>
          </w:p>
        </w:tc>
        <w:tc>
          <w:tcPr>
            <w:tcW w:type="dxa" w:w="2016"/>
          </w:tcPr>
          <w:p>
            <w:r>
              <w:rPr>
                <w:rFonts w:ascii="Calibri" w:hAnsi="Calibri"/>
                <w:color w:val="333333"/>
                <w:sz w:val="18"/>
              </w:rPr>
              <w:t>Ceiling: 55</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Catastrophic Stock Drop</w:t>
            </w:r>
          </w:p>
        </w:tc>
        <w:tc>
          <w:tcPr>
            <w:tcW w:type="dxa" w:w="2016"/>
            <w:shd w:fill="F2F4F8" w:val="clear"/>
          </w:tcPr>
          <w:p>
            <w:r>
              <w:rPr>
                <w:rFonts w:ascii="Calibri" w:hAnsi="Calibri"/>
                <w:color w:val="333333"/>
                <w:sz w:val="18"/>
              </w:rPr>
              <w:t>Stock decline 61.4% from 52-week high</w:t>
            </w:r>
          </w:p>
        </w:tc>
        <w:tc>
          <w:tcPr>
            <w:tcW w:type="dxa" w:w="2016"/>
            <w:shd w:fill="F2F4F8" w:val="clear"/>
          </w:tcPr>
          <w:p>
            <w:r>
              <w:rPr>
                <w:rFonts w:ascii="Calibri" w:hAnsi="Calibri"/>
                <w:color w:val="333333"/>
                <w:sz w:val="18"/>
              </w:rPr>
              <w:t>Ceiling: 55</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Recent Drop - 7 Day</w:t>
            </w:r>
          </w:p>
        </w:tc>
        <w:tc>
          <w:tcPr>
            <w:tcW w:type="dxa" w:w="2016"/>
          </w:tcPr>
          <w:p>
            <w:r>
              <w:rPr>
                <w:rFonts w:ascii="Calibri" w:hAnsi="Calibri"/>
                <w:color w:val="333333"/>
                <w:sz w:val="18"/>
              </w:rPr>
              <w:t>7-day drop: 19.9% (3 days ago)</w:t>
            </w:r>
          </w:p>
        </w:tc>
        <w:tc>
          <w:tcPr>
            <w:tcW w:type="dxa" w:w="2016"/>
          </w:tcPr>
          <w:p>
            <w:r>
              <w:rPr>
                <w:rFonts w:ascii="Calibri" w:hAnsi="Calibri"/>
                <w:color w:val="333333"/>
                <w:sz w:val="18"/>
              </w:rPr>
              <w:t>Ceiling: 50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Recent Drop - 30 Day</w:t>
            </w:r>
          </w:p>
        </w:tc>
        <w:tc>
          <w:tcPr>
            <w:tcW w:type="dxa" w:w="2016"/>
            <w:shd w:fill="F2F4F8" w:val="clear"/>
          </w:tcPr>
          <w:p>
            <w:r>
              <w:rPr>
                <w:rFonts w:ascii="Calibri" w:hAnsi="Calibri"/>
                <w:color w:val="333333"/>
                <w:sz w:val="18"/>
              </w:rPr>
              <w:t>30-day drop: 19.9% (3 days ago)</w:t>
            </w:r>
          </w:p>
        </w:tc>
        <w:tc>
          <w:tcPr>
            <w:tcW w:type="dxa" w:w="2016"/>
            <w:shd w:fill="F2F4F8" w:val="clear"/>
          </w:tcPr>
          <w:p>
            <w:r>
              <w:rPr>
                <w:rFonts w:ascii="Calibri" w:hAnsi="Calibri"/>
                <w:color w:val="333333"/>
                <w:sz w:val="18"/>
              </w:rPr>
              <w:t>Ceiling: 50</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Recent Drop - 90 Day</w:t>
            </w:r>
          </w:p>
        </w:tc>
        <w:tc>
          <w:tcPr>
            <w:tcW w:type="dxa" w:w="2016"/>
          </w:tcPr>
          <w:p>
            <w:r>
              <w:rPr>
                <w:rFonts w:ascii="Calibri" w:hAnsi="Calibri"/>
                <w:color w:val="333333"/>
                <w:sz w:val="18"/>
              </w:rPr>
              <w:t>90-day drop: 44.9% (49 days ago)</w:t>
            </w:r>
          </w:p>
        </w:tc>
        <w:tc>
          <w:tcPr>
            <w:tcW w:type="dxa" w:w="2016"/>
          </w:tcPr>
          <w:p>
            <w:r>
              <w:rPr>
                <w:rFonts w:ascii="Calibri" w:hAnsi="Calibri"/>
                <w:color w:val="333333"/>
                <w:sz w:val="18"/>
              </w:rPr>
              <w:t>Ceiling: 50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Whistleblower/Qui Tam Disclosure</w:t>
            </w:r>
          </w:p>
        </w:tc>
        <w:tc>
          <w:tcPr>
            <w:tcW w:type="dxa" w:w="2016"/>
            <w:shd w:fill="F2F4F8" w:val="clear"/>
          </w:tcPr>
          <w:p>
            <w:r>
              <w:rPr>
                <w:rFonts w:ascii="Calibri" w:hAnsi="Calibri"/>
                <w:color w:val="333333"/>
                <w:sz w:val="18"/>
              </w:rPr>
              <w:t>NLP whistleblower signal: Whistleblower/qui tam language detected: whistleblower. Presence of such language in filings may indicate pending or potential False Claims Act or SEC whistleblower actions.</w:t>
            </w:r>
          </w:p>
        </w:tc>
        <w:tc>
          <w:tcPr>
            <w:tcW w:type="dxa" w:w="2016"/>
            <w:shd w:fill="F2F4F8" w:val="clear"/>
          </w:tcPr>
          <w:p>
            <w:r>
              <w:rPr>
                <w:rFonts w:ascii="Calibri" w:hAnsi="Calibri"/>
                <w:color w:val="333333"/>
                <w:sz w:val="18"/>
              </w:rPr>
              <w:t>Ceiling: 100</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5/20 points</w:t>
            </w:r>
          </w:p>
        </w:tc>
        <w:tc>
          <w:tcPr>
            <w:tcW w:type="dxa" w:w="2016"/>
          </w:tcPr>
          <w:p>
            <w:r>
              <w:rPr>
                <w:rFonts w:ascii="Calibri" w:hAnsi="Calibri"/>
                <w:color w:val="333333"/>
                <w:sz w:val="18"/>
              </w:rPr>
              <w:t>Signal-driven scoring: 70 signals, coverage=100%</w:t>
            </w:r>
          </w:p>
        </w:tc>
        <w:tc>
          <w:tcPr>
            <w:tcW w:type="dxa" w:w="2016"/>
          </w:tcPr>
          <w:p>
            <w:r>
              <w:rPr>
                <w:rFonts w:ascii="Calibri" w:hAnsi="Calibri"/>
                <w:color w:val="333333"/>
                <w:sz w:val="18"/>
              </w:rPr>
              <w:t>F1: 5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2/15 points</w:t>
            </w:r>
          </w:p>
        </w:tc>
        <w:tc>
          <w:tcPr>
            <w:tcW w:type="dxa" w:w="2016"/>
            <w:shd w:fill="F2F4F8" w:val="clear"/>
          </w:tcPr>
          <w:p>
            <w:r>
              <w:rPr>
                <w:rFonts w:ascii="Calibri" w:hAnsi="Calibri"/>
                <w:color w:val="333333"/>
                <w:sz w:val="18"/>
              </w:rPr>
              <w:t>Signal-driven scoring: 30 signals, coverage=100%; Drop contribution modifier: 0.41x (decay + company-specific + disclosure)</w:t>
            </w:r>
          </w:p>
        </w:tc>
        <w:tc>
          <w:tcPr>
            <w:tcW w:type="dxa" w:w="2016"/>
            <w:shd w:fill="F2F4F8" w:val="clear"/>
          </w:tcPr>
          <w:p>
            <w:r>
              <w:rPr>
                <w:rFonts w:ascii="Calibri" w:hAnsi="Calibri"/>
                <w:color w:val="333333"/>
                <w:sz w:val="18"/>
              </w:rPr>
              <w:t>F2: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1/12 points</w:t>
            </w:r>
          </w:p>
        </w:tc>
        <w:tc>
          <w:tcPr>
            <w:tcW w:type="dxa" w:w="2016"/>
          </w:tcPr>
          <w:p>
            <w:r>
              <w:rPr>
                <w:rFonts w:ascii="Calibri" w:hAnsi="Calibri"/>
                <w:color w:val="333333"/>
                <w:sz w:val="18"/>
              </w:rPr>
              <w:t>Signal-driven scoring: 87 signals, coverage=100%</w:t>
            </w:r>
          </w:p>
        </w:tc>
        <w:tc>
          <w:tcPr>
            <w:tcW w:type="dxa" w:w="2016"/>
          </w:tcPr>
          <w:p>
            <w:r>
              <w:rPr>
                <w:rFonts w:ascii="Calibri" w:hAnsi="Calibri"/>
                <w:color w:val="333333"/>
                <w:sz w:val="18"/>
              </w:rPr>
              <w:t>F3: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3/10 points</w:t>
            </w:r>
          </w:p>
        </w:tc>
        <w:tc>
          <w:tcPr>
            <w:tcW w:type="dxa" w:w="2016"/>
            <w:shd w:fill="F2F4F8" w:val="clear"/>
          </w:tcPr>
          <w:p>
            <w:r>
              <w:rPr>
                <w:rFonts w:ascii="Calibri" w:hAnsi="Calibri"/>
                <w:color w:val="333333"/>
                <w:sz w:val="18"/>
              </w:rPr>
              <w:t>Signal-driven scoring: 19 signals, coverage=100%</w:t>
            </w:r>
          </w:p>
        </w:tc>
        <w:tc>
          <w:tcPr>
            <w:tcW w:type="dxa" w:w="2016"/>
            <w:shd w:fill="F2F4F8" w:val="clear"/>
          </w:tcPr>
          <w:p>
            <w:r>
              <w:rPr>
                <w:rFonts w:ascii="Calibri" w:hAnsi="Calibri"/>
                <w:color w:val="333333"/>
                <w:sz w:val="18"/>
              </w:rPr>
              <w:t>F4: 3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Guidance Misses: 2/10 points</w:t>
            </w:r>
          </w:p>
        </w:tc>
        <w:tc>
          <w:tcPr>
            <w:tcW w:type="dxa" w:w="2016"/>
          </w:tcPr>
          <w:p>
            <w:r>
              <w:rPr>
                <w:rFonts w:ascii="Calibri" w:hAnsi="Calibri"/>
                <w:color w:val="333333"/>
                <w:sz w:val="18"/>
              </w:rPr>
              <w:t>Signal-driven scoring: 27 signals, coverage=100%; Any single miss &gt;15% vs guidance</w:t>
            </w:r>
          </w:p>
        </w:tc>
        <w:tc>
          <w:tcPr>
            <w:tcW w:type="dxa" w:w="2016"/>
          </w:tcPr>
          <w:p>
            <w:r>
              <w:rPr>
                <w:rFonts w:ascii="Calibri" w:hAnsi="Calibri"/>
                <w:color w:val="333333"/>
                <w:sz w:val="18"/>
              </w:rPr>
              <w:t>F5: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2/10 points</w:t>
            </w:r>
          </w:p>
        </w:tc>
        <w:tc>
          <w:tcPr>
            <w:tcW w:type="dxa" w:w="2016"/>
            <w:shd w:fill="F2F4F8" w:val="clear"/>
          </w:tcPr>
          <w:p>
            <w:r>
              <w:rPr>
                <w:rFonts w:ascii="Calibri" w:hAnsi="Calibri"/>
                <w:color w:val="333333"/>
                <w:sz w:val="18"/>
              </w:rPr>
              <w:t>Signal-driven scoring: 26 signals, coverage=100%</w:t>
            </w:r>
          </w:p>
        </w:tc>
        <w:tc>
          <w:tcPr>
            <w:tcW w:type="dxa" w:w="2016"/>
            <w:shd w:fill="F2F4F8" w:val="clear"/>
          </w:tcPr>
          <w:p>
            <w:r>
              <w:rPr>
                <w:rFonts w:ascii="Calibri" w:hAnsi="Calibri"/>
                <w:color w:val="333333"/>
                <w:sz w:val="18"/>
              </w:rPr>
              <w:t>F6: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1/9 points</w:t>
            </w:r>
          </w:p>
        </w:tc>
        <w:tc>
          <w:tcPr>
            <w:tcW w:type="dxa" w:w="2016"/>
          </w:tcPr>
          <w:p>
            <w:r>
              <w:rPr>
                <w:rFonts w:ascii="Calibri" w:hAnsi="Calibri"/>
                <w:color w:val="333333"/>
                <w:sz w:val="18"/>
              </w:rPr>
              <w:t>Signal-driven scoring: 27 signals, coverage=100%</w:t>
            </w:r>
          </w:p>
        </w:tc>
        <w:tc>
          <w:tcPr>
            <w:tcW w:type="dxa" w:w="2016"/>
          </w:tcPr>
          <w:p>
            <w:r>
              <w:rPr>
                <w:rFonts w:ascii="Calibri" w:hAnsi="Calibri"/>
                <w:color w:val="333333"/>
                <w:sz w:val="18"/>
              </w:rPr>
              <w:t>F7: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Distress: 0/6 points</w:t>
            </w:r>
          </w:p>
        </w:tc>
        <w:tc>
          <w:tcPr>
            <w:tcW w:type="dxa" w:w="2016"/>
            <w:shd w:fill="F2F4F8" w:val="clear"/>
          </w:tcPr>
          <w:p>
            <w:r>
              <w:rPr>
                <w:rFonts w:ascii="Calibri" w:hAnsi="Calibri"/>
                <w:color w:val="333333"/>
                <w:sz w:val="18"/>
              </w:rPr>
              <w:t>Signal-driven scoring: 15 signals, coverage=100%</w:t>
            </w:r>
          </w:p>
        </w:tc>
        <w:tc>
          <w:tcPr>
            <w:tcW w:type="dxa" w:w="2016"/>
            <w:shd w:fill="F2F4F8" w:val="clear"/>
          </w:tcPr>
          <w:p>
            <w:r>
              <w:rPr>
                <w:rFonts w:ascii="Calibri" w:hAnsi="Calibri"/>
                <w:color w:val="333333"/>
                <w:sz w:val="18"/>
              </w:rPr>
              <w:t>F8: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Governance Issues: 1/8 points</w:t>
            </w:r>
          </w:p>
        </w:tc>
        <w:tc>
          <w:tcPr>
            <w:tcW w:type="dxa" w:w="2016"/>
          </w:tcPr>
          <w:p>
            <w:r>
              <w:rPr>
                <w:rFonts w:ascii="Calibri" w:hAnsi="Calibri"/>
                <w:color w:val="333333"/>
                <w:sz w:val="18"/>
              </w:rPr>
              <w:t>Signal-driven scoring: 42 signals, coverage=100%</w:t>
            </w:r>
          </w:p>
        </w:tc>
        <w:tc>
          <w:tcPr>
            <w:tcW w:type="dxa" w:w="2016"/>
          </w:tcPr>
          <w:p>
            <w:r>
              <w:rPr>
                <w:rFonts w:ascii="Calibri" w:hAnsi="Calibri"/>
                <w:color w:val="333333"/>
                <w:sz w:val="18"/>
              </w:rPr>
              <w:t>F9: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Officer Stability: 0/2 points</w:t>
            </w:r>
          </w:p>
        </w:tc>
        <w:tc>
          <w:tcPr>
            <w:tcW w:type="dxa" w:w="2016"/>
            <w:shd w:fill="F2F4F8" w:val="clear"/>
          </w:tcPr>
          <w:p>
            <w:r>
              <w:rPr>
                <w:rFonts w:ascii="Calibri" w:hAnsi="Calibri"/>
                <w:color w:val="333333"/>
                <w:sz w:val="18"/>
              </w:rPr>
              <w:t>Signal-driven scoring: 91 signals, coverage=100%</w:t>
            </w:r>
          </w:p>
        </w:tc>
        <w:tc>
          <w:tcPr>
            <w:tcW w:type="dxa" w:w="2016"/>
            <w:shd w:fill="F2F4F8" w:val="clear"/>
          </w:tcPr>
          <w:p>
            <w:r>
              <w:rPr>
                <w:rFonts w:ascii="Calibri" w:hAnsi="Calibri"/>
                <w:color w:val="333333"/>
                <w:sz w:val="18"/>
              </w:rPr>
              <w:t>F10: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Pattern: Guidance Track Record (BASELINE)</w:t>
            </w:r>
          </w:p>
        </w:tc>
        <w:tc>
          <w:tcPr>
            <w:tcW w:type="dxa" w:w="2016"/>
          </w:tcPr>
          <w:p>
            <w:r>
              <w:rPr>
                <w:rFonts w:ascii="Calibri" w:hAnsi="Calibri"/>
                <w:color w:val="333333"/>
                <w:sz w:val="18"/>
              </w:rPr>
              <w:t>Pattern evaluation</w:t>
            </w:r>
          </w:p>
        </w:tc>
        <w:tc>
          <w:tcPr>
            <w:tcW w:type="dxa" w:w="2016"/>
          </w:tcPr>
          <w:p>
            <w:r>
              <w:rPr>
                <w:rFonts w:ascii="Calibri" w:hAnsi="Calibri"/>
                <w:color w:val="333333"/>
                <w:sz w:val="18"/>
              </w:rPr>
              <w:t>F5: 0</w:t>
            </w:r>
          </w:p>
        </w:tc>
        <w:tc>
          <w:tcPr>
            <w:tcW w:type="dxa" w:w="2016"/>
          </w:tcPr>
          <w:p>
            <w:r>
              <w:rPr>
                <w:rFonts w:ascii="Calibri" w:hAnsi="Calibri"/>
                <w:color w:val="333333"/>
                <w:sz w:val="18"/>
              </w:rPr>
              <w:t>NEW</w:t>
            </w:r>
          </w:p>
        </w:tc>
      </w:tr>
    </w:tbl>
    <w:p>
      <w:pPr>
        <w:pStyle w:val="DOBody"/>
      </w:pPr>
      <w:r>
        <w:t>Critical: 6, High: 0, Moderate: 0, Low: 11</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2.020754716981132 points; Issues guidance (philosophy: MIXED)</w:t>
            </w:r>
          </w:p>
        </w:tc>
      </w:tr>
    </w:tbl>
    <w:p>
      <w:pPr>
        <w:pStyle w:val="DOHeading3"/>
      </w:pPr>
      <w:r>
        <w:t>Severity Scenarios</w:t>
      </w:r>
    </w:p>
    <w:p>
      <w:pPr>
        <w:pStyle w:val="DOBody"/>
      </w:pPr>
      <w:r>
        <w:t>Analysis based on market cap: $46.2B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$3.8B</w:t>
            </w:r>
          </w:p>
        </w:tc>
        <w:tc>
          <w:tcPr>
            <w:tcW w:type="dxa" w:w="2016"/>
          </w:tcPr>
          <w:p>
            <w:r>
              <w:rPr>
                <w:rFonts w:ascii="Calibri" w:hAnsi="Calibri"/>
                <w:color w:val="333333"/>
                <w:sz w:val="18"/>
              </w:rPr>
              <w:t>$563.3M</w:t>
            </w:r>
          </w:p>
        </w:tc>
        <w:tc>
          <w:tcPr>
            <w:tcW w:type="dxa" w:w="2016"/>
          </w:tcPr>
          <w:p>
            <w:r>
              <w:rPr>
                <w:rFonts w:ascii="Calibri" w:hAnsi="Calibri"/>
                <w:color w:val="333333"/>
                <w:sz w:val="18"/>
              </w:rPr>
              <w:t>$4.3B</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$7.5B</w:t>
            </w:r>
          </w:p>
        </w:tc>
        <w:tc>
          <w:tcPr>
            <w:tcW w:type="dxa" w:w="2016"/>
            <w:shd w:fill="F2F4F8" w:val="clear"/>
          </w:tcPr>
          <w:p>
            <w:r>
              <w:rPr>
                <w:rFonts w:ascii="Calibri" w:hAnsi="Calibri"/>
                <w:color w:val="333333"/>
                <w:sz w:val="18"/>
              </w:rPr>
              <w:t>$1.5B</w:t>
            </w:r>
          </w:p>
        </w:tc>
        <w:tc>
          <w:tcPr>
            <w:tcW w:type="dxa" w:w="2016"/>
            <w:shd w:fill="F2F4F8" w:val="clear"/>
          </w:tcPr>
          <w:p>
            <w:r>
              <w:rPr>
                <w:rFonts w:ascii="Calibri" w:hAnsi="Calibri"/>
                <w:color w:val="333333"/>
                <w:sz w:val="18"/>
              </w:rPr>
              <w:t>$9.0B</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$15.0B</w:t>
            </w:r>
          </w:p>
        </w:tc>
        <w:tc>
          <w:tcPr>
            <w:tcW w:type="dxa" w:w="2016"/>
          </w:tcPr>
          <w:p>
            <w:r>
              <w:rPr>
                <w:rFonts w:ascii="Calibri" w:hAnsi="Calibri"/>
                <w:color w:val="333333"/>
                <w:sz w:val="18"/>
              </w:rPr>
              <w:t>$3.8B</w:t>
            </w:r>
          </w:p>
        </w:tc>
        <w:tc>
          <w:tcPr>
            <w:tcW w:type="dxa" w:w="2016"/>
          </w:tcPr>
          <w:p>
            <w:r>
              <w:rPr>
                <w:rFonts w:ascii="Calibri" w:hAnsi="Calibri"/>
                <w:color w:val="333333"/>
                <w:sz w:val="18"/>
              </w:rPr>
              <w:t>$18.8B</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$30.0B</w:t>
            </w:r>
          </w:p>
        </w:tc>
        <w:tc>
          <w:tcPr>
            <w:tcW w:type="dxa" w:w="2016"/>
            <w:shd w:fill="F2F4F8" w:val="clear"/>
          </w:tcPr>
          <w:p>
            <w:r>
              <w:rPr>
                <w:rFonts w:ascii="Calibri" w:hAnsi="Calibri"/>
                <w:color w:val="333333"/>
                <w:sz w:val="18"/>
              </w:rPr>
              <w:t>$9.0B</w:t>
            </w:r>
          </w:p>
        </w:tc>
        <w:tc>
          <w:tcPr>
            <w:tcW w:type="dxa" w:w="2016"/>
            <w:shd w:fill="F2F4F8" w:val="clear"/>
          </w:tcPr>
          <w:p>
            <w:r>
              <w:rPr>
                <w:rFonts w:ascii="Calibri" w:hAnsi="Calibri"/>
                <w:color w:val="333333"/>
                <w:sz w:val="18"/>
              </w:rPr>
              <w:t>$39.1B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4.9</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1.6</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0.41x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0.9</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87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2.6</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19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2.0</w:t>
            </w:r>
          </w:p>
        </w:tc>
        <w:tc>
          <w:tcPr>
            <w:tcW w:type="dxa" w:w="2016"/>
          </w:tcPr>
          <w:p>
            <w:r>
              <w:rPr>
                <w:rFonts w:ascii="Calibri" w:hAnsi="Calibri"/>
                <w:color w:val="333333"/>
                <w:sz w:val="18"/>
              </w:rPr>
              <w:t>F5-006</w:t>
            </w:r>
          </w:p>
        </w:tc>
        <w:tc>
          <w:tcPr>
            <w:tcW w:type="dxa" w:w="2016"/>
          </w:tcPr>
          <w:p>
            <w:r>
              <w:rPr>
                <w:rFonts w:ascii="Calibri" w:hAnsi="Calibri"/>
                <w:color w:val="333333"/>
                <w:sz w:val="18"/>
              </w:rPr>
              <w:t>Signal-driven scoring: 27 signals, coverage=100%; Any single miss &gt;15% vs guidance</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26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0.6</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27 signals, coverage=100%</w:t>
            </w:r>
          </w:p>
        </w:tc>
      </w:tr>
      <w:tr>
        <w:tc>
          <w:tcPr>
            <w:tcW w:type="dxa" w:w="2016"/>
            <w:shd w:fill="F2F4F8" w:val="clear"/>
          </w:tcPr>
          <w:p>
            <w:r>
              <w:rPr>
                <w:rFonts w:ascii="Calibri" w:hAnsi="Calibri"/>
                <w:color w:val="333333"/>
                <w:sz w:val="18"/>
              </w:rPr>
              <w:t>F8</w:t>
            </w:r>
          </w:p>
        </w:tc>
        <w:tc>
          <w:tcPr>
            <w:tcW w:type="dxa" w:w="2016"/>
            <w:shd w:fill="F2F4F8" w:val="clear"/>
          </w:tcPr>
          <w:p>
            <w:r>
              <w:rPr>
                <w:rFonts w:ascii="Calibri" w:hAnsi="Calibri"/>
                <w:color w:val="333333"/>
                <w:sz w:val="18"/>
              </w:rPr>
              <w:t>Financial Distress</w:t>
            </w:r>
          </w:p>
        </w:tc>
        <w:tc>
          <w:tcPr>
            <w:tcW w:type="dxa" w:w="2016"/>
            <w:shd w:fill="F2F4F8" w:val="clear"/>
          </w:tcPr>
          <w:p>
            <w:r>
              <w:rPr>
                <w:rFonts w:ascii="Calibri" w:hAnsi="Calibri"/>
                <w:color w:val="333333"/>
                <w:sz w:val="18"/>
              </w:rPr>
              <w:t>0.2</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15 signals, coverage=100%</w:t>
            </w:r>
          </w:p>
        </w:tc>
      </w:tr>
      <w:tr>
        <w:tc>
          <w:tcPr>
            <w:tcW w:type="dxa" w:w="2016"/>
          </w:tcPr>
          <w:p>
            <w:r>
              <w:rPr>
                <w:rFonts w:ascii="Calibri" w:hAnsi="Calibri"/>
                <w:color w:val="333333"/>
                <w:sz w:val="18"/>
              </w:rPr>
              <w:t>F9</w:t>
            </w:r>
          </w:p>
        </w:tc>
        <w:tc>
          <w:tcPr>
            <w:tcW w:type="dxa" w:w="2016"/>
          </w:tcPr>
          <w:p>
            <w:r>
              <w:rPr>
                <w:rFonts w:ascii="Calibri" w:hAnsi="Calibri"/>
                <w:color w:val="333333"/>
                <w:sz w:val="18"/>
              </w:rPr>
              <w:t>Governance Issues</w:t>
            </w:r>
          </w:p>
        </w:tc>
        <w:tc>
          <w:tcPr>
            <w:tcW w:type="dxa" w:w="2016"/>
          </w:tcPr>
          <w:p>
            <w:r>
              <w:rPr>
                <w:rFonts w:ascii="Calibri" w:hAnsi="Calibri"/>
                <w:color w:val="333333"/>
                <w:sz w:val="18"/>
              </w:rPr>
              <w:t>1.2</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42 signals, coverage=100%</w:t>
            </w:r>
          </w:p>
        </w:tc>
      </w:tr>
      <w:tr>
        <w:tc>
          <w:tcPr>
            <w:tcW w:type="dxa" w:w="2016"/>
            <w:shd w:fill="F2F4F8" w:val="clear"/>
          </w:tcPr>
          <w:p>
            <w:r>
              <w:rPr>
                <w:rFonts w:ascii="Calibri" w:hAnsi="Calibri"/>
                <w:color w:val="333333"/>
                <w:sz w:val="18"/>
              </w:rPr>
              <w:t>F10</w:t>
            </w:r>
          </w:p>
        </w:tc>
        <w:tc>
          <w:tcPr>
            <w:tcW w:type="dxa" w:w="2016"/>
            <w:shd w:fill="F2F4F8" w:val="clear"/>
          </w:tcPr>
          <w:p>
            <w:r>
              <w:rPr>
                <w:rFonts w:ascii="Calibri" w:hAnsi="Calibri"/>
                <w:color w:val="333333"/>
                <w:sz w:val="18"/>
              </w:rPr>
              <w:t>Officer Stability</w:t>
            </w:r>
          </w:p>
        </w:tc>
        <w:tc>
          <w:tcPr>
            <w:tcW w:type="dxa" w:w="2016"/>
            <w:shd w:fill="F2F4F8" w:val="clear"/>
          </w:tcPr>
          <w:p>
            <w:r>
              <w:rPr>
                <w:rFonts w:ascii="Calibri" w:hAnsi="Calibri"/>
                <w:color w:val="333333"/>
                <w:sz w:val="18"/>
              </w:rPr>
              <w:t>0.1</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91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4.93</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4.93</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4.93</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3.82</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0.41</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1.57</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1.57</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1.07</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1.07</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1.07</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2.63</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2.63</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2.63</w:t>
            </w:r>
          </w:p>
        </w:tc>
      </w:tr>
      <w:tr>
        <w:tc>
          <w:tcPr>
            <w:tcW w:type="dxa" w:w="3360"/>
          </w:tcPr>
          <w:p>
            <w:r>
              <w:rPr>
                <w:rFonts w:ascii="Calibri" w:hAnsi="Calibri"/>
                <w:color w:val="333333"/>
                <w:sz w:val="18"/>
              </w:rPr>
              <w:t>F5</w:t>
            </w:r>
          </w:p>
        </w:tc>
        <w:tc>
          <w:tcPr>
            <w:tcW w:type="dxa" w:w="3360"/>
          </w:tcPr>
          <w:p>
            <w:r>
              <w:rPr>
                <w:rFonts w:ascii="Calibri" w:hAnsi="Calibri"/>
                <w:color w:val="333333"/>
                <w:sz w:val="18"/>
              </w:rPr>
              <w:t>base</w:t>
            </w:r>
          </w:p>
        </w:tc>
        <w:tc>
          <w:tcPr>
            <w:tcW w:type="dxa" w:w="3360"/>
          </w:tcPr>
          <w:p>
            <w:r>
              <w:rPr>
                <w:rFonts w:ascii="Calibri" w:hAnsi="Calibri"/>
                <w:color w:val="333333"/>
                <w:sz w:val="18"/>
              </w:rPr>
              <w:t>0.38</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2.00</w:t>
            </w:r>
          </w:p>
        </w:tc>
      </w:tr>
      <w:tr>
        <w:tc>
          <w:tcPr>
            <w:tcW w:type="dxa" w:w="3360"/>
          </w:tcPr>
          <w:p>
            <w:r>
              <w:rPr>
                <w:rFonts w:ascii="Calibri" w:hAnsi="Calibri"/>
                <w:color w:val="333333"/>
                <w:sz w:val="18"/>
              </w:rPr>
              <w:t>F5</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2.38</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2.38</w:t>
            </w:r>
          </w:p>
        </w:tc>
      </w:tr>
      <w:tr>
        <w:tc>
          <w:tcPr>
            <w:tcW w:type="dxa" w:w="3360"/>
          </w:tcPr>
          <w:p>
            <w:r>
              <w:rPr>
                <w:rFonts w:ascii="Calibri" w:hAnsi="Calibri"/>
                <w:color w:val="333333"/>
                <w:sz w:val="18"/>
              </w:rPr>
              <w:t>F5</w:t>
            </w:r>
          </w:p>
        </w:tc>
        <w:tc>
          <w:tcPr>
            <w:tcW w:type="dxa" w:w="3360"/>
          </w:tcPr>
          <w:p>
            <w:r>
              <w:rPr>
                <w:rFonts w:ascii="Calibri" w:hAnsi="Calibri"/>
                <w:color w:val="333333"/>
                <w:sz w:val="18"/>
              </w:rPr>
              <w:t>pattern_modifier</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F6</w:t>
            </w:r>
          </w:p>
        </w:tc>
        <w:tc>
          <w:tcPr>
            <w:tcW w:type="dxa" w:w="3360"/>
          </w:tcPr>
          <w:p>
            <w:r>
              <w:rPr>
                <w:rFonts w:ascii="Calibri" w:hAnsi="Calibri"/>
                <w:color w:val="333333"/>
                <w:sz w:val="18"/>
              </w:rPr>
              <w:t>base</w:t>
            </w:r>
          </w:p>
        </w:tc>
        <w:tc>
          <w:tcPr>
            <w:tcW w:type="dxa" w:w="3360"/>
          </w:tcPr>
          <w:p>
            <w:r>
              <w:rPr>
                <w:rFonts w:ascii="Calibri" w:hAnsi="Calibri"/>
                <w:color w:val="333333"/>
                <w:sz w:val="18"/>
              </w:rPr>
              <w:t>2.40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2.40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2.40</w:t>
            </w:r>
          </w:p>
        </w:tc>
      </w:tr>
      <w:tr>
        <w:tc>
          <w:tcPr>
            <w:tcW w:type="dxa" w:w="3360"/>
          </w:tcPr>
          <w:p>
            <w:r>
              <w:rPr>
                <w:rFonts w:ascii="Calibri" w:hAnsi="Calibri"/>
                <w:color w:val="333333"/>
                <w:sz w:val="18"/>
              </w:rPr>
              <w:t>F6</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0.67</w:t>
            </w:r>
          </w:p>
        </w:tc>
      </w:tr>
      <w:tr>
        <w:tc>
          <w:tcPr>
            <w:tcW w:type="dxa" w:w="3360"/>
          </w:tcPr>
          <w:p>
            <w:r>
              <w:rPr>
                <w:rFonts w:ascii="Calibri" w:hAnsi="Calibri"/>
                <w:color w:val="333333"/>
                <w:sz w:val="18"/>
              </w:rPr>
              <w:t>F7</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0.67</w:t>
            </w:r>
          </w:p>
        </w:tc>
      </w:tr>
      <w:tr>
        <w:tc>
          <w:tcPr>
            <w:tcW w:type="dxa" w:w="3360"/>
          </w:tcPr>
          <w:p>
            <w:r>
              <w:rPr>
                <w:rFonts w:ascii="Calibri" w:hAnsi="Calibri"/>
                <w:color w:val="333333"/>
                <w:sz w:val="18"/>
              </w:rPr>
              <w:t>F7</w:t>
            </w:r>
          </w:p>
        </w:tc>
        <w:tc>
          <w:tcPr>
            <w:tcW w:type="dxa" w:w="3360"/>
          </w:tcPr>
          <w:p>
            <w:r>
              <w:rPr>
                <w:rFonts w:ascii="Calibri" w:hAnsi="Calibri"/>
                <w:color w:val="333333"/>
                <w:sz w:val="18"/>
              </w:rPr>
              <w:t>capped</w:t>
            </w:r>
          </w:p>
        </w:tc>
        <w:tc>
          <w:tcPr>
            <w:tcW w:type="dxa" w:w="3360"/>
          </w:tcPr>
          <w:p>
            <w:r>
              <w:rPr>
                <w:rFonts w:ascii="Calibri" w:hAnsi="Calibri"/>
                <w:color w:val="333333"/>
                <w:sz w:val="18"/>
              </w:rPr>
              <w:t>0.67</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F8</w:t>
            </w:r>
          </w:p>
        </w:tc>
        <w:tc>
          <w:tcPr>
            <w:tcW w:type="dxa" w:w="3360"/>
          </w:tcPr>
          <w:p>
            <w:r>
              <w:rPr>
                <w:rFonts w:ascii="Calibri" w:hAnsi="Calibri"/>
                <w:color w:val="333333"/>
                <w:sz w:val="18"/>
              </w:rPr>
              <w:t>base</w:t>
            </w:r>
          </w:p>
        </w:tc>
        <w:tc>
          <w:tcPr>
            <w:tcW w:type="dxa" w:w="3360"/>
          </w:tcPr>
          <w:p>
            <w:r>
              <w:rPr>
                <w:rFonts w:ascii="Calibri" w:hAnsi="Calibri"/>
                <w:color w:val="333333"/>
                <w:sz w:val="18"/>
              </w:rPr>
              <w:t>0.20</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F8</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F8</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0.20</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0.20</w:t>
            </w:r>
          </w:p>
        </w:tc>
      </w:tr>
      <w:tr>
        <w:tc>
          <w:tcPr>
            <w:tcW w:type="dxa" w:w="3360"/>
          </w:tcPr>
          <w:p>
            <w:r>
              <w:rPr>
                <w:rFonts w:ascii="Calibri" w:hAnsi="Calibri"/>
                <w:color w:val="333333"/>
                <w:sz w:val="18"/>
              </w:rPr>
              <w:t>F9</w:t>
            </w:r>
          </w:p>
        </w:tc>
        <w:tc>
          <w:tcPr>
            <w:tcW w:type="dxa" w:w="3360"/>
          </w:tcPr>
          <w:p>
            <w:r>
              <w:rPr>
                <w:rFonts w:ascii="Calibri" w:hAnsi="Calibri"/>
                <w:color w:val="333333"/>
                <w:sz w:val="18"/>
              </w:rPr>
              <w:t>base</w:t>
            </w:r>
          </w:p>
        </w:tc>
        <w:tc>
          <w:tcPr>
            <w:tcW w:type="dxa" w:w="3360"/>
          </w:tcPr>
          <w:p>
            <w:r>
              <w:rPr>
                <w:rFonts w:ascii="Calibri" w:hAnsi="Calibri"/>
                <w:color w:val="333333"/>
                <w:sz w:val="18"/>
              </w:rPr>
              <w:t>1.46</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1.46</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1.46</w:t>
            </w:r>
          </w:p>
        </w:tc>
      </w:tr>
      <w:tr>
        <w:tc>
          <w:tcPr>
            <w:tcW w:type="dxa" w:w="3360"/>
          </w:tcPr>
          <w:p>
            <w:r>
              <w:rPr>
                <w:rFonts w:ascii="Calibri" w:hAnsi="Calibri"/>
                <w:color w:val="333333"/>
                <w:sz w:val="18"/>
              </w:rPr>
              <w:t>F9</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0.10</w:t>
            </w:r>
          </w:p>
        </w:tc>
      </w:tr>
      <w:tr>
        <w:tc>
          <w:tcPr>
            <w:tcW w:type="dxa" w:w="3360"/>
          </w:tcPr>
          <w:p>
            <w:r>
              <w:rPr>
                <w:rFonts w:ascii="Calibri" w:hAnsi="Calibri"/>
                <w:color w:val="333333"/>
                <w:sz w:val="18"/>
              </w:rPr>
              <w:t>F10</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0.10</w:t>
            </w:r>
          </w:p>
        </w:tc>
      </w:tr>
      <w:tr>
        <w:tc>
          <w:tcPr>
            <w:tcW w:type="dxa" w:w="3360"/>
          </w:tcPr>
          <w:p>
            <w:r>
              <w:rPr>
                <w:rFonts w:ascii="Calibri" w:hAnsi="Calibri"/>
                <w:color w:val="333333"/>
                <w:sz w:val="18"/>
              </w:rPr>
              <w:t>F10</w:t>
            </w:r>
          </w:p>
        </w:tc>
        <w:tc>
          <w:tcPr>
            <w:tcW w:type="dxa" w:w="3360"/>
          </w:tcPr>
          <w:p>
            <w:r>
              <w:rPr>
                <w:rFonts w:ascii="Calibri" w:hAnsi="Calibri"/>
                <w:color w:val="333333"/>
                <w:sz w:val="18"/>
              </w:rPr>
              <w:t>capped</w:t>
            </w:r>
          </w:p>
        </w:tc>
        <w:tc>
          <w:tcPr>
            <w:tcW w:type="dxa" w:w="3360"/>
          </w:tcPr>
          <w:p>
            <w:r>
              <w:rPr>
                <w:rFonts w:ascii="Calibri" w:hAnsi="Calibri"/>
                <w:color w:val="333333"/>
                <w:sz w:val="18"/>
              </w:rPr>
              <w:t>0.10</w:t>
            </w:r>
          </w:p>
        </w:tc>
      </w:tr>
    </w:tbl>
    <w:p>
      <w:pPr>
        <w:pStyle w:val="DOHeading3"/>
      </w:pPr>
      <w:r>
        <w:t>Pattern Detection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Pattern</w:t>
            </w:r>
          </w:p>
        </w:tc>
        <w:tc>
          <w:tcPr>
            <w:tcW w:type="dxa" w:w="2520"/>
            <w:shd w:fill="1A1446" w:val="clear"/>
          </w:tcPr>
          <w:p>
            <w:r>
              <w:rPr>
                <w:rFonts w:ascii="Calibri" w:hAnsi="Calibri"/>
                <w:b/>
                <w:color w:val="FFFFFF"/>
                <w:sz w:val="18"/>
              </w:rPr>
              <w:t>Severity</w:t>
            </w:r>
          </w:p>
        </w:tc>
        <w:tc>
          <w:tcPr>
            <w:tcW w:type="dxa" w:w="2520"/>
            <w:shd w:fill="1A1446" w:val="clear"/>
          </w:tcPr>
          <w:p>
            <w:r>
              <w:rPr>
                <w:rFonts w:ascii="Calibri" w:hAnsi="Calibri"/>
                <w:b/>
                <w:color w:val="FFFFFF"/>
                <w:sz w:val="18"/>
              </w:rPr>
              <w:t>Triggers Matched</w:t>
            </w:r>
          </w:p>
        </w:tc>
        <w:tc>
          <w:tcPr>
            <w:tcW w:type="dxa" w:w="2520"/>
            <w:shd w:fill="1A1446" w:val="clear"/>
          </w:tcPr>
          <w:p>
            <w:r>
              <w:rPr>
                <w:rFonts w:ascii="Calibri" w:hAnsi="Calibri"/>
                <w:b/>
                <w:color w:val="FFFFFF"/>
                <w:sz w:val="18"/>
              </w:rPr>
              <w:t>Score Impact</w:t>
            </w:r>
          </w:p>
        </w:tc>
      </w:tr>
      <w:tr>
        <w:tc>
          <w:tcPr>
            <w:tcW w:type="dxa" w:w="2520"/>
          </w:tcPr>
          <w:p>
            <w:r>
              <w:rPr>
                <w:rFonts w:ascii="Calibri" w:hAnsi="Calibri"/>
                <w:color w:val="333333"/>
                <w:sz w:val="18"/>
              </w:rPr>
              <w:t>Guidance Track Record</w:t>
            </w:r>
          </w:p>
        </w:tc>
        <w:tc>
          <w:tcPr>
            <w:tcW w:type="dxa" w:w="2520"/>
          </w:tcPr>
          <w:p>
            <w:r>
              <w:rPr>
                <w:rFonts w:ascii="Calibri" w:hAnsi="Calibri"/>
                <w:color w:val="333333"/>
                <w:sz w:val="18"/>
              </w:rPr>
              <w:t>BASELINE</w:t>
            </w:r>
          </w:p>
        </w:tc>
        <w:tc>
          <w:tcPr>
            <w:tcW w:type="dxa" w:w="2520"/>
          </w:tcPr>
          <w:p>
            <w:r>
              <w:rPr>
                <w:rFonts w:ascii="Calibri" w:hAnsi="Calibri"/>
                <w:color w:val="333333"/>
                <w:sz w:val="18"/>
              </w:rPr>
            </w:r>
          </w:p>
        </w:tc>
        <w:tc>
          <w:tcPr>
            <w:tcW w:type="dxa" w:w="2520"/>
          </w:tcPr>
          <w:p>
            <w:r>
              <w:rPr>
                <w:rFonts w:ascii="Calibri" w:hAnsi="Calibri"/>
                <w:color w:val="333333"/>
                <w:sz w:val="18"/>
              </w:rPr>
              <w:t>F5: +0</w:t>
            </w:r>
          </w:p>
        </w:tc>
      </w:tr>
    </w:tbl>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70 signals, coverage=100%; F3: Signal-driven scoring: 87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MODERATE</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0.41x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 F8</w:t>
            </w:r>
          </w:p>
        </w:tc>
        <w:tc>
          <w:tcPr>
            <w:tcW w:type="dxa" w:w="2520"/>
          </w:tcPr>
          <w:p>
            <w:r>
              <w:rPr>
                <w:rFonts w:ascii="Calibri" w:hAnsi="Calibri"/>
                <w:color w:val="333333"/>
                <w:sz w:val="18"/>
              </w:rPr>
              <w:t>F7: Signal-driven scoring: 27 signals, coverage=100%; F8: Signal-driven scoring: 15 signals, coverage=100%</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42 signals, coverage=100%; F10: Signal-driven scoring: 91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19 signals, coverage=100%</w:t>
            </w:r>
          </w:p>
        </w:tc>
      </w:tr>
    </w:tbl>
    <w:p>
      <w:pPr>
        <w:pStyle w:val="DOBody"/>
      </w:pPr>
      <w:r>
        <w:rPr>
          <w:i/>
          <w:sz w:val="16"/>
        </w:rPr>
        <w:t>D&amp;O Context: Primary allegation exposure is A_DISCLOSURE. MODERATE exposure in: A_DISCLOSURE, B_GUIDANCE.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7.3% - 10.4%</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4.0%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Industry base rate: 4.0%. Tier WALK (15-20%): Substantially above base rate. Cri</w:t>
            </w:r>
          </w:p>
        </w:tc>
      </w:tr>
    </w:tbl>
    <w:p>
      <w:pPr>
        <w:pStyle w:val="DOBody"/>
      </w:pPr>
      <w:r>
        <w:rPr>
          <w:b/>
        </w:rPr>
        <w:t>Claim probability: ELEVATED</w:t>
      </w:r>
      <w:r>
        <w:rPr>
          <w:b/>
          <w:color w:val="EA580C"/>
          <w:sz w:val="18"/>
        </w:rPr>
        <w:t xml:space="preserve"> [HIGH]</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HIGH_EXCESS</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$7511.0M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8</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[Legal Officer (CAO)]: Prior litigation: snippet: Coinbase Global Inc. directors and officers are responsible for harm to the company that st</w:t>
      </w:r>
    </w:p>
    <w:p>
      <w:pPr>
        <w:pStyle w:val="DOBody"/>
      </w:pPr>
      <w:r>
        <w:t>- [Legal Officer (CAO)]: Prior litigation: case_summary: According to the Complaint, Coinbase Global, Inc. offers (i) consumers their primary f</w:t>
      </w:r>
    </w:p>
    <w:p>
      <w:pPr>
        <w:pStyle w:val="DOBody"/>
      </w:pPr>
      <w:r>
        <w:t>- [Legal Officer (CAO)]: Prior litigation: title: Updated: Chief Legal Officer Indicates Coinbase Has Received ...</w:t>
      </w:r>
    </w:p>
    <w:p>
      <w:pPr>
        <w:pStyle w:val="DOBody"/>
      </w:pPr>
      <w:r>
        <w:t>- [America Online (CTO)]: Prior litigation: url: https://businesslawreview.uchicago.edu/online-archive/equitable-estoppel-against-federal-govern</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22.5, 'prior_fog': None, 'fog_change': None, 'current_flesch': 14.28, 'prior_flesch': None, 'classification': 'CURRENT_ONLY', 'evidence': 'Current Fog Index: 22.5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Government</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bl>
    <w:p>
      <w:pPr>
        <w:pStyle w:val="DOBody"/>
      </w:pPr>
      <w:r>
        <w:rPr>
          <w:color w:val="666666"/>
          <w:sz w:val="16"/>
        </w:rPr>
        <w:t>Shareholders: 57 triggered checks. Key: Litigation History Profile: 2 (elevated vs benchmark of 0)</w:t>
      </w:r>
    </w:p>
    <w:p>
      <w:pPr>
        <w:pStyle w:val="DOBody"/>
      </w:pPr>
      <w:r>
        <w:rPr>
          <w:color w:val="666666"/>
          <w:sz w:val="16"/>
        </w:rPr>
        <w:t>Regulators: 16 triggered checks. Key: Disclosure Complexity Score: 34 (elevated vs benchmark of 25)</w:t>
      </w:r>
    </w:p>
    <w:p>
      <w:pPr>
        <w:pStyle w:val="DOBody"/>
      </w:pPr>
      <w:r>
        <w:rPr>
          <w:color w:val="666666"/>
          <w:sz w:val="16"/>
        </w:rPr>
        <w:t>Government: 3 triggered checks. Key: Key Supplier Dependencies: 3 (elevated vs benchmark of 1)</w:t>
      </w:r>
    </w:p>
    <w:p>
      <w:pPr>
        <w:pStyle w:val="DOHeading3"/>
      </w:pPr>
      <w:r>
        <w:t>Bear Cases</w:t>
      </w:r>
    </w:p>
    <w:p>
      <w:pPr>
        <w:pStyle w:val="DOHeading3"/>
      </w:pPr>
      <w:r>
        <w:t>Bear Case: A Disclosure</w:t>
      </w:r>
    </w:p>
    <w:p>
      <w:pPr>
        <w:pStyle w:val="DOBody"/>
      </w:pPr>
      <w:r>
        <w:rPr>
          <w:b/>
        </w:rPr>
        <w:t>Coinbase Global, Inc.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[BIZ.DEPEND.regulatory_dep] Single-Source Suppliers (Source: regulatory_dependency_count)</w:t>
      </w:r>
    </w:p>
    <w:p>
      <w:pPr>
        <w:pStyle w:val="DOBody"/>
      </w:pPr>
      <w:r>
        <w:rPr>
          <w:sz w:val="16"/>
        </w:rPr>
        <w:t>4. [BIZ.EVENT.ipo_exposure] IPO/Offering Exposure Window (Source: event_ipo_exposure_score)</w:t>
      </w:r>
    </w:p>
    <w:p>
      <w:pPr>
        <w:pStyle w:val="DOBody"/>
      </w:pPr>
      <w:r>
        <w:rPr>
          <w:sz w:val="16"/>
        </w:rPr>
        <w:t>5. [BIZ.OPS.workforce] Workforce Distribution (Source: workforce_distribution)</w:t>
      </w:r>
    </w:p>
    <w:p>
      <w:pPr>
        <w:pStyle w:val="DOBody"/>
      </w:pPr>
      <w:r>
        <w:rPr>
          <w:sz w:val="16"/>
        </w:rPr>
        <w:t>6. [BIZ.STRUC.nongaap] Non-GAAP Measure Usage (Source: nongaap_measure_count)</w:t>
      </w:r>
    </w:p>
    <w:p>
      <w:pPr>
        <w:pStyle w:val="DOBody"/>
      </w:pPr>
      <w:r>
        <w:rPr>
          <w:sz w:val="16"/>
        </w:rPr>
        <w:t>7. [BIZ.STRUC.obs_exposure] Off-Balance-Sheet Exposure (Source: obs_exposure_score)</w:t>
      </w:r>
    </w:p>
    <w:p>
      <w:pPr>
        <w:pStyle w:val="DOBody"/>
      </w:pPr>
      <w:r>
        <w:rPr>
          <w:sz w:val="16"/>
        </w:rPr>
        <w:t>8. [EXEC.PRIOR_LIT.any_officer] Any Officer With Prior Litigation at Previous Company (Source: value)</w:t>
      </w:r>
    </w:p>
    <w:p>
      <w:pPr>
        <w:pStyle w:val="DOBody"/>
      </w:pPr>
      <w:r>
        <w:rPr>
          <w:sz w:val="16"/>
        </w:rPr>
        <w:t>9. [EXEC.INSIDER.ceo_net_selling] CEO Net Seller of Stock (Source: value)</w:t>
      </w:r>
    </w:p>
    <w:p>
      <w:pPr>
        <w:pStyle w:val="DOBody"/>
      </w:pPr>
      <w:r>
        <w:rPr>
          <w:sz w:val="16"/>
        </w:rPr>
        <w:t>10. [EXEC.INSIDER.cfo_net_selling] CFO Net Seller of Stock (Source: value)</w:t>
      </w:r>
    </w:p>
    <w:p>
      <w:pPr>
        <w:pStyle w:val="DOBody"/>
      </w:pPr>
      <w:r>
        <w:rPr>
          <w:color w:val="666666"/>
          <w:sz w:val="16"/>
        </w:rPr>
        <w:t>Probability: ELEVATED | Severity: SIGNIFICANT</w:t>
      </w:r>
    </w:p>
    <w:p>
      <w:pPr>
        <w:pStyle w:val="DOHeading3"/>
      </w:pPr>
      <w:r>
        <w:t>Bear Case: B Guidance</w:t>
      </w:r>
    </w:p>
    <w:p>
      <w:pPr>
        <w:pStyle w:val="DOBody"/>
      </w:pPr>
      <w:r>
        <w:rPr>
          <w:b/>
        </w:rPr>
        <w:t>Coinbase Global, Inc. faces elevated exposure to guidance manipulation claims. Key risk indicators: Litigation History Profile (critical); VIE/SPE Off-Balance-Sheet Structures (critical). Estimated severity is significant, warranting detailed underwriter review.</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[BIZ.DEPEND.regulatory_dep] Single-Source Suppliers (Source: regulatory_dependency_count)</w:t>
      </w:r>
    </w:p>
    <w:p>
      <w:pPr>
        <w:pStyle w:val="DOBody"/>
      </w:pPr>
      <w:r>
        <w:rPr>
          <w:sz w:val="16"/>
        </w:rPr>
        <w:t>4. [BIZ.EVENT.ipo_exposure] IPO/Offering Exposure Window (Source: event_ipo_exposure_score)</w:t>
      </w:r>
    </w:p>
    <w:p>
      <w:pPr>
        <w:pStyle w:val="DOBody"/>
      </w:pPr>
      <w:r>
        <w:rPr>
          <w:sz w:val="16"/>
        </w:rPr>
        <w:t>5. [BIZ.OPS.workforce] Workforce Distribution (Source: workforce_distribution)</w:t>
      </w:r>
    </w:p>
    <w:p>
      <w:pPr>
        <w:pStyle w:val="DOBody"/>
      </w:pPr>
      <w:r>
        <w:rPr>
          <w:sz w:val="16"/>
        </w:rPr>
        <w:t>6. [BIZ.STRUC.nongaap] Non-GAAP Measure Usage (Source: nongaap_measure_count)</w:t>
      </w:r>
    </w:p>
    <w:p>
      <w:pPr>
        <w:pStyle w:val="DOBody"/>
      </w:pPr>
      <w:r>
        <w:rPr>
          <w:sz w:val="16"/>
        </w:rPr>
        <w:t>7. [BIZ.STRUC.obs_exposure] Off-Balance-Sheet Exposure (Source: obs_exposure_score)</w:t>
      </w:r>
    </w:p>
    <w:p>
      <w:pPr>
        <w:pStyle w:val="DOBody"/>
      </w:pPr>
      <w:r>
        <w:rPr>
          <w:sz w:val="16"/>
        </w:rPr>
        <w:t>8. [EXEC.PRIOR_LIT.any_officer] Any Officer With Prior Litigation at Previous Company (Source: value)</w:t>
      </w:r>
    </w:p>
    <w:p>
      <w:pPr>
        <w:pStyle w:val="DOBody"/>
      </w:pPr>
      <w:r>
        <w:rPr>
          <w:sz w:val="16"/>
        </w:rPr>
        <w:t>9. [EXEC.INSIDER.ceo_net_selling] CEO Net Seller of Stock (Source: value)</w:t>
      </w:r>
    </w:p>
    <w:p>
      <w:pPr>
        <w:pStyle w:val="DOBody"/>
      </w:pPr>
      <w:r>
        <w:rPr>
          <w:sz w:val="16"/>
        </w:rPr>
        <w:t>10. [EXEC.INSIDER.cfo_net_selling] CFO Net Seller of Stock (Source: value)</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EXEC.TENURE.ceo_new (CEO Tenure Less Than 2 Years): Data mapping not configured for this check</w:t>
      </w:r>
    </w:p>
    <w:p>
      <w:pPr>
        <w:pStyle w:val="DOBody"/>
      </w:pPr>
      <w:r>
        <w:rPr>
          <w:b/>
          <w:sz w:val="16"/>
        </w:rPr>
        <w:t xml:space="preserve">  [EVALUATIVE] </w:t>
      </w:r>
      <w:r>
        <w:rPr>
          <w:sz w:val="16"/>
        </w:rPr>
        <w:t>EXEC.TENURE.cfo_new (CFO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GOV.EXEC.ceo_profile (CEO Profile): Required data not available from filings</w:t>
      </w:r>
    </w:p>
    <w:p>
      <w:pPr>
        <w:pStyle w:val="DOBody"/>
      </w:pPr>
      <w:r>
        <w:rPr>
          <w:b/>
          <w:sz w:val="16"/>
        </w:rPr>
        <w:t xml:space="preserve">  [EVALUATIVE] </w:t>
      </w:r>
      <w:r>
        <w:rPr>
          <w:sz w:val="16"/>
        </w:rPr>
        <w:t>GOV.EXEC.cfo_profile (CFO Profile): Required data not available from filings</w:t>
      </w:r>
    </w:p>
    <w:p>
      <w:pPr>
        <w:pStyle w:val="DOBody"/>
      </w:pPr>
      <w:r>
        <w:rPr>
          <w:b/>
          <w:sz w:val="16"/>
        </w:rPr>
        <w:t xml:space="preserve">  [EVALUATIVE] </w:t>
      </w:r>
      <w:r>
        <w:rPr>
          <w:sz w:val="16"/>
        </w:rPr>
        <w:t>GOV.EXEC.founder (Founder Status): Required data not available from filings</w:t>
      </w:r>
    </w:p>
    <w:p>
      <w:pPr>
        <w:pStyle w:val="DOBody"/>
      </w:pPr>
      <w:r>
        <w:rPr>
          <w:b/>
          <w:sz w:val="16"/>
        </w:rPr>
        <w:t xml:space="preserve">  [EVALUATIVE] </w:t>
      </w:r>
      <w:r>
        <w:rPr>
          <w:sz w:val="16"/>
        </w:rPr>
        <w:t>GOV.EXEC.key_person (Key Person Risk):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FIN.COMP.unvested_cost (Unvested SBC Pipeline): Required data not available from filings</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FIN.FORENSIC.deferred_revenue_divergence (Deferred Revenue Divergence): Data mapping not configured for this check</w:t>
      </w:r>
    </w:p>
    <w:p>
      <w:pPr>
        <w:pStyle w:val="DOBody"/>
      </w:pPr>
      <w:r>
        <w:rPr>
          <w:b/>
          <w:sz w:val="16"/>
        </w:rPr>
        <w:t xml:space="preserve">  [EVALUATIVE] </w:t>
      </w:r>
      <w:r>
        <w:rPr>
          <w:sz w:val="16"/>
        </w:rPr>
        <w:t>FIN.FORENSIC.margin_compression (Forensic Margin Compression):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FIN.FORENSIC.dividend_sustainability (Dividend Sustainability): Data mapping not configured for this check</w:t>
      </w:r>
    </w:p>
    <w:p>
      <w:pPr>
        <w:pStyle w:val="DOBody"/>
      </w:pPr>
      <w:r>
        <w:rPr>
          <w:b/>
          <w:sz w:val="16"/>
        </w:rPr>
        <w:t xml:space="preserve">  [EVALUATIVE] </w:t>
      </w:r>
      <w:r>
        <w:rPr>
          <w:sz w:val="16"/>
        </w:rPr>
        <w:t>FIN.FORENSIC.deferred_tax_growth (Deferred Tax Liability Growth):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FIN.OBS.contract_liability (Deferred Revenue Execution Risk):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[EVALUATIVE] </w:t>
      </w:r>
      <w:r>
        <w:rPr>
          <w:sz w:val="16"/>
        </w:rPr>
        <w:t>FIN.IMPAIR.intangible_writedown (Intangible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7 | Evaluative checks: 106</w:t>
      </w:r>
    </w:p>
    <w:p>
      <w:pPr>
        <w:pStyle w:val="DOBody"/>
      </w:pPr>
      <w:r>
        <w:rPr>
          <w:b/>
        </w:rPr>
        <w:t>Total: 113 checks data-unavailable out of 576 total checks (80%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EMERGING_TECH_REGULATORY_GAP</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CRYPTO_HACKING_INCIDENTS</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CRYPTO_SEC_INVESTIGATIONS</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CRYPTO_REGULATORY_CLARITY</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CRYPTO_STAKING_REGULATORY</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crypto_cyber_incident_frequency</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crypto_sec_investigation</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AUDITOR_RESIGNATION_INTEGRITY</w:t>
            </w:r>
          </w:p>
        </w:tc>
        <w:tc>
          <w:tcPr>
            <w:tcW w:type="dxa" w:w="2520"/>
          </w:tcPr>
          <w:p>
            <w:r>
              <w:rPr>
                <w:sz w:val="18"/>
              </w:rPr>
              <w:t>Proposed by ingestion of 'blind_spot:SMCI:Super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CHINA_SALES_DISCLOSURE</w:t>
            </w:r>
          </w:p>
        </w:tc>
        <w:tc>
          <w:tcPr>
            <w:tcW w:type="dxa" w:w="2520"/>
          </w:tcPr>
          <w:p>
            <w:r>
              <w:rPr>
                <w:sz w:val="18"/>
              </w:rPr>
              <w:t>Proposed by ingestion of 'blind_spot:SMCI:Super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EXPORT_COMPLIANCE_CONTROLS</w:t>
            </w:r>
          </w:p>
        </w:tc>
        <w:tc>
          <w:tcPr>
            <w:tcW w:type="dxa" w:w="2520"/>
          </w:tcPr>
          <w:p>
            <w:r>
              <w:rPr>
                <w:sz w:val="18"/>
              </w:rPr>
              <w:t>Proposed by ingestion of 'blind_spot:SMCI:Super Micro Comput</w:t>
            </w:r>
          </w:p>
        </w:tc>
        <w:tc>
          <w:tcPr>
            <w:tcW w:type="dxa" w:w="2520"/>
          </w:tcPr>
          <w:p>
            <w:r>
              <w:rPr>
                <w:sz w:val="18"/>
              </w:rPr>
              <w:t>ingestion_pipeline</w:t>
            </w:r>
          </w:p>
        </w:tc>
      </w:tr>
    </w:tbl>
    <w:p>
      <w:pPr>
        <w:pStyle w:val="DOHeading3"/>
      </w:pPr>
      <w:r>
        <w:t>Discovery Findings</w:t>
      </w:r>
    </w:p>
    <w:p>
      <w:pPr>
        <w:pStyle w:val="DOBody"/>
      </w:pPr>
      <w:r>
        <w:t>10 document(s) analyzed, 8 proposal(s) generated, from blind spot search</w:t>
      </w:r>
    </w:p>
    <w:p>
      <w:pPr>
        <w:pStyle w:val="DOHeading3"/>
      </w:pPr>
      <w:r>
        <w:t>Feedback for COIN</w:t>
      </w:r>
    </w:p>
    <w:p>
      <w:pPr>
        <w:pStyle w:val="DOBody"/>
      </w:pPr>
      <w:r>
        <w:t>No pending feedback for COIN.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Coinbase Global, Inc. (COIN)</w:t>
    </w:r>
    <w:r>
      <w:rPr>
        <w:color w:val="999999"/>
        <w:sz w:val="16"/>
      </w:rPr>
      <w:t xml:space="preserve">  |  Generated: 2026-04-03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