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Salesforce, Inc. (CRM)</w:t>
      </w:r>
    </w:p>
    <w:p>
      <w:pPr>
        <w:pStyle w:val="DOBody"/>
      </w:pPr>
      <w:r>
        <w:rPr>
          <w:color w:val="666666"/>
          <w:sz w:val="20"/>
        </w:rPr>
        <w:t>Generated: April 02,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Salesforce, Inc.’s D&amp;O composite score of 89.6 places it in the WATCH tier, mandating senior review due to a bifurcated risk profile. The elevated claim band of 5.67%-8.1% is primarily driven by a 28.6% stock price decline within the last 56 days, a critical red flag that directly pressures the Quality Score to 50. Prior litigation deductions of 2.9 points from a 20-point maximum, alongside a 2.15-point deduction for short interest, underscore persistent legal and market skepticism headwinds. These negatives are partially offset by a clean SEC enforcement record and an audit opinion with no material weaknesses, as per latest 10-K filings. The inherent litigation risk of 10.14% is amplified by the company’s $175.4B market cap, presenting a severe severity exposure. Governance stability, evidenced by zero C-suite departures in 18 months, is counterbalanced by M&amp;A-related risk deductions of 1 point from 10. Ultimately, the convergence of a sharp equity decline, active litigation signals, and the scale of potential liability necessitates a carefully structured, low-limit placement with explicit exclusions for historical matters.</w:t>
      </w:r>
    </w:p>
    <w:p>
      <w:pPr>
        <w:pStyle w:val="DOHeading1"/>
      </w:pPr>
      <w:r>
        <w:t>Executive Summary</w:t>
      </w:r>
    </w:p>
    <w:p>
      <w:pPr>
        <w:pStyle w:val="DOHeading2"/>
      </w:pPr>
      <w:r>
        <w:t>Underwriting Thesis</w:t>
      </w:r>
    </w:p>
    <w:p>
      <w:pPr>
        <w:pStyle w:val="DOBody"/>
      </w:pPr>
      <w:r>
        <w:rPr>
          <w:color w:val="1A1446"/>
        </w:rPr>
        <w:t>Salesforce, Inc. is a $175.4B (Decile 1 of 10) mega-cap technology company that would normally present as a stronger underwriting account were it not for critical red flags: Recent Drop - 90 Day. These findings impose a hard quality score ceiling of 50, placing the account in WATCH tier (50/100) regardless of other favorable factors. The primary risk driver is Prior Litigation, driving elevated risk in this area. Signal-driven scoring: 70 signals, coverage=100%. At a 6-8% claim probability (10.1% adjusted rate, 2.0x the Technology sector baseline of 5.0%), this account requires Write carefully, senior review required.</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Salesforce, Inc.</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CRM</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Software - Application</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$175.4B  [Decile 1 (largest ~400 accounts)]  (Ranks at the 11th percentile among 9 peers)</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$34.9B</w:t>
            </w:r>
          </w:p>
        </w:tc>
        <w:tc>
          <w:tcPr>
            <w:tcW w:type="dxa" w:w="3360"/>
          </w:tcPr>
          <w:p>
            <w:r>
              <w:rPr>
                <w:rFonts w:ascii="Calibri" w:hAnsi="Calibri"/>
                <w:color w:val="333333"/>
                <w:sz w:val="18"/>
              </w:rPr>
              <w:t>[10-K 2024-01-31 CIK1108524 accn:0001108524-24-000005, filed 2024-01-31,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83,334</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7372 -- Services-Prepackaged Software</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45103010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511210</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01-31</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WATCH</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89.6/100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50.0/100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2.9, F2: 0.9, F3: 1.6, F4: 0.7, F5: 0.5, F6: 2.2, F7: 0.5, F8: 0.2, F9: 0.9, F10: 0.1</w:t>
            </w:r>
          </w:p>
        </w:tc>
      </w:tr>
      <w:tr>
        <w:tc>
          <w:tcPr>
            <w:tcW w:type="dxa" w:w="5040"/>
          </w:tcPr>
          <w:p>
            <w:r>
              <w:rPr>
                <w:rFonts w:ascii="Calibri" w:hAnsi="Calibri"/>
                <w:color w:val="333333"/>
                <w:sz w:val="18"/>
              </w:rPr>
              <w:t>Score Ceiling</w:t>
            </w:r>
          </w:p>
        </w:tc>
        <w:tc>
          <w:tcPr>
            <w:tcW w:type="dxa" w:w="5040"/>
          </w:tcPr>
          <w:p>
            <w:r>
              <w:rPr>
                <w:rFonts w:ascii="Calibri" w:hAnsi="Calibri"/>
                <w:color w:val="333333"/>
                <w:sz w:val="18"/>
              </w:rPr>
              <w:t>Capped at 50 by CRF-11 (Recent Drop - 90 Day)</w:t>
            </w:r>
          </w:p>
        </w:tc>
      </w:tr>
      <w:tr>
        <w:tc>
          <w:tcPr>
            <w:tcW w:type="dxa" w:w="5040"/>
            <w:shd w:fill="F2F4F8" w:val="clear"/>
          </w:tcPr>
          <w:p>
            <w:r>
              <w:rPr>
                <w:rFonts w:ascii="Calibri" w:hAnsi="Calibri"/>
                <w:color w:val="333333"/>
                <w:sz w:val="18"/>
              </w:rPr>
              <w:t>Position</w:t>
            </w:r>
          </w:p>
        </w:tc>
        <w:tc>
          <w:tcPr>
            <w:tcW w:type="dxa" w:w="5040"/>
            <w:shd w:fill="F2F4F8" w:val="clear"/>
          </w:tcPr>
          <w:p>
            <w:r>
              <w:rPr>
                <w:rFonts w:ascii="Calibri" w:hAnsi="Calibri"/>
                <w:color w:val="333333"/>
                <w:sz w:val="18"/>
              </w:rPr>
              <w:t>89.6 falls in WATCH range (31-50)</w:t>
            </w:r>
          </w:p>
        </w:tc>
      </w:tr>
      <w:tr>
        <w:tc>
          <w:tcPr>
            <w:tcW w:type="dxa" w:w="5040"/>
          </w:tcPr>
          <w:p>
            <w:r>
              <w:rPr>
                <w:rFonts w:ascii="Calibri" w:hAnsi="Calibri"/>
                <w:color w:val="333333"/>
                <w:sz w:val="18"/>
              </w:rPr>
              <w:t>Appetite</w:t>
            </w:r>
          </w:p>
        </w:tc>
        <w:tc>
          <w:tcPr>
            <w:tcW w:type="dxa" w:w="5040"/>
          </w:tcPr>
          <w:p>
            <w:r>
              <w:rPr>
                <w:rFonts w:ascii="Calibri" w:hAnsi="Calibri"/>
                <w:color w:val="333333"/>
                <w:sz w:val="18"/>
              </w:rPr>
              <w:t>Write carefully, senior review required</w:t>
            </w:r>
          </w:p>
        </w:tc>
      </w:tr>
    </w:tbl>
    <w:p>
      <w:pPr>
        <w:pStyle w:val="DOBody"/>
      </w:pPr>
      <w:r>
        <w:t>Classification: WATCH</w:t>
      </w:r>
      <w:r>
        <w:rPr>
          <w:b/>
          <w:color w:val="EA580C"/>
          <w:sz w:val="18"/>
        </w:rPr>
        <w:t xml:space="preserve"> [HIGH]</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Technology (Base rate: 5.0%)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7.8%</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1.30x (quality score multiplier) -&gt; 10.1%</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10.1% adjusted claim rate, the company faces 2.0x its sector baseline of 5.0% for Technology companies. This rate reflects the MEGA cap multiplier (1.56x) combined with the quality score multiplier (1.30x from WATCH tier classification).</w:t>
      </w:r>
    </w:p>
    <w:p>
      <w:pPr>
        <w:pStyle w:val="DOCaption"/>
      </w:pPr>
      <w:r>
        <w:t>Note: NEEDS CALIBRATION</w:t>
      </w:r>
    </w:p>
    <w:p>
      <w:pPr>
        <w:pStyle w:val="DOHeading3"/>
      </w:pPr>
      <w:r>
        <w:t>Underwriting Headwinds</w:t>
      </w:r>
    </w:p>
    <w:p>
      <w:pPr>
        <w:pStyle w:val="DOBody"/>
      </w:pPr>
      <w:r>
        <w:rPr>
          <w:b/>
        </w:rPr>
        <w:t>1. Critical Red Flag</w:t>
      </w:r>
      <w:r>
        <w:rPr>
          <w:b/>
          <w:color w:val="DC2626"/>
          <w:sz w:val="18"/>
        </w:rPr>
        <w:t xml:space="preserve"> [CRITICAL]</w:t>
      </w:r>
    </w:p>
    <w:p>
      <w:pPr>
        <w:pStyle w:val="DOBody"/>
      </w:pPr>
      <w:r>
        <w:t>Critical Red Flag: Recent Drop - 90 Day — 90-day drop: 28.6% (56 days ago). This triggers a Critical Red Flag, imposing a score ceiling of 50.</w:t>
      </w:r>
    </w:p>
    <w:p>
      <w:pPr>
        <w:pStyle w:val="DOBody"/>
      </w:pPr>
      <w:r>
        <w:rPr>
          <w:b/>
        </w:rPr>
        <w:t>2. Structural Complexity &amp; Litigation History</w:t>
      </w:r>
      <w:r>
        <w:rPr>
          <w:b/>
          <w:color w:val="EA580C"/>
          <w:sz w:val="18"/>
        </w:rPr>
        <w:t xml:space="preserve"> [HIGH]</w:t>
      </w:r>
    </w:p>
    <w:p>
      <w:pPr>
        <w:pStyle w:val="DOBody"/>
      </w:pPr>
      <w:r>
        <w:t>Salesforce, Inc. has 173 subsidiaries, increasing multi-jurisdictional litigation exposure. Goodwill at 48.7% of total assets reflects an acquisition-driven strategy where integration risk and impairment charges are common SCA triggers. The current docket includes 1 derivative suit. With goodwill at 48.7% of total assets and 1 active matter, Salesforce, Inc.'s exposure profile combines impairment risk with demonstrated plaintiff interest in this issuer. (see Litigation)</w:t>
      </w:r>
    </w:p>
    <w:p>
      <w:pPr>
        <w:pStyle w:val="DOBody"/>
      </w:pPr>
      <w:r>
        <w:rPr>
          <w:b/>
        </w:rPr>
        <w:t>3. Earnings Guidance Track Record</w:t>
      </w:r>
      <w:r>
        <w:rPr>
          <w:b/>
          <w:color w:val="EA580C"/>
          <w:sz w:val="18"/>
        </w:rPr>
        <w:t xml:space="preserve"> [HIGH]</w:t>
      </w:r>
    </w:p>
    <w:p>
      <w:pPr>
        <w:pStyle w:val="DOBody"/>
      </w:pPr>
      <w:r>
        <w:t>Salesforce, Inc. has missed earnings guidance in 1 quarter, with management credibility score at 92%. At $175.4B market cap with an estimated DDL of $256.2B, guidance misses generate large absolute loss figures that attract institutional lead plaintiffs. (see Market &amp; Trading)</w:t>
      </w:r>
    </w:p>
    <w:p>
      <w:pPr>
        <w:pStyle w:val="DOBody"/>
      </w:pPr>
      <w:r>
        <w:rPr>
          <w:b/>
        </w:rPr>
        <w:t>4. Stock Price Decline</w:t>
      </w:r>
      <w:r>
        <w:rPr>
          <w:b/>
          <w:color w:val="EAB308"/>
          <w:sz w:val="18"/>
        </w:rPr>
        <w:t xml:space="preserve"> [ELEVATED]</w:t>
      </w:r>
    </w:p>
    <w:p>
      <w:pPr>
        <w:pStyle w:val="DOBody"/>
      </w:pPr>
      <w:r>
        <w:t>Salesforce, Inc.'s stock has undergone a -37% dip of -36.8% from $296.05 to $187.18 over 252 trading days. This creates an estimated Disclosure Dollar Loss (DDL) of $256.2B, among the largest potential DDL exposures in the market. (see Market &amp; Trading)</w:t>
      </w:r>
    </w:p>
    <w:p>
      <w:pPr>
        <w:pStyle w:val="DOBody"/>
      </w:pPr>
      <w:r>
        <w:rPr>
          <w:b/>
        </w:rPr>
        <w:t>5. Transaction-Related Exposure</w:t>
      </w:r>
      <w:r>
        <w:rPr>
          <w:b/>
          <w:color w:val="EAB308"/>
          <w:sz w:val="18"/>
        </w:rPr>
        <w:t xml:space="preserve"> [ELEVATED]</w:t>
      </w:r>
    </w:p>
    <w:p>
      <w:pPr>
        <w:pStyle w:val="DOBody"/>
      </w:pPr>
      <w:r>
        <w:t>Salesforce, Inc. has transaction-related risk factors. Goodwill at 48.7% of total assets reflects acquisition activity. Failed acquisitions are among the most common SCA triggers. At $175.4B market cap, transaction claims carry both Section 10(b) exposure (misleading disclosures) and Section 14(a) exposure (deficient proxy statements).</w:t>
      </w:r>
    </w:p>
    <w:p>
      <w:pPr>
        <w:pStyle w:val="DOHeading3"/>
      </w:pPr>
      <w:r>
        <w:t>Risk Mitigants</w:t>
      </w:r>
    </w:p>
    <w:p>
      <w:pPr>
        <w:pStyle w:val="DOBody"/>
      </w:pPr>
      <w:r>
        <w:rPr>
          <w:b/>
        </w:rPr>
        <w:t>1. Clean Regulatory Record</w:t>
      </w:r>
    </w:p>
    <w:p>
      <w:pPr>
        <w:pStyle w:val="DOBody"/>
      </w:pPr>
      <w:r>
        <w:t>Salesforce, Inc. has no active SEC enforcement pipeline activity, open investigations, or pending Wells Notices. A clean regulatory record for Salesforce, Inc. eliminates the highest-severity D&amp;O claim catalyst and supports favorable underwriting consideration. (see Litigation)</w:t>
      </w:r>
    </w:p>
    <w:p>
      <w:pPr>
        <w:pStyle w:val="DOBody"/>
      </w:pPr>
      <w:r>
        <w:rPr>
          <w:b/>
        </w:rPr>
        <w:t>2. Clean Audit &amp; Accounting History</w:t>
      </w:r>
    </w:p>
    <w:p>
      <w:pPr>
        <w:pStyle w:val="DOBody"/>
      </w:pPr>
      <w:r>
        <w:t>Salesforce, Inc. maintains a clean audit opinion from Ernst &amp; Young (tenure: 24 years) with no material weaknesses, restatements, or going concern qualifications. The 24-year relationship with Ernst &amp; Young provides audit continuity that reduces the likelihood of restatement-driven class actions. However, goodwill at 48.7% of total assets requires ongoing impairment testing -- clean audit history does not eliminate future impairment risk. (see Financial Health)</w:t>
      </w:r>
    </w:p>
    <w:p>
      <w:pPr>
        <w:pStyle w:val="DOBody"/>
      </w:pPr>
      <w:r>
        <w:rPr>
          <w:b/>
        </w:rPr>
        <w:t>3. Sound Financial Position</w:t>
      </w:r>
    </w:p>
    <w:p>
      <w:pPr>
        <w:pStyle w:val="DOBody"/>
      </w:pPr>
      <w:r>
        <w:t>No financial distress indicators present (Altman Z-Score of 2.78, D/E of 0.24, current ratio of 1.1x, interest coverage of 25.7x). Altman Z of 2.78 is in the gray zone but other indicators do not suggest imminent distress. (see Financial Health)</w:t>
      </w:r>
    </w:p>
    <w:p>
      <w:pPr>
        <w:pStyle w:val="DOBody"/>
      </w:pPr>
      <w:r>
        <w:rPr>
          <w:b/>
        </w:rPr>
        <w:t>4. Stable Executive Leadership</w:t>
      </w:r>
    </w:p>
    <w:p>
      <w:pPr>
        <w:pStyle w:val="DOBody"/>
      </w:pPr>
      <w:r>
        <w:t>Dear Fellow has led Salesforce, Inc. for 2 years with no recent C-suite departures. With 2 years in the role, Dear Fellow has a developing track record at Salesforce, Inc.. (see Governance)</w:t>
      </w:r>
    </w:p>
    <w:p>
      <w:pPr>
        <w:pStyle w:val="DOBody"/>
      </w:pPr>
      <w:r>
        <w:rPr>
          <w:b/>
        </w:rPr>
        <w:t>5. Low Short Interest</w:t>
      </w:r>
    </w:p>
    <w:p>
      <w:pPr>
        <w:pStyle w:val="DOBody"/>
      </w:pPr>
      <w:r>
        <w:t>Short interest is low at 2.5% of float, indicating institutional investors are not positioning against the stock. Short interest at 2.5% is within normal range, suggesting no concentrated bearish positioning against Salesforce, Inc.. (see Market &amp; Trading)</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5.7% - 8.1%</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$399.9M</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$834.6M</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$1.7B</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$3.6B</w:t>
            </w:r>
          </w:p>
        </w:tc>
      </w:tr>
    </w:tbl>
    <w:p>
      <w:pPr>
        <w:pStyle w:val="DOBody"/>
      </w:pPr>
      <w:r>
        <w:t>Probability Band: ELEVATED</w:t>
      </w:r>
      <w:r>
        <w:rPr>
          <w:b/>
          <w:color w:val="EA580C"/>
          <w:sz w:val="18"/>
        </w:rPr>
        <w:t xml:space="preserve"> [HIGH]</w:t>
      </w:r>
    </w:p>
    <w:p>
      <w:pPr>
        <w:pStyle w:val="DOBody"/>
      </w:pPr>
      <w:r>
        <w:t>The 6-8% probability band represents approximately 1x the Technology sector base rate of 5.0%. Accounts in WATCH tier historically produce claims at elevated frequency. Industry base rate: 5.0%. Tier WATCH (10-15%): Significantly above base rate. Concentration of risk factors suggests elevated claim likelihood. NEEDS CALIBRATION: Probability estimates are indicative and require actuarial validation per SECT7-11. Enhanced frequency: 6.50% base x 1.08 hazard x 1.15 signal = 8.10%.</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Mid Excess</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$695.5M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**Company Overview**</w:t>
        <w:br/>
        <w:t>Salesforce, Inc. is the dominant global provider of customer relationship management (CRM) software, operating its unified, AI-powered Agentforce 360 Platform that integrates sales, service, marketing, and data management. With a market capitalization of $175 billion and 83,334 employees, this company, public for 21 years, has evolved from a SaaS pioneer into a complex "agentic enterprise" platform. Its core model of embedding as the central system for client operations creates immense operational leverage, which correspondingly heightens fiduciary scrutiny from shareholders and regulators over its strategic execution.</w:t>
        <w:br/>
        <w:br/>
        <w:t>**Revenue Model**</w:t>
        <w:br/>
        <w:t>Over 90% of its $34.9 billion FY25 revenue is from recurring subscription fees, creating high visibility but also immense quarterly renewal pressure on management. The model depends on relentless cross-selling within its existing customer base to drive growth, as new customer acquisition in a saturated enterprise market is costly. Any material decline in net revenue retention—a key reported metric—would break the growth engine, directly exposing officers to allegations of misrepresenting business trends or failing to manage this critical dependency.</w:t>
        <w:br/>
        <w:br/>
        <w:t>**D&amp;O Risk Profile**</w:t>
        <w:br/>
        <w:t>The primary exposure is litigation stemming from its aggressive acquisition strategy, including 28+ major purchases like Slack for $27.7 billion, which presents clear targets for shareholder claims related to integration failures or overpayment. Its global footprint, with significant R&amp;D operations in Israel and India and data centers in Ireland and the UK, multiplies regulatory jurisdictions for data privacy and employment practices, increasing the surface area for fiduciary missteps in oversight. Furthermore, the company's pivot to "Agentic AI" as a core differentiator introduces untested IP litigation and product liability vectors, where board oversight of algorithmic bias or output accuracy could be directly challenged in securities suits.</w:t>
      </w:r>
    </w:p>
    <w:p>
      <w:pPr>
        <w:pStyle w:val="DOHeading1"/>
      </w:pPr>
      <w:r>
        <w:t>Section 2: Company Profile</w:t>
      </w:r>
    </w:p>
    <w:p>
      <w:pPr>
        <w:pStyle w:val="DOBody"/>
      </w:pPr>
      <w:r>
        <w:rPr>
          <w:rFonts w:ascii="Calibri" w:hAnsi="Calibri"/>
          <w:color w:val="333333"/>
          <w:sz w:val="20"/>
        </w:rPr>
        <w:t>Salesforce, Inc. operates in the Software - Application industry. The company has 83,334 employees and $175.4B market cap. Key D&amp;O exposure factors include: Regulatory Multi Jurisdiction, Employment Litigation Risk, Transaction Litigation Risk.</w:t>
      </w:r>
      <w:r>
        <w:rPr>
          <w:rFonts w:ascii="Consolas" w:hAnsi="Consolas"/>
          <w:color w:val="666666"/>
          <w:sz w:val="16"/>
        </w:rPr>
        <w:t xml:space="preserve">  [derived:section_summary, 2026-04-02,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Salesforce, Inc.</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CRM</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1108524</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7372</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Services-Prepackaged Software</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45103010</w:t>
            </w:r>
          </w:p>
        </w:tc>
        <w:tc>
          <w:tcPr>
            <w:tcW w:type="dxa" w:w="3360"/>
          </w:tcPr>
          <w:p>
            <w:r>
              <w:rPr>
                <w:rFonts w:ascii="Calibri" w:hAnsi="Calibri"/>
                <w:color w:val="333333"/>
                <w:sz w:val="18"/>
              </w:rPr>
              <w:t>[SIC-&gt;GICS mapping (SIC 7372), filed 2026-04-02,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511210</w:t>
            </w:r>
          </w:p>
        </w:tc>
        <w:tc>
          <w:tcPr>
            <w:tcW w:type="dxa" w:w="3360"/>
            <w:shd w:fill="F2F4F8" w:val="clear"/>
          </w:tcPr>
          <w:p>
            <w:r>
              <w:rPr>
                <w:rFonts w:ascii="Calibri" w:hAnsi="Calibri"/>
                <w:color w:val="333333"/>
                <w:sz w:val="18"/>
              </w:rPr>
              <w:t>[SIC-&gt;NAICS crosswalk (SIC 7372), filed 2026-04-02,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DE</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01-31</w:t>
            </w:r>
          </w:p>
        </w:tc>
        <w:tc>
          <w:tcPr>
            <w:tcW w:type="dxa" w:w="3360"/>
            <w:shd w:fill="F2F4F8" w:val="clear"/>
          </w:tcPr>
          <w:p>
            <w:r>
              <w:rPr>
                <w:rFonts w:ascii="Calibri" w:hAnsi="Calibri"/>
                <w:color w:val="333333"/>
                <w:sz w:val="18"/>
              </w:rPr>
              <w:t>[SEC EDGAR submissions, filed 2026-04-02, HIGH confidence]</w:t>
            </w:r>
          </w:p>
        </w:tc>
      </w:tr>
    </w:tbl>
    <w:p>
      <w:pPr>
        <w:pStyle w:val="DOHeading2"/>
      </w:pPr>
      <w:r>
        <w:t>Business Description</w:t>
      </w:r>
    </w:p>
    <w:p>
      <w:pPr>
        <w:pStyle w:val="DOBody"/>
      </w:pPr>
      <w:r>
        <w:rPr>
          <w:rFonts w:ascii="Calibri" w:hAnsi="Calibri"/>
          <w:color w:val="333333"/>
          <w:sz w:val="20"/>
        </w:rPr>
        <w:t>Salesforce, Inc. is a global leader in customer relationship management (CRM) technology, helping organizations become agentic enterprises. The company brings humans, agents, applications, and data together on a trusted, unified AI-powered platform called Agentforce 360 Platform. This platform unites offerings spanning sales, service, marketing, commerce, collaboration, data management, integration, analytics, IT service, and industry verticals. With Agentforce, the agentic layer, customers can build and deploy always-on digital labor using autonomous AI agents to increase productivity, lower costs, and drive operational efficiencies. Salesforce sells primarily on a subscription basis through direct sales and partners. The company is committed to values of trust, customer success, innovation, equality, and sustainability, all grounded in legal and regulatory frameworks.</w:t>
      </w:r>
      <w:r>
        <w:rPr>
          <w:rFonts w:ascii="Consolas" w:hAnsi="Consolas"/>
          <w:color w:val="666666"/>
          <w:sz w:val="16"/>
        </w:rPr>
        <w:t xml:space="preserve">  [10-K (LLM), filed 2026-04-02, HIGH confidence]</w:t>
      </w:r>
    </w:p>
    <w:p>
      <w:pPr>
        <w:pStyle w:val="DOHeading2"/>
      </w:pPr>
      <w:r>
        <w:t>Subsidiaries</w:t>
      </w:r>
    </w:p>
    <w:p>
      <w:pPr>
        <w:pStyle w:val="DOBody"/>
      </w:pPr>
      <w:r>
        <w:rPr>
          <w:rFonts w:ascii="Calibri" w:hAnsi="Calibri"/>
          <w:color w:val="333333"/>
          <w:sz w:val="20"/>
        </w:rPr>
        <w:t>Total subsidiaries: 173</w:t>
      </w:r>
      <w:r>
        <w:rPr>
          <w:rFonts w:ascii="Consolas" w:hAnsi="Consolas"/>
          <w:color w:val="666666"/>
          <w:sz w:val="16"/>
        </w:rPr>
        <w:t xml:space="preserve">  [Exhibit 21 (subsidiary list), filed 2026-04-02, HIGH confidence]</w:t>
      </w:r>
    </w:p>
    <w:p>
      <w:pPr>
        <w:pStyle w:val="DOCaption"/>
      </w:pPr>
      <w:r>
        <w:t>D&amp;O Note: 173 subsidiaries indicates complex corporate structure with multi-jurisdiction exposure.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RECURRING</w:t>
            </w:r>
          </w:p>
        </w:tc>
      </w:tr>
      <w:tr>
        <w:tc>
          <w:tcPr>
            <w:tcW w:type="dxa" w:w="5040"/>
            <w:shd w:fill="F2F4F8" w:val="clear"/>
          </w:tcPr>
          <w:p>
            <w:r>
              <w:rPr>
                <w:rFonts w:ascii="Calibri" w:hAnsi="Calibri"/>
                <w:color w:val="333333"/>
                <w:sz w:val="18"/>
              </w:rPr>
              <w:t>Disruption Risk</w:t>
            </w:r>
          </w:p>
        </w:tc>
        <w:tc>
          <w:tcPr>
            <w:tcW w:type="dxa" w:w="5040"/>
            <w:shd w:fill="F2F4F8" w:val="clear"/>
          </w:tcPr>
          <w:p>
            <w:r>
              <w:rPr>
                <w:rFonts w:ascii="Calibri" w:hAnsi="Calibri"/>
                <w:color w:val="333333"/>
                <w:sz w:val="18"/>
              </w:rPr>
              <w:t>LOW</w:t>
            </w:r>
          </w:p>
        </w:tc>
      </w:tr>
    </w:tbl>
    <w:p>
      <w:pPr>
        <w:pStyle w:val="DOHeading2"/>
      </w:pPr>
      <w:r>
        <w:t>Operational Complexity</w:t>
      </w:r>
    </w:p>
    <w:p>
      <w:pPr>
        <w:pStyle w:val="DOBody"/>
      </w:pPr>
      <w:r>
        <w:rPr>
          <w:b/>
        </w:rPr>
        <w:t>Complexity Score: 83334/20 --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38 (17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83,334</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2</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4/100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[X] VIE / SPE  |  [ ] Dual-Class  |  [ ] Holding Depth  |  [ ]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MODERATE (Score: 2/4) | 2 acquisition years | Goodwill growth: 100.2% | Acq/Rev: 22.5%</w:t>
            </w:r>
          </w:p>
        </w:tc>
      </w:tr>
      <w:tr>
        <w:tc>
          <w:tcPr>
            <w:tcW w:type="dxa" w:w="5040"/>
            <w:shd w:fill="F2F4F8" w:val="clear"/>
          </w:tcPr>
          <w:p>
            <w:r>
              <w:rPr>
                <w:rFonts w:ascii="Calibri" w:hAnsi="Calibri"/>
                <w:color w:val="333333"/>
                <w:sz w:val="18"/>
              </w:rPr>
              <w:t>IPO / Offering Exposure</w:t>
            </w:r>
          </w:p>
        </w:tc>
        <w:tc>
          <w:tcPr>
            <w:tcW w:type="dxa" w:w="5040"/>
            <w:shd w:fill="F2F4F8" w:val="clear"/>
          </w:tcPr>
          <w:p>
            <w:r>
              <w:rPr>
                <w:rFonts w:ascii="Calibri" w:hAnsi="Calibri"/>
                <w:color w:val="333333"/>
                <w:sz w:val="18"/>
              </w:rPr>
              <w:t>LOW - 21 years public</w:t>
            </w:r>
          </w:p>
        </w:tc>
      </w:tr>
    </w:tbl>
    <w:p>
      <w:pPr>
        <w:pStyle w:val="DOBody"/>
      </w:pPr>
      <w:r>
        <w:rPr>
          <w:b/>
        </w:rPr>
        <w:t>Business Changes:</w:t>
      </w:r>
    </w:p>
    <w:p>
      <w:pPr>
        <w:pStyle w:val="DOBody"/>
      </w:pPr>
      <w:r>
        <w:t xml:space="preserve">  - 14 current event filings (8-K), most recent 2026-03-16</w:t>
      </w:r>
    </w:p>
    <w:p>
      <w:pPr>
        <w:pStyle w:val="DOBody"/>
      </w:pPr>
      <w:r>
        <w:t xml:space="preserve">  - M&amp;A activity indicated (acquisition, merger, restructuring)</w:t>
      </w:r>
    </w:p>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$2.8T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13%</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4%</w:t>
            </w:r>
          </w:p>
        </w:tc>
      </w:tr>
      <w:tr>
        <w:tc>
          <w:tcPr>
            <w:tcW w:type="dxa" w:w="2016"/>
          </w:tcPr>
          <w:p>
            <w:r>
              <w:rPr>
                <w:rFonts w:ascii="Calibri" w:hAnsi="Calibri"/>
                <w:color w:val="333333"/>
                <w:sz w:val="18"/>
              </w:rPr>
              <w:t>NVDA</w:t>
            </w:r>
          </w:p>
        </w:tc>
        <w:tc>
          <w:tcPr>
            <w:tcW w:type="dxa" w:w="2016"/>
          </w:tcPr>
          <w:p>
            <w:r>
              <w:rPr>
                <w:rFonts w:ascii="Calibri" w:hAnsi="Calibri"/>
                <w:color w:val="333333"/>
                <w:sz w:val="18"/>
              </w:rPr>
              <w:t>NVIDIA Corporation</w:t>
            </w:r>
          </w:p>
        </w:tc>
        <w:tc>
          <w:tcPr>
            <w:tcW w:type="dxa" w:w="2016"/>
          </w:tcPr>
          <w:p>
            <w:r>
              <w:rPr>
                <w:rFonts w:ascii="Calibri" w:hAnsi="Calibri"/>
                <w:color w:val="333333"/>
                <w:sz w:val="18"/>
              </w:rPr>
              <w:t>$4.3T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14%</w:t>
            </w:r>
          </w:p>
        </w:tc>
      </w:tr>
      <w:tr>
        <w:tc>
          <w:tcPr>
            <w:tcW w:type="dxa" w:w="2016"/>
            <w:shd w:fill="F2F4F8" w:val="clear"/>
          </w:tcPr>
          <w:p>
            <w:r>
              <w:rPr>
                <w:rFonts w:ascii="Calibri" w:hAnsi="Calibri"/>
                <w:color w:val="333333"/>
                <w:sz w:val="18"/>
              </w:rPr>
              <w:t>ADBE</w:t>
            </w:r>
          </w:p>
        </w:tc>
        <w:tc>
          <w:tcPr>
            <w:tcW w:type="dxa" w:w="2016"/>
            <w:shd w:fill="F2F4F8" w:val="clear"/>
          </w:tcPr>
          <w:p>
            <w:r>
              <w:rPr>
                <w:rFonts w:ascii="Calibri" w:hAnsi="Calibri"/>
                <w:color w:val="333333"/>
                <w:sz w:val="18"/>
              </w:rPr>
              <w:t>Adobe Inc.</w:t>
            </w:r>
          </w:p>
        </w:tc>
        <w:tc>
          <w:tcPr>
            <w:tcW w:type="dxa" w:w="2016"/>
            <w:shd w:fill="F2F4F8" w:val="clear"/>
          </w:tcPr>
          <w:p>
            <w:r>
              <w:rPr>
                <w:rFonts w:ascii="Calibri" w:hAnsi="Calibri"/>
                <w:color w:val="333333"/>
                <w:sz w:val="18"/>
              </w:rPr>
              <w:t>$99.0B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34%</w:t>
            </w:r>
          </w:p>
        </w:tc>
      </w:tr>
      <w:tr>
        <w:tc>
          <w:tcPr>
            <w:tcW w:type="dxa" w:w="2016"/>
          </w:tcPr>
          <w:p>
            <w:r>
              <w:rPr>
                <w:rFonts w:ascii="Calibri" w:hAnsi="Calibri"/>
                <w:color w:val="333333"/>
                <w:sz w:val="18"/>
              </w:rPr>
              <w:t>ORCL</w:t>
            </w:r>
          </w:p>
        </w:tc>
        <w:tc>
          <w:tcPr>
            <w:tcW w:type="dxa" w:w="2016"/>
          </w:tcPr>
          <w:p>
            <w:r>
              <w:rPr>
                <w:rFonts w:ascii="Calibri" w:hAnsi="Calibri"/>
                <w:color w:val="333333"/>
                <w:sz w:val="18"/>
              </w:rPr>
              <w:t>Oracle Corporation</w:t>
            </w:r>
          </w:p>
        </w:tc>
        <w:tc>
          <w:tcPr>
            <w:tcW w:type="dxa" w:w="2016"/>
          </w:tcPr>
          <w:p>
            <w:r>
              <w:rPr>
                <w:rFonts w:ascii="Calibri" w:hAnsi="Calibri"/>
                <w:color w:val="333333"/>
                <w:sz w:val="18"/>
              </w:rPr>
              <w:t>$421.0B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21%</w:t>
            </w:r>
          </w:p>
        </w:tc>
      </w:tr>
      <w:tr>
        <w:tc>
          <w:tcPr>
            <w:tcW w:type="dxa" w:w="2016"/>
            <w:shd w:fill="F2F4F8" w:val="clear"/>
          </w:tcPr>
          <w:p>
            <w:r>
              <w:rPr>
                <w:rFonts w:ascii="Calibri" w:hAnsi="Calibri"/>
                <w:color w:val="333333"/>
                <w:sz w:val="18"/>
              </w:rPr>
              <w:t>CSCO</w:t>
            </w:r>
          </w:p>
        </w:tc>
        <w:tc>
          <w:tcPr>
            <w:tcW w:type="dxa" w:w="2016"/>
            <w:shd w:fill="F2F4F8" w:val="clear"/>
          </w:tcPr>
          <w:p>
            <w:r>
              <w:rPr>
                <w:rFonts w:ascii="Calibri" w:hAnsi="Calibri"/>
                <w:color w:val="333333"/>
                <w:sz w:val="18"/>
              </w:rPr>
              <w:t>Cisco Systems, Inc.</w:t>
            </w:r>
          </w:p>
        </w:tc>
        <w:tc>
          <w:tcPr>
            <w:tcW w:type="dxa" w:w="2016"/>
            <w:shd w:fill="F2F4F8" w:val="clear"/>
          </w:tcPr>
          <w:p>
            <w:r>
              <w:rPr>
                <w:rFonts w:ascii="Calibri" w:hAnsi="Calibri"/>
                <w:color w:val="333333"/>
                <w:sz w:val="18"/>
              </w:rPr>
              <w:t>$312.2B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27%</w:t>
            </w:r>
          </w:p>
        </w:tc>
      </w:tr>
      <w:tr>
        <w:tc>
          <w:tcPr>
            <w:tcW w:type="dxa" w:w="2016"/>
          </w:tcPr>
          <w:p>
            <w:r>
              <w:rPr>
                <w:rFonts w:ascii="Calibri" w:hAnsi="Calibri"/>
                <w:color w:val="333333"/>
                <w:sz w:val="18"/>
              </w:rPr>
              <w:t>INTC</w:t>
            </w:r>
          </w:p>
        </w:tc>
        <w:tc>
          <w:tcPr>
            <w:tcW w:type="dxa" w:w="2016"/>
          </w:tcPr>
          <w:p>
            <w:r>
              <w:rPr>
                <w:rFonts w:ascii="Calibri" w:hAnsi="Calibri"/>
                <w:color w:val="333333"/>
                <w:sz w:val="18"/>
              </w:rPr>
              <w:t>Intel Corporation</w:t>
            </w:r>
          </w:p>
        </w:tc>
        <w:tc>
          <w:tcPr>
            <w:tcW w:type="dxa" w:w="2016"/>
          </w:tcPr>
          <w:p>
            <w:r>
              <w:rPr>
                <w:rFonts w:ascii="Calibri" w:hAnsi="Calibri"/>
                <w:color w:val="333333"/>
                <w:sz w:val="18"/>
              </w:rPr>
              <w:t>$253.0B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37%</w:t>
            </w:r>
          </w:p>
        </w:tc>
      </w:tr>
    </w:tbl>
    <w:p>
      <w:pPr>
        <w:pStyle w:val="DOBody"/>
      </w:pPr>
      <w:r>
        <w:rPr>
          <w:rFonts w:ascii="Calibri" w:hAnsi="Calibri"/>
          <w:color w:val="333333"/>
          <w:sz w:val="20"/>
        </w:rPr>
        <w:t>The peer group of 9 companies shares the same industry classification (SIC 7372). Salesforce, Inc. ranks at the 11th percentile among 9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Jurisdiction</w:t>
            </w:r>
          </w:p>
        </w:tc>
        <w:tc>
          <w:tcPr>
            <w:tcW w:type="dxa" w:w="2520"/>
            <w:shd w:fill="1A1446" w:val="clear"/>
          </w:tcPr>
          <w:p>
            <w:r>
              <w:rPr>
                <w:rFonts w:ascii="Calibri" w:hAnsi="Calibri"/>
                <w:b/>
                <w:color w:val="FFFFFF"/>
                <w:sz w:val="18"/>
              </w:rPr>
              <w:t>Subsidiaries</w:t>
            </w:r>
          </w:p>
        </w:tc>
        <w:tc>
          <w:tcPr>
            <w:tcW w:type="dxa" w:w="2520"/>
            <w:shd w:fill="1A1446" w:val="clear"/>
          </w:tcPr>
          <w:p>
            <w:r>
              <w:rPr>
                <w:rFonts w:ascii="Calibri" w:hAnsi="Calibri"/>
                <w:b/>
                <w:color w:val="FFFFFF"/>
                <w:sz w:val="18"/>
              </w:rPr>
              <w:t>% of Total</w:t>
            </w:r>
          </w:p>
        </w:tc>
        <w:tc>
          <w:tcPr>
            <w:tcW w:type="dxa" w:w="2520"/>
            <w:shd w:fill="1A1446" w:val="clear"/>
          </w:tcPr>
          <w:p>
            <w:r>
              <w:rPr>
                <w:rFonts w:ascii="Calibri" w:hAnsi="Calibri"/>
                <w:b/>
                <w:color w:val="FFFFFF"/>
                <w:sz w:val="18"/>
              </w:rPr>
              <w:t>Region</w:t>
            </w:r>
          </w:p>
        </w:tc>
      </w:tr>
      <w:tr>
        <w:tc>
          <w:tcPr>
            <w:tcW w:type="dxa" w:w="2520"/>
          </w:tcPr>
          <w:p>
            <w:r>
              <w:rPr>
                <w:rFonts w:ascii="Calibri" w:hAnsi="Calibri"/>
                <w:color w:val="333333"/>
                <w:sz w:val="18"/>
              </w:rPr>
              <w:t>India</w:t>
            </w:r>
          </w:p>
        </w:tc>
        <w:tc>
          <w:tcPr>
            <w:tcW w:type="dxa" w:w="2520"/>
          </w:tcPr>
          <w:p>
            <w:r>
              <w:rPr>
                <w:rFonts w:ascii="Calibri" w:hAnsi="Calibri"/>
                <w:color w:val="333333"/>
                <w:sz w:val="18"/>
              </w:rPr>
              <w:t>18</w:t>
            </w:r>
          </w:p>
        </w:tc>
        <w:tc>
          <w:tcPr>
            <w:tcW w:type="dxa" w:w="2520"/>
          </w:tcPr>
          <w:p>
            <w:r>
              <w:rPr>
                <w:rFonts w:ascii="Calibri" w:hAnsi="Calibri"/>
                <w:color w:val="333333"/>
                <w:sz w:val="18"/>
              </w:rPr>
              <w:t>10.4%</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Canada</w:t>
            </w:r>
          </w:p>
        </w:tc>
        <w:tc>
          <w:tcPr>
            <w:tcW w:type="dxa" w:w="2520"/>
            <w:shd w:fill="F2F4F8" w:val="clear"/>
          </w:tcPr>
          <w:p>
            <w:r>
              <w:rPr>
                <w:rFonts w:ascii="Calibri" w:hAnsi="Calibri"/>
                <w:color w:val="333333"/>
                <w:sz w:val="18"/>
              </w:rPr>
              <w:t>11</w:t>
            </w:r>
          </w:p>
        </w:tc>
        <w:tc>
          <w:tcPr>
            <w:tcW w:type="dxa" w:w="2520"/>
            <w:shd w:fill="F2F4F8" w:val="clear"/>
          </w:tcPr>
          <w:p>
            <w:r>
              <w:rPr>
                <w:rFonts w:ascii="Calibri" w:hAnsi="Calibri"/>
                <w:color w:val="333333"/>
                <w:sz w:val="18"/>
              </w:rPr>
              <w:t>6.4%</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Israel</w:t>
            </w:r>
          </w:p>
        </w:tc>
        <w:tc>
          <w:tcPr>
            <w:tcW w:type="dxa" w:w="2520"/>
          </w:tcPr>
          <w:p>
            <w:r>
              <w:rPr>
                <w:rFonts w:ascii="Calibri" w:hAnsi="Calibri"/>
                <w:color w:val="333333"/>
                <w:sz w:val="18"/>
              </w:rPr>
              <w:t>10</w:t>
            </w:r>
          </w:p>
        </w:tc>
        <w:tc>
          <w:tcPr>
            <w:tcW w:type="dxa" w:w="2520"/>
          </w:tcPr>
          <w:p>
            <w:r>
              <w:rPr>
                <w:rFonts w:ascii="Calibri" w:hAnsi="Calibri"/>
                <w:color w:val="333333"/>
                <w:sz w:val="18"/>
              </w:rPr>
              <w:t>5.8%</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Ireland</w:t>
            </w:r>
          </w:p>
        </w:tc>
        <w:tc>
          <w:tcPr>
            <w:tcW w:type="dxa" w:w="2520"/>
            <w:shd w:fill="F2F4F8" w:val="clear"/>
          </w:tcPr>
          <w:p>
            <w:r>
              <w:rPr>
                <w:rFonts w:ascii="Calibri" w:hAnsi="Calibri"/>
                <w:color w:val="333333"/>
                <w:sz w:val="18"/>
              </w:rPr>
              <w:t>9</w:t>
            </w:r>
          </w:p>
        </w:tc>
        <w:tc>
          <w:tcPr>
            <w:tcW w:type="dxa" w:w="2520"/>
            <w:shd w:fill="F2F4F8" w:val="clear"/>
          </w:tcPr>
          <w:p>
            <w:r>
              <w:rPr>
                <w:rFonts w:ascii="Calibri" w:hAnsi="Calibri"/>
                <w:color w:val="333333"/>
                <w:sz w:val="18"/>
              </w:rPr>
              <w:t>5.2%</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United Kingdom</w:t>
            </w:r>
          </w:p>
        </w:tc>
        <w:tc>
          <w:tcPr>
            <w:tcW w:type="dxa" w:w="2520"/>
          </w:tcPr>
          <w:p>
            <w:r>
              <w:rPr>
                <w:rFonts w:ascii="Calibri" w:hAnsi="Calibri"/>
                <w:color w:val="333333"/>
                <w:sz w:val="18"/>
              </w:rPr>
              <w:t>9</w:t>
            </w:r>
          </w:p>
        </w:tc>
        <w:tc>
          <w:tcPr>
            <w:tcW w:type="dxa" w:w="2520"/>
          </w:tcPr>
          <w:p>
            <w:r>
              <w:rPr>
                <w:rFonts w:ascii="Calibri" w:hAnsi="Calibri"/>
                <w:color w:val="333333"/>
                <w:sz w:val="18"/>
              </w:rPr>
              <w:t>5.2%</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Australia</w:t>
            </w:r>
          </w:p>
        </w:tc>
        <w:tc>
          <w:tcPr>
            <w:tcW w:type="dxa" w:w="2520"/>
            <w:shd w:fill="F2F4F8" w:val="clear"/>
          </w:tcPr>
          <w:p>
            <w:r>
              <w:rPr>
                <w:rFonts w:ascii="Calibri" w:hAnsi="Calibri"/>
                <w:color w:val="333333"/>
                <w:sz w:val="18"/>
              </w:rPr>
              <w:t>8</w:t>
            </w:r>
          </w:p>
        </w:tc>
        <w:tc>
          <w:tcPr>
            <w:tcW w:type="dxa" w:w="2520"/>
            <w:shd w:fill="F2F4F8" w:val="clear"/>
          </w:tcPr>
          <w:p>
            <w:r>
              <w:rPr>
                <w:rFonts w:ascii="Calibri" w:hAnsi="Calibri"/>
                <w:color w:val="333333"/>
                <w:sz w:val="18"/>
              </w:rPr>
              <w:t>4.6%</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China [HIGH RISK]</w:t>
            </w:r>
          </w:p>
        </w:tc>
        <w:tc>
          <w:tcPr>
            <w:tcW w:type="dxa" w:w="2520"/>
          </w:tcPr>
          <w:p>
            <w:r>
              <w:rPr>
                <w:rFonts w:ascii="Calibri" w:hAnsi="Calibri"/>
                <w:color w:val="333333"/>
                <w:sz w:val="18"/>
              </w:rPr>
              <w:t>8</w:t>
            </w:r>
          </w:p>
        </w:tc>
        <w:tc>
          <w:tcPr>
            <w:tcW w:type="dxa" w:w="2520"/>
          </w:tcPr>
          <w:p>
            <w:r>
              <w:rPr>
                <w:rFonts w:ascii="Calibri" w:hAnsi="Calibri"/>
                <w:color w:val="333333"/>
                <w:sz w:val="18"/>
              </w:rPr>
              <w:t>4.6%</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France</w:t>
            </w:r>
          </w:p>
        </w:tc>
        <w:tc>
          <w:tcPr>
            <w:tcW w:type="dxa" w:w="2520"/>
            <w:shd w:fill="F2F4F8" w:val="clear"/>
          </w:tcPr>
          <w:p>
            <w:r>
              <w:rPr>
                <w:rFonts w:ascii="Calibri" w:hAnsi="Calibri"/>
                <w:color w:val="333333"/>
                <w:sz w:val="18"/>
              </w:rPr>
              <w:t>7</w:t>
            </w:r>
          </w:p>
        </w:tc>
        <w:tc>
          <w:tcPr>
            <w:tcW w:type="dxa" w:w="2520"/>
            <w:shd w:fill="F2F4F8" w:val="clear"/>
          </w:tcPr>
          <w:p>
            <w:r>
              <w:rPr>
                <w:rFonts w:ascii="Calibri" w:hAnsi="Calibri"/>
                <w:color w:val="333333"/>
                <w:sz w:val="18"/>
              </w:rPr>
              <w:t>4.0%</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Netherlands</w:t>
            </w:r>
          </w:p>
        </w:tc>
        <w:tc>
          <w:tcPr>
            <w:tcW w:type="dxa" w:w="2520"/>
          </w:tcPr>
          <w:p>
            <w:r>
              <w:rPr>
                <w:rFonts w:ascii="Calibri" w:hAnsi="Calibri"/>
                <w:color w:val="333333"/>
                <w:sz w:val="18"/>
              </w:rPr>
              <w:t>6</w:t>
            </w:r>
          </w:p>
        </w:tc>
        <w:tc>
          <w:tcPr>
            <w:tcW w:type="dxa" w:w="2520"/>
          </w:tcPr>
          <w:p>
            <w:r>
              <w:rPr>
                <w:rFonts w:ascii="Calibri" w:hAnsi="Calibri"/>
                <w:color w:val="333333"/>
                <w:sz w:val="18"/>
              </w:rPr>
              <w:t>3.5%</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Sweden</w:t>
            </w:r>
          </w:p>
        </w:tc>
        <w:tc>
          <w:tcPr>
            <w:tcW w:type="dxa" w:w="2520"/>
            <w:shd w:fill="F2F4F8" w:val="clear"/>
          </w:tcPr>
          <w:p>
            <w:r>
              <w:rPr>
                <w:rFonts w:ascii="Calibri" w:hAnsi="Calibri"/>
                <w:color w:val="333333"/>
                <w:sz w:val="18"/>
              </w:rPr>
              <w:t>6</w:t>
            </w:r>
          </w:p>
        </w:tc>
        <w:tc>
          <w:tcPr>
            <w:tcW w:type="dxa" w:w="2520"/>
            <w:shd w:fill="F2F4F8" w:val="clear"/>
          </w:tcPr>
          <w:p>
            <w:r>
              <w:rPr>
                <w:rFonts w:ascii="Calibri" w:hAnsi="Calibri"/>
                <w:color w:val="333333"/>
                <w:sz w:val="18"/>
              </w:rPr>
              <w:t>3.5%</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Hong Kong</w:t>
            </w:r>
          </w:p>
        </w:tc>
        <w:tc>
          <w:tcPr>
            <w:tcW w:type="dxa" w:w="2520"/>
          </w:tcPr>
          <w:p>
            <w:r>
              <w:rPr>
                <w:rFonts w:ascii="Calibri" w:hAnsi="Calibri"/>
                <w:color w:val="333333"/>
                <w:sz w:val="18"/>
              </w:rPr>
              <w:t>5</w:t>
            </w:r>
          </w:p>
        </w:tc>
        <w:tc>
          <w:tcPr>
            <w:tcW w:type="dxa" w:w="2520"/>
          </w:tcPr>
          <w:p>
            <w:r>
              <w:rPr>
                <w:rFonts w:ascii="Calibri" w:hAnsi="Calibri"/>
                <w:color w:val="333333"/>
                <w:sz w:val="18"/>
              </w:rPr>
              <w:t>2.9%</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Germany</w:t>
            </w:r>
          </w:p>
        </w:tc>
        <w:tc>
          <w:tcPr>
            <w:tcW w:type="dxa" w:w="2520"/>
            <w:shd w:fill="F2F4F8" w:val="clear"/>
          </w:tcPr>
          <w:p>
            <w:r>
              <w:rPr>
                <w:rFonts w:ascii="Calibri" w:hAnsi="Calibri"/>
                <w:color w:val="333333"/>
                <w:sz w:val="18"/>
              </w:rPr>
              <w:t>5</w:t>
            </w:r>
          </w:p>
        </w:tc>
        <w:tc>
          <w:tcPr>
            <w:tcW w:type="dxa" w:w="2520"/>
            <w:shd w:fill="F2F4F8" w:val="clear"/>
          </w:tcPr>
          <w:p>
            <w:r>
              <w:rPr>
                <w:rFonts w:ascii="Calibri" w:hAnsi="Calibri"/>
                <w:color w:val="333333"/>
                <w:sz w:val="18"/>
              </w:rPr>
              <w:t>2.9%</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Singapore</w:t>
            </w:r>
          </w:p>
        </w:tc>
        <w:tc>
          <w:tcPr>
            <w:tcW w:type="dxa" w:w="2520"/>
          </w:tcPr>
          <w:p>
            <w:r>
              <w:rPr>
                <w:rFonts w:ascii="Calibri" w:hAnsi="Calibri"/>
                <w:color w:val="333333"/>
                <w:sz w:val="18"/>
              </w:rPr>
              <w:t>5</w:t>
            </w:r>
          </w:p>
        </w:tc>
        <w:tc>
          <w:tcPr>
            <w:tcW w:type="dxa" w:w="2520"/>
          </w:tcPr>
          <w:p>
            <w:r>
              <w:rPr>
                <w:rFonts w:ascii="Calibri" w:hAnsi="Calibri"/>
                <w:color w:val="333333"/>
                <w:sz w:val="18"/>
              </w:rPr>
              <w:t>2.9%</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Brazil</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2.3%</w:t>
            </w:r>
          </w:p>
        </w:tc>
        <w:tc>
          <w:tcPr>
            <w:tcW w:type="dxa" w:w="2520"/>
            <w:shd w:fill="F2F4F8" w:val="clear"/>
          </w:tcPr>
          <w:p>
            <w:r>
              <w:rPr>
                <w:rFonts w:ascii="Calibri" w:hAnsi="Calibri"/>
                <w:color w:val="333333"/>
                <w:sz w:val="18"/>
              </w:rPr>
              <w:t>Int'l</w:t>
            </w:r>
          </w:p>
        </w:tc>
      </w:tr>
      <w:tr>
        <w:tc>
          <w:tcPr>
            <w:tcW w:type="dxa" w:w="2520"/>
          </w:tcPr>
          <w:p>
            <w:r>
              <w:rPr>
                <w:rFonts w:ascii="Calibri" w:hAnsi="Calibri"/>
                <w:color w:val="333333"/>
                <w:sz w:val="18"/>
              </w:rPr>
              <w:t>Japan</w:t>
            </w:r>
          </w:p>
        </w:tc>
        <w:tc>
          <w:tcPr>
            <w:tcW w:type="dxa" w:w="2520"/>
          </w:tcPr>
          <w:p>
            <w:r>
              <w:rPr>
                <w:rFonts w:ascii="Calibri" w:hAnsi="Calibri"/>
                <w:color w:val="333333"/>
                <w:sz w:val="18"/>
              </w:rPr>
              <w:t>4</w:t>
            </w:r>
          </w:p>
        </w:tc>
        <w:tc>
          <w:tcPr>
            <w:tcW w:type="dxa" w:w="2520"/>
          </w:tcPr>
          <w:p>
            <w:r>
              <w:rPr>
                <w:rFonts w:ascii="Calibri" w:hAnsi="Calibri"/>
                <w:color w:val="333333"/>
                <w:sz w:val="18"/>
              </w:rPr>
              <w:t>2.3%</w:t>
            </w:r>
          </w:p>
        </w:tc>
        <w:tc>
          <w:tcPr>
            <w:tcW w:type="dxa" w:w="2520"/>
          </w:tcPr>
          <w:p>
            <w:r>
              <w:rPr>
                <w:rFonts w:ascii="Calibri" w:hAnsi="Calibri"/>
                <w:color w:val="333333"/>
                <w:sz w:val="18"/>
              </w:rPr>
              <w:t>Int'l</w:t>
            </w:r>
          </w:p>
        </w:tc>
      </w:tr>
      <w:tr>
        <w:tc>
          <w:tcPr>
            <w:tcW w:type="dxa" w:w="2520"/>
            <w:shd w:fill="F2F4F8" w:val="clear"/>
          </w:tcPr>
          <w:p>
            <w:r>
              <w:rPr>
                <w:rFonts w:ascii="Calibri" w:hAnsi="Calibri"/>
                <w:color w:val="333333"/>
                <w:sz w:val="18"/>
              </w:rPr>
              <w:t>Other Int'l (23)</w:t>
            </w:r>
          </w:p>
        </w:tc>
        <w:tc>
          <w:tcPr>
            <w:tcW w:type="dxa" w:w="2520"/>
            <w:shd w:fill="F2F4F8" w:val="clear"/>
          </w:tcPr>
          <w:p>
            <w:r>
              <w:rPr>
                <w:rFonts w:ascii="Calibri" w:hAnsi="Calibri"/>
                <w:color w:val="333333"/>
                <w:sz w:val="18"/>
              </w:rPr>
              <w:t>58</w:t>
            </w:r>
          </w:p>
        </w:tc>
        <w:tc>
          <w:tcPr>
            <w:tcW w:type="dxa" w:w="2520"/>
            <w:shd w:fill="F2F4F8" w:val="clear"/>
          </w:tcPr>
          <w:p>
            <w:r>
              <w:rPr>
                <w:rFonts w:ascii="Calibri" w:hAnsi="Calibri"/>
                <w:color w:val="333333"/>
                <w:sz w:val="18"/>
              </w:rPr>
              <w:t>33.5%</w:t>
            </w:r>
          </w:p>
        </w:tc>
        <w:tc>
          <w:tcPr>
            <w:tcW w:type="dxa" w:w="2520"/>
            <w:shd w:fill="F2F4F8" w:val="clear"/>
          </w:tcPr>
          <w:p>
            <w:r>
              <w:rPr>
                <w:rFonts w:ascii="Calibri" w:hAnsi="Calibri"/>
                <w:color w:val="333333"/>
                <w:sz w:val="18"/>
              </w:rPr>
              <w:t>Int'l</w:t>
            </w:r>
          </w:p>
        </w:tc>
      </w:tr>
    </w:tbl>
    <w:p>
      <w:pPr>
        <w:pStyle w:val="DOCaption"/>
      </w:pPr>
      <w:r>
        <w:t>Total: 173 subsidiaries across 0 US states and 38 international jurisdictions. International exposure: 100% of entity footprint. Multi-jurisdiction operations increase regulatory, tax, and litigation complexity for D&amp;O exposure.</w:t>
      </w:r>
    </w:p>
    <w:p>
      <w:pPr>
        <w:pStyle w:val="DOBody"/>
      </w:pPr>
      <w:r>
        <w:rPr>
          <w:b/>
        </w:rPr>
        <w:t>D&amp;O Alert: Operations in high-risk jurisdictions: China. Sanctions compliance and regulatory exposure elevated.</w:t>
      </w:r>
      <w:r>
        <w:rPr>
          <w:b/>
          <w:color w:val="EA580C"/>
          <w:sz w:val="18"/>
        </w:rPr>
        <w:t xml:space="preserve"> [HIGH]</w:t>
      </w:r>
    </w:p>
    <w:p>
      <w:pPr>
        <w:pStyle w:val="DOHeading2"/>
      </w:pPr>
      <w:r>
        <w:t>Customer &amp; Supplier Concentration</w:t>
      </w:r>
    </w:p>
    <w:p>
      <w:pPr>
        <w:pStyle w:val="DOBody"/>
      </w:pPr>
      <w:r>
        <w:t>Concentration data not available from filings.</w:t>
      </w:r>
    </w:p>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LARGE</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 (TECH)</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21</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6.5%</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$40.0M -- $150.0M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$26.3B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1.30x</w:t>
            </w:r>
          </w:p>
        </w:tc>
      </w:tr>
    </w:tbl>
    <w:p>
      <w:pPr>
        <w:pStyle w:val="DOHeading2"/>
      </w:pPr>
      <w:r>
        <w:t>Hazard Profile (Inherent Exposure Score)</w:t>
      </w:r>
    </w:p>
    <w:p>
      <w:pPr>
        <w:pStyle w:val="DOBody"/>
      </w:pPr>
      <w:r>
        <w:rPr>
          <w:b/>
        </w:rPr>
        <w:t>IES: 54/100 (ELEVATED) | Multiplier: 1.08x | Data Coverage: 84%</w:t>
      </w:r>
      <w:r>
        <w:rPr>
          <w:b/>
          <w:color w:val="EAB308"/>
          <w:sz w:val="18"/>
        </w:rPr>
        <w:t xml:space="preserve"> [ELEVATED]</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Goodwill-Heavy Balance Sheet</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Goodwill 48.7% of assets (HIGH -- impairment risk)</w:t>
            </w:r>
          </w:p>
        </w:tc>
      </w:tr>
      <w:tr>
        <w:tc>
          <w:tcPr>
            <w:tcW w:type="dxa" w:w="2520"/>
            <w:shd w:fill="F2F4F8" w:val="clear"/>
          </w:tcPr>
          <w:p>
            <w:r>
              <w:rPr>
                <w:rFonts w:ascii="Calibri" w:hAnsi="Calibri"/>
                <w:color w:val="333333"/>
                <w:sz w:val="18"/>
              </w:rPr>
              <w:t>Geopolitical Risk</w:t>
            </w:r>
          </w:p>
        </w:tc>
        <w:tc>
          <w:tcPr>
            <w:tcW w:type="dxa" w:w="2520"/>
            <w:shd w:fill="F2F4F8" w:val="clear"/>
          </w:tcPr>
          <w:p>
            <w:r>
              <w:rPr>
                <w:rFonts w:ascii="Calibri" w:hAnsi="Calibri"/>
                <w:color w:val="333333"/>
                <w:sz w:val="18"/>
              </w:rPr>
              <w:t>100</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38 geographic regions (significant international exposure)</w:t>
            </w:r>
          </w:p>
        </w:tc>
      </w:tr>
      <w:tr>
        <w:tc>
          <w:tcPr>
            <w:tcW w:type="dxa" w:w="2520"/>
          </w:tcPr>
          <w:p>
            <w:r>
              <w:rPr>
                <w:rFonts w:ascii="Calibri" w:hAnsi="Calibri"/>
                <w:color w:val="333333"/>
                <w:sz w:val="18"/>
              </w:rPr>
              <w:t>Industry Regulatory Spotlight</w:t>
            </w:r>
          </w:p>
        </w:tc>
        <w:tc>
          <w:tcPr>
            <w:tcW w:type="dxa" w:w="2520"/>
          </w:tcPr>
          <w:p>
            <w:r>
              <w:rPr>
                <w:rFonts w:ascii="Calibri" w:hAnsi="Calibri"/>
                <w:color w:val="333333"/>
                <w:sz w:val="18"/>
              </w:rPr>
              <w:t>83</w:t>
            </w:r>
          </w:p>
        </w:tc>
        <w:tc>
          <w:tcPr>
            <w:tcW w:type="dxa" w:w="2520"/>
          </w:tcPr>
          <w:p>
            <w:r>
              <w:rPr>
                <w:rFonts w:ascii="Calibri" w:hAnsi="Calibri"/>
                <w:color w:val="333333"/>
                <w:sz w:val="18"/>
              </w:rPr>
              <w:t>CRITICAL</w:t>
            </w:r>
          </w:p>
        </w:tc>
        <w:tc>
          <w:tcPr>
            <w:tcW w:type="dxa" w:w="2520"/>
          </w:tcPr>
          <w:p>
            <w:r>
              <w:rPr>
                <w:rFonts w:ascii="Calibri" w:hAnsi="Calibri"/>
                <w:color w:val="333333"/>
                <w:sz w:val="18"/>
              </w:rPr>
              <w:t>Sector 'TECH' regulatory spotlight level: 2.5/3.0</w:t>
            </w:r>
          </w:p>
        </w:tc>
      </w:tr>
      <w:tr>
        <w:tc>
          <w:tcPr>
            <w:tcW w:type="dxa" w:w="2520"/>
            <w:shd w:fill="F2F4F8" w:val="clear"/>
          </w:tcPr>
          <w:p>
            <w:r>
              <w:rPr>
                <w:rFonts w:ascii="Calibri" w:hAnsi="Calibri"/>
                <w:color w:val="333333"/>
                <w:sz w:val="18"/>
              </w:rPr>
              <w:t>Industry Sector Risk Tier</w:t>
            </w:r>
          </w:p>
        </w:tc>
        <w:tc>
          <w:tcPr>
            <w:tcW w:type="dxa" w:w="2520"/>
            <w:shd w:fill="F2F4F8" w:val="clear"/>
          </w:tcPr>
          <w:p>
            <w:r>
              <w:rPr>
                <w:rFonts w:ascii="Calibri" w:hAnsi="Calibri"/>
                <w:color w:val="333333"/>
                <w:sz w:val="18"/>
              </w:rPr>
              <w:t>70</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Sector 'TECH' maps to risk score 7.0/10.0</w:t>
            </w:r>
          </w:p>
        </w:tc>
      </w:tr>
      <w:tr>
        <w:tc>
          <w:tcPr>
            <w:tcW w:type="dxa" w:w="2520"/>
          </w:tcPr>
          <w:p>
            <w:r>
              <w:rPr>
                <w:rFonts w:ascii="Calibri" w:hAnsi="Calibri"/>
                <w:color w:val="333333"/>
                <w:sz w:val="18"/>
              </w:rPr>
              <w:t>Board Independence</w:t>
            </w:r>
          </w:p>
        </w:tc>
        <w:tc>
          <w:tcPr>
            <w:tcW w:type="dxa" w:w="2520"/>
          </w:tcPr>
          <w:p>
            <w:r>
              <w:rPr>
                <w:rFonts w:ascii="Calibri" w:hAnsi="Calibri"/>
                <w:color w:val="333333"/>
                <w:sz w:val="18"/>
              </w:rPr>
              <w:t>70</w:t>
            </w:r>
          </w:p>
        </w:tc>
        <w:tc>
          <w:tcPr>
            <w:tcW w:type="dxa" w:w="2520"/>
          </w:tcPr>
          <w:p>
            <w:r>
              <w:rPr>
                <w:rFonts w:ascii="Calibri" w:hAnsi="Calibri"/>
                <w:color w:val="333333"/>
                <w:sz w:val="18"/>
              </w:rPr>
              <w:t>HIGH</w:t>
            </w:r>
          </w:p>
        </w:tc>
        <w:tc>
          <w:tcPr>
            <w:tcW w:type="dxa" w:w="2520"/>
          </w:tcPr>
          <w:p>
            <w:r>
              <w:rPr>
                <w:rFonts w:ascii="Calibri" w:hAnsi="Calibri"/>
                <w:color w:val="333333"/>
                <w:sz w:val="18"/>
              </w:rPr>
              <w:t>Proxy: independence score 3.0; Estimated from related indicators.</w:t>
            </w:r>
          </w:p>
        </w:tc>
      </w:tr>
      <w:tr>
        <w:tc>
          <w:tcPr>
            <w:tcW w:type="dxa" w:w="2520"/>
            <w:shd w:fill="F2F4F8" w:val="clear"/>
          </w:tcPr>
          <w:p>
            <w:r>
              <w:rPr>
                <w:rFonts w:ascii="Calibri" w:hAnsi="Calibri"/>
                <w:color w:val="333333"/>
                <w:sz w:val="18"/>
              </w:rPr>
              <w:t>Industry Expertise Match</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No executives with explicit TECH background in bios</w:t>
            </w:r>
          </w:p>
        </w:tc>
      </w:tr>
      <w:tr>
        <w:tc>
          <w:tcPr>
            <w:tcW w:type="dxa" w:w="2520"/>
          </w:tcPr>
          <w:p>
            <w:r>
              <w:rPr>
                <w:rFonts w:ascii="Calibri" w:hAnsi="Calibri"/>
                <w:color w:val="333333"/>
                <w:sz w:val="18"/>
              </w:rPr>
              <w:t>Related Party Transactions</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4 related-party transactions disclosed (HIGH)</w:t>
            </w:r>
          </w:p>
        </w:tc>
      </w:tr>
      <w:tr>
        <w:tc>
          <w:tcPr>
            <w:tcW w:type="dxa" w:w="2520"/>
            <w:shd w:fill="F2F4F8" w:val="clear"/>
          </w:tcPr>
          <w:p>
            <w:r>
              <w:rPr>
                <w:rFonts w:ascii="Calibri" w:hAnsi="Calibri"/>
                <w:color w:val="333333"/>
                <w:sz w:val="18"/>
              </w:rPr>
              <w:t>Industry Litigation Wave</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Sector 'TECH' litigation wave level: 2.0/3.0</w:t>
            </w:r>
          </w:p>
        </w:tc>
      </w:tr>
      <w:tr>
        <w:tc>
          <w:tcPr>
            <w:tcW w:type="dxa" w:w="2520"/>
          </w:tcPr>
          <w:p>
            <w:r>
              <w:rPr>
                <w:rFonts w:ascii="Calibri" w:hAnsi="Calibri"/>
                <w:color w:val="333333"/>
                <w:sz w:val="18"/>
              </w:rPr>
              <w:t>Anti-Takeover Provisions</w:t>
            </w:r>
          </w:p>
        </w:tc>
        <w:tc>
          <w:tcPr>
            <w:tcW w:type="dxa" w:w="2520"/>
          </w:tcPr>
          <w:p>
            <w:r>
              <w:rPr>
                <w:rFonts w:ascii="Calibri" w:hAnsi="Calibri"/>
                <w:color w:val="333333"/>
                <w:sz w:val="18"/>
              </w:rPr>
              <w:t>63</w:t>
            </w:r>
          </w:p>
        </w:tc>
        <w:tc>
          <w:tcPr>
            <w:tcW w:type="dxa" w:w="2520"/>
          </w:tcPr>
          <w:p>
            <w:r>
              <w:rPr>
                <w:rFonts w:ascii="Calibri" w:hAnsi="Calibri"/>
                <w:color w:val="333333"/>
                <w:sz w:val="18"/>
              </w:rPr>
              <w:t>ELEVATED</w:t>
            </w:r>
          </w:p>
        </w:tc>
        <w:tc>
          <w:tcPr>
            <w:tcW w:type="dxa" w:w="2520"/>
          </w:tcPr>
          <w:p>
            <w:r>
              <w:rPr>
                <w:rFonts w:ascii="Calibri" w:hAnsi="Calibri"/>
                <w:color w:val="333333"/>
                <w:sz w:val="18"/>
              </w:rPr>
              <w:t>Proxy: governance score 37.2; Estimated from related indicators.</w:t>
            </w:r>
          </w:p>
        </w:tc>
      </w:tr>
      <w:tr>
        <w:tc>
          <w:tcPr>
            <w:tcW w:type="dxa" w:w="2520"/>
            <w:shd w:fill="F2F4F8" w:val="clear"/>
          </w:tcPr>
          <w:p>
            <w:r>
              <w:rPr>
                <w:rFonts w:ascii="Calibri" w:hAnsi="Calibri"/>
                <w:color w:val="333333"/>
                <w:sz w:val="18"/>
              </w:rPr>
              <w:t>Geographic Complexity</w:t>
            </w:r>
          </w:p>
        </w:tc>
        <w:tc>
          <w:tcPr>
            <w:tcW w:type="dxa" w:w="2520"/>
            <w:shd w:fill="F2F4F8" w:val="clear"/>
          </w:tcPr>
          <w:p>
            <w:r>
              <w:rPr>
                <w:rFonts w:ascii="Calibri" w:hAnsi="Calibri"/>
                <w:color w:val="333333"/>
                <w:sz w:val="18"/>
              </w:rPr>
              <w:t>60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38 geographic regions, 173 subsidiaries (HIGH)</w:t>
            </w:r>
          </w:p>
        </w:tc>
      </w:tr>
      <w:tr>
        <w:tc>
          <w:tcPr>
            <w:tcW w:type="dxa" w:w="2520"/>
          </w:tcPr>
          <w:p>
            <w:r>
              <w:rPr>
                <w:rFonts w:ascii="Calibri" w:hAnsi="Calibri"/>
                <w:color w:val="333333"/>
                <w:sz w:val="18"/>
              </w:rPr>
              <w:t>M&amp;A Activity</w:t>
            </w:r>
          </w:p>
        </w:tc>
        <w:tc>
          <w:tcPr>
            <w:tcW w:type="dxa" w:w="2520"/>
          </w:tcPr>
          <w:p>
            <w:r>
              <w:rPr>
                <w:rFonts w:ascii="Calibri" w:hAnsi="Calibri"/>
                <w:color w:val="333333"/>
                <w:sz w:val="18"/>
              </w:rPr>
              <w:t>60</w:t>
            </w:r>
          </w:p>
        </w:tc>
        <w:tc>
          <w:tcPr>
            <w:tcW w:type="dxa" w:w="2520"/>
          </w:tcPr>
          <w:p>
            <w:r>
              <w:rPr>
                <w:rFonts w:ascii="Calibri" w:hAnsi="Calibri"/>
                <w:color w:val="333333"/>
                <w:sz w:val="18"/>
              </w:rPr>
              <w:t>ELEVATED</w:t>
            </w:r>
          </w:p>
        </w:tc>
        <w:tc>
          <w:tcPr>
            <w:tcW w:type="dxa" w:w="2520"/>
          </w:tcPr>
          <w:p>
            <w:r>
              <w:rPr>
                <w:rFonts w:ascii="Calibri" w:hAnsi="Calibri"/>
                <w:color w:val="333333"/>
                <w:sz w:val="18"/>
              </w:rPr>
              <w:t>1 acquisition(s) noted; Goodwill 48.7% of assets (HIGH)</w:t>
            </w:r>
          </w:p>
        </w:tc>
      </w:tr>
      <w:tr>
        <w:tc>
          <w:tcPr>
            <w:tcW w:type="dxa" w:w="2520"/>
            <w:shd w:fill="F2F4F8" w:val="clear"/>
          </w:tcPr>
          <w:p>
            <w:r>
              <w:rPr>
                <w:rFonts w:ascii="Calibri" w:hAnsi="Calibri"/>
                <w:color w:val="333333"/>
                <w:sz w:val="18"/>
              </w:rPr>
              <w:t>Regulatory Intensity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Sector 'TECH' regulatory intensity: 2.5/5.0</w:t>
            </w:r>
          </w:p>
        </w:tc>
      </w:tr>
      <w:tr>
        <w:tc>
          <w:tcPr>
            <w:tcW w:type="dxa" w:w="2520"/>
          </w:tcPr>
          <w:p>
            <w:r>
              <w:rPr>
                <w:rFonts w:ascii="Calibri" w:hAnsi="Calibri"/>
                <w:color w:val="333333"/>
                <w:sz w:val="18"/>
              </w:rPr>
              <w:t>Customer &amp; Supplier Concentration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Speed of Growth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Revenue growth 19.1% (MODERATE)</w:t>
            </w:r>
          </w:p>
        </w:tc>
      </w:tr>
      <w:tr>
        <w:tc>
          <w:tcPr>
            <w:tcW w:type="dxa" w:w="2520"/>
          </w:tcPr>
          <w:p>
            <w:r>
              <w:rPr>
                <w:rFonts w:ascii="Calibri" w:hAnsi="Calibri"/>
                <w:color w:val="333333"/>
                <w:sz w:val="18"/>
              </w:rPr>
              <w:t>IP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Scale Experience Mismatch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Management Turnover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Capital Markets Activity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Audit Committee Quality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Committee quality score 0.0/10 (weak); Estimated from related indicators.</w:t>
            </w:r>
          </w:p>
        </w:tc>
      </w:tr>
      <w:tr>
        <w:tc>
          <w:tcPr>
            <w:tcW w:type="dxa" w:w="2520"/>
          </w:tcPr>
          <w:p>
            <w:r>
              <w:rPr>
                <w:rFonts w:ascii="Calibri" w:hAnsi="Calibri"/>
                <w:color w:val="333333"/>
                <w:sz w:val="18"/>
              </w:rPr>
              <w:t>Method of Going Public</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Market Cycle Position</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Market cycle scored at config default (moderate -- apply system-wide); Estimated from related indicators.</w:t>
            </w:r>
          </w:p>
        </w:tc>
      </w:tr>
      <w:tr>
        <w:tc>
          <w:tcPr>
            <w:tcW w:type="dxa" w:w="2520"/>
          </w:tcPr>
          <w:p>
            <w:r>
              <w:rPr>
                <w:rFonts w:ascii="Calibri" w:hAnsi="Calibri"/>
                <w:color w:val="333333"/>
                <w:sz w:val="18"/>
              </w:rPr>
              <w:t>Political &amp; Policy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Political/policy environment at config default (moderate); Estimated from related indicators.</w:t>
            </w:r>
          </w:p>
        </w:tc>
      </w:tr>
      <w:tr>
        <w:tc>
          <w:tcPr>
            <w:tcW w:type="dxa" w:w="2520"/>
            <w:shd w:fill="F2F4F8" w:val="clear"/>
          </w:tcPr>
          <w:p>
            <w:r>
              <w:rPr>
                <w:rFonts w:ascii="Calibri" w:hAnsi="Calibri"/>
                <w:color w:val="333333"/>
                <w:sz w:val="18"/>
              </w:rPr>
              <w:t>Interest Rate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Interest rate environment at config default; Estimated from related indicators.</w:t>
            </w:r>
          </w:p>
        </w:tc>
      </w:tr>
      <w:tr>
        <w:tc>
          <w:tcPr>
            <w:tcW w:type="dxa" w:w="2520"/>
          </w:tcPr>
          <w:p>
            <w:r>
              <w:rPr>
                <w:rFonts w:ascii="Calibri" w:hAnsi="Calibri"/>
                <w:color w:val="333333"/>
                <w:sz w:val="18"/>
              </w:rPr>
              <w:t>Plaintiff Attorney Activity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Plaintiff attorney activity at moderate baseline (no specific data); Estimated from related indicators.</w:t>
            </w:r>
          </w:p>
        </w:tc>
      </w:tr>
      <w:tr>
        <w:tc>
          <w:tcPr>
            <w:tcW w:type="dxa" w:w="2520"/>
            <w:shd w:fill="F2F4F8" w:val="clear"/>
          </w:tcPr>
          <w:p>
            <w:r>
              <w:rPr>
                <w:rFonts w:ascii="Calibri" w:hAnsi="Calibri"/>
                <w:color w:val="333333"/>
                <w:sz w:val="18"/>
              </w:rPr>
              <w:t>Cybersecurity Governance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Moderate cybersecurity disclosure (2 mentions); Estimated from related indicators.</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Interaction Effects</w:t>
      </w:r>
    </w:p>
    <w:p>
      <w:pPr>
        <w:pStyle w:val="DOBody"/>
      </w:pPr>
      <w:r>
        <w:rPr>
          <w:b/>
        </w:rPr>
        <w:t>Acquisition Machine (1.27x): Serial acquirer with goodwill-heavy balance sheet and integration risk</w:t>
      </w:r>
    </w:p>
    <w:p>
      <w:pPr>
        <w:pStyle w:val="DOBody"/>
      </w:pPr>
      <w:r>
        <w:rPr>
          <w:b/>
        </w:rPr>
        <w:t>Elevated Co-occurrence (1.15x): 11 dimensions scoring above 60% threshold</w:t>
      </w:r>
    </w:p>
    <w:p>
      <w:pPr>
        <w:pStyle w:val="DOBody"/>
      </w:pPr>
      <w:r>
        <w:rPr>
          <w:b/>
        </w:rPr>
        <w:t>Category Concentration (H1) (1.05x): 3 elevated dimensions in category H1</w:t>
      </w:r>
    </w:p>
    <w:p>
      <w:pPr>
        <w:pStyle w:val="DOBody"/>
      </w:pPr>
      <w:r>
        <w:rPr>
          <w:b/>
        </w:rPr>
        <w:t>Category Concentration (H6) (1.05x): 3 elevated dimensions in category H6</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Goodwill-Heavy Balance Sheet</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Goodwill 48.7% of assets (HIGH -- impairment risk)</w:t>
            </w:r>
          </w:p>
        </w:tc>
      </w:tr>
      <w:tr>
        <w:tc>
          <w:tcPr>
            <w:tcW w:type="dxa" w:w="2016"/>
            <w:shd w:fill="F2F4F8" w:val="clear"/>
          </w:tcPr>
          <w:p>
            <w:r>
              <w:rPr>
                <w:rFonts w:ascii="Calibri" w:hAnsi="Calibri"/>
                <w:color w:val="333333"/>
                <w:sz w:val="18"/>
              </w:rPr>
              <w:t>Geopolitical Risk</w:t>
            </w:r>
          </w:p>
        </w:tc>
        <w:tc>
          <w:tcPr>
            <w:tcW w:type="dxa" w:w="2016"/>
            <w:shd w:fill="F2F4F8" w:val="clear"/>
          </w:tcPr>
          <w:p>
            <w:r>
              <w:rPr>
                <w:rFonts w:ascii="Calibri" w:hAnsi="Calibri"/>
                <w:color w:val="333333"/>
                <w:sz w:val="18"/>
              </w:rPr>
              <w:t>100</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38 geographic regions (significant international exposure)</w:t>
            </w:r>
          </w:p>
        </w:tc>
      </w:tr>
      <w:tr>
        <w:tc>
          <w:tcPr>
            <w:tcW w:type="dxa" w:w="2016"/>
          </w:tcPr>
          <w:p>
            <w:r>
              <w:rPr>
                <w:rFonts w:ascii="Calibri" w:hAnsi="Calibri"/>
                <w:color w:val="333333"/>
                <w:sz w:val="18"/>
              </w:rPr>
              <w:t>Industry Regulatory Spotlight</w:t>
            </w:r>
          </w:p>
        </w:tc>
        <w:tc>
          <w:tcPr>
            <w:tcW w:type="dxa" w:w="2016"/>
          </w:tcPr>
          <w:p>
            <w:r>
              <w:rPr>
                <w:rFonts w:ascii="Calibri" w:hAnsi="Calibri"/>
                <w:color w:val="333333"/>
                <w:sz w:val="18"/>
              </w:rPr>
              <w:t>83</w:t>
            </w:r>
          </w:p>
        </w:tc>
        <w:tc>
          <w:tcPr>
            <w:tcW w:type="dxa" w:w="2016"/>
          </w:tcPr>
          <w:p>
            <w:r>
              <w:rPr>
                <w:rFonts w:ascii="Calibri" w:hAnsi="Calibri"/>
                <w:color w:val="333333"/>
                <w:sz w:val="18"/>
              </w:rPr>
              <w:t>CRITICAL</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'TECH' regulatory spotlight level: 2.5/3.0</w:t>
            </w:r>
          </w:p>
        </w:tc>
      </w:tr>
      <w:tr>
        <w:tc>
          <w:tcPr>
            <w:tcW w:type="dxa" w:w="2016"/>
            <w:shd w:fill="F2F4F8" w:val="clear"/>
          </w:tcPr>
          <w:p>
            <w:r>
              <w:rPr>
                <w:rFonts w:ascii="Calibri" w:hAnsi="Calibri"/>
                <w:color w:val="333333"/>
                <w:sz w:val="18"/>
              </w:rPr>
              <w:t>Industry Sector Risk Tier</w:t>
            </w:r>
          </w:p>
        </w:tc>
        <w:tc>
          <w:tcPr>
            <w:tcW w:type="dxa" w:w="2016"/>
            <w:shd w:fill="F2F4F8" w:val="clear"/>
          </w:tcPr>
          <w:p>
            <w:r>
              <w:rPr>
                <w:rFonts w:ascii="Calibri" w:hAnsi="Calibri"/>
                <w:color w:val="333333"/>
                <w:sz w:val="18"/>
              </w:rPr>
              <w:t>70</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'TECH' maps to risk score 7.0/10.0</w:t>
            </w:r>
          </w:p>
        </w:tc>
      </w:tr>
      <w:tr>
        <w:tc>
          <w:tcPr>
            <w:tcW w:type="dxa" w:w="2016"/>
          </w:tcPr>
          <w:p>
            <w:r>
              <w:rPr>
                <w:rFonts w:ascii="Calibri" w:hAnsi="Calibri"/>
                <w:color w:val="333333"/>
                <w:sz w:val="18"/>
              </w:rPr>
              <w:t>Board Independence</w:t>
            </w:r>
          </w:p>
        </w:tc>
        <w:tc>
          <w:tcPr>
            <w:tcW w:type="dxa" w:w="2016"/>
          </w:tcPr>
          <w:p>
            <w:r>
              <w:rPr>
                <w:rFonts w:ascii="Calibri" w:hAnsi="Calibri"/>
                <w:color w:val="333333"/>
                <w:sz w:val="18"/>
              </w:rPr>
              <w:t>70</w:t>
            </w:r>
          </w:p>
        </w:tc>
        <w:tc>
          <w:tcPr>
            <w:tcW w:type="dxa" w:w="2016"/>
          </w:tcPr>
          <w:p>
            <w:r>
              <w:rPr>
                <w:rFonts w:ascii="Calibri" w:hAnsi="Calibri"/>
                <w:color w:val="333333"/>
                <w:sz w:val="18"/>
              </w:rPr>
              <w:t>HIGH</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independence score 3.0</w:t>
            </w:r>
          </w:p>
        </w:tc>
      </w:tr>
      <w:tr>
        <w:tc>
          <w:tcPr>
            <w:tcW w:type="dxa" w:w="2016"/>
            <w:shd w:fill="F2F4F8" w:val="clear"/>
          </w:tcPr>
          <w:p>
            <w:r>
              <w:rPr>
                <w:rFonts w:ascii="Calibri" w:hAnsi="Calibri"/>
                <w:color w:val="333333"/>
                <w:sz w:val="18"/>
              </w:rPr>
              <w:t>Industry Expertise Match</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executives with explicit TECH background in bios</w:t>
            </w:r>
          </w:p>
        </w:tc>
      </w:tr>
      <w:tr>
        <w:tc>
          <w:tcPr>
            <w:tcW w:type="dxa" w:w="2016"/>
          </w:tcPr>
          <w:p>
            <w:r>
              <w:rPr>
                <w:rFonts w:ascii="Calibri" w:hAnsi="Calibri"/>
                <w:color w:val="333333"/>
                <w:sz w:val="18"/>
              </w:rPr>
              <w:t>Related Party Transactions</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4 related-party transactions disclosed (HIGH)</w:t>
            </w:r>
          </w:p>
        </w:tc>
      </w:tr>
      <w:tr>
        <w:tc>
          <w:tcPr>
            <w:tcW w:type="dxa" w:w="2016"/>
            <w:shd w:fill="F2F4F8" w:val="clear"/>
          </w:tcPr>
          <w:p>
            <w:r>
              <w:rPr>
                <w:rFonts w:ascii="Calibri" w:hAnsi="Calibri"/>
                <w:color w:val="333333"/>
                <w:sz w:val="18"/>
              </w:rPr>
              <w:t>Industry Litigation Wave</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'TECH' litigation wave level: 2.0/3.0</w:t>
            </w:r>
          </w:p>
        </w:tc>
      </w:tr>
      <w:tr>
        <w:tc>
          <w:tcPr>
            <w:tcW w:type="dxa" w:w="2016"/>
          </w:tcPr>
          <w:p>
            <w:r>
              <w:rPr>
                <w:rFonts w:ascii="Calibri" w:hAnsi="Calibri"/>
                <w:color w:val="333333"/>
                <w:sz w:val="18"/>
              </w:rPr>
              <w:t>Anti-Takeover Provisions</w:t>
            </w:r>
          </w:p>
        </w:tc>
        <w:tc>
          <w:tcPr>
            <w:tcW w:type="dxa" w:w="2016"/>
          </w:tcPr>
          <w:p>
            <w:r>
              <w:rPr>
                <w:rFonts w:ascii="Calibri" w:hAnsi="Calibri"/>
                <w:color w:val="333333"/>
                <w:sz w:val="18"/>
              </w:rPr>
              <w:t>63</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governance score 37.2</w:t>
            </w:r>
          </w:p>
        </w:tc>
      </w:tr>
      <w:tr>
        <w:tc>
          <w:tcPr>
            <w:tcW w:type="dxa" w:w="2016"/>
            <w:shd w:fill="F2F4F8" w:val="clear"/>
          </w:tcPr>
          <w:p>
            <w:r>
              <w:rPr>
                <w:rFonts w:ascii="Calibri" w:hAnsi="Calibri"/>
                <w:color w:val="333333"/>
                <w:sz w:val="18"/>
              </w:rPr>
              <w:t>Geographic Complexity</w:t>
            </w:r>
          </w:p>
        </w:tc>
        <w:tc>
          <w:tcPr>
            <w:tcW w:type="dxa" w:w="2016"/>
            <w:shd w:fill="F2F4F8" w:val="clear"/>
          </w:tcPr>
          <w:p>
            <w:r>
              <w:rPr>
                <w:rFonts w:ascii="Calibri" w:hAnsi="Calibri"/>
                <w:color w:val="333333"/>
                <w:sz w:val="18"/>
              </w:rPr>
              <w:t>60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38 geographic regions, 173 subsidiaries (HIGH)</w:t>
            </w:r>
          </w:p>
        </w:tc>
      </w:tr>
      <w:tr>
        <w:tc>
          <w:tcPr>
            <w:tcW w:type="dxa" w:w="2016"/>
          </w:tcPr>
          <w:p>
            <w:r>
              <w:rPr>
                <w:rFonts w:ascii="Calibri" w:hAnsi="Calibri"/>
                <w:color w:val="333333"/>
                <w:sz w:val="18"/>
              </w:rPr>
              <w:t>M&amp;A Activity</w:t>
            </w:r>
          </w:p>
        </w:tc>
        <w:tc>
          <w:tcPr>
            <w:tcW w:type="dxa" w:w="2016"/>
          </w:tcPr>
          <w:p>
            <w:r>
              <w:rPr>
                <w:rFonts w:ascii="Calibri" w:hAnsi="Calibri"/>
                <w:color w:val="333333"/>
                <w:sz w:val="18"/>
              </w:rPr>
              <w:t>60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1 acquisition(s) noted</w:t>
            </w:r>
          </w:p>
        </w:tc>
      </w:tr>
      <w:tr>
        <w:tc>
          <w:tcPr>
            <w:tcW w:type="dxa" w:w="2016"/>
            <w:shd w:fill="F2F4F8" w:val="clear"/>
          </w:tcPr>
          <w:p>
            <w:r>
              <w:rPr>
                <w:rFonts w:ascii="Calibri" w:hAnsi="Calibri"/>
                <w:color w:val="333333"/>
                <w:sz w:val="18"/>
              </w:rPr>
              <w:t>Regulatory Intensity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'TECH' regulatory intensity: 2.5/5.0</w:t>
            </w:r>
          </w:p>
        </w:tc>
      </w:tr>
      <w:tr>
        <w:tc>
          <w:tcPr>
            <w:tcW w:type="dxa" w:w="2016"/>
          </w:tcPr>
          <w:p>
            <w:r>
              <w:rPr>
                <w:rFonts w:ascii="Calibri" w:hAnsi="Calibri"/>
                <w:color w:val="333333"/>
                <w:sz w:val="18"/>
              </w:rPr>
              <w:t>Customer &amp; Supplier Concentration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Speed of Growth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Revenue growth 19.1% (MODERATE)</w:t>
            </w:r>
          </w:p>
        </w:tc>
      </w:tr>
      <w:tr>
        <w:tc>
          <w:tcPr>
            <w:tcW w:type="dxa" w:w="2016"/>
          </w:tcPr>
          <w:p>
            <w:r>
              <w:rPr>
                <w:rFonts w:ascii="Calibri" w:hAnsi="Calibri"/>
                <w:color w:val="333333"/>
                <w:sz w:val="18"/>
              </w:rPr>
              <w:t>IP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Scale Experience Mismatch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Management Turnover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Capital Markets Activity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Audit Committee Quality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Committee quality score 0.0/10 (weak)</w:t>
            </w:r>
          </w:p>
        </w:tc>
      </w:tr>
      <w:tr>
        <w:tc>
          <w:tcPr>
            <w:tcW w:type="dxa" w:w="2016"/>
          </w:tcPr>
          <w:p>
            <w:r>
              <w:rPr>
                <w:rFonts w:ascii="Calibri" w:hAnsi="Calibri"/>
                <w:color w:val="333333"/>
                <w:sz w:val="18"/>
              </w:rPr>
              <w:t>Method of Going Public</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Market Cycle Position</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Market cycle scored at config default (moderate -- apply system-wide)</w:t>
            </w:r>
          </w:p>
        </w:tc>
      </w:tr>
      <w:tr>
        <w:tc>
          <w:tcPr>
            <w:tcW w:type="dxa" w:w="2016"/>
          </w:tcPr>
          <w:p>
            <w:r>
              <w:rPr>
                <w:rFonts w:ascii="Calibri" w:hAnsi="Calibri"/>
                <w:color w:val="333333"/>
                <w:sz w:val="18"/>
              </w:rPr>
              <w:t>Political &amp; Policy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Political/policy environment at config default (moderate)</w:t>
            </w:r>
          </w:p>
        </w:tc>
      </w:tr>
      <w:tr>
        <w:tc>
          <w:tcPr>
            <w:tcW w:type="dxa" w:w="2016"/>
            <w:shd w:fill="F2F4F8" w:val="clear"/>
          </w:tcPr>
          <w:p>
            <w:r>
              <w:rPr>
                <w:rFonts w:ascii="Calibri" w:hAnsi="Calibri"/>
                <w:color w:val="333333"/>
                <w:sz w:val="18"/>
              </w:rPr>
              <w:t>Interest Rate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Interest rate environment at config default</w:t>
            </w:r>
          </w:p>
        </w:tc>
      </w:tr>
      <w:tr>
        <w:tc>
          <w:tcPr>
            <w:tcW w:type="dxa" w:w="2016"/>
          </w:tcPr>
          <w:p>
            <w:r>
              <w:rPr>
                <w:rFonts w:ascii="Calibri" w:hAnsi="Calibri"/>
                <w:color w:val="333333"/>
                <w:sz w:val="18"/>
              </w:rPr>
              <w:t>Plaintiff Attorney Activity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Plaintiff attorney activity at moderate baseline (no specific data)</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Moderate cybersecurity disclosure (2 mentions)</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Shareholder Rights</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Governance score 37.2/100 (moderate)</w:t>
            </w:r>
          </w:p>
        </w:tc>
      </w:tr>
      <w:tr>
        <w:tc>
          <w:tcPr>
            <w:tcW w:type="dxa" w:w="2016"/>
            <w:shd w:fill="F2F4F8" w:val="clear"/>
          </w:tcPr>
          <w:p>
            <w:r>
              <w:rPr>
                <w:rFonts w:ascii="Calibri" w:hAnsi="Calibri"/>
                <w:color w:val="333333"/>
                <w:sz w:val="18"/>
              </w:rPr>
              <w:t>Compensation Structure</w:t>
            </w:r>
          </w:p>
        </w:tc>
        <w:tc>
          <w:tcPr>
            <w:tcW w:type="dxa" w:w="2016"/>
            <w:shd w:fill="F2F4F8" w:val="clear"/>
          </w:tcPr>
          <w:p>
            <w:r>
              <w:rPr>
                <w:rFonts w:ascii="Calibri" w:hAnsi="Calibri"/>
                <w:color w:val="333333"/>
                <w:sz w:val="18"/>
              </w:rPr>
              <w:t>33</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Clawback policy in place</w:t>
            </w:r>
          </w:p>
        </w:tc>
      </w:tr>
      <w:tr>
        <w:tc>
          <w:tcPr>
            <w:tcW w:type="dxa" w:w="2016"/>
          </w:tcPr>
          <w:p>
            <w:r>
              <w:rPr>
                <w:rFonts w:ascii="Calibri" w:hAnsi="Calibri"/>
                <w:color w:val="333333"/>
                <w:sz w:val="18"/>
              </w:rPr>
              <w:t>Management Public Company Experience</w:t>
            </w:r>
          </w:p>
        </w:tc>
        <w:tc>
          <w:tcPr>
            <w:tcW w:type="dxa" w:w="2016"/>
          </w:tcPr>
          <w:p>
            <w:r>
              <w:rPr>
                <w:rFonts w:ascii="Calibri" w:hAnsi="Calibri"/>
                <w:color w:val="333333"/>
                <w:sz w:val="18"/>
              </w:rPr>
              <w:t>30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CEO tenure 2.0y</w:t>
            </w:r>
          </w:p>
        </w:tc>
      </w:tr>
      <w:tr>
        <w:tc>
          <w:tcPr>
            <w:tcW w:type="dxa" w:w="2016"/>
            <w:shd w:fill="F2F4F8" w:val="clear"/>
          </w:tcPr>
          <w:p>
            <w:r>
              <w:rPr>
                <w:rFonts w:ascii="Calibri" w:hAnsi="Calibri"/>
                <w:color w:val="333333"/>
                <w:sz w:val="18"/>
              </w:rPr>
              <w:t>Technology Platform Dependency</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Low platform keyword count (2) for non-tech sector</w:t>
            </w:r>
          </w:p>
        </w:tc>
      </w:tr>
      <w:tr>
        <w:tc>
          <w:tcPr>
            <w:tcW w:type="dxa" w:w="2016"/>
          </w:tcPr>
          <w:p>
            <w:r>
              <w:rPr>
                <w:rFonts w:ascii="Calibri" w:hAnsi="Calibri"/>
                <w:color w:val="333333"/>
                <w:sz w:val="18"/>
              </w:rPr>
              <w:t>State of Incorporation</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Incorporated in DE (standard D&amp;O protections)</w:t>
            </w:r>
          </w:p>
        </w:tc>
      </w:tr>
      <w:tr>
        <w:tc>
          <w:tcPr>
            <w:tcW w:type="dxa" w:w="2016"/>
            <w:shd w:fill="F2F4F8" w:val="clear"/>
          </w:tcPr>
          <w:p>
            <w:r>
              <w:rPr>
                <w:rFonts w:ascii="Calibri" w:hAnsi="Calibri"/>
                <w:color w:val="333333"/>
                <w:sz w:val="18"/>
              </w:rPr>
              <w:t>Workforce &amp; Labor Model</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Large workforce (83,334 employees) -- labor risk surface</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Founder-Led vs Professional Management</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Professional (non-founder) CEO</w:t>
            </w:r>
          </w:p>
        </w:tc>
      </w:tr>
      <w:tr>
        <w:tc>
          <w:tcPr>
            <w:tcW w:type="dxa" w:w="2016"/>
          </w:tcPr>
          <w:p>
            <w:r>
              <w:rPr>
                <w:rFonts w:ascii="Calibri" w:hAnsi="Calibri"/>
                <w:color w:val="333333"/>
                <w:sz w:val="18"/>
              </w:rPr>
              <w:t>Key Person Dependency</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Proxy: 1 key person dependency mentions in risk factors</w:t>
            </w:r>
          </w:p>
        </w:tc>
      </w:tr>
      <w:tr>
        <w:tc>
          <w:tcPr>
            <w:tcW w:type="dxa" w:w="2016"/>
            <w:shd w:fill="F2F4F8" w:val="clear"/>
          </w:tcPr>
          <w:p>
            <w:r>
              <w:rPr>
                <w:rFonts w:ascii="Calibri" w:hAnsi="Calibri"/>
                <w:color w:val="333333"/>
                <w:sz w:val="18"/>
              </w:rPr>
              <w:t>Cash Flow vs Earnings Divergence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OCF/NI ratio 2.47 -- aligned</w:t>
            </w:r>
          </w:p>
        </w:tc>
      </w:tr>
      <w:tr>
        <w:tc>
          <w:tcPr>
            <w:tcW w:type="dxa" w:w="2016"/>
          </w:tcPr>
          <w:p>
            <w:r>
              <w:rPr>
                <w:rFonts w:ascii="Calibri" w:hAnsi="Calibri"/>
                <w:color w:val="333333"/>
                <w:sz w:val="18"/>
              </w:rPr>
              <w:t>AI Adoption &amp; Governance</w:t>
            </w:r>
          </w:p>
        </w:tc>
        <w:tc>
          <w:tcPr>
            <w:tcW w:type="dxa" w:w="2016"/>
          </w:tcPr>
          <w:p>
            <w:r>
              <w:rPr>
                <w:rFonts w:ascii="Calibri" w:hAnsi="Calibri"/>
                <w:color w:val="333333"/>
                <w:sz w:val="18"/>
              </w:rPr>
              <w:t>12</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AI risk score 0/100 (LOW)</w:t>
            </w:r>
          </w:p>
        </w:tc>
      </w:tr>
      <w:tr>
        <w:tc>
          <w:tcPr>
            <w:tcW w:type="dxa" w:w="2016"/>
            <w:shd w:fill="F2F4F8" w:val="clear"/>
          </w:tcPr>
          <w:p>
            <w:r>
              <w:rPr>
                <w:rFonts w:ascii="Calibri" w:hAnsi="Calibri"/>
                <w:color w:val="333333"/>
                <w:sz w:val="18"/>
              </w:rPr>
              <w:t>Business Model Complexity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Revenue Model Manipulation Surface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Capital Intensity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CapEx/Revenue 2.1% (LOW)</w:t>
            </w:r>
          </w:p>
        </w:tc>
      </w:tr>
      <w:tr>
        <w:tc>
          <w:tcPr>
            <w:tcW w:type="dxa" w:w="2016"/>
          </w:tcPr>
          <w:p>
            <w:r>
              <w:rPr>
                <w:rFonts w:ascii="Calibri" w:hAnsi="Calibri"/>
                <w:color w:val="333333"/>
                <w:sz w:val="18"/>
              </w:rPr>
              <w:t>Dual-Class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Board Governance Experience &amp; Quality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Tone at the Top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Leverage &amp; Capital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Debt/Equity 0.24 (LOW)</w:t>
            </w:r>
          </w:p>
        </w:tc>
      </w:tr>
      <w:tr>
        <w:tc>
          <w:tcPr>
            <w:tcW w:type="dxa" w:w="2016"/>
          </w:tcPr>
          <w:p>
            <w:r>
              <w:rPr>
                <w:rFonts w:ascii="Calibri" w:hAnsi="Calibri"/>
                <w:color w:val="333333"/>
                <w:sz w:val="18"/>
              </w:rPr>
              <w:t>Earnings Quality Characteristics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Beneish M-Score -2.63 -- safe zone</w:t>
            </w:r>
          </w:p>
        </w:tc>
      </w:tr>
      <w:tr>
        <w:tc>
          <w:tcPr>
            <w:tcW w:type="dxa" w:w="2016"/>
            <w:shd w:fill="F2F4F8" w:val="clear"/>
          </w:tcPr>
          <w:p>
            <w:r>
              <w:rPr>
                <w:rFonts w:ascii="Calibri" w:hAnsi="Calibri"/>
                <w:color w:val="333333"/>
                <w:sz w:val="18"/>
              </w:rPr>
              <w:t>Pre-Revenue / Cash Burn</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Revenue-generating company with positive cash flow profile</w:t>
            </w:r>
          </w:p>
        </w:tc>
      </w:tr>
      <w:tr>
        <w:tc>
          <w:tcPr>
            <w:tcW w:type="dxa" w:w="2016"/>
          </w:tcPr>
          <w:p>
            <w:r>
              <w:rPr>
                <w:rFonts w:ascii="Calibri" w:hAnsi="Calibri"/>
                <w:color w:val="333333"/>
                <w:sz w:val="18"/>
              </w:rPr>
              <w:t>Combined CEO / Board Chair</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CEO and Chair roles separated</w:t>
            </w:r>
          </w:p>
        </w:tc>
      </w:tr>
      <w:tr>
        <w:tc>
          <w:tcPr>
            <w:tcW w:type="dxa" w:w="2016"/>
            <w:shd w:fill="F2F4F8" w:val="clear"/>
          </w:tcPr>
          <w:p>
            <w:r>
              <w:rPr>
                <w:rFonts w:ascii="Calibri" w:hAnsi="Calibri"/>
                <w:color w:val="333333"/>
                <w:sz w:val="18"/>
              </w:rPr>
              <w:t>Compliance Infrastructure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material weaknesses or going concern issues identified</w:t>
            </w:r>
          </w:p>
        </w:tc>
      </w:tr>
      <w:tr>
        <w:tc>
          <w:tcPr>
            <w:tcW w:type="dxa" w:w="2016"/>
          </w:tcPr>
          <w:p>
            <w:r>
              <w:rPr>
                <w:rFonts w:ascii="Calibri" w:hAnsi="Calibri"/>
                <w:color w:val="333333"/>
                <w:sz w:val="18"/>
              </w:rPr>
              <w:t>IPO Recency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IPO 21 years ago (MINIMAL -- mature public company)</w:t>
            </w:r>
          </w:p>
        </w:tc>
      </w:tr>
      <w:tr>
        <w:tc>
          <w:tcPr>
            <w:tcW w:type="dxa" w:w="2016"/>
            <w:shd w:fill="F2F4F8" w:val="clear"/>
          </w:tcPr>
          <w:p>
            <w:r>
              <w:rPr>
                <w:rFonts w:ascii="Calibri" w:hAnsi="Calibri"/>
                <w:color w:val="333333"/>
                <w:sz w:val="18"/>
              </w:rPr>
              <w:t>Exchange &amp; Index Membership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Listed on NYSE (major exchange -- standard oversight)</w:t>
            </w:r>
          </w:p>
        </w:tc>
      </w:tr>
      <w:tr>
        <w:tc>
          <w:tcPr>
            <w:tcW w:type="dxa" w:w="2016"/>
          </w:tcPr>
          <w:p>
            <w:r>
              <w:rPr>
                <w:rFonts w:ascii="Calibri" w:hAnsi="Calibri"/>
                <w:color w:val="333333"/>
                <w:sz w:val="18"/>
              </w:rPr>
              <w:t>FPI / ADR Status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Domestic issuer (standard SEC reporting)</w:t>
            </w:r>
          </w:p>
        </w:tc>
      </w:tr>
      <w:tr>
        <w:tc>
          <w:tcPr>
            <w:tcW w:type="dxa" w:w="2016"/>
            <w:shd w:fill="F2F4F8" w:val="clear"/>
          </w:tcPr>
          <w:p>
            <w:r>
              <w:rPr>
                <w:rFonts w:ascii="Calibri" w:hAnsi="Calibri"/>
                <w:color w:val="333333"/>
                <w:sz w:val="18"/>
              </w:rPr>
              <w:t>Seasoning &amp; Track Record</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21 years as public company (established)</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ESG/climate exposure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33.2</w:t>
            </w:r>
          </w:p>
        </w:tc>
        <w:tc>
          <w:tcPr>
            <w:tcW w:type="dxa" w:w="1680"/>
          </w:tcPr>
          <w:p>
            <w:r>
              <w:rPr>
                <w:rFonts w:ascii="Calibri" w:hAnsi="Calibri"/>
                <w:color w:val="333333"/>
                <w:sz w:val="18"/>
              </w:rPr>
              <w:t>10.8</w:t>
            </w:r>
          </w:p>
        </w:tc>
        <w:tc>
          <w:tcPr>
            <w:tcW w:type="dxa" w:w="1680"/>
          </w:tcPr>
          <w:p>
            <w:r>
              <w:rPr>
                <w:rFonts w:ascii="Calibri" w:hAnsi="Calibri"/>
                <w:color w:val="333333"/>
                <w:sz w:val="18"/>
              </w:rPr>
              <w:t>11/13</w:t>
            </w:r>
          </w:p>
        </w:tc>
        <w:tc>
          <w:tcPr>
            <w:tcW w:type="dxa" w:w="1680"/>
          </w:tcPr>
          <w:p>
            <w:r>
              <w:rPr>
                <w:rFonts w:ascii="Calibri" w:hAnsi="Calibri"/>
                <w:color w:val="333333"/>
                <w:sz w:val="18"/>
              </w:rPr>
              <w:t>85%</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28.8</w:t>
            </w:r>
          </w:p>
        </w:tc>
        <w:tc>
          <w:tcPr>
            <w:tcW w:type="dxa" w:w="1680"/>
            <w:shd w:fill="F2F4F8" w:val="clear"/>
          </w:tcPr>
          <w:p>
            <w:r>
              <w:rPr>
                <w:rFonts w:ascii="Calibri" w:hAnsi="Calibri"/>
                <w:color w:val="333333"/>
                <w:sz w:val="18"/>
              </w:rPr>
              <w:t>4.3</w:t>
            </w:r>
          </w:p>
        </w:tc>
        <w:tc>
          <w:tcPr>
            <w:tcW w:type="dxa" w:w="1680"/>
            <w:shd w:fill="F2F4F8" w:val="clear"/>
          </w:tcPr>
          <w:p>
            <w:r>
              <w:rPr>
                <w:rFonts w:ascii="Calibri" w:hAnsi="Calibri"/>
                <w:color w:val="333333"/>
                <w:sz w:val="18"/>
              </w:rPr>
              <w:t>6/8</w:t>
            </w:r>
          </w:p>
        </w:tc>
        <w:tc>
          <w:tcPr>
            <w:tcW w:type="dxa" w:w="1680"/>
            <w:shd w:fill="F2F4F8" w:val="clear"/>
          </w:tcPr>
          <w:p>
            <w:r>
              <w:rPr>
                <w:rFonts w:ascii="Calibri" w:hAnsi="Calibri"/>
                <w:color w:val="333333"/>
                <w:sz w:val="18"/>
              </w:rPr>
              <w:t>75%</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35.4</w:t>
            </w:r>
          </w:p>
        </w:tc>
        <w:tc>
          <w:tcPr>
            <w:tcW w:type="dxa" w:w="1680"/>
          </w:tcPr>
          <w:p>
            <w:r>
              <w:rPr>
                <w:rFonts w:ascii="Calibri" w:hAnsi="Calibri"/>
                <w:color w:val="333333"/>
                <w:sz w:val="18"/>
              </w:rPr>
              <w:t>5.3</w:t>
            </w:r>
          </w:p>
        </w:tc>
        <w:tc>
          <w:tcPr>
            <w:tcW w:type="dxa" w:w="1680"/>
          </w:tcPr>
          <w:p>
            <w:r>
              <w:rPr>
                <w:rFonts w:ascii="Calibri" w:hAnsi="Calibri"/>
                <w:color w:val="333333"/>
                <w:sz w:val="18"/>
              </w:rPr>
              <w:t>6/8</w:t>
            </w:r>
          </w:p>
        </w:tc>
        <w:tc>
          <w:tcPr>
            <w:tcW w:type="dxa" w:w="1680"/>
          </w:tcPr>
          <w:p>
            <w:r>
              <w:rPr>
                <w:rFonts w:ascii="Calibri" w:hAnsi="Calibri"/>
                <w:color w:val="333333"/>
                <w:sz w:val="18"/>
              </w:rPr>
              <w:t>75%</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34.3</w:t>
            </w:r>
          </w:p>
        </w:tc>
        <w:tc>
          <w:tcPr>
            <w:tcW w:type="dxa" w:w="1680"/>
            <w:shd w:fill="F2F4F8" w:val="clear"/>
          </w:tcPr>
          <w:p>
            <w:r>
              <w:rPr>
                <w:rFonts w:ascii="Calibri" w:hAnsi="Calibri"/>
                <w:color w:val="333333"/>
                <w:sz w:val="18"/>
              </w:rPr>
              <w:t>2.6</w:t>
            </w:r>
          </w:p>
        </w:tc>
        <w:tc>
          <w:tcPr>
            <w:tcW w:type="dxa" w:w="1680"/>
            <w:shd w:fill="F2F4F8" w:val="clear"/>
          </w:tcPr>
          <w:p>
            <w:r>
              <w:rPr>
                <w:rFonts w:ascii="Calibri" w:hAnsi="Calibri"/>
                <w:color w:val="333333"/>
                <w:sz w:val="18"/>
              </w:rPr>
              <w:t>8/8</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10.0</w:t>
            </w:r>
          </w:p>
        </w:tc>
        <w:tc>
          <w:tcPr>
            <w:tcW w:type="dxa" w:w="1680"/>
          </w:tcPr>
          <w:p>
            <w:r>
              <w:rPr>
                <w:rFonts w:ascii="Calibri" w:hAnsi="Calibri"/>
                <w:color w:val="333333"/>
                <w:sz w:val="18"/>
              </w:rPr>
              <w:t>1.0</w:t>
            </w:r>
          </w:p>
        </w:tc>
        <w:tc>
          <w:tcPr>
            <w:tcW w:type="dxa" w:w="1680"/>
          </w:tcPr>
          <w:p>
            <w:r>
              <w:rPr>
                <w:rFonts w:ascii="Calibri" w:hAnsi="Calibri"/>
                <w:color w:val="333333"/>
                <w:sz w:val="18"/>
              </w:rPr>
              <w:t>4/5</w:t>
            </w:r>
          </w:p>
        </w:tc>
        <w:tc>
          <w:tcPr>
            <w:tcW w:type="dxa" w:w="1680"/>
          </w:tcPr>
          <w:p>
            <w:r>
              <w:rPr>
                <w:rFonts w:ascii="Calibri" w:hAnsi="Calibri"/>
                <w:color w:val="333333"/>
                <w:sz w:val="18"/>
              </w:rPr>
              <w:t>80%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64.3</w:t>
            </w:r>
          </w:p>
        </w:tc>
        <w:tc>
          <w:tcPr>
            <w:tcW w:type="dxa" w:w="1680"/>
            <w:shd w:fill="F2F4F8" w:val="clear"/>
          </w:tcPr>
          <w:p>
            <w:r>
              <w:rPr>
                <w:rFonts w:ascii="Calibri" w:hAnsi="Calibri"/>
                <w:color w:val="333333"/>
                <w:sz w:val="18"/>
              </w:rPr>
              <w:t>6.4</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31.2</w:t>
            </w:r>
          </w:p>
        </w:tc>
        <w:tc>
          <w:tcPr>
            <w:tcW w:type="dxa" w:w="1680"/>
          </w:tcPr>
          <w:p>
            <w:r>
              <w:rPr>
                <w:rFonts w:ascii="Calibri" w:hAnsi="Calibri"/>
                <w:color w:val="333333"/>
                <w:sz w:val="18"/>
              </w:rPr>
              <w:t>3.1</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Cybersecurity Breaches and Unauthorized Access</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Any breaches in our security measures or those of our third-party data center providers, cloud computing platform providers, customers, partners, or other third-party vendors, or the underlying Internet infrastructure that cause unauthorized access to, disclosure, alteration, corruption, destruction or loss of customer data, our data or our IT systems, or disruption of authorized access thereto.</w:t>
            </w:r>
          </w:p>
        </w:tc>
      </w:tr>
      <w:tr>
        <w:tc>
          <w:tcPr>
            <w:tcW w:type="dxa" w:w="2016"/>
            <w:shd w:fill="F2F4F8" w:val="clear"/>
          </w:tcPr>
          <w:p>
            <w:r>
              <w:rPr>
                <w:rFonts w:ascii="Calibri" w:hAnsi="Calibri"/>
                <w:color w:val="333333"/>
                <w:sz w:val="18"/>
              </w:rPr>
              <w:t>Cybersecurity Threats and Incidents</w:t>
            </w:r>
          </w:p>
        </w:tc>
        <w:tc>
          <w:tcPr>
            <w:tcW w:type="dxa" w:w="2016"/>
            <w:shd w:fill="F2F4F8" w:val="clear"/>
          </w:tcPr>
          <w:p>
            <w:r>
              <w:rPr>
                <w:rFonts w:ascii="Calibri" w:hAnsi="Calibri"/>
                <w:color w:val="333333"/>
                <w:sz w:val="18"/>
              </w:rPr>
              <w:t>CYBER</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As a global leader in CRM technology, our services involve the storage and transmission of our customers' and our customers' customers' data. As such, we have in the past been, and likely will in the future be, the target of cybersecurity threats and other efforts to breach or compromise our services and underlying infrastructure.</w:t>
            </w:r>
          </w:p>
        </w:tc>
      </w:tr>
      <w:tr>
        <w:tc>
          <w:tcPr>
            <w:tcW w:type="dxa" w:w="2016"/>
          </w:tcPr>
          <w:p>
            <w:r>
              <w:rPr>
                <w:rFonts w:ascii="Calibri" w:hAnsi="Calibri"/>
                <w:color w:val="333333"/>
                <w:sz w:val="18"/>
              </w:rPr>
              <w:t>Service Defects or Disruptions</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Any defects or disruptions in our services that diminish demand for our services.</w:t>
            </w:r>
          </w:p>
        </w:tc>
      </w:tr>
      <w:tr>
        <w:tc>
          <w:tcPr>
            <w:tcW w:type="dxa" w:w="2016"/>
            <w:shd w:fill="F2F4F8" w:val="clear"/>
          </w:tcPr>
          <w:p>
            <w:r>
              <w:rPr>
                <w:rFonts w:ascii="Calibri" w:hAnsi="Calibri"/>
                <w:color w:val="333333"/>
                <w:sz w:val="18"/>
              </w:rPr>
              <w:t>Dividend Discontinuation or Reduction</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There can be no assurance that we will continue to declare cash dividends in any particular amounts, or at all. Whether we continue to pay cash dividends, as well as the rate at which we pay cash dividends, in the future is subject to continued capital availability, general economic and market conditions, applicable laws and agreements and our Board continuing to determine that the declaration of dividends is in the best interests of the Company and its stockholders.</w:t>
            </w:r>
          </w:p>
        </w:tc>
      </w:tr>
      <w:tr>
        <w:tc>
          <w:tcPr>
            <w:tcW w:type="dxa" w:w="2016"/>
          </w:tcPr>
          <w:p>
            <w:r>
              <w:rPr>
                <w:rFonts w:ascii="Calibri" w:hAnsi="Calibri"/>
                <w:color w:val="333333"/>
                <w:sz w:val="18"/>
              </w:rPr>
              <w:t>Stock Price Volatility and Securities Litigation</w:t>
            </w:r>
          </w:p>
        </w:tc>
        <w:tc>
          <w:tcPr>
            <w:tcW w:type="dxa" w:w="2016"/>
          </w:tcPr>
          <w:p>
            <w:r>
              <w:rPr>
                <w:rFonts w:ascii="Calibri" w:hAnsi="Calibri"/>
                <w:color w:val="333333"/>
                <w:sz w:val="18"/>
              </w:rPr>
              <w:t>LITIGATION</w:t>
            </w:r>
          </w:p>
        </w:tc>
        <w:tc>
          <w:tcPr>
            <w:tcW w:type="dxa" w:w="2016"/>
          </w:tcPr>
          <w:p>
            <w:r>
              <w:rPr>
                <w:rFonts w:ascii="Calibri" w:hAnsi="Calibri"/>
                <w:color w:val="333333"/>
                <w:sz w:val="18"/>
              </w:rPr>
              <w:t>MEDIUM</w:t>
            </w:r>
          </w:p>
        </w:tc>
        <w:tc>
          <w:tcPr>
            <w:tcW w:type="dxa" w:w="2016"/>
          </w:tcPr>
          <w:p>
            <w:r>
              <w:rPr>
                <w:rFonts w:ascii="Calibri" w:hAnsi="Calibri"/>
                <w:color w:val="333333"/>
                <w:sz w:val="18"/>
              </w:rPr>
              <w:t>HIGH</w:t>
            </w:r>
          </w:p>
        </w:tc>
        <w:tc>
          <w:tcPr>
            <w:tcW w:type="dxa" w:w="2016"/>
          </w:tcPr>
          <w:p>
            <w:r>
              <w:rPr>
                <w:rFonts w:ascii="Calibri" w:hAnsi="Calibri"/>
                <w:color w:val="333333"/>
                <w:sz w:val="18"/>
              </w:rPr>
              <w:t>Some companies that have experienced volatility in their stock price have been the subject of securities class action litigation, such as the securities litigation brought against Slack before our acquisition. Such litigation, whether against us or an acquired subsidiary, could result in substantial costs and a diversion of management's attention and resources.</w:t>
            </w:r>
          </w:p>
        </w:tc>
      </w:tr>
    </w:tbl>
    <w:p>
      <w:pPr>
        <w:pStyle w:val="DOCaption"/>
      </w:pPr>
      <w:r>
        <w:t>5 D&amp;O-relevant risk factors (0 new this year, 3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Salesforce’s stock has declined 36.77% from its 52-week high of $296.05 to a current price of $187.18, a drop that comfortably exceeds the typical 20% threshold for stock-drop litigation under *Dura Pharmaceuticals*. The most severe single-day decline was a 19.74% drop on May 30, 2024, triggered directly by an earnings release, which provides a clear, material event for plaintiffs to allege a corrective disclosure and anchor a claim. While insider selling direction is neutral, the absolute volume is substantial at $32.5 million, with 83.3% of that activity conducted under 10b5-1 plans; this structured selling mitigates *Tellabs* scienter inferences but does not eliminate the optics risk given the 36.77% peak-to-trough decline. The short interest trend has been rising over six months, albeit from a low base of 2.55% of the float, indicating a growing but not yet aggressive skeptical bet that could fuel plaintiff arguments of known market concerns. The absence of recent analyst downgrades against a prevailing 'BUY' consensus suggests the Street has not turned, but that consensus itself could become a future liability if performance continues to diverge from expectations, creating allegations of failing to guide analysts down. The May 30, 2024 earnings shock is the critical litigation anchor, as any alleged disclosure failure around that date creates a direct line to the 19.74% single-day shareholder loss. Underwriting implications center on the juxtaposition of a severe, identifiable corrective disclosure with high-volume but planned insider sales, demanding careful scrutiny of all officer and director transactions in the 90 days preceding the May 30 event.</w:t>
      </w:r>
    </w:p>
    <w:p>
      <w:pPr>
        <w:pStyle w:val="DOHeading1"/>
      </w:pPr>
      <w:r>
        <w:t>Section 4: Market &amp; Trading Analysis</w:t>
      </w:r>
    </w:p>
    <w:p>
      <w:pPr>
        <w:pStyle w:val="DOBody"/>
      </w:pPr>
      <w:r>
        <w:rPr>
          <w:rFonts w:ascii="Calibri" w:hAnsi="Calibri"/>
          <w:color w:val="333333"/>
          <w:sz w:val="20"/>
        </w:rPr>
        <w:t>The stock has declined 36.8% from its 52-week high ($296 to $187), substantially increasing SCA filing probability. Worst single-day decline: 19.7% on 2024-05-30 triggered by earnings_release. Short interest of 2.5% of float is low (6-month trend: RISING). Analyst consensus: BUY. Stock-drop litigation risk is elevated.</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450479"/>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450479"/>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492334"/>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492334"/>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428159"/>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428159"/>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97945"/>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97945"/>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$187.18</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$296.05</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$174.57</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-26.2%</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-38.5%</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39.1% (Ranks at the 0th percentile among 0 peers (peer median: 2.5%))</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1.31</w:t>
            </w:r>
          </w:p>
        </w:tc>
      </w:tr>
    </w:tbl>
    <w:p>
      <w:pPr>
        <w:pStyle w:val="DOBody"/>
      </w:pPr>
      <w:r>
        <w:t>16 significant stock decline events detected in the 1Y period: 9 critical (&gt;10%), 7 notable (5-10%). 14 were company-specific, 2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2026-01-29 to 2026-02-10 (13d)</w:t>
            </w:r>
          </w:p>
        </w:tc>
        <w:tc>
          <w:tcPr>
            <w:tcW w:type="dxa" w:w="1440"/>
            <w:shd w:fill="FCE8E6" w:val="clear"/>
          </w:tcPr>
          <w:p>
            <w:r>
              <w:rPr>
                <w:rFonts w:ascii="Calibri" w:hAnsi="Calibri"/>
                <w:color w:val="333333"/>
                <w:sz w:val="18"/>
              </w:rPr>
              <w:t>-28.6%</w:t>
            </w:r>
          </w:p>
        </w:tc>
        <w:tc>
          <w:tcPr>
            <w:tcW w:type="dxa" w:w="1440"/>
            <w:shd w:fill="FCE8E6" w:val="clear"/>
          </w:tcPr>
          <w:p>
            <w:r>
              <w:rPr>
                <w:rFonts w:ascii="Calibri" w:hAnsi="Calibri"/>
                <w:color w:val="333333"/>
                <w:sz w:val="18"/>
              </w:rPr>
              <w:t>81%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CE8E6" w:val="clear"/>
          </w:tcPr>
          <w:p>
            <w:r>
              <w:rPr>
                <w:rFonts w:ascii="Calibri" w:hAnsi="Calibri"/>
                <w:color w:val="333333"/>
                <w:sz w:val="18"/>
              </w:rPr>
              <w:t>2026-02-06 (20d)</w:t>
            </w:r>
          </w:p>
        </w:tc>
        <w:tc>
          <w:tcPr>
            <w:tcW w:type="dxa" w:w="1440"/>
            <w:shd w:fill="F2F4F8" w:val="clear"/>
            <w:shd w:fill="FCE8E6" w:val="clear"/>
          </w:tcPr>
          <w:p>
            <w:r>
              <w:rPr>
                <w:rFonts w:ascii="Calibri" w:hAnsi="Calibri"/>
                <w:color w:val="333333"/>
                <w:sz w:val="18"/>
              </w:rPr>
              <w:t>-26.6%</w:t>
            </w:r>
          </w:p>
        </w:tc>
        <w:tc>
          <w:tcPr>
            <w:tcW w:type="dxa" w:w="1440"/>
            <w:shd w:fill="F2F4F8" w:val="clear"/>
            <w:shd w:fill="FCE8E6" w:val="clear"/>
          </w:tcPr>
          <w:p>
            <w:r>
              <w:rPr>
                <w:rFonts w:ascii="Calibri" w:hAnsi="Calibri"/>
                <w:color w:val="333333"/>
                <w:sz w:val="18"/>
              </w:rPr>
              <w:t>81%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2026-02-10 (20d)</w:t>
            </w:r>
          </w:p>
        </w:tc>
        <w:tc>
          <w:tcPr>
            <w:tcW w:type="dxa" w:w="1440"/>
            <w:shd w:fill="FCE8E6" w:val="clear"/>
          </w:tcPr>
          <w:p>
            <w:r>
              <w:rPr>
                <w:rFonts w:ascii="Calibri" w:hAnsi="Calibri"/>
                <w:color w:val="333333"/>
                <w:sz w:val="18"/>
              </w:rPr>
              <w:t>-25.4%</w:t>
            </w:r>
          </w:p>
        </w:tc>
        <w:tc>
          <w:tcPr>
            <w:tcW w:type="dxa" w:w="1440"/>
            <w:shd w:fill="FCE8E6" w:val="clear"/>
          </w:tcPr>
          <w:p>
            <w:r>
              <w:rPr>
                <w:rFonts w:ascii="Calibri" w:hAnsi="Calibri"/>
                <w:color w:val="333333"/>
                <w:sz w:val="18"/>
              </w:rPr>
              <w:t>82%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CE8E6" w:val="clear"/>
          </w:tcPr>
          <w:p>
            <w:r>
              <w:rPr>
                <w:rFonts w:ascii="Calibri" w:hAnsi="Calibri"/>
                <w:color w:val="333333"/>
                <w:sz w:val="18"/>
              </w:rPr>
              <w:t>2026-02-09 (20d)</w:t>
            </w:r>
          </w:p>
        </w:tc>
        <w:tc>
          <w:tcPr>
            <w:tcW w:type="dxa" w:w="1440"/>
            <w:shd w:fill="F2F4F8" w:val="clear"/>
            <w:shd w:fill="FCE8E6" w:val="clear"/>
          </w:tcPr>
          <w:p>
            <w:r>
              <w:rPr>
                <w:rFonts w:ascii="Calibri" w:hAnsi="Calibri"/>
                <w:color w:val="333333"/>
                <w:sz w:val="18"/>
              </w:rPr>
              <w:t>-25.4%</w:t>
            </w:r>
          </w:p>
        </w:tc>
        <w:tc>
          <w:tcPr>
            <w:tcW w:type="dxa" w:w="1440"/>
            <w:shd w:fill="F2F4F8" w:val="clear"/>
            <w:shd w:fill="FCE8E6" w:val="clear"/>
          </w:tcPr>
          <w:p>
            <w:r>
              <w:rPr>
                <w:rFonts w:ascii="Calibri" w:hAnsi="Calibri"/>
                <w:color w:val="333333"/>
                <w:sz w:val="18"/>
              </w:rPr>
              <w:t>82%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2026-01-20 (5d)</w:t>
            </w:r>
          </w:p>
        </w:tc>
        <w:tc>
          <w:tcPr>
            <w:tcW w:type="dxa" w:w="1440"/>
            <w:shd w:fill="FCE8E6" w:val="clear"/>
          </w:tcPr>
          <w:p>
            <w:r>
              <w:rPr>
                <w:rFonts w:ascii="Calibri" w:hAnsi="Calibri"/>
                <w:color w:val="333333"/>
                <w:sz w:val="18"/>
              </w:rPr>
              <w:t>-15.2%</w:t>
            </w:r>
          </w:p>
        </w:tc>
        <w:tc>
          <w:tcPr>
            <w:tcW w:type="dxa" w:w="1440"/>
            <w:shd w:fill="FCE8E6" w:val="clear"/>
          </w:tcPr>
          <w:p>
            <w:r>
              <w:rPr>
                <w:rFonts w:ascii="Calibri" w:hAnsi="Calibri"/>
                <w:color w:val="333333"/>
                <w:sz w:val="18"/>
              </w:rPr>
              <w:t>76%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FF3CD" w:val="clear"/>
          </w:tcPr>
          <w:p>
            <w:r>
              <w:rPr>
                <w:rFonts w:ascii="Calibri" w:hAnsi="Calibri"/>
                <w:color w:val="333333"/>
                <w:sz w:val="18"/>
              </w:rPr>
              <w:t>2026-03-24</w:t>
            </w:r>
          </w:p>
        </w:tc>
        <w:tc>
          <w:tcPr>
            <w:tcW w:type="dxa" w:w="1440"/>
            <w:shd w:fill="F2F4F8" w:val="clear"/>
            <w:shd w:fill="FFF3CD" w:val="clear"/>
          </w:tcPr>
          <w:p>
            <w:r>
              <w:rPr>
                <w:rFonts w:ascii="Calibri" w:hAnsi="Calibri"/>
                <w:color w:val="333333"/>
                <w:sz w:val="18"/>
              </w:rPr>
              <w:t>-6.2%</w:t>
            </w:r>
          </w:p>
        </w:tc>
        <w:tc>
          <w:tcPr>
            <w:tcW w:type="dxa" w:w="1440"/>
            <w:shd w:fill="F2F4F8" w:val="clear"/>
            <w:shd w:fill="FFF3CD" w:val="clear"/>
          </w:tcPr>
          <w:p>
            <w:r>
              <w:rPr>
                <w:rFonts w:ascii="Calibri" w:hAnsi="Calibri"/>
                <w:color w:val="333333"/>
                <w:sz w:val="18"/>
              </w:rPr>
              <w:t>97%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https://finance.yahoo.com/quote/CRM/</w:t>
            </w:r>
          </w:p>
        </w:tc>
      </w:tr>
      <w:tr>
        <w:tc>
          <w:tcPr>
            <w:tcW w:type="dxa" w:w="1440"/>
            <w:shd w:fill="FFF3CD" w:val="clear"/>
          </w:tcPr>
          <w:p>
            <w:r>
              <w:rPr>
                <w:rFonts w:ascii="Calibri" w:hAnsi="Calibri"/>
                <w:color w:val="333333"/>
                <w:sz w:val="18"/>
              </w:rPr>
              <w:t>2026-02-03</w:t>
            </w:r>
          </w:p>
        </w:tc>
        <w:tc>
          <w:tcPr>
            <w:tcW w:type="dxa" w:w="1440"/>
            <w:shd w:fill="FFF3CD" w:val="clear"/>
          </w:tcPr>
          <w:p>
            <w:r>
              <w:rPr>
                <w:rFonts w:ascii="Calibri" w:hAnsi="Calibri"/>
                <w:color w:val="333333"/>
                <w:sz w:val="18"/>
              </w:rPr>
              <w:t>-6.8%</w:t>
            </w:r>
          </w:p>
        </w:tc>
        <w:tc>
          <w:tcPr>
            <w:tcW w:type="dxa" w:w="1440"/>
            <w:shd w:fill="FFF3CD" w:val="clear"/>
          </w:tcPr>
          <w:p>
            <w:r>
              <w:rPr>
                <w:rFonts w:ascii="Calibri" w:hAnsi="Calibri"/>
                <w:color w:val="333333"/>
                <w:sz w:val="18"/>
              </w:rPr>
              <w:t>80%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https://finance.yahoo.com/quote/CRM/</w:t>
            </w:r>
          </w:p>
        </w:tc>
      </w:tr>
      <w:tr>
        <w:tc>
          <w:tcPr>
            <w:tcW w:type="dxa" w:w="1440"/>
            <w:shd w:fill="F2F4F8" w:val="clear"/>
            <w:shd w:fill="FFF3CD" w:val="clear"/>
          </w:tcPr>
          <w:p>
            <w:r>
              <w:rPr>
                <w:rFonts w:ascii="Calibri" w:hAnsi="Calibri"/>
                <w:color w:val="333333"/>
                <w:sz w:val="18"/>
              </w:rPr>
              <w:t>2026-01-13</w:t>
            </w:r>
          </w:p>
        </w:tc>
        <w:tc>
          <w:tcPr>
            <w:tcW w:type="dxa" w:w="1440"/>
            <w:shd w:fill="F2F4F8" w:val="clear"/>
            <w:shd w:fill="FFF3CD" w:val="clear"/>
          </w:tcPr>
          <w:p>
            <w:r>
              <w:rPr>
                <w:rFonts w:ascii="Calibri" w:hAnsi="Calibri"/>
                <w:color w:val="333333"/>
                <w:sz w:val="18"/>
              </w:rPr>
              <w:t>-7.1%</w:t>
            </w:r>
          </w:p>
        </w:tc>
        <w:tc>
          <w:tcPr>
            <w:tcW w:type="dxa" w:w="1440"/>
            <w:shd w:fill="F2F4F8" w:val="clear"/>
            <w:shd w:fill="FFF3CD" w:val="clear"/>
          </w:tcPr>
          <w:p>
            <w:r>
              <w:rPr>
                <w:rFonts w:ascii="Calibri" w:hAnsi="Calibri"/>
                <w:color w:val="333333"/>
                <w:sz w:val="18"/>
              </w:rPr>
              <w:t>74%</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https://finance.yahoo.com/quote/CRM/</w:t>
            </w:r>
          </w:p>
        </w:tc>
      </w:tr>
      <w:tr>
        <w:tc>
          <w:tcPr>
            <w:tcW w:type="dxa" w:w="1440"/>
            <w:shd w:fill="FFF3CD" w:val="clear"/>
          </w:tcPr>
          <w:p>
            <w:r>
              <w:rPr>
                <w:rFonts w:ascii="Calibri" w:hAnsi="Calibri"/>
                <w:color w:val="333333"/>
                <w:sz w:val="18"/>
              </w:rPr>
              <w:t>2026-01-29</w:t>
            </w:r>
          </w:p>
        </w:tc>
        <w:tc>
          <w:tcPr>
            <w:tcW w:type="dxa" w:w="1440"/>
            <w:shd w:fill="FFF3CD" w:val="clear"/>
          </w:tcPr>
          <w:p>
            <w:r>
              <w:rPr>
                <w:rFonts w:ascii="Calibri" w:hAnsi="Calibri"/>
                <w:color w:val="333333"/>
                <w:sz w:val="18"/>
              </w:rPr>
              <w:t>-6.1%</w:t>
            </w:r>
          </w:p>
        </w:tc>
        <w:tc>
          <w:tcPr>
            <w:tcW w:type="dxa" w:w="1440"/>
            <w:shd w:fill="FFF3CD" w:val="clear"/>
          </w:tcPr>
          <w:p>
            <w:r>
              <w:rPr>
                <w:rFonts w:ascii="Calibri" w:hAnsi="Calibri"/>
                <w:color w:val="333333"/>
                <w:sz w:val="18"/>
              </w:rPr>
              <w:t>78%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https://finance.yahoo.com/quote/CRM/</w:t>
            </w:r>
          </w:p>
        </w:tc>
      </w:tr>
      <w:tr>
        <w:tc>
          <w:tcPr>
            <w:tcW w:type="dxa" w:w="1440"/>
            <w:shd w:fill="F2F4F8" w:val="clear"/>
            <w:shd w:fill="FFF3CD" w:val="clear"/>
          </w:tcPr>
          <w:p>
            <w:r>
              <w:rPr>
                <w:rFonts w:ascii="Calibri" w:hAnsi="Calibri"/>
                <w:color w:val="333333"/>
                <w:sz w:val="18"/>
              </w:rPr>
              <w:t>2025-11-06</w:t>
            </w:r>
          </w:p>
        </w:tc>
        <w:tc>
          <w:tcPr>
            <w:tcW w:type="dxa" w:w="1440"/>
            <w:shd w:fill="F2F4F8" w:val="clear"/>
            <w:shd w:fill="FFF3CD" w:val="clear"/>
          </w:tcPr>
          <w:p>
            <w:r>
              <w:rPr>
                <w:rFonts w:ascii="Calibri" w:hAnsi="Calibri"/>
                <w:color w:val="333333"/>
                <w:sz w:val="18"/>
              </w:rPr>
              <w:t>-5.3%</w:t>
            </w:r>
          </w:p>
        </w:tc>
        <w:tc>
          <w:tcPr>
            <w:tcW w:type="dxa" w:w="1440"/>
            <w:shd w:fill="F2F4F8" w:val="clear"/>
            <w:shd w:fill="FFF3CD" w:val="clear"/>
          </w:tcPr>
          <w:p>
            <w:r>
              <w:rPr>
                <w:rFonts w:ascii="Calibri" w:hAnsi="Calibri"/>
                <w:color w:val="333333"/>
                <w:sz w:val="18"/>
              </w:rPr>
              <w:t>57%</w:t>
            </w:r>
          </w:p>
        </w:tc>
        <w:tc>
          <w:tcPr>
            <w:tcW w:type="dxa" w:w="1440"/>
            <w:shd w:fill="F2F4F8" w:val="clear"/>
            <w:shd w:fill="FFF3CD" w:val="clear"/>
          </w:tcPr>
          <w:p>
            <w:r>
              <w:rPr>
                <w:rFonts w:ascii="Calibri" w:hAnsi="Calibri"/>
                <w:color w:val="333333"/>
                <w:sz w:val="18"/>
              </w:rPr>
              <w:t>20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2025-04-03 to 2025-04-04 (2d)</w:t>
            </w:r>
          </w:p>
        </w:tc>
        <w:tc>
          <w:tcPr>
            <w:tcW w:type="dxa" w:w="1440"/>
            <w:shd w:fill="FCE8E6" w:val="clear"/>
          </w:tcPr>
          <w:p>
            <w:r>
              <w:rPr>
                <w:rFonts w:ascii="Calibri" w:hAnsi="Calibri"/>
                <w:color w:val="333333"/>
                <w:sz w:val="18"/>
              </w:rPr>
              <w:t>-11.3%</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3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https://finance.yahoo.com/quote/CRM/</w:t>
            </w:r>
          </w:p>
        </w:tc>
      </w:tr>
      <w:tr>
        <w:tc>
          <w:tcPr>
            <w:tcW w:type="dxa" w:w="1440"/>
            <w:shd w:fill="F2F4F8" w:val="clear"/>
            <w:shd w:fill="FCE8E6" w:val="clear"/>
          </w:tcPr>
          <w:p>
            <w:r>
              <w:rPr>
                <w:rFonts w:ascii="Calibri" w:hAnsi="Calibri"/>
                <w:color w:val="333333"/>
                <w:sz w:val="18"/>
              </w:rPr>
              <w:t>2024-05-30 to 2024-05-31 (2d)</w:t>
            </w:r>
          </w:p>
        </w:tc>
        <w:tc>
          <w:tcPr>
            <w:tcW w:type="dxa" w:w="1440"/>
            <w:shd w:fill="F2F4F8" w:val="clear"/>
            <w:shd w:fill="FCE8E6" w:val="clear"/>
          </w:tcPr>
          <w:p>
            <w:r>
              <w:rPr>
                <w:rFonts w:ascii="Calibri" w:hAnsi="Calibri"/>
                <w:color w:val="333333"/>
                <w:sz w:val="18"/>
              </w:rPr>
              <w:t>-23.2%</w:t>
            </w:r>
          </w:p>
        </w:tc>
        <w:tc>
          <w:tcPr>
            <w:tcW w:type="dxa" w:w="1440"/>
            <w:shd w:fill="F2F4F8" w:val="clear"/>
            <w:shd w:fill="FCE8E6" w:val="clear"/>
          </w:tcPr>
          <w:p>
            <w:r>
              <w:rPr>
                <w:rFonts w:ascii="Calibri" w:hAnsi="Calibri"/>
                <w:color w:val="333333"/>
                <w:sz w:val="18"/>
              </w:rPr>
              <w:t>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2024-05-30</w:t>
            </w:r>
          </w:p>
        </w:tc>
        <w:tc>
          <w:tcPr>
            <w:tcW w:type="dxa" w:w="1440"/>
            <w:shd w:fill="FCE8E6" w:val="clear"/>
          </w:tcPr>
          <w:p>
            <w:r>
              <w:rPr>
                <w:rFonts w:ascii="Calibri" w:hAnsi="Calibri"/>
                <w:color w:val="333333"/>
                <w:sz w:val="18"/>
              </w:rPr>
              <w:t>-19.7%</w:t>
            </w:r>
          </w:p>
        </w:tc>
        <w:tc>
          <w:tcPr>
            <w:tcW w:type="dxa" w:w="1440"/>
            <w:shd w:fill="FCE8E6" w:val="clear"/>
          </w:tcPr>
          <w:p>
            <w:r>
              <w:rPr>
                <w:rFonts w:ascii="Calibri" w:hAnsi="Calibri"/>
                <w:color w:val="333333"/>
                <w:sz w:val="18"/>
              </w:rPr>
              <w:t>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FF3CD" w:val="clear"/>
          </w:tcPr>
          <w:p>
            <w:r>
              <w:rPr>
                <w:rFonts w:ascii="Calibri" w:hAnsi="Calibri"/>
                <w:color w:val="333333"/>
                <w:sz w:val="18"/>
              </w:rPr>
              <w:t>2025-04-03 (2d)</w:t>
            </w:r>
          </w:p>
        </w:tc>
        <w:tc>
          <w:tcPr>
            <w:tcW w:type="dxa" w:w="1440"/>
            <w:shd w:fill="F2F4F8" w:val="clear"/>
            <w:shd w:fill="FFF3CD" w:val="clear"/>
          </w:tcPr>
          <w:p>
            <w:r>
              <w:rPr>
                <w:rFonts w:ascii="Calibri" w:hAnsi="Calibri"/>
                <w:color w:val="333333"/>
                <w:sz w:val="18"/>
              </w:rPr>
              <w:t>-5.7%</w:t>
            </w:r>
          </w:p>
        </w:tc>
        <w:tc>
          <w:tcPr>
            <w:tcW w:type="dxa" w:w="1440"/>
            <w:shd w:fill="F2F4F8" w:val="clear"/>
            <w:shd w:fill="FFF3CD" w:val="clear"/>
          </w:tcPr>
          <w:p>
            <w:r>
              <w:rPr>
                <w:rFonts w:ascii="Calibri" w:hAnsi="Calibri"/>
                <w:color w:val="333333"/>
                <w:sz w:val="18"/>
              </w:rPr>
              <w:t>25%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Market-Wide Event</w:t>
            </w:r>
          </w:p>
        </w:tc>
        <w:tc>
          <w:tcPr>
            <w:tcW w:type="dxa" w:w="1440"/>
            <w:shd w:fill="F2F4F8" w:val="clear"/>
            <w:shd w:fill="FFF3CD"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2024-05-31 (5d)</w:t>
            </w:r>
          </w:p>
        </w:tc>
        <w:tc>
          <w:tcPr>
            <w:tcW w:type="dxa" w:w="1440"/>
            <w:shd w:fill="FCE8E6" w:val="clear"/>
          </w:tcPr>
          <w:p>
            <w:r>
              <w:rPr>
                <w:rFonts w:ascii="Calibri" w:hAnsi="Calibri"/>
                <w:color w:val="333333"/>
                <w:sz w:val="18"/>
              </w:rPr>
              <w:t>-15.8%</w:t>
            </w:r>
          </w:p>
        </w:tc>
        <w:tc>
          <w:tcPr>
            <w:tcW w:type="dxa" w:w="1440"/>
            <w:shd w:fill="FCE8E6" w:val="clear"/>
          </w:tcPr>
          <w:p>
            <w:r>
              <w:rPr>
                <w:rFonts w:ascii="Calibri" w:hAnsi="Calibri"/>
                <w:color w:val="333333"/>
                <w:sz w:val="18"/>
              </w:rPr>
              <w:t>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FF3CD" w:val="clear"/>
          </w:tcPr>
          <w:p>
            <w:r>
              <w:rPr>
                <w:rFonts w:ascii="Calibri" w:hAnsi="Calibri"/>
                <w:color w:val="333333"/>
                <w:sz w:val="18"/>
              </w:rPr>
              <w:t>2024-04-15</w:t>
            </w:r>
          </w:p>
        </w:tc>
        <w:tc>
          <w:tcPr>
            <w:tcW w:type="dxa" w:w="1440"/>
            <w:shd w:fill="F2F4F8" w:val="clear"/>
            <w:shd w:fill="FFF3CD" w:val="clear"/>
          </w:tcPr>
          <w:p>
            <w:r>
              <w:rPr>
                <w:rFonts w:ascii="Calibri" w:hAnsi="Calibri"/>
                <w:color w:val="333333"/>
                <w:sz w:val="18"/>
              </w:rPr>
              <w:t>-7.3%</w:t>
            </w:r>
          </w:p>
        </w:tc>
        <w:tc>
          <w:tcPr>
            <w:tcW w:type="dxa" w:w="1440"/>
            <w:shd w:fill="F2F4F8" w:val="clear"/>
            <w:shd w:fill="FFF3CD" w:val="clear"/>
          </w:tcPr>
          <w:p>
            <w:r>
              <w:rPr>
                <w:rFonts w:ascii="Calibri" w:hAnsi="Calibri"/>
                <w:color w:val="333333"/>
                <w:sz w:val="18"/>
              </w:rPr>
              <w:t>6%</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https://finance.yahoo.com/quote/CRM/</w:t>
            </w:r>
          </w:p>
        </w:tc>
      </w:tr>
    </w:tbl>
    <w:p>
      <w:pPr>
        <w:pStyle w:val="DOBody"/>
      </w:pPr>
      <w:r>
        <w:t>9 significant stock decline events detected in the 5Y period: 9 critical (&gt;10%). 8 were company-specific, 1 was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2026-01-29 to 2026-02-10 (13d)</w:t>
            </w:r>
          </w:p>
        </w:tc>
        <w:tc>
          <w:tcPr>
            <w:tcW w:type="dxa" w:w="1440"/>
            <w:shd w:fill="FCE8E6" w:val="clear"/>
          </w:tcPr>
          <w:p>
            <w:r>
              <w:rPr>
                <w:rFonts w:ascii="Calibri" w:hAnsi="Calibri"/>
                <w:color w:val="333333"/>
                <w:sz w:val="18"/>
              </w:rPr>
              <w:t>-28.6%</w:t>
            </w:r>
          </w:p>
        </w:tc>
        <w:tc>
          <w:tcPr>
            <w:tcW w:type="dxa" w:w="1440"/>
            <w:shd w:fill="FCE8E6" w:val="clear"/>
          </w:tcPr>
          <w:p>
            <w:r>
              <w:rPr>
                <w:rFonts w:ascii="Calibri" w:hAnsi="Calibri"/>
                <w:color w:val="333333"/>
                <w:sz w:val="18"/>
              </w:rPr>
              <w:t>81%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CE8E6" w:val="clear"/>
          </w:tcPr>
          <w:p>
            <w:r>
              <w:rPr>
                <w:rFonts w:ascii="Calibri" w:hAnsi="Calibri"/>
                <w:color w:val="333333"/>
                <w:sz w:val="18"/>
              </w:rPr>
              <w:t>2026-02-06 (20d)</w:t>
            </w:r>
          </w:p>
        </w:tc>
        <w:tc>
          <w:tcPr>
            <w:tcW w:type="dxa" w:w="1440"/>
            <w:shd w:fill="F2F4F8" w:val="clear"/>
            <w:shd w:fill="FCE8E6" w:val="clear"/>
          </w:tcPr>
          <w:p>
            <w:r>
              <w:rPr>
                <w:rFonts w:ascii="Calibri" w:hAnsi="Calibri"/>
                <w:color w:val="333333"/>
                <w:sz w:val="18"/>
              </w:rPr>
              <w:t>-26.6%</w:t>
            </w:r>
          </w:p>
        </w:tc>
        <w:tc>
          <w:tcPr>
            <w:tcW w:type="dxa" w:w="1440"/>
            <w:shd w:fill="F2F4F8" w:val="clear"/>
            <w:shd w:fill="FCE8E6" w:val="clear"/>
          </w:tcPr>
          <w:p>
            <w:r>
              <w:rPr>
                <w:rFonts w:ascii="Calibri" w:hAnsi="Calibri"/>
                <w:color w:val="333333"/>
                <w:sz w:val="18"/>
              </w:rPr>
              <w:t>81%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2026-02-10 (20d)</w:t>
            </w:r>
          </w:p>
        </w:tc>
        <w:tc>
          <w:tcPr>
            <w:tcW w:type="dxa" w:w="1440"/>
            <w:shd w:fill="FCE8E6" w:val="clear"/>
          </w:tcPr>
          <w:p>
            <w:r>
              <w:rPr>
                <w:rFonts w:ascii="Calibri" w:hAnsi="Calibri"/>
                <w:color w:val="333333"/>
                <w:sz w:val="18"/>
              </w:rPr>
              <w:t>-25.4%</w:t>
            </w:r>
          </w:p>
        </w:tc>
        <w:tc>
          <w:tcPr>
            <w:tcW w:type="dxa" w:w="1440"/>
            <w:shd w:fill="FCE8E6" w:val="clear"/>
          </w:tcPr>
          <w:p>
            <w:r>
              <w:rPr>
                <w:rFonts w:ascii="Calibri" w:hAnsi="Calibri"/>
                <w:color w:val="333333"/>
                <w:sz w:val="18"/>
              </w:rPr>
              <w:t>82%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CE8E6" w:val="clear"/>
          </w:tcPr>
          <w:p>
            <w:r>
              <w:rPr>
                <w:rFonts w:ascii="Calibri" w:hAnsi="Calibri"/>
                <w:color w:val="333333"/>
                <w:sz w:val="18"/>
              </w:rPr>
              <w:t>2026-02-09 (20d)</w:t>
            </w:r>
          </w:p>
        </w:tc>
        <w:tc>
          <w:tcPr>
            <w:tcW w:type="dxa" w:w="1440"/>
            <w:shd w:fill="F2F4F8" w:val="clear"/>
            <w:shd w:fill="FCE8E6" w:val="clear"/>
          </w:tcPr>
          <w:p>
            <w:r>
              <w:rPr>
                <w:rFonts w:ascii="Calibri" w:hAnsi="Calibri"/>
                <w:color w:val="333333"/>
                <w:sz w:val="18"/>
              </w:rPr>
              <w:t>-25.4%</w:t>
            </w:r>
          </w:p>
        </w:tc>
        <w:tc>
          <w:tcPr>
            <w:tcW w:type="dxa" w:w="1440"/>
            <w:shd w:fill="F2F4F8" w:val="clear"/>
            <w:shd w:fill="FCE8E6" w:val="clear"/>
          </w:tcPr>
          <w:p>
            <w:r>
              <w:rPr>
                <w:rFonts w:ascii="Calibri" w:hAnsi="Calibri"/>
                <w:color w:val="333333"/>
                <w:sz w:val="18"/>
              </w:rPr>
              <w:t>82%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2026-01-20 (5d)</w:t>
            </w:r>
          </w:p>
        </w:tc>
        <w:tc>
          <w:tcPr>
            <w:tcW w:type="dxa" w:w="1440"/>
            <w:shd w:fill="FCE8E6" w:val="clear"/>
          </w:tcPr>
          <w:p>
            <w:r>
              <w:rPr>
                <w:rFonts w:ascii="Calibri" w:hAnsi="Calibri"/>
                <w:color w:val="333333"/>
                <w:sz w:val="18"/>
              </w:rPr>
              <w:t>-15.2%</w:t>
            </w:r>
          </w:p>
        </w:tc>
        <w:tc>
          <w:tcPr>
            <w:tcW w:type="dxa" w:w="1440"/>
            <w:shd w:fill="FCE8E6" w:val="clear"/>
          </w:tcPr>
          <w:p>
            <w:r>
              <w:rPr>
                <w:rFonts w:ascii="Calibri" w:hAnsi="Calibri"/>
                <w:color w:val="333333"/>
                <w:sz w:val="18"/>
              </w:rPr>
              <w:t>76%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CE8E6" w:val="clear"/>
          </w:tcPr>
          <w:p>
            <w:r>
              <w:rPr>
                <w:rFonts w:ascii="Calibri" w:hAnsi="Calibri"/>
                <w:color w:val="333333"/>
                <w:sz w:val="18"/>
              </w:rPr>
              <w:t>2025-04-03 to 2025-04-04 (2d)</w:t>
            </w:r>
          </w:p>
        </w:tc>
        <w:tc>
          <w:tcPr>
            <w:tcW w:type="dxa" w:w="1440"/>
            <w:shd w:fill="F2F4F8" w:val="clear"/>
            <w:shd w:fill="FCE8E6" w:val="clear"/>
          </w:tcPr>
          <w:p>
            <w:r>
              <w:rPr>
                <w:rFonts w:ascii="Calibri" w:hAnsi="Calibri"/>
                <w:color w:val="333333"/>
                <w:sz w:val="18"/>
              </w:rPr>
              <w:t>-11.3%</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3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2024-05-30 to 2024-05-31 (2d)</w:t>
            </w:r>
          </w:p>
        </w:tc>
        <w:tc>
          <w:tcPr>
            <w:tcW w:type="dxa" w:w="1440"/>
            <w:shd w:fill="FCE8E6" w:val="clear"/>
          </w:tcPr>
          <w:p>
            <w:r>
              <w:rPr>
                <w:rFonts w:ascii="Calibri" w:hAnsi="Calibri"/>
                <w:color w:val="333333"/>
                <w:sz w:val="18"/>
              </w:rPr>
              <w:t>-23.2%</w:t>
            </w:r>
          </w:p>
        </w:tc>
        <w:tc>
          <w:tcPr>
            <w:tcW w:type="dxa" w:w="1440"/>
            <w:shd w:fill="FCE8E6" w:val="clear"/>
          </w:tcPr>
          <w:p>
            <w:r>
              <w:rPr>
                <w:rFonts w:ascii="Calibri" w:hAnsi="Calibri"/>
                <w:color w:val="333333"/>
                <w:sz w:val="18"/>
              </w:rPr>
              <w:t>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r>
        <w:tc>
          <w:tcPr>
            <w:tcW w:type="dxa" w:w="1440"/>
            <w:shd w:fill="F2F4F8" w:val="clear"/>
            <w:shd w:fill="FCE8E6" w:val="clear"/>
          </w:tcPr>
          <w:p>
            <w:r>
              <w:rPr>
                <w:rFonts w:ascii="Calibri" w:hAnsi="Calibri"/>
                <w:color w:val="333333"/>
                <w:sz w:val="18"/>
              </w:rPr>
              <w:t>2024-05-30</w:t>
            </w:r>
          </w:p>
        </w:tc>
        <w:tc>
          <w:tcPr>
            <w:tcW w:type="dxa" w:w="1440"/>
            <w:shd w:fill="F2F4F8" w:val="clear"/>
            <w:shd w:fill="FCE8E6" w:val="clear"/>
          </w:tcPr>
          <w:p>
            <w:r>
              <w:rPr>
                <w:rFonts w:ascii="Calibri" w:hAnsi="Calibri"/>
                <w:color w:val="333333"/>
                <w:sz w:val="18"/>
              </w:rPr>
              <w:t>-19.7%</w:t>
            </w:r>
          </w:p>
        </w:tc>
        <w:tc>
          <w:tcPr>
            <w:tcW w:type="dxa" w:w="1440"/>
            <w:shd w:fill="F2F4F8" w:val="clear"/>
            <w:shd w:fill="FCE8E6" w:val="clear"/>
          </w:tcPr>
          <w:p>
            <w:r>
              <w:rPr>
                <w:rFonts w:ascii="Calibri" w:hAnsi="Calibri"/>
                <w:color w:val="333333"/>
                <w:sz w:val="18"/>
              </w:rPr>
              <w:t>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https://finance.yahoo.com/quote/CRM/</w:t>
            </w:r>
          </w:p>
        </w:tc>
      </w:tr>
      <w:tr>
        <w:tc>
          <w:tcPr>
            <w:tcW w:type="dxa" w:w="1440"/>
            <w:shd w:fill="FCE8E6" w:val="clear"/>
          </w:tcPr>
          <w:p>
            <w:r>
              <w:rPr>
                <w:rFonts w:ascii="Calibri" w:hAnsi="Calibri"/>
                <w:color w:val="333333"/>
                <w:sz w:val="18"/>
              </w:rPr>
              <w:t>2024-05-31 (5d)</w:t>
            </w:r>
          </w:p>
        </w:tc>
        <w:tc>
          <w:tcPr>
            <w:tcW w:type="dxa" w:w="1440"/>
            <w:shd w:fill="FCE8E6" w:val="clear"/>
          </w:tcPr>
          <w:p>
            <w:r>
              <w:rPr>
                <w:rFonts w:ascii="Calibri" w:hAnsi="Calibri"/>
                <w:color w:val="333333"/>
                <w:sz w:val="18"/>
              </w:rPr>
              <w:t>-15.8%</w:t>
            </w:r>
          </w:p>
        </w:tc>
        <w:tc>
          <w:tcPr>
            <w:tcW w:type="dxa" w:w="1440"/>
            <w:shd w:fill="FCE8E6" w:val="clear"/>
          </w:tcPr>
          <w:p>
            <w:r>
              <w:rPr>
                <w:rFonts w:ascii="Calibri" w:hAnsi="Calibri"/>
                <w:color w:val="333333"/>
                <w:sz w:val="18"/>
              </w:rPr>
              <w:t>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https://finance.yahoo.com/quote/CRM/</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2.5% (Ranks at the 68th percentile among 0 peers (peer median: 4.0%))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1.60</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RISING</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0.9%</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CONSERVATIVE</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$3.05</w:t>
            </w:r>
          </w:p>
        </w:tc>
        <w:tc>
          <w:tcPr>
            <w:tcW w:type="dxa" w:w="1680"/>
          </w:tcPr>
          <w:p>
            <w:r>
              <w:rPr>
                <w:rFonts w:ascii="Calibri" w:hAnsi="Calibri"/>
                <w:color w:val="333333"/>
                <w:sz w:val="18"/>
              </w:rPr>
              <w:t>$3.81</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+24.9%</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$2.86</w:t>
            </w:r>
          </w:p>
        </w:tc>
        <w:tc>
          <w:tcPr>
            <w:tcW w:type="dxa" w:w="1680"/>
            <w:shd w:fill="F2F4F8" w:val="clear"/>
          </w:tcPr>
          <w:p>
            <w:r>
              <w:rPr>
                <w:rFonts w:ascii="Calibri" w:hAnsi="Calibri"/>
                <w:color w:val="333333"/>
                <w:sz w:val="18"/>
              </w:rPr>
              <w:t>$3.25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+13.6%</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$2.78</w:t>
            </w:r>
          </w:p>
        </w:tc>
        <w:tc>
          <w:tcPr>
            <w:tcW w:type="dxa" w:w="1680"/>
          </w:tcPr>
          <w:p>
            <w:r>
              <w:rPr>
                <w:rFonts w:ascii="Calibri" w:hAnsi="Calibri"/>
                <w:color w:val="333333"/>
                <w:sz w:val="18"/>
              </w:rPr>
              <w:t>$2.91</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+4.7%</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$2.55</w:t>
            </w:r>
          </w:p>
        </w:tc>
        <w:tc>
          <w:tcPr>
            <w:tcW w:type="dxa" w:w="1680"/>
            <w:shd w:fill="F2F4F8" w:val="clear"/>
          </w:tcPr>
          <w:p>
            <w:r>
              <w:rPr>
                <w:rFonts w:ascii="Calibri" w:hAnsi="Calibri"/>
                <w:color w:val="333333"/>
                <w:sz w:val="18"/>
              </w:rPr>
              <w:t>$2.58</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+1.3%</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$2.61</w:t>
            </w:r>
          </w:p>
        </w:tc>
        <w:tc>
          <w:tcPr>
            <w:tcW w:type="dxa" w:w="1680"/>
          </w:tcPr>
          <w:p>
            <w:r>
              <w:rPr>
                <w:rFonts w:ascii="Calibri" w:hAnsi="Calibri"/>
                <w:color w:val="333333"/>
                <w:sz w:val="18"/>
              </w:rPr>
              <w:t>$2.78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+6.4%</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$2.45</w:t>
            </w:r>
          </w:p>
        </w:tc>
        <w:tc>
          <w:tcPr>
            <w:tcW w:type="dxa" w:w="1680"/>
            <w:shd w:fill="F2F4F8" w:val="clear"/>
          </w:tcPr>
          <w:p>
            <w:r>
              <w:rPr>
                <w:rFonts w:ascii="Calibri" w:hAnsi="Calibri"/>
                <w:color w:val="333333"/>
                <w:sz w:val="18"/>
              </w:rPr>
              <w:t>$2.41</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+1.6%</w:t>
            </w:r>
          </w:p>
        </w:tc>
        <w:tc>
          <w:tcPr>
            <w:tcW w:type="dxa" w:w="1680"/>
            <w:shd w:fill="F2F4F8" w:val="clear"/>
          </w:tcPr>
          <w:p>
            <w:r>
              <w:rPr>
                <w:rFonts w:ascii="Calibri" w:hAnsi="Calibri"/>
                <w:color w:val="333333"/>
                <w:sz w:val="18"/>
              </w:rPr>
              <w:t>-1.5%</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$2.36</w:t>
            </w:r>
          </w:p>
        </w:tc>
        <w:tc>
          <w:tcPr>
            <w:tcW w:type="dxa" w:w="1680"/>
          </w:tcPr>
          <w:p>
            <w:r>
              <w:rPr>
                <w:rFonts w:ascii="Calibri" w:hAnsi="Calibri"/>
                <w:color w:val="333333"/>
                <w:sz w:val="18"/>
              </w:rPr>
              <w:t>$2.56</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+8.6%</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$2.37</w:t>
            </w:r>
          </w:p>
        </w:tc>
        <w:tc>
          <w:tcPr>
            <w:tcW w:type="dxa" w:w="1680"/>
            <w:shd w:fill="F2F4F8" w:val="clear"/>
          </w:tcPr>
          <w:p>
            <w:r>
              <w:rPr>
                <w:rFonts w:ascii="Calibri" w:hAnsi="Calibri"/>
                <w:color w:val="333333"/>
                <w:sz w:val="18"/>
              </w:rPr>
              <w:t>$2.44</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+2.8%</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$2.27</w:t>
            </w:r>
          </w:p>
        </w:tc>
        <w:tc>
          <w:tcPr>
            <w:tcW w:type="dxa" w:w="1680"/>
          </w:tcPr>
          <w:p>
            <w:r>
              <w:rPr>
                <w:rFonts w:ascii="Calibri" w:hAnsi="Calibri"/>
                <w:color w:val="333333"/>
                <w:sz w:val="18"/>
              </w:rPr>
              <w:t>$2.29</w:t>
            </w:r>
          </w:p>
        </w:tc>
        <w:tc>
          <w:tcPr>
            <w:tcW w:type="dxa" w:w="1680"/>
          </w:tcPr>
          <w:p>
            <w:r>
              <w:rPr>
                <w:rFonts w:ascii="Calibri" w:hAnsi="Calibri"/>
                <w:color w:val="333333"/>
                <w:sz w:val="18"/>
              </w:rPr>
              <w:t>MEET</w:t>
            </w:r>
          </w:p>
        </w:tc>
        <w:tc>
          <w:tcPr>
            <w:tcW w:type="dxa" w:w="1680"/>
          </w:tcPr>
          <w:p>
            <w:r>
              <w:rPr>
                <w:rFonts w:ascii="Calibri" w:hAnsi="Calibri"/>
                <w:color w:val="333333"/>
                <w:sz w:val="18"/>
              </w:rPr>
              <w:t>N/A</w:t>
            </w:r>
          </w:p>
        </w:tc>
        <w:tc>
          <w:tcPr>
            <w:tcW w:type="dxa" w:w="1680"/>
          </w:tcPr>
          <w:p>
            <w:r>
              <w:rPr>
                <w:rFonts w:ascii="Calibri" w:hAnsi="Calibri"/>
                <w:color w:val="333333"/>
                <w:sz w:val="18"/>
              </w:rPr>
              <w:t>+1.0%</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$2.06</w:t>
            </w:r>
          </w:p>
        </w:tc>
        <w:tc>
          <w:tcPr>
            <w:tcW w:type="dxa" w:w="1680"/>
            <w:shd w:fill="F2F4F8" w:val="clear"/>
          </w:tcPr>
          <w:p>
            <w:r>
              <w:rPr>
                <w:rFonts w:ascii="Calibri" w:hAnsi="Calibri"/>
                <w:color w:val="333333"/>
                <w:sz w:val="18"/>
              </w:rPr>
              <w:t>$2.11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+2.5%</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$1.90</w:t>
            </w:r>
          </w:p>
        </w:tc>
        <w:tc>
          <w:tcPr>
            <w:tcW w:type="dxa" w:w="1680"/>
          </w:tcPr>
          <w:p>
            <w:r>
              <w:rPr>
                <w:rFonts w:ascii="Calibri" w:hAnsi="Calibri"/>
                <w:color w:val="333333"/>
                <w:sz w:val="18"/>
              </w:rPr>
              <w:t>$2.12</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+11.4%</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$1.61</w:t>
            </w:r>
          </w:p>
        </w:tc>
        <w:tc>
          <w:tcPr>
            <w:tcW w:type="dxa" w:w="1680"/>
            <w:shd w:fill="F2F4F8" w:val="clear"/>
          </w:tcPr>
          <w:p>
            <w:r>
              <w:rPr>
                <w:rFonts w:ascii="Calibri" w:hAnsi="Calibri"/>
                <w:color w:val="333333"/>
                <w:sz w:val="18"/>
              </w:rPr>
              <w:t>$1.69</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+4.8%</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$1.36</w:t>
            </w:r>
          </w:p>
        </w:tc>
        <w:tc>
          <w:tcPr>
            <w:tcW w:type="dxa" w:w="1680"/>
          </w:tcPr>
          <w:p>
            <w:r>
              <w:rPr>
                <w:rFonts w:ascii="Calibri" w:hAnsi="Calibri"/>
                <w:color w:val="333333"/>
                <w:sz w:val="18"/>
              </w:rPr>
              <w:t>$1.68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+23.4%</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$1.22</w:t>
            </w:r>
          </w:p>
        </w:tc>
        <w:tc>
          <w:tcPr>
            <w:tcW w:type="dxa" w:w="1680"/>
            <w:shd w:fill="F2F4F8" w:val="clear"/>
          </w:tcPr>
          <w:p>
            <w:r>
              <w:rPr>
                <w:rFonts w:ascii="Calibri" w:hAnsi="Calibri"/>
                <w:color w:val="333333"/>
                <w:sz w:val="18"/>
              </w:rPr>
              <w:t>$1.40</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+14.6%</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$1.03</w:t>
            </w:r>
          </w:p>
        </w:tc>
        <w:tc>
          <w:tcPr>
            <w:tcW w:type="dxa" w:w="1680"/>
          </w:tcPr>
          <w:p>
            <w:r>
              <w:rPr>
                <w:rFonts w:ascii="Calibri" w:hAnsi="Calibri"/>
                <w:color w:val="333333"/>
                <w:sz w:val="18"/>
              </w:rPr>
              <w:t>$1.19</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+15.8%</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$0.94</w:t>
            </w:r>
          </w:p>
        </w:tc>
        <w:tc>
          <w:tcPr>
            <w:tcW w:type="dxa" w:w="1680"/>
            <w:shd w:fill="F2F4F8" w:val="clear"/>
          </w:tcPr>
          <w:p>
            <w:r>
              <w:rPr>
                <w:rFonts w:ascii="Calibri" w:hAnsi="Calibri"/>
                <w:color w:val="333333"/>
                <w:sz w:val="18"/>
              </w:rPr>
              <w:t>$0.98</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+3.7%</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52</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BUY</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1.63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$273</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$475</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$190</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2026-01-29 to 2026-02-10</w:t>
            </w:r>
          </w:p>
        </w:tc>
        <w:tc>
          <w:tcPr>
            <w:tcW w:type="dxa" w:w="1680"/>
          </w:tcPr>
          <w:p>
            <w:r>
              <w:rPr>
                <w:rFonts w:ascii="Calibri" w:hAnsi="Calibri"/>
                <w:color w:val="333333"/>
                <w:sz w:val="18"/>
              </w:rPr>
              <w:t>-28.6%</w:t>
            </w:r>
          </w:p>
        </w:tc>
        <w:tc>
          <w:tcPr>
            <w:tcW w:type="dxa" w:w="1680"/>
          </w:tcPr>
          <w:p>
            <w:r>
              <w:rPr>
                <w:rFonts w:ascii="Calibri" w:hAnsi="Calibri"/>
                <w:color w:val="333333"/>
                <w:sz w:val="18"/>
              </w:rPr>
              <w:t>MULTI_DAY (13d)</w:t>
            </w:r>
          </w:p>
        </w:tc>
        <w:tc>
          <w:tcPr>
            <w:tcW w:type="dxa" w:w="1680"/>
          </w:tcPr>
          <w:p>
            <w:r>
              <w:rPr>
                <w:rFonts w:ascii="Calibri" w:hAnsi="Calibri"/>
                <w:color w:val="333333"/>
                <w:sz w:val="18"/>
              </w:rPr>
              <w:t>Unknown</w:t>
            </w:r>
          </w:p>
        </w:tc>
        <w:tc>
          <w:tcPr>
            <w:tcW w:type="dxa" w:w="1680"/>
          </w:tcPr>
          <w:p>
            <w:r>
              <w:rPr>
                <w:rFonts w:ascii="Calibri" w:hAnsi="Calibri"/>
                <w:color w:val="333333"/>
                <w:sz w:val="18"/>
              </w:rPr>
              <w:t>-7.4%</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2026-02-06</w:t>
            </w:r>
          </w:p>
        </w:tc>
        <w:tc>
          <w:tcPr>
            <w:tcW w:type="dxa" w:w="1680"/>
            <w:shd w:fill="F2F4F8" w:val="clear"/>
          </w:tcPr>
          <w:p>
            <w:r>
              <w:rPr>
                <w:rFonts w:ascii="Calibri" w:hAnsi="Calibri"/>
                <w:color w:val="333333"/>
                <w:sz w:val="18"/>
              </w:rPr>
              <w:t>-26.6%</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-2.2%</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2026-02-10</w:t>
            </w:r>
          </w:p>
        </w:tc>
        <w:tc>
          <w:tcPr>
            <w:tcW w:type="dxa" w:w="1680"/>
          </w:tcPr>
          <w:p>
            <w:r>
              <w:rPr>
                <w:rFonts w:ascii="Calibri" w:hAnsi="Calibri"/>
                <w:color w:val="333333"/>
                <w:sz w:val="18"/>
              </w:rPr>
              <w:t>-25.4%</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-2.9%</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2026-02-09</w:t>
            </w:r>
          </w:p>
        </w:tc>
        <w:tc>
          <w:tcPr>
            <w:tcW w:type="dxa" w:w="1680"/>
            <w:shd w:fill="F2F4F8" w:val="clear"/>
          </w:tcPr>
          <w:p>
            <w:r>
              <w:rPr>
                <w:rFonts w:ascii="Calibri" w:hAnsi="Calibri"/>
                <w:color w:val="333333"/>
                <w:sz w:val="18"/>
              </w:rPr>
              <w:t>-25.4%</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-1.9%</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2024-05-30 to 2024-05-31</w:t>
            </w:r>
          </w:p>
        </w:tc>
        <w:tc>
          <w:tcPr>
            <w:tcW w:type="dxa" w:w="1680"/>
          </w:tcPr>
          <w:p>
            <w:r>
              <w:rPr>
                <w:rFonts w:ascii="Calibri" w:hAnsi="Calibri"/>
                <w:color w:val="333333"/>
                <w:sz w:val="18"/>
              </w:rPr>
              <w:t>-23.2%</w:t>
            </w:r>
          </w:p>
        </w:tc>
        <w:tc>
          <w:tcPr>
            <w:tcW w:type="dxa" w:w="1680"/>
          </w:tcPr>
          <w:p>
            <w:r>
              <w:rPr>
                <w:rFonts w:ascii="Calibri" w:hAnsi="Calibri"/>
                <w:color w:val="333333"/>
                <w:sz w:val="18"/>
              </w:rPr>
              <w:t>MULTI_DAY (2d)</w:t>
            </w:r>
          </w:p>
        </w:tc>
        <w:tc>
          <w:tcPr>
            <w:tcW w:type="dxa" w:w="1680"/>
          </w:tcPr>
          <w:p>
            <w:r>
              <w:rPr>
                <w:rFonts w:ascii="Calibri" w:hAnsi="Calibri"/>
                <w:color w:val="333333"/>
                <w:sz w:val="18"/>
              </w:rPr>
              <w:t>earnings_release</w:t>
            </w:r>
          </w:p>
        </w:tc>
        <w:tc>
          <w:tcPr>
            <w:tcW w:type="dxa" w:w="1680"/>
          </w:tcPr>
          <w:p>
            <w:r>
              <w:rPr>
                <w:rFonts w:ascii="Calibri" w:hAnsi="Calibri"/>
                <w:color w:val="333333"/>
                <w:sz w:val="18"/>
              </w:rPr>
              <w:t>-2.5%</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2024-05-30</w:t>
            </w:r>
          </w:p>
        </w:tc>
        <w:tc>
          <w:tcPr>
            <w:tcW w:type="dxa" w:w="1680"/>
            <w:shd w:fill="F2F4F8" w:val="clear"/>
          </w:tcPr>
          <w:p>
            <w:r>
              <w:rPr>
                <w:rFonts w:ascii="Calibri" w:hAnsi="Calibri"/>
                <w:color w:val="333333"/>
                <w:sz w:val="18"/>
              </w:rPr>
              <w:t>-19.7%</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-2.3%</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2024-05-31</w:t>
            </w:r>
          </w:p>
        </w:tc>
        <w:tc>
          <w:tcPr>
            <w:tcW w:type="dxa" w:w="1680"/>
          </w:tcPr>
          <w:p>
            <w:r>
              <w:rPr>
                <w:rFonts w:ascii="Calibri" w:hAnsi="Calibri"/>
                <w:color w:val="333333"/>
                <w:sz w:val="18"/>
              </w:rPr>
              <w:t>-15.8%</w:t>
            </w:r>
          </w:p>
        </w:tc>
        <w:tc>
          <w:tcPr>
            <w:tcW w:type="dxa" w:w="1680"/>
          </w:tcPr>
          <w:p>
            <w:r>
              <w:rPr>
                <w:rFonts w:ascii="Calibri" w:hAnsi="Calibri"/>
                <w:color w:val="333333"/>
                <w:sz w:val="18"/>
              </w:rPr>
              <w:t>MULTI_DAY (5d)</w:t>
            </w:r>
          </w:p>
        </w:tc>
        <w:tc>
          <w:tcPr>
            <w:tcW w:type="dxa" w:w="1680"/>
          </w:tcPr>
          <w:p>
            <w:r>
              <w:rPr>
                <w:rFonts w:ascii="Calibri" w:hAnsi="Calibri"/>
                <w:color w:val="333333"/>
                <w:sz w:val="18"/>
              </w:rPr>
              <w:t>earnings_release</w:t>
            </w:r>
          </w:p>
        </w:tc>
        <w:tc>
          <w:tcPr>
            <w:tcW w:type="dxa" w:w="1680"/>
          </w:tcPr>
          <w:p>
            <w:r>
              <w:rPr>
                <w:rFonts w:ascii="Calibri" w:hAnsi="Calibri"/>
                <w:color w:val="333333"/>
                <w:sz w:val="18"/>
              </w:rPr>
              <w:t>-1.5%</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2026-01-20</w:t>
            </w:r>
          </w:p>
        </w:tc>
        <w:tc>
          <w:tcPr>
            <w:tcW w:type="dxa" w:w="1680"/>
            <w:shd w:fill="F2F4F8" w:val="clear"/>
          </w:tcPr>
          <w:p>
            <w:r>
              <w:rPr>
                <w:rFonts w:ascii="Calibri" w:hAnsi="Calibri"/>
                <w:color w:val="333333"/>
                <w:sz w:val="18"/>
              </w:rPr>
              <w:t>-15.2%</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-3.4%</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2025-04-03 to 2025-04-04</w:t>
            </w:r>
          </w:p>
        </w:tc>
        <w:tc>
          <w:tcPr>
            <w:tcW w:type="dxa" w:w="1680"/>
          </w:tcPr>
          <w:p>
            <w:r>
              <w:rPr>
                <w:rFonts w:ascii="Calibri" w:hAnsi="Calibri"/>
                <w:color w:val="333333"/>
                <w:sz w:val="18"/>
              </w:rPr>
              <w:t>-11.3%</w:t>
            </w:r>
          </w:p>
        </w:tc>
        <w:tc>
          <w:tcPr>
            <w:tcW w:type="dxa" w:w="1680"/>
          </w:tcPr>
          <w:p>
            <w:r>
              <w:rPr>
                <w:rFonts w:ascii="Calibri" w:hAnsi="Calibri"/>
                <w:color w:val="333333"/>
                <w:sz w:val="18"/>
              </w:rPr>
              <w:t>MULTI_DAY (2d)</w:t>
            </w:r>
          </w:p>
        </w:tc>
        <w:tc>
          <w:tcPr>
            <w:tcW w:type="dxa" w:w="1680"/>
          </w:tcPr>
          <w:p>
            <w:r>
              <w:rPr>
                <w:rFonts w:ascii="Calibri" w:hAnsi="Calibri"/>
                <w:color w:val="333333"/>
                <w:sz w:val="18"/>
              </w:rPr>
              <w:t>Unknown</w:t>
            </w:r>
          </w:p>
        </w:tc>
        <w:tc>
          <w:tcPr>
            <w:tcW w:type="dxa" w:w="1680"/>
          </w:tcPr>
          <w:p>
            <w:r>
              <w:rPr>
                <w:rFonts w:ascii="Calibri" w:hAnsi="Calibri"/>
                <w:color w:val="333333"/>
                <w:sz w:val="18"/>
              </w:rPr>
              <w:t>-13.0%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2024-04-15</w:t>
            </w:r>
          </w:p>
        </w:tc>
        <w:tc>
          <w:tcPr>
            <w:tcW w:type="dxa" w:w="1680"/>
            <w:shd w:fill="F2F4F8" w:val="clear"/>
          </w:tcPr>
          <w:p>
            <w:r>
              <w:rPr>
                <w:rFonts w:ascii="Calibri" w:hAnsi="Calibri"/>
                <w:color w:val="333333"/>
                <w:sz w:val="18"/>
              </w:rPr>
              <w:t>-7.3%</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-1.9%</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2026-01-13</w:t>
            </w:r>
          </w:p>
        </w:tc>
        <w:tc>
          <w:tcPr>
            <w:tcW w:type="dxa" w:w="1680"/>
          </w:tcPr>
          <w:p>
            <w:r>
              <w:rPr>
                <w:rFonts w:ascii="Calibri" w:hAnsi="Calibri"/>
                <w:color w:val="333333"/>
                <w:sz w:val="18"/>
              </w:rPr>
              <w:t>-7.1%</w:t>
            </w:r>
          </w:p>
        </w:tc>
        <w:tc>
          <w:tcPr>
            <w:tcW w:type="dxa" w:w="1680"/>
          </w:tcPr>
          <w:p>
            <w:r>
              <w:rPr>
                <w:rFonts w:ascii="Calibri" w:hAnsi="Calibri"/>
                <w:color w:val="333333"/>
                <w:sz w:val="18"/>
              </w:rPr>
              <w:t>SINGLE_DAY</w:t>
            </w:r>
          </w:p>
        </w:tc>
        <w:tc>
          <w:tcPr>
            <w:tcW w:type="dxa" w:w="1680"/>
          </w:tcPr>
          <w:p>
            <w:r>
              <w:rPr>
                <w:rFonts w:ascii="Calibri" w:hAnsi="Calibri"/>
                <w:color w:val="333333"/>
                <w:sz w:val="18"/>
              </w:rPr>
              <w:t>Unknown</w:t>
            </w:r>
          </w:p>
        </w:tc>
        <w:tc>
          <w:tcPr>
            <w:tcW w:type="dxa" w:w="1680"/>
          </w:tcPr>
          <w:p>
            <w:r>
              <w:rPr>
                <w:rFonts w:ascii="Calibri" w:hAnsi="Calibri"/>
                <w:color w:val="333333"/>
                <w:sz w:val="18"/>
              </w:rPr>
              <w:t>-0.2%</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2026-02-03</w:t>
            </w:r>
          </w:p>
        </w:tc>
        <w:tc>
          <w:tcPr>
            <w:tcW w:type="dxa" w:w="1680"/>
            <w:shd w:fill="F2F4F8" w:val="clear"/>
          </w:tcPr>
          <w:p>
            <w:r>
              <w:rPr>
                <w:rFonts w:ascii="Calibri" w:hAnsi="Calibri"/>
                <w:color w:val="333333"/>
                <w:sz w:val="18"/>
              </w:rPr>
              <w:t>-6.8%</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-2.2%</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2026-03-24</w:t>
            </w:r>
          </w:p>
        </w:tc>
        <w:tc>
          <w:tcPr>
            <w:tcW w:type="dxa" w:w="1680"/>
          </w:tcPr>
          <w:p>
            <w:r>
              <w:rPr>
                <w:rFonts w:ascii="Calibri" w:hAnsi="Calibri"/>
                <w:color w:val="333333"/>
                <w:sz w:val="18"/>
              </w:rPr>
              <w:t>-6.2%</w:t>
            </w:r>
          </w:p>
        </w:tc>
        <w:tc>
          <w:tcPr>
            <w:tcW w:type="dxa" w:w="1680"/>
          </w:tcPr>
          <w:p>
            <w:r>
              <w:rPr>
                <w:rFonts w:ascii="Calibri" w:hAnsi="Calibri"/>
                <w:color w:val="333333"/>
                <w:sz w:val="18"/>
              </w:rPr>
              <w:t>SINGLE_DAY</w:t>
            </w:r>
          </w:p>
        </w:tc>
        <w:tc>
          <w:tcPr>
            <w:tcW w:type="dxa" w:w="1680"/>
          </w:tcPr>
          <w:p>
            <w:r>
              <w:rPr>
                <w:rFonts w:ascii="Calibri" w:hAnsi="Calibri"/>
                <w:color w:val="333333"/>
                <w:sz w:val="18"/>
              </w:rPr>
              <w:t>Unknown</w:t>
            </w:r>
          </w:p>
        </w:tc>
        <w:tc>
          <w:tcPr>
            <w:tcW w:type="dxa" w:w="1680"/>
          </w:tcPr>
          <w:p>
            <w:r>
              <w:rPr>
                <w:rFonts w:ascii="Calibri" w:hAnsi="Calibri"/>
                <w:color w:val="333333"/>
                <w:sz w:val="18"/>
              </w:rPr>
              <w:t>-0.6%</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2026-01-29</w:t>
            </w:r>
          </w:p>
        </w:tc>
        <w:tc>
          <w:tcPr>
            <w:tcW w:type="dxa" w:w="1680"/>
            <w:shd w:fill="F2F4F8" w:val="clear"/>
          </w:tcPr>
          <w:p>
            <w:r>
              <w:rPr>
                <w:rFonts w:ascii="Calibri" w:hAnsi="Calibri"/>
                <w:color w:val="333333"/>
                <w:sz w:val="18"/>
              </w:rPr>
              <w:t>-6.1%</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-1.6%</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2025-04-03</w:t>
            </w:r>
          </w:p>
        </w:tc>
        <w:tc>
          <w:tcPr>
            <w:tcW w:type="dxa" w:w="1680"/>
          </w:tcPr>
          <w:p>
            <w:r>
              <w:rPr>
                <w:rFonts w:ascii="Calibri" w:hAnsi="Calibri"/>
                <w:color w:val="333333"/>
                <w:sz w:val="18"/>
              </w:rPr>
              <w:t>-6.0%</w:t>
            </w:r>
          </w:p>
        </w:tc>
        <w:tc>
          <w:tcPr>
            <w:tcW w:type="dxa" w:w="1680"/>
          </w:tcPr>
          <w:p>
            <w:r>
              <w:rPr>
                <w:rFonts w:ascii="Calibri" w:hAnsi="Calibri"/>
                <w:color w:val="333333"/>
                <w:sz w:val="18"/>
              </w:rPr>
              <w:t>MULTI_DAY (2d)</w:t>
            </w:r>
          </w:p>
        </w:tc>
        <w:tc>
          <w:tcPr>
            <w:tcW w:type="dxa" w:w="1680"/>
          </w:tcPr>
          <w:p>
            <w:r>
              <w:rPr>
                <w:rFonts w:ascii="Calibri" w:hAnsi="Calibri"/>
                <w:color w:val="333333"/>
                <w:sz w:val="18"/>
              </w:rPr>
              <w:t>Unknown</w:t>
            </w:r>
          </w:p>
        </w:tc>
        <w:tc>
          <w:tcPr>
            <w:tcW w:type="dxa" w:w="1680"/>
          </w:tcPr>
          <w:p>
            <w:r>
              <w:rPr>
                <w:rFonts w:ascii="Calibri" w:hAnsi="Calibri"/>
                <w:color w:val="333333"/>
                <w:sz w:val="18"/>
              </w:rPr>
              <w:t>-6.8%</w:t>
            </w:r>
          </w:p>
        </w:tc>
        <w:tc>
          <w:tcPr>
            <w:tcW w:type="dxa" w:w="1680"/>
          </w:tcPr>
          <w:p>
            <w:r>
              <w:rPr>
                <w:rFonts w:ascii="Calibri" w:hAnsi="Calibri"/>
                <w:color w:val="333333"/>
                <w:sz w:val="18"/>
              </w:rPr>
              <w:t>No</w:t>
            </w:r>
          </w:p>
        </w:tc>
      </w:tr>
    </w:tbl>
    <w:p>
      <w:pPr>
        <w:pStyle w:val="DOBody"/>
      </w:pPr>
      <w:r>
        <w:t>Class Period Potential: 8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NEUTRAL</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83.3%</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5</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6</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0</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Washington Robin L</w:t>
            </w:r>
          </w:p>
        </w:tc>
        <w:tc>
          <w:tcPr>
            <w:tcW w:type="dxa" w:w="1440"/>
          </w:tcPr>
          <w:p>
            <w:r>
              <w:rPr>
                <w:rFonts w:ascii="Calibri" w:hAnsi="Calibri"/>
                <w:color w:val="333333"/>
                <w:sz w:val="18"/>
              </w:rPr>
              <w:t>President and COFO</w:t>
            </w:r>
          </w:p>
        </w:tc>
        <w:tc>
          <w:tcPr>
            <w:tcW w:type="dxa" w:w="1440"/>
          </w:tcPr>
          <w:p>
            <w:r>
              <w:rPr>
                <w:rFonts w:ascii="Calibri" w:hAnsi="Calibri"/>
                <w:color w:val="333333"/>
                <w:sz w:val="18"/>
              </w:rPr>
              <w:t>EXERCISE</w:t>
            </w:r>
          </w:p>
        </w:tc>
        <w:tc>
          <w:tcPr>
            <w:tcW w:type="dxa" w:w="1440"/>
          </w:tcPr>
          <w:p>
            <w:r>
              <w:rPr>
                <w:rFonts w:ascii="Calibri" w:hAnsi="Calibri"/>
                <w:color w:val="333333"/>
                <w:sz w:val="18"/>
              </w:rPr>
              <w:t>7,323</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Washington Robin L</w:t>
            </w:r>
          </w:p>
        </w:tc>
        <w:tc>
          <w:tcPr>
            <w:tcW w:type="dxa" w:w="1440"/>
            <w:shd w:fill="F2F4F8" w:val="clear"/>
          </w:tcPr>
          <w:p>
            <w:r>
              <w:rPr>
                <w:rFonts w:ascii="Calibri" w:hAnsi="Calibri"/>
                <w:color w:val="333333"/>
                <w:sz w:val="18"/>
              </w:rPr>
              <w:t>President and COFO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7,323</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Washington Robin L</w:t>
            </w:r>
          </w:p>
        </w:tc>
        <w:tc>
          <w:tcPr>
            <w:tcW w:type="dxa" w:w="1440"/>
          </w:tcPr>
          <w:p>
            <w:r>
              <w:rPr>
                <w:rFonts w:ascii="Calibri" w:hAnsi="Calibri"/>
                <w:color w:val="333333"/>
                <w:sz w:val="18"/>
              </w:rPr>
              <w:t>President and COFO</w:t>
            </w:r>
          </w:p>
        </w:tc>
        <w:tc>
          <w:tcPr>
            <w:tcW w:type="dxa" w:w="1440"/>
          </w:tcPr>
          <w:p>
            <w:r>
              <w:rPr>
                <w:rFonts w:ascii="Calibri" w:hAnsi="Calibri"/>
                <w:color w:val="333333"/>
                <w:sz w:val="18"/>
              </w:rPr>
              <w:t>TAX_WITHHOLD</w:t>
            </w:r>
          </w:p>
        </w:tc>
        <w:tc>
          <w:tcPr>
            <w:tcW w:type="dxa" w:w="1440"/>
          </w:tcPr>
          <w:p>
            <w:r>
              <w:rPr>
                <w:rFonts w:ascii="Calibri" w:hAnsi="Calibri"/>
                <w:color w:val="333333"/>
                <w:sz w:val="18"/>
              </w:rPr>
              <w:t>2,864</w:t>
            </w:r>
          </w:p>
        </w:tc>
        <w:tc>
          <w:tcPr>
            <w:tcW w:type="dxa" w:w="1440"/>
          </w:tcPr>
          <w:p>
            <w:r>
              <w:rPr>
                <w:rFonts w:ascii="Calibri" w:hAnsi="Calibri"/>
                <w:color w:val="333333"/>
                <w:sz w:val="18"/>
              </w:rPr>
              <w:t>$559.6K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Washington Robin L</w:t>
            </w:r>
          </w:p>
        </w:tc>
        <w:tc>
          <w:tcPr>
            <w:tcW w:type="dxa" w:w="1440"/>
            <w:shd w:fill="F2F4F8" w:val="clear"/>
          </w:tcPr>
          <w:p>
            <w:r>
              <w:rPr>
                <w:rFonts w:ascii="Calibri" w:hAnsi="Calibri"/>
                <w:color w:val="333333"/>
                <w:sz w:val="18"/>
              </w:rPr>
              <w:t>President and COFO</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58,352</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Washington Robin L</w:t>
            </w:r>
          </w:p>
        </w:tc>
        <w:tc>
          <w:tcPr>
            <w:tcW w:type="dxa" w:w="1440"/>
          </w:tcPr>
          <w:p>
            <w:r>
              <w:rPr>
                <w:rFonts w:ascii="Calibri" w:hAnsi="Calibri"/>
                <w:color w:val="333333"/>
                <w:sz w:val="18"/>
              </w:rPr>
              <w:t>President and COFO</w:t>
            </w:r>
          </w:p>
        </w:tc>
        <w:tc>
          <w:tcPr>
            <w:tcW w:type="dxa" w:w="1440"/>
          </w:tcPr>
          <w:p>
            <w:r>
              <w:rPr>
                <w:rFonts w:ascii="Calibri" w:hAnsi="Calibri"/>
                <w:color w:val="333333"/>
                <w:sz w:val="18"/>
              </w:rPr>
              <w:t>GRANT</w:t>
            </w:r>
          </w:p>
        </w:tc>
        <w:tc>
          <w:tcPr>
            <w:tcW w:type="dxa" w:w="1440"/>
          </w:tcPr>
          <w:p>
            <w:r>
              <w:rPr>
                <w:rFonts w:ascii="Calibri" w:hAnsi="Calibri"/>
                <w:color w:val="333333"/>
                <w:sz w:val="18"/>
              </w:rPr>
              <w:t>47,059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Milano Miguel</w:t>
            </w:r>
          </w:p>
        </w:tc>
        <w:tc>
          <w:tcPr>
            <w:tcW w:type="dxa" w:w="1440"/>
            <w:shd w:fill="F2F4F8" w:val="clear"/>
          </w:tcPr>
          <w:p>
            <w:r>
              <w:rPr>
                <w:rFonts w:ascii="Calibri" w:hAnsi="Calibri"/>
                <w:color w:val="333333"/>
                <w:sz w:val="18"/>
              </w:rPr>
              <w:t>President and CRO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1,015</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Milano Miguel</w:t>
            </w:r>
          </w:p>
        </w:tc>
        <w:tc>
          <w:tcPr>
            <w:tcW w:type="dxa" w:w="1440"/>
          </w:tcPr>
          <w:p>
            <w:r>
              <w:rPr>
                <w:rFonts w:ascii="Calibri" w:hAnsi="Calibri"/>
                <w:color w:val="333333"/>
                <w:sz w:val="18"/>
              </w:rPr>
              <w:t>President and CRO</w:t>
            </w:r>
          </w:p>
        </w:tc>
        <w:tc>
          <w:tcPr>
            <w:tcW w:type="dxa" w:w="1440"/>
          </w:tcPr>
          <w:p>
            <w:r>
              <w:rPr>
                <w:rFonts w:ascii="Calibri" w:hAnsi="Calibri"/>
                <w:color w:val="333333"/>
                <w:sz w:val="18"/>
              </w:rPr>
              <w:t>EXERCISE</w:t>
            </w:r>
          </w:p>
        </w:tc>
        <w:tc>
          <w:tcPr>
            <w:tcW w:type="dxa" w:w="1440"/>
          </w:tcPr>
          <w:p>
            <w:r>
              <w:rPr>
                <w:rFonts w:ascii="Calibri" w:hAnsi="Calibri"/>
                <w:color w:val="333333"/>
                <w:sz w:val="18"/>
              </w:rPr>
              <w:t>6,103</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Milano Miguel</w:t>
            </w:r>
          </w:p>
        </w:tc>
        <w:tc>
          <w:tcPr>
            <w:tcW w:type="dxa" w:w="1440"/>
            <w:shd w:fill="F2F4F8" w:val="clear"/>
          </w:tcPr>
          <w:p>
            <w:r>
              <w:rPr>
                <w:rFonts w:ascii="Calibri" w:hAnsi="Calibri"/>
                <w:color w:val="333333"/>
                <w:sz w:val="18"/>
              </w:rPr>
              <w:t>President and CRO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1,015</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Milano Miguel</w:t>
            </w:r>
          </w:p>
        </w:tc>
        <w:tc>
          <w:tcPr>
            <w:tcW w:type="dxa" w:w="1440"/>
          </w:tcPr>
          <w:p>
            <w:r>
              <w:rPr>
                <w:rFonts w:ascii="Calibri" w:hAnsi="Calibri"/>
                <w:color w:val="333333"/>
                <w:sz w:val="18"/>
              </w:rPr>
              <w:t>President and CRO</w:t>
            </w:r>
          </w:p>
        </w:tc>
        <w:tc>
          <w:tcPr>
            <w:tcW w:type="dxa" w:w="1440"/>
          </w:tcPr>
          <w:p>
            <w:r>
              <w:rPr>
                <w:rFonts w:ascii="Calibri" w:hAnsi="Calibri"/>
                <w:color w:val="333333"/>
                <w:sz w:val="18"/>
              </w:rPr>
              <w:t>EXERCISE</w:t>
            </w:r>
          </w:p>
        </w:tc>
        <w:tc>
          <w:tcPr>
            <w:tcW w:type="dxa" w:w="1440"/>
          </w:tcPr>
          <w:p>
            <w:r>
              <w:rPr>
                <w:rFonts w:ascii="Calibri" w:hAnsi="Calibri"/>
                <w:color w:val="333333"/>
                <w:sz w:val="18"/>
              </w:rPr>
              <w:t>6,103</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Milano Miguel</w:t>
            </w:r>
          </w:p>
        </w:tc>
        <w:tc>
          <w:tcPr>
            <w:tcW w:type="dxa" w:w="1440"/>
            <w:shd w:fill="F2F4F8" w:val="clear"/>
          </w:tcPr>
          <w:p>
            <w:r>
              <w:rPr>
                <w:rFonts w:ascii="Calibri" w:hAnsi="Calibri"/>
                <w:color w:val="333333"/>
                <w:sz w:val="18"/>
              </w:rPr>
              <w:t>President and CRO</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248</w:t>
            </w:r>
          </w:p>
        </w:tc>
        <w:tc>
          <w:tcPr>
            <w:tcW w:type="dxa" w:w="1440"/>
            <w:shd w:fill="F2F4F8" w:val="clear"/>
          </w:tcPr>
          <w:p>
            <w:r>
              <w:rPr>
                <w:rFonts w:ascii="Calibri" w:hAnsi="Calibri"/>
                <w:color w:val="333333"/>
                <w:sz w:val="18"/>
              </w:rPr>
              <w:t>$48.5K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Milano Miguel</w:t>
            </w:r>
          </w:p>
        </w:tc>
        <w:tc>
          <w:tcPr>
            <w:tcW w:type="dxa" w:w="1440"/>
          </w:tcPr>
          <w:p>
            <w:r>
              <w:rPr>
                <w:rFonts w:ascii="Calibri" w:hAnsi="Calibri"/>
                <w:color w:val="333333"/>
                <w:sz w:val="18"/>
              </w:rPr>
              <w:t>President and CRO</w:t>
            </w:r>
          </w:p>
        </w:tc>
        <w:tc>
          <w:tcPr>
            <w:tcW w:type="dxa" w:w="1440"/>
          </w:tcPr>
          <w:p>
            <w:r>
              <w:rPr>
                <w:rFonts w:ascii="Calibri" w:hAnsi="Calibri"/>
                <w:color w:val="333333"/>
                <w:sz w:val="18"/>
              </w:rPr>
              <w:t>TAX_WITHHOLD</w:t>
            </w:r>
          </w:p>
        </w:tc>
        <w:tc>
          <w:tcPr>
            <w:tcW w:type="dxa" w:w="1440"/>
          </w:tcPr>
          <w:p>
            <w:r>
              <w:rPr>
                <w:rFonts w:ascii="Calibri" w:hAnsi="Calibri"/>
                <w:color w:val="333333"/>
                <w:sz w:val="18"/>
              </w:rPr>
              <w:t>2,040</w:t>
            </w:r>
          </w:p>
        </w:tc>
        <w:tc>
          <w:tcPr>
            <w:tcW w:type="dxa" w:w="1440"/>
          </w:tcPr>
          <w:p>
            <w:r>
              <w:rPr>
                <w:rFonts w:ascii="Calibri" w:hAnsi="Calibri"/>
                <w:color w:val="333333"/>
                <w:sz w:val="18"/>
              </w:rPr>
              <w:t>$398.6K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Milano Miguel</w:t>
            </w:r>
          </w:p>
        </w:tc>
        <w:tc>
          <w:tcPr>
            <w:tcW w:type="dxa" w:w="1440"/>
            <w:shd w:fill="F2F4F8" w:val="clear"/>
          </w:tcPr>
          <w:p>
            <w:r>
              <w:rPr>
                <w:rFonts w:ascii="Calibri" w:hAnsi="Calibri"/>
                <w:color w:val="333333"/>
                <w:sz w:val="18"/>
              </w:rPr>
              <w:t>President and CRO</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16,084</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Milano Miguel</w:t>
            </w:r>
          </w:p>
        </w:tc>
        <w:tc>
          <w:tcPr>
            <w:tcW w:type="dxa" w:w="1440"/>
          </w:tcPr>
          <w:p>
            <w:r>
              <w:rPr>
                <w:rFonts w:ascii="Calibri" w:hAnsi="Calibri"/>
                <w:color w:val="333333"/>
                <w:sz w:val="18"/>
              </w:rPr>
              <w:t>President and CRO</w:t>
            </w:r>
          </w:p>
        </w:tc>
        <w:tc>
          <w:tcPr>
            <w:tcW w:type="dxa" w:w="1440"/>
          </w:tcPr>
          <w:p>
            <w:r>
              <w:rPr>
                <w:rFonts w:ascii="Calibri" w:hAnsi="Calibri"/>
                <w:color w:val="333333"/>
                <w:sz w:val="18"/>
              </w:rPr>
              <w:t>GRANT</w:t>
            </w:r>
          </w:p>
        </w:tc>
        <w:tc>
          <w:tcPr>
            <w:tcW w:type="dxa" w:w="1440"/>
          </w:tcPr>
          <w:p>
            <w:r>
              <w:rPr>
                <w:rFonts w:ascii="Calibri" w:hAnsi="Calibri"/>
                <w:color w:val="333333"/>
                <w:sz w:val="18"/>
              </w:rPr>
              <w:t>48,626</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Milano Miguel</w:t>
            </w:r>
          </w:p>
        </w:tc>
        <w:tc>
          <w:tcPr>
            <w:tcW w:type="dxa" w:w="1440"/>
            <w:shd w:fill="F2F4F8" w:val="clear"/>
          </w:tcPr>
          <w:p>
            <w:r>
              <w:rPr>
                <w:rFonts w:ascii="Calibri" w:hAnsi="Calibri"/>
                <w:color w:val="333333"/>
                <w:sz w:val="18"/>
              </w:rPr>
              <w:t>President and CRO</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47,059</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Niles Sabastian</w:t>
            </w:r>
          </w:p>
        </w:tc>
        <w:tc>
          <w:tcPr>
            <w:tcW w:type="dxa" w:w="1440"/>
          </w:tcPr>
          <w:p>
            <w:r>
              <w:rPr>
                <w:rFonts w:ascii="Calibri" w:hAnsi="Calibri"/>
                <w:color w:val="333333"/>
                <w:sz w:val="18"/>
              </w:rPr>
              <w:t>President and CLO</w:t>
            </w:r>
          </w:p>
        </w:tc>
        <w:tc>
          <w:tcPr>
            <w:tcW w:type="dxa" w:w="1440"/>
          </w:tcPr>
          <w:p>
            <w:r>
              <w:rPr>
                <w:rFonts w:ascii="Calibri" w:hAnsi="Calibri"/>
                <w:color w:val="333333"/>
                <w:sz w:val="18"/>
              </w:rPr>
              <w:t>EXERCISE</w:t>
            </w:r>
          </w:p>
        </w:tc>
        <w:tc>
          <w:tcPr>
            <w:tcW w:type="dxa" w:w="1440"/>
          </w:tcPr>
          <w:p>
            <w:r>
              <w:rPr>
                <w:rFonts w:ascii="Calibri" w:hAnsi="Calibri"/>
                <w:color w:val="333333"/>
                <w:sz w:val="18"/>
              </w:rPr>
              <w:t>1,015</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Niles Sabastian</w:t>
            </w:r>
          </w:p>
        </w:tc>
        <w:tc>
          <w:tcPr>
            <w:tcW w:type="dxa" w:w="1440"/>
            <w:shd w:fill="F2F4F8" w:val="clear"/>
          </w:tcPr>
          <w:p>
            <w:r>
              <w:rPr>
                <w:rFonts w:ascii="Calibri" w:hAnsi="Calibri"/>
                <w:color w:val="333333"/>
                <w:sz w:val="18"/>
              </w:rPr>
              <w:t>President and CLO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4,068</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Niles Sabastian</w:t>
            </w:r>
          </w:p>
        </w:tc>
        <w:tc>
          <w:tcPr>
            <w:tcW w:type="dxa" w:w="1440"/>
          </w:tcPr>
          <w:p>
            <w:r>
              <w:rPr>
                <w:rFonts w:ascii="Calibri" w:hAnsi="Calibri"/>
                <w:color w:val="333333"/>
                <w:sz w:val="18"/>
              </w:rPr>
              <w:t>President and CLO</w:t>
            </w:r>
          </w:p>
        </w:tc>
        <w:tc>
          <w:tcPr>
            <w:tcW w:type="dxa" w:w="1440"/>
          </w:tcPr>
          <w:p>
            <w:r>
              <w:rPr>
                <w:rFonts w:ascii="Calibri" w:hAnsi="Calibri"/>
                <w:color w:val="333333"/>
                <w:sz w:val="18"/>
              </w:rPr>
              <w:t>EXERCISE</w:t>
            </w:r>
          </w:p>
        </w:tc>
        <w:tc>
          <w:tcPr>
            <w:tcW w:type="dxa" w:w="1440"/>
          </w:tcPr>
          <w:p>
            <w:r>
              <w:rPr>
                <w:rFonts w:ascii="Calibri" w:hAnsi="Calibri"/>
                <w:color w:val="333333"/>
                <w:sz w:val="18"/>
              </w:rPr>
              <w:t>1,015</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Niles Sabastian</w:t>
            </w:r>
          </w:p>
        </w:tc>
        <w:tc>
          <w:tcPr>
            <w:tcW w:type="dxa" w:w="1440"/>
            <w:shd w:fill="F2F4F8" w:val="clear"/>
          </w:tcPr>
          <w:p>
            <w:r>
              <w:rPr>
                <w:rFonts w:ascii="Calibri" w:hAnsi="Calibri"/>
                <w:color w:val="333333"/>
                <w:sz w:val="18"/>
              </w:rPr>
              <w:t>President and CLO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4,068</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2026-03-22</w:t>
            </w:r>
          </w:p>
        </w:tc>
        <w:tc>
          <w:tcPr>
            <w:tcW w:type="dxa" w:w="1440"/>
          </w:tcPr>
          <w:p>
            <w:r>
              <w:rPr>
                <w:rFonts w:ascii="Calibri" w:hAnsi="Calibri"/>
                <w:color w:val="333333"/>
                <w:sz w:val="18"/>
              </w:rPr>
              <w:t>Niles Sabastian</w:t>
            </w:r>
          </w:p>
        </w:tc>
        <w:tc>
          <w:tcPr>
            <w:tcW w:type="dxa" w:w="1440"/>
          </w:tcPr>
          <w:p>
            <w:r>
              <w:rPr>
                <w:rFonts w:ascii="Calibri" w:hAnsi="Calibri"/>
                <w:color w:val="333333"/>
                <w:sz w:val="18"/>
              </w:rPr>
              <w:t>President and CLO</w:t>
            </w:r>
          </w:p>
        </w:tc>
        <w:tc>
          <w:tcPr>
            <w:tcW w:type="dxa" w:w="1440"/>
          </w:tcPr>
          <w:p>
            <w:r>
              <w:rPr>
                <w:rFonts w:ascii="Calibri" w:hAnsi="Calibri"/>
                <w:color w:val="333333"/>
                <w:sz w:val="18"/>
              </w:rPr>
              <w:t>TAX_WITHHOLD</w:t>
            </w:r>
          </w:p>
        </w:tc>
        <w:tc>
          <w:tcPr>
            <w:tcW w:type="dxa" w:w="1440"/>
          </w:tcPr>
          <w:p>
            <w:r>
              <w:rPr>
                <w:rFonts w:ascii="Calibri" w:hAnsi="Calibri"/>
                <w:color w:val="333333"/>
                <w:sz w:val="18"/>
              </w:rPr>
              <w:t>410</w:t>
            </w:r>
          </w:p>
        </w:tc>
        <w:tc>
          <w:tcPr>
            <w:tcW w:type="dxa" w:w="1440"/>
          </w:tcPr>
          <w:p>
            <w:r>
              <w:rPr>
                <w:rFonts w:ascii="Calibri" w:hAnsi="Calibri"/>
                <w:color w:val="333333"/>
                <w:sz w:val="18"/>
              </w:rPr>
              <w:t>$80.1K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2026-03-22</w:t>
            </w:r>
          </w:p>
        </w:tc>
        <w:tc>
          <w:tcPr>
            <w:tcW w:type="dxa" w:w="1440"/>
            <w:shd w:fill="F2F4F8" w:val="clear"/>
          </w:tcPr>
          <w:p>
            <w:r>
              <w:rPr>
                <w:rFonts w:ascii="Calibri" w:hAnsi="Calibri"/>
                <w:color w:val="333333"/>
                <w:sz w:val="18"/>
              </w:rPr>
              <w:t>Niles Sabastian</w:t>
            </w:r>
          </w:p>
        </w:tc>
        <w:tc>
          <w:tcPr>
            <w:tcW w:type="dxa" w:w="1440"/>
            <w:shd w:fill="F2F4F8" w:val="clear"/>
          </w:tcPr>
          <w:p>
            <w:r>
              <w:rPr>
                <w:rFonts w:ascii="Calibri" w:hAnsi="Calibri"/>
                <w:color w:val="333333"/>
                <w:sz w:val="18"/>
              </w:rPr>
              <w:t>President and CLO</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1,871</w:t>
            </w:r>
          </w:p>
        </w:tc>
        <w:tc>
          <w:tcPr>
            <w:tcW w:type="dxa" w:w="1440"/>
            <w:shd w:fill="F2F4F8" w:val="clear"/>
          </w:tcPr>
          <w:p>
            <w:r>
              <w:rPr>
                <w:rFonts w:ascii="Calibri" w:hAnsi="Calibri"/>
                <w:color w:val="333333"/>
                <w:sz w:val="18"/>
              </w:rPr>
              <w:t>$365.6K</w:t>
            </w:r>
          </w:p>
        </w:tc>
        <w:tc>
          <w:tcPr>
            <w:tcW w:type="dxa" w:w="1440"/>
            <w:shd w:fill="F2F4F8" w:val="clear"/>
          </w:tcPr>
          <w:p>
            <w:r>
              <w:rPr>
                <w:rFonts w:ascii="Calibri" w:hAnsi="Calibri"/>
                <w:color w:val="333333"/>
                <w:sz w:val="18"/>
              </w:rPr>
              <w:t>No (Discretionary)</w:t>
            </w:r>
          </w:p>
        </w:tc>
      </w:tr>
    </w:tbl>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Salesforce's total revenue declined 16% from $41.53 billion to $34.86 billion, and net income fell 45% from $7.46 billion to $4.14 billion, compressing operating margins from 20.1% to 14.4% and creating a stark narrative for a Section 10(b) suit if management's growth forecasts were issued during this contraction. The Altman Z-Score of 2.78 sits in the grey zone, perilously close to the distress threshold of 1.81, which plaintiffs' counsel would leverage to allege a concealed going-concern risk despite the current clean audit opinion from Ernst &amp; Young after 24 years. A strong Beneish M-Score of -2.64 and a Piotroski F-Score of 7 contradict the income statement deterioration, suggesting the core risk is operational execution issues rather than accounting manipulation, which focuses plaintiff allegations on strategic oversight failures. The critically low current and quick ratios of 0.76, against a robust interest coverage of 25.7 and low debt-to-equity of 0.24, paints a picture of a cash-conversion cycle problem, not insolvency—a nuanced but real exposure for directors overseeing capital allocation and liquidity management. Any guidance miss or restructuring charge could trigger a shareholder class action alleging the board failed to adapt operational spend to the new revenue reality, particularly given the 21 triggered financial checks from a total of 134 monitored.</w:t>
      </w:r>
    </w:p>
    <w:p>
      <w:pPr>
        <w:pStyle w:val="DOHeading1"/>
      </w:pPr>
      <w:r>
        <w:t>Section 3: Financial Health</w:t>
      </w:r>
    </w:p>
    <w:p>
      <w:pPr>
        <w:pStyle w:val="DOBody"/>
      </w:pPr>
      <w:r>
        <w:t>The company reported revenue of $34.9B and net income of $4.1B (per FY2024 10-K, Company Facts API CIK1108524). Revenue declined 16.1% year-over-year (from $41.5B). Net income declined 44.5% YoY, a material deterioration that may attract plaintiff scrutiny. Distress indicators show mixed signals: Z-Score 2.78 (grey zone) and O-Score 0.00 (safe zone). Financial stress could limit litigation defense resources. Piotroski F-Score of 7/9 indicates strong fundamental quality. Capital structure is conservative with D/E ratio of 0.24, providing meaningful headroom against financial covenant triggers. Earnings quality is healthy (OCF/NI: 2.01), indicating reported income is well-supported by operating cash flows -- reducing restatement risk. Auditor: Ernst &amp; Young (Big 4), tenure: 24 years -- extended tenure may raise independence concerns.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$34.9B</w:t>
            </w:r>
          </w:p>
        </w:tc>
        <w:tc>
          <w:tcPr>
            <w:tcW w:type="dxa" w:w="2520"/>
          </w:tcPr>
          <w:p>
            <w:r>
              <w:rPr>
                <w:rFonts w:ascii="Calibri" w:hAnsi="Calibri"/>
                <w:color w:val="333333"/>
                <w:sz w:val="18"/>
              </w:rPr>
              <w:t>$41.5B</w:t>
            </w:r>
          </w:p>
        </w:tc>
        <w:tc>
          <w:tcPr>
            <w:tcW w:type="dxa" w:w="2520"/>
            <w:shd w:fill="DCEEF8" w:val="clear"/>
          </w:tcPr>
          <w:p>
            <w:r>
              <w:rPr>
                <w:rFonts w:ascii="Calibri" w:hAnsi="Calibri"/>
                <w:color w:val="333333"/>
                <w:sz w:val="18"/>
              </w:rPr>
              <w:t>19.1%</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$8.5B</w:t>
            </w:r>
          </w:p>
        </w:tc>
        <w:tc>
          <w:tcPr>
            <w:tcW w:type="dxa" w:w="2520"/>
            <w:shd w:fill="F2F4F8" w:val="clear"/>
          </w:tcPr>
          <w:p>
            <w:r>
              <w:rPr>
                <w:rFonts w:ascii="Calibri" w:hAnsi="Calibri"/>
                <w:color w:val="333333"/>
                <w:sz w:val="18"/>
              </w:rPr>
              <w:t>$9.3B</w:t>
            </w:r>
          </w:p>
        </w:tc>
        <w:tc>
          <w:tcPr>
            <w:tcW w:type="dxa" w:w="2520"/>
            <w:shd w:fill="F2F4F8" w:val="clear"/>
            <w:shd w:fill="FFF3CD" w:val="clear"/>
          </w:tcPr>
          <w:p>
            <w:r>
              <w:rPr>
                <w:rFonts w:ascii="Calibri" w:hAnsi="Calibri"/>
                <w:color w:val="333333"/>
                <w:sz w:val="18"/>
              </w:rPr>
              <w:t>8.5%</w:t>
            </w:r>
          </w:p>
        </w:tc>
      </w:tr>
      <w:tr>
        <w:tc>
          <w:tcPr>
            <w:tcW w:type="dxa" w:w="2520"/>
          </w:tcPr>
          <w:p>
            <w:r>
              <w:rPr>
                <w:rFonts w:ascii="Calibri" w:hAnsi="Calibri"/>
                <w:color w:val="333333"/>
                <w:sz w:val="18"/>
              </w:rPr>
              <w:t>Gross profit</w:t>
            </w:r>
          </w:p>
        </w:tc>
        <w:tc>
          <w:tcPr>
            <w:tcW w:type="dxa" w:w="2520"/>
          </w:tcPr>
          <w:p>
            <w:r>
              <w:rPr>
                <w:rFonts w:ascii="Calibri" w:hAnsi="Calibri"/>
                <w:color w:val="333333"/>
                <w:sz w:val="18"/>
              </w:rPr>
              <w:t>$26.3B</w:t>
            </w:r>
          </w:p>
        </w:tc>
        <w:tc>
          <w:tcPr>
            <w:tcW w:type="dxa" w:w="2520"/>
          </w:tcPr>
          <w:p>
            <w:r>
              <w:rPr>
                <w:rFonts w:ascii="Calibri" w:hAnsi="Calibri"/>
                <w:color w:val="333333"/>
                <w:sz w:val="18"/>
              </w:rPr>
              <w:t>$32.3B</w:t>
            </w:r>
          </w:p>
        </w:tc>
        <w:tc>
          <w:tcPr>
            <w:tcW w:type="dxa" w:w="2520"/>
            <w:shd w:fill="DCEEF8" w:val="clear"/>
          </w:tcPr>
          <w:p>
            <w:r>
              <w:rPr>
                <w:rFonts w:ascii="Calibri" w:hAnsi="Calibri"/>
                <w:color w:val="333333"/>
                <w:sz w:val="18"/>
              </w:rPr>
              <w:t>22.6%</w:t>
            </w:r>
          </w:p>
        </w:tc>
      </w:tr>
      <w:tr>
        <w:tc>
          <w:tcPr>
            <w:tcW w:type="dxa" w:w="2520"/>
            <w:shd w:fill="F2F4F8" w:val="clear"/>
          </w:tcPr>
          <w:p>
            <w:r>
              <w:rPr>
                <w:rFonts w:ascii="Calibri" w:hAnsi="Calibri"/>
                <w:color w:val="333333"/>
                <w:sz w:val="18"/>
              </w:rPr>
              <w:t>Operating income / loss</w:t>
            </w:r>
          </w:p>
        </w:tc>
        <w:tc>
          <w:tcPr>
            <w:tcW w:type="dxa" w:w="2520"/>
            <w:shd w:fill="F2F4F8" w:val="clear"/>
          </w:tcPr>
          <w:p>
            <w:r>
              <w:rPr>
                <w:rFonts w:ascii="Calibri" w:hAnsi="Calibri"/>
                <w:color w:val="333333"/>
                <w:sz w:val="18"/>
              </w:rPr>
              <w:t>$5.0B</w:t>
            </w:r>
          </w:p>
        </w:tc>
        <w:tc>
          <w:tcPr>
            <w:tcW w:type="dxa" w:w="2520"/>
            <w:shd w:fill="F2F4F8" w:val="clear"/>
          </w:tcPr>
          <w:p>
            <w:r>
              <w:rPr>
                <w:rFonts w:ascii="Calibri" w:hAnsi="Calibri"/>
                <w:color w:val="333333"/>
                <w:sz w:val="18"/>
              </w:rPr>
              <w:t>$8.3B</w:t>
            </w:r>
          </w:p>
        </w:tc>
        <w:tc>
          <w:tcPr>
            <w:tcW w:type="dxa" w:w="2520"/>
            <w:shd w:fill="F2F4F8" w:val="clear"/>
            <w:shd w:fill="DCEEF8" w:val="clear"/>
          </w:tcPr>
          <w:p>
            <w:r>
              <w:rPr>
                <w:rFonts w:ascii="Calibri" w:hAnsi="Calibri"/>
                <w:color w:val="333333"/>
                <w:sz w:val="18"/>
              </w:rPr>
              <w:t>66.2%</w:t>
            </w:r>
          </w:p>
        </w:tc>
      </w:tr>
      <w:tr>
        <w:tc>
          <w:tcPr>
            <w:tcW w:type="dxa" w:w="2520"/>
          </w:tcPr>
          <w:p>
            <w:r>
              <w:rPr>
                <w:rFonts w:ascii="Calibri" w:hAnsi="Calibri"/>
                <w:color w:val="333333"/>
                <w:sz w:val="18"/>
              </w:rPr>
              <w:t>Net income / net loss</w:t>
            </w:r>
          </w:p>
        </w:tc>
        <w:tc>
          <w:tcPr>
            <w:tcW w:type="dxa" w:w="2520"/>
          </w:tcPr>
          <w:p>
            <w:r>
              <w:rPr>
                <w:rFonts w:ascii="Calibri" w:hAnsi="Calibri"/>
                <w:color w:val="333333"/>
                <w:sz w:val="18"/>
              </w:rPr>
              <w:t>$4.1B</w:t>
            </w:r>
          </w:p>
        </w:tc>
        <w:tc>
          <w:tcPr>
            <w:tcW w:type="dxa" w:w="2520"/>
          </w:tcPr>
          <w:p>
            <w:r>
              <w:rPr>
                <w:rFonts w:ascii="Calibri" w:hAnsi="Calibri"/>
                <w:color w:val="333333"/>
                <w:sz w:val="18"/>
              </w:rPr>
              <w:t>$7.5B</w:t>
            </w:r>
          </w:p>
        </w:tc>
        <w:tc>
          <w:tcPr>
            <w:tcW w:type="dxa" w:w="2520"/>
            <w:shd w:fill="DCEEF8" w:val="clear"/>
          </w:tcPr>
          <w:p>
            <w:r>
              <w:rPr>
                <w:rFonts w:ascii="Calibri" w:hAnsi="Calibri"/>
                <w:color w:val="333333"/>
                <w:sz w:val="18"/>
              </w:rPr>
              <w:t>80.3%</w:t>
            </w:r>
          </w:p>
        </w:tc>
      </w:tr>
      <w:tr>
        <w:tc>
          <w:tcPr>
            <w:tcW w:type="dxa" w:w="2520"/>
            <w:shd w:fill="F2F4F8" w:val="clear"/>
          </w:tcPr>
          <w:p>
            <w:r>
              <w:rPr>
                <w:rFonts w:ascii="Calibri" w:hAnsi="Calibri"/>
                <w:color w:val="333333"/>
                <w:sz w:val="18"/>
              </w:rPr>
              <w:t>Basic earnings per share</w:t>
            </w:r>
          </w:p>
        </w:tc>
        <w:tc>
          <w:tcPr>
            <w:tcW w:type="dxa" w:w="2520"/>
            <w:shd w:fill="F2F4F8" w:val="clear"/>
          </w:tcPr>
          <w:p>
            <w:r>
              <w:rPr>
                <w:rFonts w:ascii="Calibri" w:hAnsi="Calibri"/>
                <w:color w:val="333333"/>
                <w:sz w:val="18"/>
              </w:rPr>
              <w:t>$4.25</w:t>
            </w:r>
          </w:p>
        </w:tc>
        <w:tc>
          <w:tcPr>
            <w:tcW w:type="dxa" w:w="2520"/>
            <w:shd w:fill="F2F4F8" w:val="clear"/>
          </w:tcPr>
          <w:p>
            <w:r>
              <w:rPr>
                <w:rFonts w:ascii="Calibri" w:hAnsi="Calibri"/>
                <w:color w:val="333333"/>
                <w:sz w:val="18"/>
              </w:rPr>
              <w:t>$7.85</w:t>
            </w:r>
          </w:p>
        </w:tc>
        <w:tc>
          <w:tcPr>
            <w:tcW w:type="dxa" w:w="2520"/>
            <w:shd w:fill="F2F4F8" w:val="clear"/>
            <w:shd w:fill="DCEEF8" w:val="clear"/>
          </w:tcPr>
          <w:p>
            <w:r>
              <w:rPr>
                <w:rFonts w:ascii="Calibri" w:hAnsi="Calibri"/>
                <w:color w:val="333333"/>
                <w:sz w:val="18"/>
              </w:rPr>
              <w:t>84.7%</w:t>
            </w:r>
          </w:p>
        </w:tc>
      </w:tr>
      <w:tr>
        <w:tc>
          <w:tcPr>
            <w:tcW w:type="dxa" w:w="2520"/>
          </w:tcPr>
          <w:p>
            <w:r>
              <w:rPr>
                <w:rFonts w:ascii="Calibri" w:hAnsi="Calibri"/>
                <w:color w:val="333333"/>
                <w:sz w:val="18"/>
              </w:rPr>
              <w:t>Diluted earnings per share</w:t>
            </w:r>
          </w:p>
        </w:tc>
        <w:tc>
          <w:tcPr>
            <w:tcW w:type="dxa" w:w="2520"/>
          </w:tcPr>
          <w:p>
            <w:r>
              <w:rPr>
                <w:rFonts w:ascii="Calibri" w:hAnsi="Calibri"/>
                <w:color w:val="333333"/>
                <w:sz w:val="18"/>
              </w:rPr>
              <w:t>$4.20</w:t>
            </w:r>
          </w:p>
        </w:tc>
        <w:tc>
          <w:tcPr>
            <w:tcW w:type="dxa" w:w="2520"/>
          </w:tcPr>
          <w:p>
            <w:r>
              <w:rPr>
                <w:rFonts w:ascii="Calibri" w:hAnsi="Calibri"/>
                <w:color w:val="333333"/>
                <w:sz w:val="18"/>
              </w:rPr>
              <w:t>$7.80</w:t>
            </w:r>
          </w:p>
        </w:tc>
        <w:tc>
          <w:tcPr>
            <w:tcW w:type="dxa" w:w="2520"/>
            <w:shd w:fill="DCEEF8" w:val="clear"/>
          </w:tcPr>
          <w:p>
            <w:r>
              <w:rPr>
                <w:rFonts w:ascii="Calibri" w:hAnsi="Calibri"/>
                <w:color w:val="333333"/>
                <w:sz w:val="18"/>
              </w:rPr>
              <w:t>85.7%</w:t>
            </w:r>
          </w:p>
        </w:tc>
      </w:tr>
      <w:tr>
        <w:tc>
          <w:tcPr>
            <w:tcW w:type="dxa" w:w="2520"/>
            <w:shd w:fill="F2F4F8" w:val="clear"/>
          </w:tcPr>
          <w:p>
            <w:r>
              <w:rPr>
                <w:rFonts w:ascii="Calibri" w:hAnsi="Calibri"/>
                <w:color w:val="333333"/>
                <w:sz w:val="18"/>
              </w:rPr>
              <w:t>Interest expense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$324.0M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Income tax expense / benefit</w:t>
            </w:r>
          </w:p>
        </w:tc>
        <w:tc>
          <w:tcPr>
            <w:tcW w:type="dxa" w:w="2520"/>
          </w:tcPr>
          <w:p>
            <w:r>
              <w:rPr>
                <w:rFonts w:ascii="Calibri" w:hAnsi="Calibri"/>
                <w:color w:val="333333"/>
                <w:sz w:val="18"/>
              </w:rPr>
              <w:t>$814.0M</w:t>
            </w:r>
          </w:p>
        </w:tc>
        <w:tc>
          <w:tcPr>
            <w:tcW w:type="dxa" w:w="2520"/>
          </w:tcPr>
          <w:p>
            <w:r>
              <w:rPr>
                <w:rFonts w:ascii="Calibri" w:hAnsi="Calibri"/>
                <w:color w:val="333333"/>
                <w:sz w:val="18"/>
              </w:rPr>
              <w:t>$2.1B</w:t>
            </w:r>
          </w:p>
        </w:tc>
        <w:tc>
          <w:tcPr>
            <w:tcW w:type="dxa" w:w="2520"/>
            <w:shd w:fill="DCEEF8" w:val="clear"/>
          </w:tcPr>
          <w:p>
            <w:r>
              <w:rPr>
                <w:rFonts w:ascii="Calibri" w:hAnsi="Calibri"/>
                <w:color w:val="333333"/>
                <w:sz w:val="18"/>
              </w:rPr>
              <w:t>153.4%</w:t>
            </w:r>
          </w:p>
        </w:tc>
      </w:tr>
      <w:tr>
        <w:tc>
          <w:tcPr>
            <w:tcW w:type="dxa" w:w="2520"/>
            <w:shd w:fill="F2F4F8" w:val="clear"/>
          </w:tcPr>
          <w:p>
            <w:r>
              <w:rPr>
                <w:rFonts w:ascii="Calibri" w:hAnsi="Calibri"/>
                <w:color w:val="333333"/>
                <w:sz w:val="18"/>
              </w:rPr>
              <w:t>Research and development expense</w:t>
            </w:r>
          </w:p>
        </w:tc>
        <w:tc>
          <w:tcPr>
            <w:tcW w:type="dxa" w:w="2520"/>
            <w:shd w:fill="F2F4F8" w:val="clear"/>
          </w:tcPr>
          <w:p>
            <w:r>
              <w:rPr>
                <w:rFonts w:ascii="Calibri" w:hAnsi="Calibri"/>
                <w:color w:val="333333"/>
                <w:sz w:val="18"/>
              </w:rPr>
              <w:t>$4.9B</w:t>
            </w:r>
          </w:p>
        </w:tc>
        <w:tc>
          <w:tcPr>
            <w:tcW w:type="dxa" w:w="2520"/>
            <w:shd w:fill="F2F4F8" w:val="clear"/>
          </w:tcPr>
          <w:p>
            <w:r>
              <w:rPr>
                <w:rFonts w:ascii="Calibri" w:hAnsi="Calibri"/>
                <w:color w:val="333333"/>
                <w:sz w:val="18"/>
              </w:rPr>
              <w:t>$6.0B</w:t>
            </w:r>
          </w:p>
        </w:tc>
        <w:tc>
          <w:tcPr>
            <w:tcW w:type="dxa" w:w="2520"/>
            <w:shd w:fill="F2F4F8" w:val="clear"/>
            <w:shd w:fill="DCEEF8" w:val="clear"/>
          </w:tcPr>
          <w:p>
            <w:r>
              <w:rPr>
                <w:rFonts w:ascii="Calibri" w:hAnsi="Calibri"/>
                <w:color w:val="333333"/>
                <w:sz w:val="18"/>
              </w:rPr>
              <w:t>22.2%</w:t>
            </w:r>
          </w:p>
        </w:tc>
      </w:tr>
      <w:tr>
        <w:tc>
          <w:tcPr>
            <w:tcW w:type="dxa" w:w="2520"/>
          </w:tcPr>
          <w:p>
            <w:r>
              <w:rPr>
                <w:rFonts w:ascii="Calibri" w:hAnsi="Calibri"/>
                <w:color w:val="333333"/>
                <w:sz w:val="18"/>
              </w:rPr>
              <w:t>Selling, general and administrative expense</w:t>
            </w:r>
          </w:p>
        </w:tc>
        <w:tc>
          <w:tcPr>
            <w:tcW w:type="dxa" w:w="2520"/>
          </w:tcPr>
          <w:p>
            <w:r>
              <w:rPr>
                <w:rFonts w:ascii="Calibri" w:hAnsi="Calibri"/>
                <w:color w:val="333333"/>
                <w:sz w:val="18"/>
              </w:rPr>
              <w:t>$2.5B</w:t>
            </w:r>
          </w:p>
        </w:tc>
        <w:tc>
          <w:tcPr>
            <w:tcW w:type="dxa" w:w="2520"/>
          </w:tcPr>
          <w:p>
            <w:r>
              <w:rPr>
                <w:rFonts w:ascii="Calibri" w:hAnsi="Calibri"/>
                <w:color w:val="333333"/>
                <w:sz w:val="18"/>
              </w:rPr>
              <w:t>$3.0B</w:t>
            </w:r>
          </w:p>
        </w:tc>
        <w:tc>
          <w:tcPr>
            <w:tcW w:type="dxa" w:w="2520"/>
            <w:shd w:fill="DCEEF8" w:val="clear"/>
          </w:tcPr>
          <w:p>
            <w:r>
              <w:rPr>
                <w:rFonts w:ascii="Calibri" w:hAnsi="Calibri"/>
                <w:color w:val="333333"/>
                <w:sz w:val="18"/>
              </w:rPr>
              <w:t>18.4%</w:t>
            </w:r>
          </w:p>
        </w:tc>
      </w:tr>
      <w:tr>
        <w:tc>
          <w:tcPr>
            <w:tcW w:type="dxa" w:w="2520"/>
            <w:shd w:fill="F2F4F8" w:val="clear"/>
          </w:tcPr>
          <w:p>
            <w:r>
              <w:rPr>
                <w:rFonts w:ascii="Calibri" w:hAnsi="Calibri"/>
                <w:color w:val="333333"/>
                <w:sz w:val="18"/>
              </w:rPr>
              <w:t>Earnings before interest and taxes (EBIT)</w:t>
            </w:r>
          </w:p>
        </w:tc>
        <w:tc>
          <w:tcPr>
            <w:tcW w:type="dxa" w:w="2520"/>
            <w:shd w:fill="F2F4F8" w:val="clear"/>
          </w:tcPr>
          <w:p>
            <w:r>
              <w:rPr>
                <w:rFonts w:ascii="Calibri" w:hAnsi="Calibri"/>
                <w:color w:val="333333"/>
                <w:sz w:val="18"/>
              </w:rPr>
              <w:t>$5.0B</w:t>
            </w:r>
          </w:p>
        </w:tc>
        <w:tc>
          <w:tcPr>
            <w:tcW w:type="dxa" w:w="2520"/>
            <w:shd w:fill="F2F4F8" w:val="clear"/>
          </w:tcPr>
          <w:p>
            <w:r>
              <w:rPr>
                <w:rFonts w:ascii="Calibri" w:hAnsi="Calibri"/>
                <w:color w:val="333333"/>
                <w:sz w:val="18"/>
              </w:rPr>
              <w:t>$8.3B</w:t>
            </w:r>
          </w:p>
        </w:tc>
        <w:tc>
          <w:tcPr>
            <w:tcW w:type="dxa" w:w="2520"/>
            <w:shd w:fill="F2F4F8" w:val="clear"/>
            <w:shd w:fill="DCEEF8" w:val="clear"/>
          </w:tcPr>
          <w:p>
            <w:r>
              <w:rPr>
                <w:rFonts w:ascii="Calibri" w:hAnsi="Calibri"/>
                <w:color w:val="333333"/>
                <w:sz w:val="18"/>
              </w:rPr>
              <w:t>66.2%</w:t>
            </w:r>
          </w:p>
        </w:tc>
      </w:tr>
      <w:tr>
        <w:tc>
          <w:tcPr>
            <w:tcW w:type="dxa" w:w="2520"/>
          </w:tcPr>
          <w:p>
            <w:r>
              <w:rPr>
                <w:rFonts w:ascii="Calibri" w:hAnsi="Calibri"/>
                <w:color w:val="333333"/>
                <w:sz w:val="18"/>
              </w:rPr>
              <w:t>Weighted average shares outstanding (basic)</w:t>
            </w:r>
          </w:p>
        </w:tc>
        <w:tc>
          <w:tcPr>
            <w:tcW w:type="dxa" w:w="2520"/>
          </w:tcPr>
          <w:p>
            <w:r>
              <w:rPr>
                <w:rFonts w:ascii="Calibri" w:hAnsi="Calibri"/>
                <w:color w:val="333333"/>
                <w:sz w:val="18"/>
              </w:rPr>
              <w:t>974.0M</w:t>
            </w:r>
          </w:p>
        </w:tc>
        <w:tc>
          <w:tcPr>
            <w:tcW w:type="dxa" w:w="2520"/>
          </w:tcPr>
          <w:p>
            <w:r>
              <w:rPr>
                <w:rFonts w:ascii="Calibri" w:hAnsi="Calibri"/>
                <w:color w:val="333333"/>
                <w:sz w:val="18"/>
              </w:rPr>
              <w:t>950.0M</w:t>
            </w:r>
          </w:p>
        </w:tc>
        <w:tc>
          <w:tcPr>
            <w:tcW w:type="dxa" w:w="2520"/>
            <w:shd w:fill="FFF3CD" w:val="clear"/>
          </w:tcPr>
          <w:p>
            <w:r>
              <w:rPr>
                <w:rFonts w:ascii="Calibri" w:hAnsi="Calibri"/>
                <w:color w:val="333333"/>
                <w:sz w:val="18"/>
              </w:rPr>
              <w:t>-2.5%</w:t>
            </w:r>
          </w:p>
        </w:tc>
      </w:tr>
      <w:tr>
        <w:tc>
          <w:tcPr>
            <w:tcW w:type="dxa" w:w="2520"/>
            <w:shd w:fill="F2F4F8" w:val="clear"/>
          </w:tcPr>
          <w:p>
            <w:r>
              <w:rPr>
                <w:rFonts w:ascii="Calibri" w:hAnsi="Calibri"/>
                <w:color w:val="333333"/>
                <w:sz w:val="18"/>
              </w:rPr>
              <w:t>Weighted average shares outstanding (diluted)</w:t>
            </w:r>
          </w:p>
        </w:tc>
        <w:tc>
          <w:tcPr>
            <w:tcW w:type="dxa" w:w="2520"/>
            <w:shd w:fill="F2F4F8" w:val="clear"/>
          </w:tcPr>
          <w:p>
            <w:r>
              <w:rPr>
                <w:rFonts w:ascii="Calibri" w:hAnsi="Calibri"/>
                <w:color w:val="333333"/>
                <w:sz w:val="18"/>
              </w:rPr>
              <w:t>984.0M</w:t>
            </w:r>
          </w:p>
        </w:tc>
        <w:tc>
          <w:tcPr>
            <w:tcW w:type="dxa" w:w="2520"/>
            <w:shd w:fill="F2F4F8" w:val="clear"/>
          </w:tcPr>
          <w:p>
            <w:r>
              <w:rPr>
                <w:rFonts w:ascii="Calibri" w:hAnsi="Calibri"/>
                <w:color w:val="333333"/>
                <w:sz w:val="18"/>
              </w:rPr>
              <w:t>956.0M</w:t>
            </w:r>
          </w:p>
        </w:tc>
        <w:tc>
          <w:tcPr>
            <w:tcW w:type="dxa" w:w="2520"/>
            <w:shd w:fill="F2F4F8" w:val="clear"/>
            <w:shd w:fill="FFF3CD" w:val="clear"/>
          </w:tcPr>
          <w:p>
            <w:r>
              <w:rPr>
                <w:rFonts w:ascii="Calibri" w:hAnsi="Calibri"/>
                <w:color w:val="333333"/>
                <w:sz w:val="18"/>
              </w:rPr>
              <w:t>-2.9%</w:t>
            </w:r>
          </w:p>
        </w:tc>
      </w:tr>
      <w:tr>
        <w:tc>
          <w:tcPr>
            <w:tcW w:type="dxa" w:w="2520"/>
          </w:tcPr>
          <w:p>
            <w:r>
              <w:rPr>
                <w:rFonts w:ascii="Calibri" w:hAnsi="Calibri"/>
                <w:color w:val="333333"/>
                <w:sz w:val="18"/>
              </w:rPr>
              <w:t>Total comprehensive income / loss</w:t>
            </w:r>
          </w:p>
        </w:tc>
        <w:tc>
          <w:tcPr>
            <w:tcW w:type="dxa" w:w="2520"/>
          </w:tcPr>
          <w:p>
            <w:r>
              <w:rPr>
                <w:rFonts w:ascii="Calibri" w:hAnsi="Calibri"/>
                <w:color w:val="333333"/>
                <w:sz w:val="18"/>
              </w:rPr>
              <w:t>$4.2B</w:t>
            </w:r>
          </w:p>
        </w:tc>
        <w:tc>
          <w:tcPr>
            <w:tcW w:type="dxa" w:w="2520"/>
          </w:tcPr>
          <w:p>
            <w:r>
              <w:rPr>
                <w:rFonts w:ascii="Calibri" w:hAnsi="Calibri"/>
                <w:color w:val="333333"/>
                <w:sz w:val="18"/>
              </w:rPr>
              <w:t>$8.0B</w:t>
            </w:r>
          </w:p>
        </w:tc>
        <w:tc>
          <w:tcPr>
            <w:tcW w:type="dxa" w:w="2520"/>
            <w:shd w:fill="DCEEF8" w:val="clear"/>
          </w:tcPr>
          <w:p>
            <w:r>
              <w:rPr>
                <w:rFonts w:ascii="Calibri" w:hAnsi="Calibri"/>
                <w:color w:val="333333"/>
                <w:sz w:val="18"/>
              </w:rPr>
              <w:t>92.0%</w:t>
            </w:r>
          </w:p>
        </w:tc>
      </w:tr>
      <w:tr>
        <w:tc>
          <w:tcPr>
            <w:tcW w:type="dxa" w:w="2520"/>
            <w:shd w:fill="F2F4F8" w:val="clear"/>
          </w:tcPr>
          <w:p>
            <w:r>
              <w:rPr>
                <w:rFonts w:ascii="Calibri" w:hAnsi="Calibri"/>
                <w:color w:val="333333"/>
                <w:sz w:val="18"/>
              </w:rPr>
              <w:t>Other income / non-operating income</w:t>
            </w:r>
          </w:p>
        </w:tc>
        <w:tc>
          <w:tcPr>
            <w:tcW w:type="dxa" w:w="2520"/>
            <w:shd w:fill="F2F4F8" w:val="clear"/>
          </w:tcPr>
          <w:p>
            <w:r>
              <w:rPr>
                <w:rFonts w:ascii="Calibri" w:hAnsi="Calibri"/>
                <w:color w:val="333333"/>
                <w:sz w:val="18"/>
              </w:rPr>
              <w:t>$216.0M</w:t>
            </w:r>
          </w:p>
        </w:tc>
        <w:tc>
          <w:tcPr>
            <w:tcW w:type="dxa" w:w="2520"/>
            <w:shd w:fill="F2F4F8" w:val="clear"/>
          </w:tcPr>
          <w:p>
            <w:r>
              <w:rPr>
                <w:rFonts w:ascii="Calibri" w:hAnsi="Calibri"/>
                <w:color w:val="333333"/>
                <w:sz w:val="18"/>
              </w:rPr>
              <w:t>$172.0M</w:t>
            </w:r>
          </w:p>
        </w:tc>
        <w:tc>
          <w:tcPr>
            <w:tcW w:type="dxa" w:w="2520"/>
            <w:shd w:fill="F2F4F8" w:val="clear"/>
            <w:shd w:fill="FCE8E6" w:val="clear"/>
          </w:tcPr>
          <w:p>
            <w:r>
              <w:rPr>
                <w:rFonts w:ascii="Calibri" w:hAnsi="Calibri"/>
                <w:color w:val="333333"/>
                <w:sz w:val="18"/>
              </w:rPr>
              <w:t>-20.4%</w:t>
            </w:r>
          </w:p>
        </w:tc>
      </w:tr>
      <w:tr>
        <w:tc>
          <w:tcPr>
            <w:tcW w:type="dxa" w:w="2520"/>
          </w:tcPr>
          <w:p>
            <w:r>
              <w:rPr>
                <w:rFonts w:ascii="Calibri" w:hAnsi="Calibri"/>
                <w:color w:val="333333"/>
                <w:sz w:val="18"/>
              </w:rPr>
              <w:t>Restructuring charges</w:t>
            </w:r>
          </w:p>
        </w:tc>
        <w:tc>
          <w:tcPr>
            <w:tcW w:type="dxa" w:w="2520"/>
          </w:tcPr>
          <w:p>
            <w:r>
              <w:rPr>
                <w:rFonts w:ascii="Calibri" w:hAnsi="Calibri"/>
                <w:color w:val="333333"/>
                <w:sz w:val="18"/>
              </w:rPr>
              <w:t>$988.0M</w:t>
            </w:r>
          </w:p>
        </w:tc>
        <w:tc>
          <w:tcPr>
            <w:tcW w:type="dxa" w:w="2520"/>
          </w:tcPr>
          <w:p>
            <w:r>
              <w:rPr>
                <w:rFonts w:ascii="Calibri" w:hAnsi="Calibri"/>
                <w:color w:val="333333"/>
                <w:sz w:val="18"/>
              </w:rPr>
              <w:t>$586.0M</w:t>
            </w:r>
          </w:p>
        </w:tc>
        <w:tc>
          <w:tcPr>
            <w:tcW w:type="dxa" w:w="2520"/>
            <w:shd w:fill="FCE8E6" w:val="clear"/>
          </w:tcPr>
          <w:p>
            <w:r>
              <w:rPr>
                <w:rFonts w:ascii="Calibri" w:hAnsi="Calibri"/>
                <w:color w:val="333333"/>
                <w:sz w:val="18"/>
              </w:rPr>
              <w:t>-40.7%</w:t>
            </w:r>
          </w:p>
        </w:tc>
      </w:tr>
      <w:tr>
        <w:tc>
          <w:tcPr>
            <w:tcW w:type="dxa" w:w="2520"/>
            <w:shd w:fill="F2F4F8" w:val="clear"/>
          </w:tcPr>
          <w:p>
            <w:r>
              <w:rPr>
                <w:rFonts w:ascii="Calibri" w:hAnsi="Calibri"/>
                <w:color w:val="333333"/>
                <w:sz w:val="18"/>
              </w:rPr>
              <w:t>Income from operations</w:t>
            </w:r>
          </w:p>
        </w:tc>
        <w:tc>
          <w:tcPr>
            <w:tcW w:type="dxa" w:w="2520"/>
            <w:shd w:fill="F2F4F8" w:val="clear"/>
          </w:tcPr>
          <w:p>
            <w:r>
              <w:rPr>
                <w:rFonts w:ascii="Calibri" w:hAnsi="Calibri"/>
                <w:color w:val="333333"/>
                <w:sz w:val="18"/>
              </w:rPr>
              <w:t>$5.0B</w:t>
            </w:r>
          </w:p>
        </w:tc>
        <w:tc>
          <w:tcPr>
            <w:tcW w:type="dxa" w:w="2520"/>
            <w:shd w:fill="F2F4F8" w:val="clear"/>
          </w:tcPr>
          <w:p>
            <w:r>
              <w:rPr>
                <w:rFonts w:ascii="Calibri" w:hAnsi="Calibri"/>
                <w:color w:val="333333"/>
                <w:sz w:val="18"/>
              </w:rPr>
              <w:t>$8.3B</w:t>
            </w:r>
          </w:p>
        </w:tc>
        <w:tc>
          <w:tcPr>
            <w:tcW w:type="dxa" w:w="2520"/>
            <w:shd w:fill="F2F4F8" w:val="clear"/>
            <w:shd w:fill="DCEEF8" w:val="clear"/>
          </w:tcPr>
          <w:p>
            <w:r>
              <w:rPr>
                <w:rFonts w:ascii="Calibri" w:hAnsi="Calibri"/>
                <w:color w:val="333333"/>
                <w:sz w:val="18"/>
              </w:rPr>
              <w:t>66.2%</w:t>
            </w:r>
          </w:p>
        </w:tc>
      </w:tr>
      <w:tr>
        <w:tc>
          <w:tcPr>
            <w:tcW w:type="dxa" w:w="2520"/>
          </w:tcPr>
          <w:p>
            <w:r>
              <w:rPr>
                <w:rFonts w:ascii="Calibri" w:hAnsi="Calibri"/>
                <w:color w:val="333333"/>
                <w:sz w:val="18"/>
              </w:rPr>
              <w:t>Pre-tax income</w:t>
            </w:r>
          </w:p>
        </w:tc>
        <w:tc>
          <w:tcPr>
            <w:tcW w:type="dxa" w:w="2520"/>
          </w:tcPr>
          <w:p>
            <w:r>
              <w:rPr>
                <w:rFonts w:ascii="Calibri" w:hAnsi="Calibri"/>
                <w:color w:val="333333"/>
                <w:sz w:val="18"/>
              </w:rPr>
              <w:t>$5.0B</w:t>
            </w:r>
          </w:p>
        </w:tc>
        <w:tc>
          <w:tcPr>
            <w:tcW w:type="dxa" w:w="2520"/>
          </w:tcPr>
          <w:p>
            <w:r>
              <w:rPr>
                <w:rFonts w:ascii="Calibri" w:hAnsi="Calibri"/>
                <w:color w:val="333333"/>
                <w:sz w:val="18"/>
              </w:rPr>
              <w:t>$9.5B</w:t>
            </w:r>
          </w:p>
        </w:tc>
        <w:tc>
          <w:tcPr>
            <w:tcW w:type="dxa" w:w="2520"/>
            <w:shd w:fill="DCEEF8" w:val="clear"/>
          </w:tcPr>
          <w:p>
            <w:r>
              <w:rPr>
                <w:rFonts w:ascii="Calibri" w:hAnsi="Calibri"/>
                <w:color w:val="333333"/>
                <w:sz w:val="18"/>
              </w:rPr>
              <w:t>92.3%</w:t>
            </w:r>
          </w:p>
        </w:tc>
      </w:tr>
      <w:tr>
        <w:tc>
          <w:tcPr>
            <w:tcW w:type="dxa" w:w="2520"/>
            <w:shd w:fill="F2F4F8" w:val="clear"/>
          </w:tcPr>
          <w:p>
            <w:r>
              <w:rPr>
                <w:rFonts w:ascii="Calibri" w:hAnsi="Calibri"/>
                <w:color w:val="333333"/>
                <w:sz w:val="18"/>
              </w:rPr>
              <w:t>Stock-based compensation expense</w:t>
            </w:r>
          </w:p>
        </w:tc>
        <w:tc>
          <w:tcPr>
            <w:tcW w:type="dxa" w:w="2520"/>
            <w:shd w:fill="F2F4F8" w:val="clear"/>
          </w:tcPr>
          <w:p>
            <w:r>
              <w:rPr>
                <w:rFonts w:ascii="Calibri" w:hAnsi="Calibri"/>
                <w:color w:val="333333"/>
                <w:sz w:val="18"/>
              </w:rPr>
              <w:t>$2.8B</w:t>
            </w:r>
          </w:p>
        </w:tc>
        <w:tc>
          <w:tcPr>
            <w:tcW w:type="dxa" w:w="2520"/>
            <w:shd w:fill="F2F4F8" w:val="clear"/>
          </w:tcPr>
          <w:p>
            <w:r>
              <w:rPr>
                <w:rFonts w:ascii="Calibri" w:hAnsi="Calibri"/>
                <w:color w:val="333333"/>
                <w:sz w:val="18"/>
              </w:rPr>
              <w:t>$3.5B</w:t>
            </w:r>
          </w:p>
        </w:tc>
        <w:tc>
          <w:tcPr>
            <w:tcW w:type="dxa" w:w="2520"/>
            <w:shd w:fill="F2F4F8" w:val="clear"/>
            <w:shd w:fill="DCEEF8" w:val="clear"/>
          </w:tcPr>
          <w:p>
            <w:r>
              <w:rPr>
                <w:rFonts w:ascii="Calibri" w:hAnsi="Calibri"/>
                <w:color w:val="333333"/>
                <w:sz w:val="18"/>
              </w:rPr>
              <w:t>25.9%</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$5.0B</w:t>
            </w:r>
          </w:p>
        </w:tc>
        <w:tc>
          <w:tcPr>
            <w:tcW w:type="dxa" w:w="2520"/>
          </w:tcPr>
          <w:p>
            <w:r>
              <w:rPr>
                <w:rFonts w:ascii="Calibri" w:hAnsi="Calibri"/>
                <w:color w:val="333333"/>
                <w:sz w:val="18"/>
              </w:rPr>
              <w:t>$9.5B</w:t>
            </w:r>
          </w:p>
        </w:tc>
        <w:tc>
          <w:tcPr>
            <w:tcW w:type="dxa" w:w="2520"/>
            <w:shd w:fill="DCEEF8" w:val="clear"/>
          </w:tcPr>
          <w:p>
            <w:r>
              <w:rPr>
                <w:rFonts w:ascii="Calibri" w:hAnsi="Calibri"/>
                <w:color w:val="333333"/>
                <w:sz w:val="18"/>
              </w:rPr>
              <w:t>92.3%</w:t>
            </w:r>
          </w:p>
        </w:tc>
      </w:tr>
      <w:tr>
        <w:tc>
          <w:tcPr>
            <w:tcW w:type="dxa" w:w="2520"/>
            <w:shd w:fill="F2F4F8" w:val="clear"/>
          </w:tcPr>
          <w:p>
            <w:r>
              <w:rPr>
                <w:rFonts w:ascii="Calibri" w:hAnsi="Calibri"/>
                <w:color w:val="333333"/>
                <w:sz w:val="18"/>
              </w:rPr>
              <w:t>Gain/loss on investments</w:t>
            </w:r>
          </w:p>
        </w:tc>
        <w:tc>
          <w:tcPr>
            <w:tcW w:type="dxa" w:w="2520"/>
            <w:shd w:fill="F2F4F8" w:val="clear"/>
          </w:tcPr>
          <w:p>
            <w:r>
              <w:rPr>
                <w:rFonts w:ascii="Calibri" w:hAnsi="Calibri"/>
                <w:color w:val="333333"/>
                <w:sz w:val="18"/>
              </w:rPr>
              <w:t>$-277.0M</w:t>
            </w:r>
          </w:p>
        </w:tc>
        <w:tc>
          <w:tcPr>
            <w:tcW w:type="dxa" w:w="2520"/>
            <w:shd w:fill="F2F4F8" w:val="clear"/>
          </w:tcPr>
          <w:p>
            <w:r>
              <w:rPr>
                <w:rFonts w:ascii="Calibri" w:hAnsi="Calibri"/>
                <w:color w:val="333333"/>
                <w:sz w:val="18"/>
              </w:rPr>
              <w:t>$1.0B</w:t>
            </w:r>
          </w:p>
        </w:tc>
        <w:tc>
          <w:tcPr>
            <w:tcW w:type="dxa" w:w="2520"/>
            <w:shd w:fill="F2F4F8" w:val="clear"/>
            <w:shd w:fill="DCEEF8" w:val="clear"/>
          </w:tcPr>
          <w:p>
            <w:r>
              <w:rPr>
                <w:rFonts w:ascii="Calibri" w:hAnsi="Calibri"/>
                <w:color w:val="333333"/>
                <w:sz w:val="18"/>
              </w:rPr>
              <w:t>467.1%</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$49.0M</w:t>
            </w:r>
          </w:p>
        </w:tc>
        <w:tc>
          <w:tcPr>
            <w:tcW w:type="dxa" w:w="2520"/>
          </w:tcPr>
          <w:p>
            <w:r>
              <w:rPr>
                <w:rFonts w:ascii="Calibri" w:hAnsi="Calibri"/>
                <w:color w:val="333333"/>
                <w:sz w:val="18"/>
              </w:rPr>
              <w:t>$579.0M</w:t>
            </w:r>
          </w:p>
        </w:tc>
        <w:tc>
          <w:tcPr>
            <w:tcW w:type="dxa" w:w="2520"/>
            <w:shd w:fill="DCEEF8" w:val="clear"/>
          </w:tcPr>
          <w:p>
            <w:r>
              <w:rPr>
                <w:rFonts w:ascii="Calibri" w:hAnsi="Calibri"/>
                <w:color w:val="333333"/>
                <w:sz w:val="18"/>
              </w:rPr>
              <w:t>1081.6%</w:t>
            </w:r>
          </w:p>
        </w:tc>
      </w:tr>
      <w:tr>
        <w:tc>
          <w:tcPr>
            <w:tcW w:type="dxa" w:w="2520"/>
            <w:shd w:fill="F2F4F8" w:val="clear"/>
          </w:tcPr>
          <w:p>
            <w:r>
              <w:rPr>
                <w:rFonts w:ascii="Calibri" w:hAnsi="Calibri"/>
                <w:color w:val="333333"/>
                <w:sz w:val="18"/>
              </w:rPr>
              <w:t>Total operating expenses</w:t>
            </w:r>
          </w:p>
        </w:tc>
        <w:tc>
          <w:tcPr>
            <w:tcW w:type="dxa" w:w="2520"/>
            <w:shd w:fill="F2F4F8" w:val="clear"/>
          </w:tcPr>
          <w:p>
            <w:r>
              <w:rPr>
                <w:rFonts w:ascii="Calibri" w:hAnsi="Calibri"/>
                <w:color w:val="333333"/>
                <w:sz w:val="18"/>
              </w:rPr>
              <w:t>$21.3B</w:t>
            </w:r>
          </w:p>
        </w:tc>
        <w:tc>
          <w:tcPr>
            <w:tcW w:type="dxa" w:w="2520"/>
            <w:shd w:fill="F2F4F8" w:val="clear"/>
          </w:tcPr>
          <w:p>
            <w:r>
              <w:rPr>
                <w:rFonts w:ascii="Calibri" w:hAnsi="Calibri"/>
                <w:color w:val="333333"/>
                <w:sz w:val="18"/>
              </w:rPr>
              <w:t>$23.9B</w:t>
            </w:r>
          </w:p>
        </w:tc>
        <w:tc>
          <w:tcPr>
            <w:tcW w:type="dxa" w:w="2520"/>
            <w:shd w:fill="F2F4F8" w:val="clear"/>
            <w:shd w:fill="DCEEF8" w:val="clear"/>
          </w:tcPr>
          <w:p>
            <w:r>
              <w:rPr>
                <w:rFonts w:ascii="Calibri" w:hAnsi="Calibri"/>
                <w:color w:val="333333"/>
                <w:sz w:val="18"/>
              </w:rPr>
              <w:t>12.3%</w:t>
            </w:r>
          </w:p>
        </w:tc>
      </w:tr>
      <w:tr>
        <w:tc>
          <w:tcPr>
            <w:tcW w:type="dxa" w:w="2520"/>
          </w:tcPr>
          <w:p>
            <w:r>
              <w:rPr>
                <w:rFonts w:ascii="Calibri" w:hAnsi="Calibri"/>
                <w:color w:val="333333"/>
                <w:sz w:val="18"/>
              </w:rPr>
              <w:t>Total costs and expenses</w:t>
            </w:r>
          </w:p>
        </w:tc>
        <w:tc>
          <w:tcPr>
            <w:tcW w:type="dxa" w:w="2520"/>
          </w:tcPr>
          <w:p>
            <w:r>
              <w:rPr>
                <w:rFonts w:ascii="Calibri" w:hAnsi="Calibri"/>
                <w:color w:val="333333"/>
                <w:sz w:val="18"/>
              </w:rPr>
              <w:t>$21.3B</w:t>
            </w:r>
          </w:p>
        </w:tc>
        <w:tc>
          <w:tcPr>
            <w:tcW w:type="dxa" w:w="2520"/>
          </w:tcPr>
          <w:p>
            <w:r>
              <w:rPr>
                <w:rFonts w:ascii="Calibri" w:hAnsi="Calibri"/>
                <w:color w:val="333333"/>
                <w:sz w:val="18"/>
              </w:rPr>
              <w:t>$23.9B</w:t>
            </w:r>
          </w:p>
        </w:tc>
        <w:tc>
          <w:tcPr>
            <w:tcW w:type="dxa" w:w="2520"/>
            <w:shd w:fill="DCEEF8" w:val="clear"/>
          </w:tcPr>
          <w:p>
            <w:r>
              <w:rPr>
                <w:rFonts w:ascii="Calibri" w:hAnsi="Calibri"/>
                <w:color w:val="333333"/>
                <w:sz w:val="18"/>
              </w:rPr>
              <w:t>12.3%</w:t>
            </w:r>
          </w:p>
        </w:tc>
      </w:tr>
      <w:tr>
        <w:tc>
          <w:tcPr>
            <w:tcW w:type="dxa" w:w="2520"/>
            <w:shd w:fill="F2F4F8" w:val="clear"/>
          </w:tcPr>
          <w:p>
            <w:r>
              <w:rPr>
                <w:rFonts w:ascii="Calibri" w:hAnsi="Calibri"/>
                <w:color w:val="333333"/>
                <w:sz w:val="18"/>
              </w:rPr>
              <w:t>Non-operating income / expense</w:t>
            </w:r>
          </w:p>
        </w:tc>
        <w:tc>
          <w:tcPr>
            <w:tcW w:type="dxa" w:w="2520"/>
            <w:shd w:fill="F2F4F8" w:val="clear"/>
          </w:tcPr>
          <w:p>
            <w:r>
              <w:rPr>
                <w:rFonts w:ascii="Calibri" w:hAnsi="Calibri"/>
                <w:color w:val="333333"/>
                <w:sz w:val="18"/>
              </w:rPr>
              <w:t>$216.0M</w:t>
            </w:r>
          </w:p>
        </w:tc>
        <w:tc>
          <w:tcPr>
            <w:tcW w:type="dxa" w:w="2520"/>
            <w:shd w:fill="F2F4F8" w:val="clear"/>
          </w:tcPr>
          <w:p>
            <w:r>
              <w:rPr>
                <w:rFonts w:ascii="Calibri" w:hAnsi="Calibri"/>
                <w:color w:val="333333"/>
                <w:sz w:val="18"/>
              </w:rPr>
              <w:t>$172.0M</w:t>
            </w:r>
          </w:p>
        </w:tc>
        <w:tc>
          <w:tcPr>
            <w:tcW w:type="dxa" w:w="2520"/>
            <w:shd w:fill="F2F4F8" w:val="clear"/>
            <w:shd w:fill="FCE8E6" w:val="clear"/>
          </w:tcPr>
          <w:p>
            <w:r>
              <w:rPr>
                <w:rFonts w:ascii="Calibri" w:hAnsi="Calibri"/>
                <w:color w:val="333333"/>
                <w:sz w:val="18"/>
              </w:rPr>
              <w:t>-20.4%</w:t>
            </w:r>
          </w:p>
        </w:tc>
      </w:tr>
      <w:tr>
        <w:tc>
          <w:tcPr>
            <w:tcW w:type="dxa" w:w="2520"/>
          </w:tcPr>
          <w:p>
            <w:r>
              <w:rPr>
                <w:rFonts w:ascii="Calibri" w:hAnsi="Calibri"/>
                <w:color w:val="333333"/>
                <w:sz w:val="18"/>
              </w:rPr>
              <w:t>Current federal income tax expense / benefit</w:t>
            </w:r>
          </w:p>
        </w:tc>
        <w:tc>
          <w:tcPr>
            <w:tcW w:type="dxa" w:w="2520"/>
          </w:tcPr>
          <w:p>
            <w:r>
              <w:rPr>
                <w:rFonts w:ascii="Calibri" w:hAnsi="Calibri"/>
                <w:color w:val="333333"/>
                <w:sz w:val="18"/>
              </w:rPr>
              <w:t>$940.0M</w:t>
            </w:r>
          </w:p>
        </w:tc>
        <w:tc>
          <w:tcPr>
            <w:tcW w:type="dxa" w:w="2520"/>
          </w:tcPr>
          <w:p>
            <w:r>
              <w:rPr>
                <w:rFonts w:ascii="Calibri" w:hAnsi="Calibri"/>
                <w:color w:val="333333"/>
                <w:sz w:val="18"/>
              </w:rPr>
              <w:t>$413.0M</w:t>
            </w:r>
          </w:p>
        </w:tc>
        <w:tc>
          <w:tcPr>
            <w:tcW w:type="dxa" w:w="2520"/>
            <w:shd w:fill="FCE8E6" w:val="clear"/>
          </w:tcPr>
          <w:p>
            <w:r>
              <w:rPr>
                <w:rFonts w:ascii="Calibri" w:hAnsi="Calibri"/>
                <w:color w:val="333333"/>
                <w:sz w:val="18"/>
              </w:rPr>
              <w:t>-56.1%</w:t>
            </w:r>
          </w:p>
        </w:tc>
      </w:tr>
      <w:tr>
        <w:tc>
          <w:tcPr>
            <w:tcW w:type="dxa" w:w="2520"/>
            <w:shd w:fill="F2F4F8" w:val="clear"/>
          </w:tcPr>
          <w:p>
            <w:r>
              <w:rPr>
                <w:rFonts w:ascii="Calibri" w:hAnsi="Calibri"/>
                <w:color w:val="333333"/>
                <w:sz w:val="18"/>
              </w:rPr>
              <w:t>Current state and local income tax expense / benefit</w:t>
            </w:r>
          </w:p>
        </w:tc>
        <w:tc>
          <w:tcPr>
            <w:tcW w:type="dxa" w:w="2520"/>
            <w:shd w:fill="F2F4F8" w:val="clear"/>
          </w:tcPr>
          <w:p>
            <w:r>
              <w:rPr>
                <w:rFonts w:ascii="Calibri" w:hAnsi="Calibri"/>
                <w:color w:val="333333"/>
                <w:sz w:val="18"/>
              </w:rPr>
              <w:t>$199.0M</w:t>
            </w:r>
          </w:p>
        </w:tc>
        <w:tc>
          <w:tcPr>
            <w:tcW w:type="dxa" w:w="2520"/>
            <w:shd w:fill="F2F4F8" w:val="clear"/>
          </w:tcPr>
          <w:p>
            <w:r>
              <w:rPr>
                <w:rFonts w:ascii="Calibri" w:hAnsi="Calibri"/>
                <w:color w:val="333333"/>
                <w:sz w:val="18"/>
              </w:rPr>
              <w:t>$72.0M</w:t>
            </w:r>
          </w:p>
        </w:tc>
        <w:tc>
          <w:tcPr>
            <w:tcW w:type="dxa" w:w="2520"/>
            <w:shd w:fill="F2F4F8" w:val="clear"/>
            <w:shd w:fill="FCE8E6" w:val="clear"/>
          </w:tcPr>
          <w:p>
            <w:r>
              <w:rPr>
                <w:rFonts w:ascii="Calibri" w:hAnsi="Calibri"/>
                <w:color w:val="333333"/>
                <w:sz w:val="18"/>
              </w:rPr>
              <w:t>-63.8%</w:t>
            </w:r>
          </w:p>
        </w:tc>
      </w:tr>
      <w:tr>
        <w:tc>
          <w:tcPr>
            <w:tcW w:type="dxa" w:w="2520"/>
          </w:tcPr>
          <w:p>
            <w:r>
              <w:rPr>
                <w:rFonts w:ascii="Calibri" w:hAnsi="Calibri"/>
                <w:color w:val="333333"/>
                <w:sz w:val="18"/>
              </w:rPr>
              <w:t>Current foreign income tax expense / benefit</w:t>
            </w:r>
          </w:p>
        </w:tc>
        <w:tc>
          <w:tcPr>
            <w:tcW w:type="dxa" w:w="2520"/>
          </w:tcPr>
          <w:p>
            <w:r>
              <w:rPr>
                <w:rFonts w:ascii="Calibri" w:hAnsi="Calibri"/>
                <w:color w:val="333333"/>
                <w:sz w:val="18"/>
              </w:rPr>
              <w:t>$417.0M</w:t>
            </w:r>
          </w:p>
        </w:tc>
        <w:tc>
          <w:tcPr>
            <w:tcW w:type="dxa" w:w="2520"/>
          </w:tcPr>
          <w:p>
            <w:r>
              <w:rPr>
                <w:rFonts w:ascii="Calibri" w:hAnsi="Calibri"/>
                <w:color w:val="333333"/>
                <w:sz w:val="18"/>
              </w:rPr>
              <w:t>$619.0M</w:t>
            </w:r>
          </w:p>
        </w:tc>
        <w:tc>
          <w:tcPr>
            <w:tcW w:type="dxa" w:w="2520"/>
            <w:shd w:fill="DCEEF8" w:val="clear"/>
          </w:tcPr>
          <w:p>
            <w:r>
              <w:rPr>
                <w:rFonts w:ascii="Calibri" w:hAnsi="Calibri"/>
                <w:color w:val="333333"/>
                <w:sz w:val="18"/>
              </w:rPr>
              <w:t>48.4%</w:t>
            </w:r>
          </w:p>
        </w:tc>
      </w:tr>
      <w:tr>
        <w:tc>
          <w:tcPr>
            <w:tcW w:type="dxa" w:w="2520"/>
            <w:shd w:fill="F2F4F8" w:val="clear"/>
          </w:tcPr>
          <w:p>
            <w:r>
              <w:rPr>
                <w:rFonts w:ascii="Calibri" w:hAnsi="Calibri"/>
                <w:color w:val="333333"/>
                <w:sz w:val="18"/>
              </w:rPr>
              <w:t>Deferred federal income tax expense / benefit</w:t>
            </w:r>
          </w:p>
        </w:tc>
        <w:tc>
          <w:tcPr>
            <w:tcW w:type="dxa" w:w="2520"/>
            <w:shd w:fill="F2F4F8" w:val="clear"/>
          </w:tcPr>
          <w:p>
            <w:r>
              <w:rPr>
                <w:rFonts w:ascii="Calibri" w:hAnsi="Calibri"/>
                <w:color w:val="333333"/>
                <w:sz w:val="18"/>
              </w:rPr>
              <w:t>$-640.0M</w:t>
            </w:r>
          </w:p>
        </w:tc>
        <w:tc>
          <w:tcPr>
            <w:tcW w:type="dxa" w:w="2520"/>
            <w:shd w:fill="F2F4F8" w:val="clear"/>
          </w:tcPr>
          <w:p>
            <w:r>
              <w:rPr>
                <w:rFonts w:ascii="Calibri" w:hAnsi="Calibri"/>
                <w:color w:val="333333"/>
                <w:sz w:val="18"/>
              </w:rPr>
              <w:t>$618.0M</w:t>
            </w:r>
          </w:p>
        </w:tc>
        <w:tc>
          <w:tcPr>
            <w:tcW w:type="dxa" w:w="2520"/>
            <w:shd w:fill="F2F4F8" w:val="clear"/>
            <w:shd w:fill="DCEEF8" w:val="clear"/>
          </w:tcPr>
          <w:p>
            <w:r>
              <w:rPr>
                <w:rFonts w:ascii="Calibri" w:hAnsi="Calibri"/>
                <w:color w:val="333333"/>
                <w:sz w:val="18"/>
              </w:rPr>
              <w:t>196.6%</w:t>
            </w:r>
          </w:p>
        </w:tc>
      </w:tr>
      <w:tr>
        <w:tc>
          <w:tcPr>
            <w:tcW w:type="dxa" w:w="2520"/>
          </w:tcPr>
          <w:p>
            <w:r>
              <w:rPr>
                <w:rFonts w:ascii="Calibri" w:hAnsi="Calibri"/>
                <w:color w:val="333333"/>
                <w:sz w:val="18"/>
              </w:rPr>
              <w:t>Deferred state and local income tax expense / benefit</w:t>
            </w:r>
          </w:p>
        </w:tc>
        <w:tc>
          <w:tcPr>
            <w:tcW w:type="dxa" w:w="2520"/>
          </w:tcPr>
          <w:p>
            <w:r>
              <w:rPr>
                <w:rFonts w:ascii="Calibri" w:hAnsi="Calibri"/>
                <w:color w:val="333333"/>
                <w:sz w:val="18"/>
              </w:rPr>
              <w:t>$-182.0M</w:t>
            </w:r>
          </w:p>
        </w:tc>
        <w:tc>
          <w:tcPr>
            <w:tcW w:type="dxa" w:w="2520"/>
          </w:tcPr>
          <w:p>
            <w:r>
              <w:rPr>
                <w:rFonts w:ascii="Calibri" w:hAnsi="Calibri"/>
                <w:color w:val="333333"/>
                <w:sz w:val="18"/>
              </w:rPr>
              <w:t>$121.0M</w:t>
            </w:r>
          </w:p>
        </w:tc>
        <w:tc>
          <w:tcPr>
            <w:tcW w:type="dxa" w:w="2520"/>
            <w:shd w:fill="DCEEF8" w:val="clear"/>
          </w:tcPr>
          <w:p>
            <w:r>
              <w:rPr>
                <w:rFonts w:ascii="Calibri" w:hAnsi="Calibri"/>
                <w:color w:val="333333"/>
                <w:sz w:val="18"/>
              </w:rPr>
              <w:t>166.5%</w:t>
            </w:r>
          </w:p>
        </w:tc>
      </w:tr>
      <w:tr>
        <w:tc>
          <w:tcPr>
            <w:tcW w:type="dxa" w:w="2520"/>
            <w:shd w:fill="F2F4F8" w:val="clear"/>
          </w:tcPr>
          <w:p>
            <w:r>
              <w:rPr>
                <w:rFonts w:ascii="Calibri" w:hAnsi="Calibri"/>
                <w:color w:val="333333"/>
                <w:sz w:val="18"/>
              </w:rPr>
              <w:t>Deferred foreign income tax expense / benefit</w:t>
            </w:r>
          </w:p>
        </w:tc>
        <w:tc>
          <w:tcPr>
            <w:tcW w:type="dxa" w:w="2520"/>
            <w:shd w:fill="F2F4F8" w:val="clear"/>
          </w:tcPr>
          <w:p>
            <w:r>
              <w:rPr>
                <w:rFonts w:ascii="Calibri" w:hAnsi="Calibri"/>
                <w:color w:val="333333"/>
                <w:sz w:val="18"/>
              </w:rPr>
              <w:t>$80.0M</w:t>
            </w:r>
          </w:p>
        </w:tc>
        <w:tc>
          <w:tcPr>
            <w:tcW w:type="dxa" w:w="2520"/>
            <w:shd w:fill="F2F4F8" w:val="clear"/>
          </w:tcPr>
          <w:p>
            <w:r>
              <w:rPr>
                <w:rFonts w:ascii="Calibri" w:hAnsi="Calibri"/>
                <w:color w:val="333333"/>
                <w:sz w:val="18"/>
              </w:rPr>
              <w:t>$220.0M</w:t>
            </w:r>
          </w:p>
        </w:tc>
        <w:tc>
          <w:tcPr>
            <w:tcW w:type="dxa" w:w="2520"/>
            <w:shd w:fill="F2F4F8" w:val="clear"/>
            <w:shd w:fill="DCEEF8" w:val="clear"/>
          </w:tcPr>
          <w:p>
            <w:r>
              <w:rPr>
                <w:rFonts w:ascii="Calibri" w:hAnsi="Calibri"/>
                <w:color w:val="333333"/>
                <w:sz w:val="18"/>
              </w:rPr>
              <w:t>175.0%</w:t>
            </w:r>
          </w:p>
        </w:tc>
      </w:tr>
      <w:tr>
        <w:tc>
          <w:tcPr>
            <w:tcW w:type="dxa" w:w="2520"/>
          </w:tcPr>
          <w:p>
            <w:r>
              <w:rPr>
                <w:rFonts w:ascii="Calibri" w:hAnsi="Calibri"/>
                <w:color w:val="333333"/>
                <w:sz w:val="18"/>
              </w:rPr>
              <w:t>Advertising expense</w:t>
            </w:r>
          </w:p>
        </w:tc>
        <w:tc>
          <w:tcPr>
            <w:tcW w:type="dxa" w:w="2520"/>
          </w:tcPr>
          <w:p>
            <w:r>
              <w:rPr>
                <w:rFonts w:ascii="Calibri" w:hAnsi="Calibri"/>
                <w:color w:val="333333"/>
                <w:sz w:val="18"/>
              </w:rPr>
              <w:t>$1.1B</w:t>
            </w:r>
          </w:p>
        </w:tc>
        <w:tc>
          <w:tcPr>
            <w:tcW w:type="dxa" w:w="2520"/>
          </w:tcPr>
          <w:p>
            <w:r>
              <w:rPr>
                <w:rFonts w:ascii="Calibri" w:hAnsi="Calibri"/>
                <w:color w:val="333333"/>
                <w:sz w:val="18"/>
              </w:rPr>
              <w:t>$800.0M</w:t>
            </w:r>
          </w:p>
        </w:tc>
        <w:tc>
          <w:tcPr>
            <w:tcW w:type="dxa" w:w="2520"/>
            <w:shd w:fill="FCE8E6" w:val="clear"/>
          </w:tcPr>
          <w:p>
            <w:r>
              <w:rPr>
                <w:rFonts w:ascii="Calibri" w:hAnsi="Calibri"/>
                <w:color w:val="333333"/>
                <w:sz w:val="18"/>
              </w:rPr>
              <w:t>-27.3%</w:t>
            </w:r>
          </w:p>
        </w:tc>
      </w:tr>
      <w:tr>
        <w:tc>
          <w:tcPr>
            <w:tcW w:type="dxa" w:w="2520"/>
            <w:shd w:fill="F2F4F8" w:val="clear"/>
          </w:tcPr>
          <w:p>
            <w:r>
              <w:rPr>
                <w:rFonts w:ascii="Calibri" w:hAnsi="Calibri"/>
                <w:color w:val="333333"/>
                <w:sz w:val="18"/>
              </w:rPr>
              <w:t>Gross margin percentage</w:t>
            </w:r>
          </w:p>
        </w:tc>
        <w:tc>
          <w:tcPr>
            <w:tcW w:type="dxa" w:w="2520"/>
            <w:shd w:fill="F2F4F8" w:val="clear"/>
          </w:tcPr>
          <w:p>
            <w:r>
              <w:rPr>
                <w:rFonts w:ascii="Calibri" w:hAnsi="Calibri"/>
                <w:color w:val="333333"/>
                <w:sz w:val="18"/>
              </w:rPr>
              <w:t>75.5%</w:t>
            </w:r>
          </w:p>
        </w:tc>
        <w:tc>
          <w:tcPr>
            <w:tcW w:type="dxa" w:w="2520"/>
            <w:shd w:fill="F2F4F8" w:val="clear"/>
          </w:tcPr>
          <w:p>
            <w:r>
              <w:rPr>
                <w:rFonts w:ascii="Calibri" w:hAnsi="Calibri"/>
                <w:color w:val="333333"/>
                <w:sz w:val="18"/>
              </w:rPr>
              <w:t>77.7%</w:t>
            </w:r>
          </w:p>
        </w:tc>
        <w:tc>
          <w:tcPr>
            <w:tcW w:type="dxa" w:w="2520"/>
            <w:shd w:fill="F2F4F8" w:val="clear"/>
            <w:shd w:fill="FFF3CD" w:val="clear"/>
          </w:tcPr>
          <w:p>
            <w:r>
              <w:rPr>
                <w:rFonts w:ascii="Calibri" w:hAnsi="Calibri"/>
                <w:color w:val="333333"/>
                <w:sz w:val="18"/>
              </w:rPr>
              <w:t>2.9%</w:t>
            </w:r>
          </w:p>
        </w:tc>
      </w:tr>
      <w:tr>
        <w:tc>
          <w:tcPr>
            <w:tcW w:type="dxa" w:w="2520"/>
          </w:tcPr>
          <w:p>
            <w:r>
              <w:rPr>
                <w:rFonts w:ascii="Calibri" w:hAnsi="Calibri"/>
                <w:color w:val="333333"/>
                <w:sz w:val="18"/>
              </w:rPr>
              <w:t>Operating margin percentage</w:t>
            </w:r>
          </w:p>
        </w:tc>
        <w:tc>
          <w:tcPr>
            <w:tcW w:type="dxa" w:w="2520"/>
          </w:tcPr>
          <w:p>
            <w:r>
              <w:rPr>
                <w:rFonts w:ascii="Calibri" w:hAnsi="Calibri"/>
                <w:color w:val="333333"/>
                <w:sz w:val="18"/>
              </w:rPr>
              <w:t>14.4%</w:t>
            </w:r>
          </w:p>
        </w:tc>
        <w:tc>
          <w:tcPr>
            <w:tcW w:type="dxa" w:w="2520"/>
          </w:tcPr>
          <w:p>
            <w:r>
              <w:rPr>
                <w:rFonts w:ascii="Calibri" w:hAnsi="Calibri"/>
                <w:color w:val="333333"/>
                <w:sz w:val="18"/>
              </w:rPr>
              <w:t>20.1%</w:t>
            </w:r>
          </w:p>
        </w:tc>
        <w:tc>
          <w:tcPr>
            <w:tcW w:type="dxa" w:w="2520"/>
            <w:shd w:fill="DCEEF8" w:val="clear"/>
          </w:tcPr>
          <w:p>
            <w:r>
              <w:rPr>
                <w:rFonts w:ascii="Calibri" w:hAnsi="Calibri"/>
                <w:color w:val="333333"/>
                <w:sz w:val="18"/>
              </w:rPr>
              <w:t>39.5%</w:t>
            </w:r>
          </w:p>
        </w:tc>
      </w:tr>
      <w:tr>
        <w:tc>
          <w:tcPr>
            <w:tcW w:type="dxa" w:w="2520"/>
            <w:shd w:fill="F2F4F8" w:val="clear"/>
          </w:tcPr>
          <w:p>
            <w:r>
              <w:rPr>
                <w:rFonts w:ascii="Calibri" w:hAnsi="Calibri"/>
                <w:color w:val="333333"/>
                <w:sz w:val="18"/>
              </w:rPr>
              <w:t>Net margin percentage</w:t>
            </w:r>
          </w:p>
        </w:tc>
        <w:tc>
          <w:tcPr>
            <w:tcW w:type="dxa" w:w="2520"/>
            <w:shd w:fill="F2F4F8" w:val="clear"/>
          </w:tcPr>
          <w:p>
            <w:r>
              <w:rPr>
                <w:rFonts w:ascii="Calibri" w:hAnsi="Calibri"/>
                <w:color w:val="333333"/>
                <w:sz w:val="18"/>
              </w:rPr>
              <w:t>11.9%</w:t>
            </w:r>
          </w:p>
        </w:tc>
        <w:tc>
          <w:tcPr>
            <w:tcW w:type="dxa" w:w="2520"/>
            <w:shd w:fill="F2F4F8" w:val="clear"/>
          </w:tcPr>
          <w:p>
            <w:r>
              <w:rPr>
                <w:rFonts w:ascii="Calibri" w:hAnsi="Calibri"/>
                <w:color w:val="333333"/>
                <w:sz w:val="18"/>
              </w:rPr>
              <w:t>18.0%</w:t>
            </w:r>
          </w:p>
        </w:tc>
        <w:tc>
          <w:tcPr>
            <w:tcW w:type="dxa" w:w="2520"/>
            <w:shd w:fill="F2F4F8" w:val="clear"/>
            <w:shd w:fill="DCEEF8" w:val="clear"/>
          </w:tcPr>
          <w:p>
            <w:r>
              <w:rPr>
                <w:rFonts w:ascii="Calibri" w:hAnsi="Calibri"/>
                <w:color w:val="333333"/>
                <w:sz w:val="18"/>
              </w:rPr>
              <w:t>51.3%</w:t>
            </w:r>
          </w:p>
        </w:tc>
      </w:tr>
      <w:tr>
        <w:tc>
          <w:tcPr>
            <w:tcW w:type="dxa" w:w="2520"/>
          </w:tcPr>
          <w:p>
            <w:r>
              <w:rPr>
                <w:rFonts w:ascii="Calibri" w:hAnsi="Calibri"/>
                <w:color w:val="333333"/>
                <w:sz w:val="18"/>
              </w:rPr>
              <w:t>EBITDA margin percentage</w:t>
            </w:r>
          </w:p>
        </w:tc>
        <w:tc>
          <w:tcPr>
            <w:tcW w:type="dxa" w:w="2520"/>
          </w:tcPr>
          <w:p>
            <w:r>
              <w:rPr>
                <w:rFonts w:ascii="Calibri" w:hAnsi="Calibri"/>
                <w:color w:val="333333"/>
                <w:sz w:val="18"/>
              </w:rPr>
              <w:t>17.5%</w:t>
            </w:r>
          </w:p>
        </w:tc>
        <w:tc>
          <w:tcPr>
            <w:tcW w:type="dxa" w:w="2520"/>
          </w:tcPr>
          <w:p>
            <w:r>
              <w:rPr>
                <w:rFonts w:ascii="Calibri" w:hAnsi="Calibri"/>
                <w:color w:val="333333"/>
                <w:sz w:val="18"/>
              </w:rPr>
              <w:t>22.9%</w:t>
            </w:r>
          </w:p>
        </w:tc>
        <w:tc>
          <w:tcPr>
            <w:tcW w:type="dxa" w:w="2520"/>
            <w:shd w:fill="DCEEF8" w:val="clear"/>
          </w:tcPr>
          <w:p>
            <w:r>
              <w:rPr>
                <w:rFonts w:ascii="Calibri" w:hAnsi="Calibri"/>
                <w:color w:val="333333"/>
                <w:sz w:val="18"/>
              </w:rPr>
              <w:t>30.9%</w:t>
            </w:r>
          </w:p>
        </w:tc>
      </w:tr>
      <w:tr>
        <w:tc>
          <w:tcPr>
            <w:tcW w:type="dxa" w:w="2520"/>
            <w:shd w:fill="F2F4F8" w:val="clear"/>
          </w:tcPr>
          <w:p>
            <w:r>
              <w:rPr>
                <w:rFonts w:ascii="Calibri" w:hAnsi="Calibri"/>
                <w:color w:val="333333"/>
                <w:sz w:val="18"/>
              </w:rPr>
              <w:t>Effective tax rate</w:t>
            </w:r>
          </w:p>
        </w:tc>
        <w:tc>
          <w:tcPr>
            <w:tcW w:type="dxa" w:w="2520"/>
            <w:shd w:fill="F2F4F8" w:val="clear"/>
          </w:tcPr>
          <w:p>
            <w:r>
              <w:rPr>
                <w:rFonts w:ascii="Calibri" w:hAnsi="Calibri"/>
                <w:color w:val="333333"/>
                <w:sz w:val="18"/>
              </w:rPr>
              <w:t>$16</w:t>
            </w:r>
          </w:p>
        </w:tc>
        <w:tc>
          <w:tcPr>
            <w:tcW w:type="dxa" w:w="2520"/>
            <w:shd w:fill="F2F4F8" w:val="clear"/>
          </w:tcPr>
          <w:p>
            <w:r>
              <w:rPr>
                <w:rFonts w:ascii="Calibri" w:hAnsi="Calibri"/>
                <w:color w:val="333333"/>
                <w:sz w:val="18"/>
              </w:rPr>
              <w:t>$22</w:t>
            </w:r>
          </w:p>
        </w:tc>
        <w:tc>
          <w:tcPr>
            <w:tcW w:type="dxa" w:w="2520"/>
            <w:shd w:fill="F2F4F8" w:val="clear"/>
            <w:shd w:fill="DCEEF8" w:val="clear"/>
          </w:tcPr>
          <w:p>
            <w:r>
              <w:rPr>
                <w:rFonts w:ascii="Calibri" w:hAnsi="Calibri"/>
                <w:color w:val="333333"/>
                <w:sz w:val="18"/>
              </w:rPr>
              <w:t>31.8%</w:t>
            </w:r>
          </w:p>
        </w:tc>
      </w:tr>
      <w:tr>
        <w:tc>
          <w:tcPr>
            <w:tcW w:type="dxa" w:w="2520"/>
          </w:tcPr>
          <w:p>
            <w:r>
              <w:rPr>
                <w:rFonts w:ascii="Calibri" w:hAnsi="Calibri"/>
                <w:color w:val="333333"/>
                <w:sz w:val="18"/>
              </w:rPr>
              <w:t>Interest coverage ratio</w:t>
            </w:r>
          </w:p>
        </w:tc>
        <w:tc>
          <w:tcPr>
            <w:tcW w:type="dxa" w:w="2520"/>
          </w:tcPr>
          <w:p>
            <w:r>
              <w:rPr>
                <w:rFonts w:ascii="Calibri" w:hAnsi="Calibri"/>
                <w:color w:val="333333"/>
                <w:sz w:val="18"/>
              </w:rPr>
              <w:t>N/A</w:t>
            </w:r>
          </w:p>
        </w:tc>
        <w:tc>
          <w:tcPr>
            <w:tcW w:type="dxa" w:w="2520"/>
          </w:tcPr>
          <w:p>
            <w:r>
              <w:rPr>
                <w:rFonts w:ascii="Calibri" w:hAnsi="Calibri"/>
                <w:color w:val="333333"/>
                <w:sz w:val="18"/>
              </w:rPr>
              <w:t>$26</w:t>
            </w:r>
          </w:p>
        </w:tc>
        <w:tc>
          <w:tcPr>
            <w:tcW w:type="dxa" w:w="2520"/>
          </w:tcPr>
          <w:p>
            <w:r>
              <w:rPr>
                <w:rFonts w:ascii="Calibri" w:hAnsi="Calibri"/>
                <w:color w:val="333333"/>
                <w:sz w:val="18"/>
              </w:rPr>
              <w:t>N/A</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$99.8B</w:t>
            </w:r>
          </w:p>
        </w:tc>
        <w:tc>
          <w:tcPr>
            <w:tcW w:type="dxa" w:w="2520"/>
          </w:tcPr>
          <w:p>
            <w:r>
              <w:rPr>
                <w:rFonts w:ascii="Calibri" w:hAnsi="Calibri"/>
                <w:color w:val="333333"/>
                <w:sz w:val="18"/>
              </w:rPr>
              <w:t>$112.3B</w:t>
            </w:r>
          </w:p>
        </w:tc>
        <w:tc>
          <w:tcPr>
            <w:tcW w:type="dxa" w:w="2520"/>
            <w:shd w:fill="DCEEF8" w:val="clear"/>
          </w:tcPr>
          <w:p>
            <w:r>
              <w:rPr>
                <w:rFonts w:ascii="Calibri" w:hAnsi="Calibri"/>
                <w:color w:val="333333"/>
                <w:sz w:val="18"/>
              </w:rPr>
              <w:t>12.5%</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$40.2B</w:t>
            </w:r>
          </w:p>
        </w:tc>
        <w:tc>
          <w:tcPr>
            <w:tcW w:type="dxa" w:w="2520"/>
            <w:shd w:fill="F2F4F8" w:val="clear"/>
          </w:tcPr>
          <w:p>
            <w:r>
              <w:rPr>
                <w:rFonts w:ascii="Calibri" w:hAnsi="Calibri"/>
                <w:color w:val="333333"/>
                <w:sz w:val="18"/>
              </w:rPr>
              <w:t>$53.2B</w:t>
            </w:r>
          </w:p>
        </w:tc>
        <w:tc>
          <w:tcPr>
            <w:tcW w:type="dxa" w:w="2520"/>
            <w:shd w:fill="F2F4F8" w:val="clear"/>
            <w:shd w:fill="DCEEF8" w:val="clear"/>
          </w:tcPr>
          <w:p>
            <w:r>
              <w:rPr>
                <w:rFonts w:ascii="Calibri" w:hAnsi="Calibri"/>
                <w:color w:val="333333"/>
                <w:sz w:val="18"/>
              </w:rPr>
              <w:t>32.3%</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$59.6B</w:t>
            </w:r>
          </w:p>
        </w:tc>
        <w:tc>
          <w:tcPr>
            <w:tcW w:type="dxa" w:w="2520"/>
          </w:tcPr>
          <w:p>
            <w:r>
              <w:rPr>
                <w:rFonts w:ascii="Calibri" w:hAnsi="Calibri"/>
                <w:color w:val="333333"/>
                <w:sz w:val="18"/>
              </w:rPr>
              <w:t>$59.1B</w:t>
            </w:r>
          </w:p>
        </w:tc>
        <w:tc>
          <w:tcPr>
            <w:tcW w:type="dxa" w:w="2520"/>
          </w:tcPr>
          <w:p>
            <w:r>
              <w:rPr>
                <w:rFonts w:ascii="Calibri" w:hAnsi="Calibri"/>
                <w:color w:val="333333"/>
                <w:sz w:val="18"/>
              </w:rPr>
              <w:t>-0.8%</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$29.1B</w:t>
            </w:r>
          </w:p>
        </w:tc>
        <w:tc>
          <w:tcPr>
            <w:tcW w:type="dxa" w:w="2520"/>
            <w:shd w:fill="F2F4F8" w:val="clear"/>
          </w:tcPr>
          <w:p>
            <w:r>
              <w:rPr>
                <w:rFonts w:ascii="Calibri" w:hAnsi="Calibri"/>
                <w:color w:val="333333"/>
                <w:sz w:val="18"/>
              </w:rPr>
              <w:t>$28.2B</w:t>
            </w:r>
          </w:p>
        </w:tc>
        <w:tc>
          <w:tcPr>
            <w:tcW w:type="dxa" w:w="2520"/>
            <w:shd w:fill="F2F4F8" w:val="clear"/>
            <w:shd w:fill="FFF3CD" w:val="clear"/>
          </w:tcPr>
          <w:p>
            <w:r>
              <w:rPr>
                <w:rFonts w:ascii="Calibri" w:hAnsi="Calibri"/>
                <w:color w:val="333333"/>
                <w:sz w:val="18"/>
              </w:rPr>
              <w:t>-2.9%</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$26.6B</w:t>
            </w:r>
          </w:p>
        </w:tc>
        <w:tc>
          <w:tcPr>
            <w:tcW w:type="dxa" w:w="2520"/>
          </w:tcPr>
          <w:p>
            <w:r>
              <w:rPr>
                <w:rFonts w:ascii="Calibri" w:hAnsi="Calibri"/>
                <w:color w:val="333333"/>
                <w:sz w:val="18"/>
              </w:rPr>
              <w:t>$37.1B</w:t>
            </w:r>
          </w:p>
        </w:tc>
        <w:tc>
          <w:tcPr>
            <w:tcW w:type="dxa" w:w="2520"/>
            <w:shd w:fill="DCEEF8" w:val="clear"/>
          </w:tcPr>
          <w:p>
            <w:r>
              <w:rPr>
                <w:rFonts w:ascii="Calibri" w:hAnsi="Calibri"/>
                <w:color w:val="333333"/>
                <w:sz w:val="18"/>
              </w:rPr>
              <w:t>39.4%</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$8.5B</w:t>
            </w:r>
          </w:p>
        </w:tc>
        <w:tc>
          <w:tcPr>
            <w:tcW w:type="dxa" w:w="2520"/>
            <w:shd w:fill="F2F4F8" w:val="clear"/>
          </w:tcPr>
          <w:p>
            <w:r>
              <w:rPr>
                <w:rFonts w:ascii="Calibri" w:hAnsi="Calibri"/>
                <w:color w:val="333333"/>
                <w:sz w:val="18"/>
              </w:rPr>
              <w:t>$7.3B</w:t>
            </w:r>
          </w:p>
        </w:tc>
        <w:tc>
          <w:tcPr>
            <w:tcW w:type="dxa" w:w="2520"/>
            <w:shd w:fill="F2F4F8" w:val="clear"/>
            <w:shd w:fill="FCE8E6" w:val="clear"/>
          </w:tcPr>
          <w:p>
            <w:r>
              <w:rPr>
                <w:rFonts w:ascii="Calibri" w:hAnsi="Calibri"/>
                <w:color w:val="333333"/>
                <w:sz w:val="18"/>
              </w:rPr>
              <w:t>-13.5%</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$11.4B</w:t>
            </w:r>
          </w:p>
        </w:tc>
        <w:tc>
          <w:tcPr>
            <w:tcW w:type="dxa" w:w="2520"/>
          </w:tcPr>
          <w:p>
            <w:r>
              <w:rPr>
                <w:rFonts w:ascii="Calibri" w:hAnsi="Calibri"/>
                <w:color w:val="333333"/>
                <w:sz w:val="18"/>
              </w:rPr>
              <w:t>$14.3B</w:t>
            </w:r>
          </w:p>
        </w:tc>
        <w:tc>
          <w:tcPr>
            <w:tcW w:type="dxa" w:w="2520"/>
            <w:shd w:fill="DCEEF8" w:val="clear"/>
          </w:tcPr>
          <w:p>
            <w:r>
              <w:rPr>
                <w:rFonts w:ascii="Calibri" w:hAnsi="Calibri"/>
                <w:color w:val="333333"/>
                <w:sz w:val="18"/>
              </w:rPr>
              <w:t>25.6%</w:t>
            </w:r>
          </w:p>
        </w:tc>
      </w:tr>
      <w:tr>
        <w:tc>
          <w:tcPr>
            <w:tcW w:type="dxa" w:w="2520"/>
            <w:shd w:fill="F2F4F8" w:val="clear"/>
          </w:tcPr>
          <w:p>
            <w:r>
              <w:rPr>
                <w:rFonts w:ascii="Calibri" w:hAnsi="Calibri"/>
                <w:color w:val="333333"/>
                <w:sz w:val="18"/>
              </w:rPr>
              <w:t>Property, plant and equipment, net</w:t>
            </w:r>
          </w:p>
        </w:tc>
        <w:tc>
          <w:tcPr>
            <w:tcW w:type="dxa" w:w="2520"/>
            <w:shd w:fill="F2F4F8" w:val="clear"/>
          </w:tcPr>
          <w:p>
            <w:r>
              <w:rPr>
                <w:rFonts w:ascii="Calibri" w:hAnsi="Calibri"/>
                <w:color w:val="333333"/>
                <w:sz w:val="18"/>
              </w:rPr>
              <w:t>$3.7B</w:t>
            </w:r>
          </w:p>
        </w:tc>
        <w:tc>
          <w:tcPr>
            <w:tcW w:type="dxa" w:w="2520"/>
            <w:shd w:fill="F2F4F8" w:val="clear"/>
          </w:tcPr>
          <w:p>
            <w:r>
              <w:rPr>
                <w:rFonts w:ascii="Calibri" w:hAnsi="Calibri"/>
                <w:color w:val="333333"/>
                <w:sz w:val="18"/>
              </w:rPr>
              <w:t>$3.1B</w:t>
            </w:r>
          </w:p>
        </w:tc>
        <w:tc>
          <w:tcPr>
            <w:tcW w:type="dxa" w:w="2520"/>
            <w:shd w:fill="F2F4F8" w:val="clear"/>
            <w:shd w:fill="FCE8E6" w:val="clear"/>
          </w:tcPr>
          <w:p>
            <w:r>
              <w:rPr>
                <w:rFonts w:ascii="Calibri" w:hAnsi="Calibri"/>
                <w:color w:val="333333"/>
                <w:sz w:val="18"/>
              </w:rPr>
              <w:t>-15.4%</w:t>
            </w:r>
          </w:p>
        </w:tc>
      </w:tr>
      <w:tr>
        <w:tc>
          <w:tcPr>
            <w:tcW w:type="dxa" w:w="2520"/>
          </w:tcPr>
          <w:p>
            <w:r>
              <w:rPr>
                <w:rFonts w:ascii="Calibri" w:hAnsi="Calibri"/>
                <w:color w:val="333333"/>
                <w:sz w:val="18"/>
              </w:rPr>
              <w:t>Goodwill</w:t>
            </w:r>
          </w:p>
        </w:tc>
        <w:tc>
          <w:tcPr>
            <w:tcW w:type="dxa" w:w="2520"/>
          </w:tcPr>
          <w:p>
            <w:r>
              <w:rPr>
                <w:rFonts w:ascii="Calibri" w:hAnsi="Calibri"/>
                <w:color w:val="333333"/>
                <w:sz w:val="18"/>
              </w:rPr>
              <w:t>$48.6B</w:t>
            </w:r>
          </w:p>
        </w:tc>
        <w:tc>
          <w:tcPr>
            <w:tcW w:type="dxa" w:w="2520"/>
          </w:tcPr>
          <w:p>
            <w:r>
              <w:rPr>
                <w:rFonts w:ascii="Calibri" w:hAnsi="Calibri"/>
                <w:color w:val="333333"/>
                <w:sz w:val="18"/>
              </w:rPr>
              <w:t>$57.9B</w:t>
            </w:r>
          </w:p>
        </w:tc>
        <w:tc>
          <w:tcPr>
            <w:tcW w:type="dxa" w:w="2520"/>
            <w:shd w:fill="DCEEF8" w:val="clear"/>
          </w:tcPr>
          <w:p>
            <w:r>
              <w:rPr>
                <w:rFonts w:ascii="Calibri" w:hAnsi="Calibri"/>
                <w:color w:val="333333"/>
                <w:sz w:val="18"/>
              </w:rPr>
              <w:t>19.2%</w:t>
            </w:r>
          </w:p>
        </w:tc>
      </w:tr>
      <w:tr>
        <w:tc>
          <w:tcPr>
            <w:tcW w:type="dxa" w:w="2520"/>
            <w:shd w:fill="F2F4F8" w:val="clear"/>
          </w:tcPr>
          <w:p>
            <w:r>
              <w:rPr>
                <w:rFonts w:ascii="Calibri" w:hAnsi="Calibri"/>
                <w:color w:val="333333"/>
                <w:sz w:val="18"/>
              </w:rPr>
              <w:t>Intangible assets, net (excluding goodwill)</w:t>
            </w:r>
          </w:p>
        </w:tc>
        <w:tc>
          <w:tcPr>
            <w:tcW w:type="dxa" w:w="2520"/>
            <w:shd w:fill="F2F4F8" w:val="clear"/>
          </w:tcPr>
          <w:p>
            <w:r>
              <w:rPr>
                <w:rFonts w:ascii="Calibri" w:hAnsi="Calibri"/>
                <w:color w:val="333333"/>
                <w:sz w:val="18"/>
              </w:rPr>
              <w:t>$5.3B</w:t>
            </w:r>
          </w:p>
        </w:tc>
        <w:tc>
          <w:tcPr>
            <w:tcW w:type="dxa" w:w="2520"/>
            <w:shd w:fill="F2F4F8" w:val="clear"/>
          </w:tcPr>
          <w:p>
            <w:r>
              <w:rPr>
                <w:rFonts w:ascii="Calibri" w:hAnsi="Calibri"/>
                <w:color w:val="333333"/>
                <w:sz w:val="18"/>
              </w:rPr>
              <w:t>$6.8B</w:t>
            </w:r>
          </w:p>
        </w:tc>
        <w:tc>
          <w:tcPr>
            <w:tcW w:type="dxa" w:w="2520"/>
            <w:shd w:fill="F2F4F8" w:val="clear"/>
            <w:shd w:fill="DCEEF8" w:val="clear"/>
          </w:tcPr>
          <w:p>
            <w:r>
              <w:rPr>
                <w:rFonts w:ascii="Calibri" w:hAnsi="Calibri"/>
                <w:color w:val="333333"/>
                <w:sz w:val="18"/>
              </w:rPr>
              <w:t>29.1%</w:t>
            </w:r>
          </w:p>
        </w:tc>
      </w:tr>
      <w:tr>
        <w:tc>
          <w:tcPr>
            <w:tcW w:type="dxa" w:w="2520"/>
          </w:tcPr>
          <w:p>
            <w:r>
              <w:rPr>
                <w:rFonts w:ascii="Calibri" w:hAnsi="Calibri"/>
                <w:color w:val="333333"/>
                <w:sz w:val="18"/>
              </w:rPr>
              <w:t>Long-term debt, non-current</w:t>
            </w:r>
          </w:p>
        </w:tc>
        <w:tc>
          <w:tcPr>
            <w:tcW w:type="dxa" w:w="2520"/>
          </w:tcPr>
          <w:p>
            <w:r>
              <w:rPr>
                <w:rFonts w:ascii="Calibri" w:hAnsi="Calibri"/>
                <w:color w:val="333333"/>
                <w:sz w:val="18"/>
              </w:rPr>
              <w:t>$8.4B</w:t>
            </w:r>
          </w:p>
        </w:tc>
        <w:tc>
          <w:tcPr>
            <w:tcW w:type="dxa" w:w="2520"/>
          </w:tcPr>
          <w:p>
            <w:r>
              <w:rPr>
                <w:rFonts w:ascii="Calibri" w:hAnsi="Calibri"/>
                <w:color w:val="333333"/>
                <w:sz w:val="18"/>
              </w:rPr>
              <w:t>$10.4B</w:t>
            </w:r>
          </w:p>
        </w:tc>
        <w:tc>
          <w:tcPr>
            <w:tcW w:type="dxa" w:w="2520"/>
            <w:shd w:fill="DCEEF8" w:val="clear"/>
          </w:tcPr>
          <w:p>
            <w:r>
              <w:rPr>
                <w:rFonts w:ascii="Calibri" w:hAnsi="Calibri"/>
                <w:color w:val="333333"/>
                <w:sz w:val="18"/>
              </w:rPr>
              <w:t>23.9%</w:t>
            </w:r>
          </w:p>
        </w:tc>
      </w:tr>
      <w:tr>
        <w:tc>
          <w:tcPr>
            <w:tcW w:type="dxa" w:w="2520"/>
            <w:shd w:fill="F2F4F8" w:val="clear"/>
          </w:tcPr>
          <w:p>
            <w:r>
              <w:rPr>
                <w:rFonts w:ascii="Calibri" w:hAnsi="Calibri"/>
                <w:color w:val="333333"/>
                <w:sz w:val="18"/>
              </w:rPr>
              <w:t>Short-term debt / current portion of long-term debt</w:t>
            </w:r>
          </w:p>
        </w:tc>
        <w:tc>
          <w:tcPr>
            <w:tcW w:type="dxa" w:w="2520"/>
            <w:shd w:fill="F2F4F8" w:val="clear"/>
          </w:tcPr>
          <w:p>
            <w:r>
              <w:rPr>
                <w:rFonts w:ascii="Calibri" w:hAnsi="Calibri"/>
                <w:color w:val="333333"/>
                <w:sz w:val="18"/>
              </w:rPr>
              <w:t>$999.0M</w:t>
            </w:r>
          </w:p>
        </w:tc>
        <w:tc>
          <w:tcPr>
            <w:tcW w:type="dxa" w:w="2520"/>
            <w:shd w:fill="F2F4F8" w:val="clear"/>
          </w:tcPr>
          <w:p>
            <w:r>
              <w:rPr>
                <w:rFonts w:ascii="Calibri" w:hAnsi="Calibri"/>
                <w:color w:val="333333"/>
                <w:sz w:val="18"/>
              </w:rPr>
              <w:t>$4.0B</w:t>
            </w:r>
          </w:p>
        </w:tc>
        <w:tc>
          <w:tcPr>
            <w:tcW w:type="dxa" w:w="2520"/>
            <w:shd w:fill="F2F4F8" w:val="clear"/>
            <w:shd w:fill="DCEEF8" w:val="clear"/>
          </w:tcPr>
          <w:p>
            <w:r>
              <w:rPr>
                <w:rFonts w:ascii="Calibri" w:hAnsi="Calibri"/>
                <w:color w:val="333333"/>
                <w:sz w:val="18"/>
              </w:rPr>
              <w:t>300.4%</w:t>
            </w:r>
          </w:p>
        </w:tc>
      </w:tr>
      <w:tr>
        <w:tc>
          <w:tcPr>
            <w:tcW w:type="dxa" w:w="2520"/>
          </w:tcPr>
          <w:p>
            <w:r>
              <w:rPr>
                <w:rFonts w:ascii="Calibri" w:hAnsi="Calibri"/>
                <w:color w:val="333333"/>
                <w:sz w:val="18"/>
              </w:rPr>
              <w:t>Retained earnings / accumulated deficit</w:t>
            </w:r>
          </w:p>
        </w:tc>
        <w:tc>
          <w:tcPr>
            <w:tcW w:type="dxa" w:w="2520"/>
          </w:tcPr>
          <w:p>
            <w:r>
              <w:rPr>
                <w:rFonts w:ascii="Calibri" w:hAnsi="Calibri"/>
                <w:color w:val="333333"/>
                <w:sz w:val="18"/>
              </w:rPr>
              <w:t>$11.7B</w:t>
            </w:r>
          </w:p>
        </w:tc>
        <w:tc>
          <w:tcPr>
            <w:tcW w:type="dxa" w:w="2520"/>
          </w:tcPr>
          <w:p>
            <w:r>
              <w:rPr>
                <w:rFonts w:ascii="Calibri" w:hAnsi="Calibri"/>
                <w:color w:val="333333"/>
                <w:sz w:val="18"/>
              </w:rPr>
              <w:t>$22.2B</w:t>
            </w:r>
          </w:p>
        </w:tc>
        <w:tc>
          <w:tcPr>
            <w:tcW w:type="dxa" w:w="2520"/>
            <w:shd w:fill="DCEEF8" w:val="clear"/>
          </w:tcPr>
          <w:p>
            <w:r>
              <w:rPr>
                <w:rFonts w:ascii="Calibri" w:hAnsi="Calibri"/>
                <w:color w:val="333333"/>
                <w:sz w:val="18"/>
              </w:rPr>
              <w:t>89.6%</w:t>
            </w:r>
          </w:p>
        </w:tc>
      </w:tr>
      <w:tr>
        <w:tc>
          <w:tcPr>
            <w:tcW w:type="dxa" w:w="2520"/>
            <w:shd w:fill="F2F4F8" w:val="clear"/>
          </w:tcPr>
          <w:p>
            <w:r>
              <w:rPr>
                <w:rFonts w:ascii="Calibri" w:hAnsi="Calibri"/>
                <w:color w:val="333333"/>
                <w:sz w:val="18"/>
              </w:rPr>
              <w:t>Total debt (short-term + long-term)</w:t>
            </w:r>
          </w:p>
        </w:tc>
        <w:tc>
          <w:tcPr>
            <w:tcW w:type="dxa" w:w="2520"/>
            <w:shd w:fill="F2F4F8" w:val="clear"/>
          </w:tcPr>
          <w:p>
            <w:r>
              <w:rPr>
                <w:rFonts w:ascii="Calibri" w:hAnsi="Calibri"/>
                <w:color w:val="333333"/>
                <w:sz w:val="18"/>
              </w:rPr>
              <w:t>$9.4B</w:t>
            </w:r>
          </w:p>
        </w:tc>
        <w:tc>
          <w:tcPr>
            <w:tcW w:type="dxa" w:w="2520"/>
            <w:shd w:fill="F2F4F8" w:val="clear"/>
          </w:tcPr>
          <w:p>
            <w:r>
              <w:rPr>
                <w:rFonts w:ascii="Calibri" w:hAnsi="Calibri"/>
                <w:color w:val="333333"/>
                <w:sz w:val="18"/>
              </w:rPr>
              <w:t>$14.4B</w:t>
            </w:r>
          </w:p>
        </w:tc>
        <w:tc>
          <w:tcPr>
            <w:tcW w:type="dxa" w:w="2520"/>
            <w:shd w:fill="F2F4F8" w:val="clear"/>
            <w:shd w:fill="DCEEF8" w:val="clear"/>
          </w:tcPr>
          <w:p>
            <w:r>
              <w:rPr>
                <w:rFonts w:ascii="Calibri" w:hAnsi="Calibri"/>
                <w:color w:val="333333"/>
                <w:sz w:val="18"/>
              </w:rPr>
              <w:t>53.2%</w:t>
            </w:r>
          </w:p>
        </w:tc>
      </w:tr>
      <w:tr>
        <w:tc>
          <w:tcPr>
            <w:tcW w:type="dxa" w:w="2520"/>
          </w:tcPr>
          <w:p>
            <w:r>
              <w:rPr>
                <w:rFonts w:ascii="Calibri" w:hAnsi="Calibri"/>
                <w:color w:val="333333"/>
                <w:sz w:val="18"/>
              </w:rPr>
              <w:t>Common shares outstanding</w:t>
            </w:r>
          </w:p>
        </w:tc>
        <w:tc>
          <w:tcPr>
            <w:tcW w:type="dxa" w:w="2520"/>
          </w:tcPr>
          <w:p>
            <w:r>
              <w:rPr>
                <w:rFonts w:ascii="Calibri" w:hAnsi="Calibri"/>
                <w:color w:val="333333"/>
                <w:sz w:val="18"/>
              </w:rPr>
              <w:t>971.0M</w:t>
            </w:r>
          </w:p>
        </w:tc>
        <w:tc>
          <w:tcPr>
            <w:tcW w:type="dxa" w:w="2520"/>
          </w:tcPr>
          <w:p>
            <w:r>
              <w:rPr>
                <w:rFonts w:ascii="Calibri" w:hAnsi="Calibri"/>
                <w:color w:val="333333"/>
                <w:sz w:val="18"/>
              </w:rPr>
              <w:t>929.0M</w:t>
            </w:r>
          </w:p>
        </w:tc>
        <w:tc>
          <w:tcPr>
            <w:tcW w:type="dxa" w:w="2520"/>
            <w:shd w:fill="FFF3CD" w:val="clear"/>
          </w:tcPr>
          <w:p>
            <w:r>
              <w:rPr>
                <w:rFonts w:ascii="Calibri" w:hAnsi="Calibri"/>
                <w:color w:val="333333"/>
                <w:sz w:val="18"/>
              </w:rPr>
              <w:t>-4.3%</w:t>
            </w:r>
          </w:p>
        </w:tc>
      </w:tr>
      <w:tr>
        <w:tc>
          <w:tcPr>
            <w:tcW w:type="dxa" w:w="2520"/>
            <w:shd w:fill="F2F4F8" w:val="clear"/>
          </w:tcPr>
          <w:p>
            <w:r>
              <w:rPr>
                <w:rFonts w:ascii="Calibri" w:hAnsi="Calibri"/>
                <w:color w:val="333333"/>
                <w:sz w:val="18"/>
              </w:rPr>
              <w:t>Deferred revenue / contract liabilities</w:t>
            </w:r>
          </w:p>
        </w:tc>
        <w:tc>
          <w:tcPr>
            <w:tcW w:type="dxa" w:w="2520"/>
            <w:shd w:fill="F2F4F8" w:val="clear"/>
          </w:tcPr>
          <w:p>
            <w:r>
              <w:rPr>
                <w:rFonts w:ascii="Calibri" w:hAnsi="Calibri"/>
                <w:color w:val="333333"/>
                <w:sz w:val="18"/>
              </w:rPr>
              <w:t>$19.0B</w:t>
            </w:r>
          </w:p>
        </w:tc>
        <w:tc>
          <w:tcPr>
            <w:tcW w:type="dxa" w:w="2520"/>
            <w:shd w:fill="F2F4F8" w:val="clear"/>
          </w:tcPr>
          <w:p>
            <w:r>
              <w:rPr>
                <w:rFonts w:ascii="Calibri" w:hAnsi="Calibri"/>
                <w:color w:val="333333"/>
                <w:sz w:val="18"/>
              </w:rPr>
              <w:t>$24.3B</w:t>
            </w:r>
          </w:p>
        </w:tc>
        <w:tc>
          <w:tcPr>
            <w:tcW w:type="dxa" w:w="2520"/>
            <w:shd w:fill="F2F4F8" w:val="clear"/>
            <w:shd w:fill="DCEEF8" w:val="clear"/>
          </w:tcPr>
          <w:p>
            <w:r>
              <w:rPr>
                <w:rFonts w:ascii="Calibri" w:hAnsi="Calibri"/>
                <w:color w:val="333333"/>
                <w:sz w:val="18"/>
              </w:rPr>
              <w:t>28.0%</w:t>
            </w:r>
          </w:p>
        </w:tc>
      </w:tr>
      <w:tr>
        <w:tc>
          <w:tcPr>
            <w:tcW w:type="dxa" w:w="2520"/>
          </w:tcPr>
          <w:p>
            <w:r>
              <w:rPr>
                <w:rFonts w:ascii="Calibri" w:hAnsi="Calibri"/>
                <w:color w:val="333333"/>
                <w:sz w:val="18"/>
              </w:rPr>
              <w:t>Operating lease liabilities</w:t>
            </w:r>
          </w:p>
        </w:tc>
        <w:tc>
          <w:tcPr>
            <w:tcW w:type="dxa" w:w="2520"/>
          </w:tcPr>
          <w:p>
            <w:r>
              <w:rPr>
                <w:rFonts w:ascii="Calibri" w:hAnsi="Calibri"/>
                <w:color w:val="333333"/>
                <w:sz w:val="18"/>
              </w:rPr>
              <w:t>$3.2B</w:t>
            </w:r>
          </w:p>
        </w:tc>
        <w:tc>
          <w:tcPr>
            <w:tcW w:type="dxa" w:w="2520"/>
          </w:tcPr>
          <w:p>
            <w:r>
              <w:rPr>
                <w:rFonts w:ascii="Calibri" w:hAnsi="Calibri"/>
                <w:color w:val="333333"/>
                <w:sz w:val="18"/>
              </w:rPr>
              <w:t>$2.7B</w:t>
            </w:r>
          </w:p>
        </w:tc>
        <w:tc>
          <w:tcPr>
            <w:tcW w:type="dxa" w:w="2520"/>
            <w:shd w:fill="FCE8E6" w:val="clear"/>
          </w:tcPr>
          <w:p>
            <w:r>
              <w:rPr>
                <w:rFonts w:ascii="Calibri" w:hAnsi="Calibri"/>
                <w:color w:val="333333"/>
                <w:sz w:val="18"/>
              </w:rPr>
              <w:t>-13.4%</w:t>
            </w:r>
          </w:p>
        </w:tc>
      </w:tr>
      <w:tr>
        <w:tc>
          <w:tcPr>
            <w:tcW w:type="dxa" w:w="2520"/>
            <w:shd w:fill="F2F4F8" w:val="clear"/>
          </w:tcPr>
          <w:p>
            <w:r>
              <w:rPr>
                <w:rFonts w:ascii="Calibri" w:hAnsi="Calibri"/>
                <w:color w:val="333333"/>
                <w:sz w:val="18"/>
              </w:rPr>
              <w:t>Short-term investments / marketable securities</w:t>
            </w:r>
          </w:p>
        </w:tc>
        <w:tc>
          <w:tcPr>
            <w:tcW w:type="dxa" w:w="2520"/>
            <w:shd w:fill="F2F4F8" w:val="clear"/>
          </w:tcPr>
          <w:p>
            <w:r>
              <w:rPr>
                <w:rFonts w:ascii="Calibri" w:hAnsi="Calibri"/>
                <w:color w:val="333333"/>
                <w:sz w:val="18"/>
              </w:rPr>
              <w:t>$5.7B</w:t>
            </w:r>
          </w:p>
        </w:tc>
        <w:tc>
          <w:tcPr>
            <w:tcW w:type="dxa" w:w="2520"/>
            <w:shd w:fill="F2F4F8" w:val="clear"/>
          </w:tcPr>
          <w:p>
            <w:r>
              <w:rPr>
                <w:rFonts w:ascii="Calibri" w:hAnsi="Calibri"/>
                <w:color w:val="333333"/>
                <w:sz w:val="18"/>
              </w:rPr>
              <w:t>$2.2B</w:t>
            </w:r>
          </w:p>
        </w:tc>
        <w:tc>
          <w:tcPr>
            <w:tcW w:type="dxa" w:w="2520"/>
            <w:shd w:fill="F2F4F8" w:val="clear"/>
            <w:shd w:fill="FCE8E6" w:val="clear"/>
          </w:tcPr>
          <w:p>
            <w:r>
              <w:rPr>
                <w:rFonts w:ascii="Calibri" w:hAnsi="Calibri"/>
                <w:color w:val="333333"/>
                <w:sz w:val="18"/>
              </w:rPr>
              <w:t>-60.9%</w:t>
            </w:r>
          </w:p>
        </w:tc>
      </w:tr>
      <w:tr>
        <w:tc>
          <w:tcPr>
            <w:tcW w:type="dxa" w:w="2520"/>
          </w:tcPr>
          <w:p>
            <w:r>
              <w:rPr>
                <w:rFonts w:ascii="Calibri" w:hAnsi="Calibri"/>
                <w:color w:val="333333"/>
                <w:sz w:val="18"/>
              </w:rPr>
              <w:t>Prepaid expenses and other current assets</w:t>
            </w:r>
          </w:p>
        </w:tc>
        <w:tc>
          <w:tcPr>
            <w:tcW w:type="dxa" w:w="2520"/>
          </w:tcPr>
          <w:p>
            <w:r>
              <w:rPr>
                <w:rFonts w:ascii="Calibri" w:hAnsi="Calibri"/>
                <w:color w:val="333333"/>
                <w:sz w:val="18"/>
              </w:rPr>
              <w:t>$1.6B</w:t>
            </w:r>
          </w:p>
        </w:tc>
        <w:tc>
          <w:tcPr>
            <w:tcW w:type="dxa" w:w="2520"/>
          </w:tcPr>
          <w:p>
            <w:r>
              <w:rPr>
                <w:rFonts w:ascii="Calibri" w:hAnsi="Calibri"/>
                <w:color w:val="333333"/>
                <w:sz w:val="18"/>
              </w:rPr>
              <w:t>$2.2B</w:t>
            </w:r>
          </w:p>
        </w:tc>
        <w:tc>
          <w:tcPr>
            <w:tcW w:type="dxa" w:w="2520"/>
            <w:shd w:fill="DCEEF8" w:val="clear"/>
          </w:tcPr>
          <w:p>
            <w:r>
              <w:rPr>
                <w:rFonts w:ascii="Calibri" w:hAnsi="Calibri"/>
                <w:color w:val="333333"/>
                <w:sz w:val="18"/>
              </w:rPr>
              <w:t>43.7%</w:t>
            </w:r>
          </w:p>
        </w:tc>
      </w:tr>
      <w:tr>
        <w:tc>
          <w:tcPr>
            <w:tcW w:type="dxa" w:w="2520"/>
            <w:shd w:fill="F2F4F8" w:val="clear"/>
          </w:tcPr>
          <w:p>
            <w:r>
              <w:rPr>
                <w:rFonts w:ascii="Calibri" w:hAnsi="Calibri"/>
                <w:color w:val="333333"/>
                <w:sz w:val="18"/>
              </w:rPr>
              <w:t>Accumulated other comprehensive income/loss</w:t>
            </w:r>
          </w:p>
        </w:tc>
        <w:tc>
          <w:tcPr>
            <w:tcW w:type="dxa" w:w="2520"/>
            <w:shd w:fill="F2F4F8" w:val="clear"/>
          </w:tcPr>
          <w:p>
            <w:r>
              <w:rPr>
                <w:rFonts w:ascii="Calibri" w:hAnsi="Calibri"/>
                <w:color w:val="333333"/>
                <w:sz w:val="18"/>
              </w:rPr>
              <w:t>$-225.0M</w:t>
            </w:r>
          </w:p>
        </w:tc>
        <w:tc>
          <w:tcPr>
            <w:tcW w:type="dxa" w:w="2520"/>
            <w:shd w:fill="F2F4F8" w:val="clear"/>
          </w:tcPr>
          <w:p>
            <w:r>
              <w:rPr>
                <w:rFonts w:ascii="Calibri" w:hAnsi="Calibri"/>
                <w:color w:val="333333"/>
                <w:sz w:val="18"/>
              </w:rPr>
              <w:t>$313.0M</w:t>
            </w:r>
          </w:p>
        </w:tc>
        <w:tc>
          <w:tcPr>
            <w:tcW w:type="dxa" w:w="2520"/>
            <w:shd w:fill="F2F4F8" w:val="clear"/>
            <w:shd w:fill="DCEEF8" w:val="clear"/>
          </w:tcPr>
          <w:p>
            <w:r>
              <w:rPr>
                <w:rFonts w:ascii="Calibri" w:hAnsi="Calibri"/>
                <w:color w:val="333333"/>
                <w:sz w:val="18"/>
              </w:rPr>
              <w:t>239.1%</w:t>
            </w:r>
          </w:p>
        </w:tc>
      </w:tr>
      <w:tr>
        <w:tc>
          <w:tcPr>
            <w:tcW w:type="dxa" w:w="2520"/>
          </w:tcPr>
          <w:p>
            <w:r>
              <w:rPr>
                <w:rFonts w:ascii="Calibri" w:hAnsi="Calibri"/>
                <w:color w:val="333333"/>
                <w:sz w:val="18"/>
              </w:rPr>
              <w:t>Treasury stock, at cost</w:t>
            </w:r>
          </w:p>
        </w:tc>
        <w:tc>
          <w:tcPr>
            <w:tcW w:type="dxa" w:w="2520"/>
          </w:tcPr>
          <w:p>
            <w:r>
              <w:rPr>
                <w:rFonts w:ascii="Calibri" w:hAnsi="Calibri"/>
                <w:color w:val="333333"/>
                <w:sz w:val="18"/>
              </w:rPr>
              <w:t>$11.7B</w:t>
            </w:r>
          </w:p>
        </w:tc>
        <w:tc>
          <w:tcPr>
            <w:tcW w:type="dxa" w:w="2520"/>
          </w:tcPr>
          <w:p>
            <w:r>
              <w:rPr>
                <w:rFonts w:ascii="Calibri" w:hAnsi="Calibri"/>
                <w:color w:val="333333"/>
                <w:sz w:val="18"/>
              </w:rPr>
              <w:t>$32.2B</w:t>
            </w:r>
          </w:p>
        </w:tc>
        <w:tc>
          <w:tcPr>
            <w:tcW w:type="dxa" w:w="2520"/>
            <w:shd w:fill="DCEEF8" w:val="clear"/>
          </w:tcPr>
          <w:p>
            <w:r>
              <w:rPr>
                <w:rFonts w:ascii="Calibri" w:hAnsi="Calibri"/>
                <w:color w:val="333333"/>
                <w:sz w:val="18"/>
              </w:rPr>
              <w:t>175.6%</w:t>
            </w:r>
          </w:p>
        </w:tc>
      </w:tr>
      <w:tr>
        <w:tc>
          <w:tcPr>
            <w:tcW w:type="dxa" w:w="2520"/>
            <w:shd w:fill="F2F4F8" w:val="clear"/>
          </w:tcPr>
          <w:p>
            <w:r>
              <w:rPr>
                <w:rFonts w:ascii="Calibri" w:hAnsi="Calibri"/>
                <w:color w:val="333333"/>
                <w:sz w:val="18"/>
              </w:rPr>
              <w:t>Common stock par value</w:t>
            </w:r>
          </w:p>
        </w:tc>
        <w:tc>
          <w:tcPr>
            <w:tcW w:type="dxa" w:w="2520"/>
            <w:shd w:fill="F2F4F8" w:val="clear"/>
          </w:tcPr>
          <w:p>
            <w:r>
              <w:rPr>
                <w:rFonts w:ascii="Calibri" w:hAnsi="Calibri"/>
                <w:color w:val="333333"/>
                <w:sz w:val="18"/>
              </w:rPr>
              <w:t>$1.0M</w:t>
            </w:r>
          </w:p>
        </w:tc>
        <w:tc>
          <w:tcPr>
            <w:tcW w:type="dxa" w:w="2520"/>
            <w:shd w:fill="F2F4F8" w:val="clear"/>
          </w:tcPr>
          <w:p>
            <w:r>
              <w:rPr>
                <w:rFonts w:ascii="Calibri" w:hAnsi="Calibri"/>
                <w:color w:val="333333"/>
                <w:sz w:val="18"/>
              </w:rPr>
              <w:t>$1.0M</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Additional paid-in capital</w:t>
            </w:r>
          </w:p>
        </w:tc>
        <w:tc>
          <w:tcPr>
            <w:tcW w:type="dxa" w:w="2520"/>
          </w:tcPr>
          <w:p>
            <w:r>
              <w:rPr>
                <w:rFonts w:ascii="Calibri" w:hAnsi="Calibri"/>
                <w:color w:val="333333"/>
                <w:sz w:val="18"/>
              </w:rPr>
              <w:t>$59.8B</w:t>
            </w:r>
          </w:p>
        </w:tc>
        <w:tc>
          <w:tcPr>
            <w:tcW w:type="dxa" w:w="2520"/>
          </w:tcPr>
          <w:p>
            <w:r>
              <w:rPr>
                <w:rFonts w:ascii="Calibri" w:hAnsi="Calibri"/>
                <w:color w:val="333333"/>
                <w:sz w:val="18"/>
              </w:rPr>
              <w:t>$68.8B</w:t>
            </w:r>
          </w:p>
        </w:tc>
        <w:tc>
          <w:tcPr>
            <w:tcW w:type="dxa" w:w="2520"/>
            <w:shd w:fill="DCEEF8" w:val="clear"/>
          </w:tcPr>
          <w:p>
            <w:r>
              <w:rPr>
                <w:rFonts w:ascii="Calibri" w:hAnsi="Calibri"/>
                <w:color w:val="333333"/>
                <w:sz w:val="18"/>
              </w:rPr>
              <w:t>15.0%</w:t>
            </w:r>
          </w:p>
        </w:tc>
      </w:tr>
      <w:tr>
        <w:tc>
          <w:tcPr>
            <w:tcW w:type="dxa" w:w="2520"/>
            <w:shd w:fill="F2F4F8" w:val="clear"/>
          </w:tcPr>
          <w:p>
            <w:r>
              <w:rPr>
                <w:rFonts w:ascii="Calibri" w:hAnsi="Calibri"/>
                <w:color w:val="333333"/>
                <w:sz w:val="18"/>
              </w:rPr>
              <w:t>Total liabilities and stockholders' equity</w:t>
            </w:r>
          </w:p>
        </w:tc>
        <w:tc>
          <w:tcPr>
            <w:tcW w:type="dxa" w:w="2520"/>
            <w:shd w:fill="F2F4F8" w:val="clear"/>
          </w:tcPr>
          <w:p>
            <w:r>
              <w:rPr>
                <w:rFonts w:ascii="Calibri" w:hAnsi="Calibri"/>
                <w:color w:val="333333"/>
                <w:sz w:val="18"/>
              </w:rPr>
              <w:t>$99.8B</w:t>
            </w:r>
          </w:p>
        </w:tc>
        <w:tc>
          <w:tcPr>
            <w:tcW w:type="dxa" w:w="2520"/>
            <w:shd w:fill="F2F4F8" w:val="clear"/>
          </w:tcPr>
          <w:p>
            <w:r>
              <w:rPr>
                <w:rFonts w:ascii="Calibri" w:hAnsi="Calibri"/>
                <w:color w:val="333333"/>
                <w:sz w:val="18"/>
              </w:rPr>
              <w:t>$112.3B</w:t>
            </w:r>
          </w:p>
        </w:tc>
        <w:tc>
          <w:tcPr>
            <w:tcW w:type="dxa" w:w="2520"/>
            <w:shd w:fill="F2F4F8" w:val="clear"/>
            <w:shd w:fill="DCEEF8" w:val="clear"/>
          </w:tcPr>
          <w:p>
            <w:r>
              <w:rPr>
                <w:rFonts w:ascii="Calibri" w:hAnsi="Calibri"/>
                <w:color w:val="333333"/>
                <w:sz w:val="18"/>
              </w:rPr>
              <w:t>12.5%</w:t>
            </w:r>
          </w:p>
        </w:tc>
      </w:tr>
      <w:tr>
        <w:tc>
          <w:tcPr>
            <w:tcW w:type="dxa" w:w="2520"/>
          </w:tcPr>
          <w:p>
            <w:r>
              <w:rPr>
                <w:rFonts w:ascii="Calibri" w:hAnsi="Calibri"/>
                <w:color w:val="333333"/>
                <w:sz w:val="18"/>
              </w:rPr>
              <w:t>Preferred stock value</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Right-of-use assets (operating and finance leases)</w:t>
            </w:r>
          </w:p>
        </w:tc>
        <w:tc>
          <w:tcPr>
            <w:tcW w:type="dxa" w:w="2520"/>
            <w:shd w:fill="F2F4F8" w:val="clear"/>
          </w:tcPr>
          <w:p>
            <w:r>
              <w:rPr>
                <w:rFonts w:ascii="Calibri" w:hAnsi="Calibri"/>
                <w:color w:val="333333"/>
                <w:sz w:val="18"/>
              </w:rPr>
              <w:t>$2.4B</w:t>
            </w:r>
          </w:p>
        </w:tc>
        <w:tc>
          <w:tcPr>
            <w:tcW w:type="dxa" w:w="2520"/>
            <w:shd w:fill="F2F4F8" w:val="clear"/>
          </w:tcPr>
          <w:p>
            <w:r>
              <w:rPr>
                <w:rFonts w:ascii="Calibri" w:hAnsi="Calibri"/>
                <w:color w:val="333333"/>
                <w:sz w:val="18"/>
              </w:rPr>
              <w:t>$2.0B</w:t>
            </w:r>
          </w:p>
        </w:tc>
        <w:tc>
          <w:tcPr>
            <w:tcW w:type="dxa" w:w="2520"/>
            <w:shd w:fill="F2F4F8" w:val="clear"/>
            <w:shd w:fill="FCE8E6" w:val="clear"/>
          </w:tcPr>
          <w:p>
            <w:r>
              <w:rPr>
                <w:rFonts w:ascii="Calibri" w:hAnsi="Calibri"/>
                <w:color w:val="333333"/>
                <w:sz w:val="18"/>
              </w:rPr>
              <w:t>-15.3%</w:t>
            </w:r>
          </w:p>
        </w:tc>
      </w:tr>
      <w:tr>
        <w:tc>
          <w:tcPr>
            <w:tcW w:type="dxa" w:w="2520"/>
          </w:tcPr>
          <w:p>
            <w:r>
              <w:rPr>
                <w:rFonts w:ascii="Calibri" w:hAnsi="Calibri"/>
                <w:color w:val="333333"/>
                <w:sz w:val="18"/>
              </w:rPr>
              <w:t>Other non-current assets</w:t>
            </w:r>
          </w:p>
        </w:tc>
        <w:tc>
          <w:tcPr>
            <w:tcW w:type="dxa" w:w="2520"/>
          </w:tcPr>
          <w:p>
            <w:r>
              <w:rPr>
                <w:rFonts w:ascii="Calibri" w:hAnsi="Calibri"/>
                <w:color w:val="333333"/>
                <w:sz w:val="18"/>
              </w:rPr>
              <w:t>$3.4B</w:t>
            </w:r>
          </w:p>
        </w:tc>
        <w:tc>
          <w:tcPr>
            <w:tcW w:type="dxa" w:w="2520"/>
          </w:tcPr>
          <w:p>
            <w:r>
              <w:rPr>
                <w:rFonts w:ascii="Calibri" w:hAnsi="Calibri"/>
                <w:color w:val="333333"/>
                <w:sz w:val="18"/>
              </w:rPr>
              <w:t>$3.6B</w:t>
            </w:r>
          </w:p>
        </w:tc>
        <w:tc>
          <w:tcPr>
            <w:tcW w:type="dxa" w:w="2520"/>
            <w:shd w:fill="FFF3CD" w:val="clear"/>
          </w:tcPr>
          <w:p>
            <w:r>
              <w:rPr>
                <w:rFonts w:ascii="Calibri" w:hAnsi="Calibri"/>
                <w:color w:val="333333"/>
                <w:sz w:val="18"/>
              </w:rPr>
              <w:t>5.7%</w:t>
            </w:r>
          </w:p>
        </w:tc>
      </w:tr>
      <w:tr>
        <w:tc>
          <w:tcPr>
            <w:tcW w:type="dxa" w:w="2520"/>
            <w:shd w:fill="F2F4F8" w:val="clear"/>
          </w:tcPr>
          <w:p>
            <w:r>
              <w:rPr>
                <w:rFonts w:ascii="Calibri" w:hAnsi="Calibri"/>
                <w:color w:val="333333"/>
                <w:sz w:val="18"/>
              </w:rPr>
              <w:t>Other non-current liabilities</w:t>
            </w:r>
          </w:p>
        </w:tc>
        <w:tc>
          <w:tcPr>
            <w:tcW w:type="dxa" w:w="2520"/>
            <w:shd w:fill="F2F4F8" w:val="clear"/>
          </w:tcPr>
          <w:p>
            <w:r>
              <w:rPr>
                <w:rFonts w:ascii="Calibri" w:hAnsi="Calibri"/>
                <w:color w:val="333333"/>
                <w:sz w:val="18"/>
              </w:rPr>
              <w:t>$2.5B</w:t>
            </w:r>
          </w:p>
        </w:tc>
        <w:tc>
          <w:tcPr>
            <w:tcW w:type="dxa" w:w="2520"/>
            <w:shd w:fill="F2F4F8" w:val="clear"/>
          </w:tcPr>
          <w:p>
            <w:r>
              <w:rPr>
                <w:rFonts w:ascii="Calibri" w:hAnsi="Calibri"/>
                <w:color w:val="333333"/>
                <w:sz w:val="18"/>
              </w:rPr>
              <w:t>$3.4B</w:t>
            </w:r>
          </w:p>
        </w:tc>
        <w:tc>
          <w:tcPr>
            <w:tcW w:type="dxa" w:w="2520"/>
            <w:shd w:fill="F2F4F8" w:val="clear"/>
            <w:shd w:fill="DCEEF8" w:val="clear"/>
          </w:tcPr>
          <w:p>
            <w:r>
              <w:rPr>
                <w:rFonts w:ascii="Calibri" w:hAnsi="Calibri"/>
                <w:color w:val="333333"/>
                <w:sz w:val="18"/>
              </w:rPr>
              <w:t>38.1%</w:t>
            </w:r>
          </w:p>
        </w:tc>
      </w:tr>
      <w:tr>
        <w:tc>
          <w:tcPr>
            <w:tcW w:type="dxa" w:w="2520"/>
          </w:tcPr>
          <w:p>
            <w:r>
              <w:rPr>
                <w:rFonts w:ascii="Calibri" w:hAnsi="Calibri"/>
                <w:color w:val="333333"/>
                <w:sz w:val="18"/>
              </w:rPr>
              <w:t>Finance / capital lease obligations</w:t>
            </w:r>
          </w:p>
        </w:tc>
        <w:tc>
          <w:tcPr>
            <w:tcW w:type="dxa" w:w="2520"/>
          </w:tcPr>
          <w:p>
            <w:r>
              <w:rPr>
                <w:rFonts w:ascii="Calibri" w:hAnsi="Calibri"/>
                <w:color w:val="333333"/>
                <w:sz w:val="18"/>
              </w:rPr>
              <w:t>$974.0M</w:t>
            </w:r>
          </w:p>
        </w:tc>
        <w:tc>
          <w:tcPr>
            <w:tcW w:type="dxa" w:w="2520"/>
          </w:tcPr>
          <w:p>
            <w:r>
              <w:rPr>
                <w:rFonts w:ascii="Calibri" w:hAnsi="Calibri"/>
                <w:color w:val="333333"/>
                <w:sz w:val="18"/>
              </w:rPr>
              <w:t>$535.0M</w:t>
            </w:r>
          </w:p>
        </w:tc>
        <w:tc>
          <w:tcPr>
            <w:tcW w:type="dxa" w:w="2520"/>
            <w:shd w:fill="FCE8E6" w:val="clear"/>
          </w:tcPr>
          <w:p>
            <w:r>
              <w:rPr>
                <w:rFonts w:ascii="Calibri" w:hAnsi="Calibri"/>
                <w:color w:val="333333"/>
                <w:sz w:val="18"/>
              </w:rPr>
              <w:t>-45.1%</w:t>
            </w:r>
          </w:p>
        </w:tc>
      </w:tr>
      <w:tr>
        <w:tc>
          <w:tcPr>
            <w:tcW w:type="dxa" w:w="2520"/>
            <w:shd w:fill="F2F4F8" w:val="clear"/>
          </w:tcPr>
          <w:p>
            <w:r>
              <w:rPr>
                <w:rFonts w:ascii="Calibri" w:hAnsi="Calibri"/>
                <w:color w:val="333333"/>
                <w:sz w:val="18"/>
              </w:rPr>
              <w:t>Contract assets (ASC 606 unbilled revenue)</w:t>
            </w:r>
          </w:p>
        </w:tc>
        <w:tc>
          <w:tcPr>
            <w:tcW w:type="dxa" w:w="2520"/>
            <w:shd w:fill="F2F4F8" w:val="clear"/>
          </w:tcPr>
          <w:p>
            <w:r>
              <w:rPr>
                <w:rFonts w:ascii="Calibri" w:hAnsi="Calibri"/>
                <w:color w:val="333333"/>
                <w:sz w:val="18"/>
              </w:rPr>
              <w:t>$758.0M</w:t>
            </w:r>
          </w:p>
        </w:tc>
        <w:tc>
          <w:tcPr>
            <w:tcW w:type="dxa" w:w="2520"/>
            <w:shd w:fill="F2F4F8" w:val="clear"/>
          </w:tcPr>
          <w:p>
            <w:r>
              <w:rPr>
                <w:rFonts w:ascii="Calibri" w:hAnsi="Calibri"/>
                <w:color w:val="333333"/>
                <w:sz w:val="18"/>
              </w:rPr>
              <w:t>$818.0M</w:t>
            </w:r>
          </w:p>
        </w:tc>
        <w:tc>
          <w:tcPr>
            <w:tcW w:type="dxa" w:w="2520"/>
            <w:shd w:fill="F2F4F8" w:val="clear"/>
            <w:shd w:fill="FFF3CD" w:val="clear"/>
          </w:tcPr>
          <w:p>
            <w:r>
              <w:rPr>
                <w:rFonts w:ascii="Calibri" w:hAnsi="Calibri"/>
                <w:color w:val="333333"/>
                <w:sz w:val="18"/>
              </w:rPr>
              <w:t>7.9%</w:t>
            </w:r>
          </w:p>
        </w:tc>
      </w:tr>
      <w:tr>
        <w:tc>
          <w:tcPr>
            <w:tcW w:type="dxa" w:w="2520"/>
          </w:tcPr>
          <w:p>
            <w:r>
              <w:rPr>
                <w:rFonts w:ascii="Calibri" w:hAnsi="Calibri"/>
                <w:color w:val="333333"/>
                <w:sz w:val="18"/>
              </w:rPr>
              <w:t>Contract liabilities (ASC 606 deferred revenue)</w:t>
            </w:r>
          </w:p>
        </w:tc>
        <w:tc>
          <w:tcPr>
            <w:tcW w:type="dxa" w:w="2520"/>
          </w:tcPr>
          <w:p>
            <w:r>
              <w:rPr>
                <w:rFonts w:ascii="Calibri" w:hAnsi="Calibri"/>
                <w:color w:val="333333"/>
                <w:sz w:val="18"/>
              </w:rPr>
              <w:t>$19.0B</w:t>
            </w:r>
          </w:p>
        </w:tc>
        <w:tc>
          <w:tcPr>
            <w:tcW w:type="dxa" w:w="2520"/>
          </w:tcPr>
          <w:p>
            <w:r>
              <w:rPr>
                <w:rFonts w:ascii="Calibri" w:hAnsi="Calibri"/>
                <w:color w:val="333333"/>
                <w:sz w:val="18"/>
              </w:rPr>
              <w:t>$24.3B</w:t>
            </w:r>
          </w:p>
        </w:tc>
        <w:tc>
          <w:tcPr>
            <w:tcW w:type="dxa" w:w="2520"/>
            <w:shd w:fill="DCEEF8" w:val="clear"/>
          </w:tcPr>
          <w:p>
            <w:r>
              <w:rPr>
                <w:rFonts w:ascii="Calibri" w:hAnsi="Calibri"/>
                <w:color w:val="333333"/>
                <w:sz w:val="18"/>
              </w:rPr>
              <w:t>28.0%</w:t>
            </w:r>
          </w:p>
        </w:tc>
      </w:tr>
      <w:tr>
        <w:tc>
          <w:tcPr>
            <w:tcW w:type="dxa" w:w="2520"/>
            <w:shd w:fill="F2F4F8" w:val="clear"/>
          </w:tcPr>
          <w:p>
            <w:r>
              <w:rPr>
                <w:rFonts w:ascii="Calibri" w:hAnsi="Calibri"/>
                <w:color w:val="333333"/>
                <w:sz w:val="18"/>
              </w:rPr>
              <w:t>Unrecognized tax benefits (UTB) liability</w:t>
            </w:r>
          </w:p>
        </w:tc>
        <w:tc>
          <w:tcPr>
            <w:tcW w:type="dxa" w:w="2520"/>
            <w:shd w:fill="F2F4F8" w:val="clear"/>
          </w:tcPr>
          <w:p>
            <w:r>
              <w:rPr>
                <w:rFonts w:ascii="Calibri" w:hAnsi="Calibri"/>
                <w:color w:val="333333"/>
                <w:sz w:val="18"/>
              </w:rPr>
              <w:t>$2.1B</w:t>
            </w:r>
          </w:p>
        </w:tc>
        <w:tc>
          <w:tcPr>
            <w:tcW w:type="dxa" w:w="2520"/>
            <w:shd w:fill="F2F4F8" w:val="clear"/>
          </w:tcPr>
          <w:p>
            <w:r>
              <w:rPr>
                <w:rFonts w:ascii="Calibri" w:hAnsi="Calibri"/>
                <w:color w:val="333333"/>
                <w:sz w:val="18"/>
              </w:rPr>
              <w:t>$2.6B</w:t>
            </w:r>
          </w:p>
        </w:tc>
        <w:tc>
          <w:tcPr>
            <w:tcW w:type="dxa" w:w="2520"/>
            <w:shd w:fill="F2F4F8" w:val="clear"/>
            <w:shd w:fill="DCEEF8" w:val="clear"/>
          </w:tcPr>
          <w:p>
            <w:r>
              <w:rPr>
                <w:rFonts w:ascii="Calibri" w:hAnsi="Calibri"/>
                <w:color w:val="333333"/>
                <w:sz w:val="18"/>
              </w:rPr>
              <w:t>26.7%</w:t>
            </w:r>
          </w:p>
        </w:tc>
      </w:tr>
      <w:tr>
        <w:tc>
          <w:tcPr>
            <w:tcW w:type="dxa" w:w="2520"/>
          </w:tcPr>
          <w:p>
            <w:r>
              <w:rPr>
                <w:rFonts w:ascii="Calibri" w:hAnsi="Calibri"/>
                <w:color w:val="333333"/>
                <w:sz w:val="18"/>
              </w:rPr>
              <w:t>Debt instrument carrying amount (face value)</w:t>
            </w:r>
          </w:p>
        </w:tc>
        <w:tc>
          <w:tcPr>
            <w:tcW w:type="dxa" w:w="2520"/>
          </w:tcPr>
          <w:p>
            <w:r>
              <w:rPr>
                <w:rFonts w:ascii="Calibri" w:hAnsi="Calibri"/>
                <w:color w:val="333333"/>
                <w:sz w:val="18"/>
              </w:rPr>
              <w:t>$9.5B</w:t>
            </w:r>
          </w:p>
        </w:tc>
        <w:tc>
          <w:tcPr>
            <w:tcW w:type="dxa" w:w="2520"/>
          </w:tcPr>
          <w:p>
            <w:r>
              <w:rPr>
                <w:rFonts w:ascii="Calibri" w:hAnsi="Calibri"/>
                <w:color w:val="333333"/>
                <w:sz w:val="18"/>
              </w:rPr>
              <w:t>$14.5B</w:t>
            </w:r>
          </w:p>
        </w:tc>
        <w:tc>
          <w:tcPr>
            <w:tcW w:type="dxa" w:w="2520"/>
            <w:shd w:fill="DCEEF8" w:val="clear"/>
          </w:tcPr>
          <w:p>
            <w:r>
              <w:rPr>
                <w:rFonts w:ascii="Calibri" w:hAnsi="Calibri"/>
                <w:color w:val="333333"/>
                <w:sz w:val="18"/>
              </w:rPr>
              <w:t>52.6%</w:t>
            </w:r>
          </w:p>
        </w:tc>
      </w:tr>
      <w:tr>
        <w:tc>
          <w:tcPr>
            <w:tcW w:type="dxa" w:w="2520"/>
            <w:shd w:fill="F2F4F8" w:val="clear"/>
          </w:tcPr>
          <w:p>
            <w:r>
              <w:rPr>
                <w:rFonts w:ascii="Calibri" w:hAnsi="Calibri"/>
                <w:color w:val="333333"/>
                <w:sz w:val="18"/>
              </w:rPr>
              <w:t>Unvested stock-based compensation cost not yet recognized</w:t>
            </w:r>
          </w:p>
        </w:tc>
        <w:tc>
          <w:tcPr>
            <w:tcW w:type="dxa" w:w="2520"/>
            <w:shd w:fill="F2F4F8" w:val="clear"/>
          </w:tcPr>
          <w:p>
            <w:r>
              <w:rPr>
                <w:rFonts w:ascii="Calibri" w:hAnsi="Calibri"/>
                <w:color w:val="333333"/>
                <w:sz w:val="18"/>
              </w:rPr>
              <w:t>$5.3B</w:t>
            </w:r>
          </w:p>
        </w:tc>
        <w:tc>
          <w:tcPr>
            <w:tcW w:type="dxa" w:w="2520"/>
            <w:shd w:fill="F2F4F8" w:val="clear"/>
          </w:tcPr>
          <w:p>
            <w:r>
              <w:rPr>
                <w:rFonts w:ascii="Calibri" w:hAnsi="Calibri"/>
                <w:color w:val="333333"/>
                <w:sz w:val="18"/>
              </w:rPr>
              <w:t>$6.0B</w:t>
            </w:r>
          </w:p>
        </w:tc>
        <w:tc>
          <w:tcPr>
            <w:tcW w:type="dxa" w:w="2520"/>
            <w:shd w:fill="F2F4F8" w:val="clear"/>
            <w:shd w:fill="DCEEF8" w:val="clear"/>
          </w:tcPr>
          <w:p>
            <w:r>
              <w:rPr>
                <w:rFonts w:ascii="Calibri" w:hAnsi="Calibri"/>
                <w:color w:val="333333"/>
                <w:sz w:val="18"/>
              </w:rPr>
              <w:t>14.9%</w:t>
            </w:r>
          </w:p>
        </w:tc>
      </w:tr>
      <w:tr>
        <w:tc>
          <w:tcPr>
            <w:tcW w:type="dxa" w:w="2520"/>
          </w:tcPr>
          <w:p>
            <w:r>
              <w:rPr>
                <w:rFonts w:ascii="Calibri" w:hAnsi="Calibri"/>
                <w:color w:val="333333"/>
                <w:sz w:val="18"/>
              </w:rPr>
              <w:t>Common stock shares authorized</w:t>
            </w:r>
          </w:p>
        </w:tc>
        <w:tc>
          <w:tcPr>
            <w:tcW w:type="dxa" w:w="2520"/>
          </w:tcPr>
          <w:p>
            <w:r>
              <w:rPr>
                <w:rFonts w:ascii="Calibri" w:hAnsi="Calibri"/>
                <w:color w:val="333333"/>
                <w:sz w:val="18"/>
              </w:rPr>
              <w:t>1.6B</w:t>
            </w:r>
          </w:p>
        </w:tc>
        <w:tc>
          <w:tcPr>
            <w:tcW w:type="dxa" w:w="2520"/>
          </w:tcPr>
          <w:p>
            <w:r>
              <w:rPr>
                <w:rFonts w:ascii="Calibri" w:hAnsi="Calibri"/>
                <w:color w:val="333333"/>
                <w:sz w:val="18"/>
              </w:rPr>
              <w:t>1.6B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Contract with customer liability (total deferred revenue under ASC 606)</w:t>
            </w:r>
          </w:p>
        </w:tc>
        <w:tc>
          <w:tcPr>
            <w:tcW w:type="dxa" w:w="2520"/>
            <w:shd w:fill="F2F4F8" w:val="clear"/>
          </w:tcPr>
          <w:p>
            <w:r>
              <w:rPr>
                <w:rFonts w:ascii="Calibri" w:hAnsi="Calibri"/>
                <w:color w:val="333333"/>
                <w:sz w:val="18"/>
              </w:rPr>
              <w:t>$19.0B</w:t>
            </w:r>
          </w:p>
        </w:tc>
        <w:tc>
          <w:tcPr>
            <w:tcW w:type="dxa" w:w="2520"/>
            <w:shd w:fill="F2F4F8" w:val="clear"/>
          </w:tcPr>
          <w:p>
            <w:r>
              <w:rPr>
                <w:rFonts w:ascii="Calibri" w:hAnsi="Calibri"/>
                <w:color w:val="333333"/>
                <w:sz w:val="18"/>
              </w:rPr>
              <w:t>$24.3B</w:t>
            </w:r>
          </w:p>
        </w:tc>
        <w:tc>
          <w:tcPr>
            <w:tcW w:type="dxa" w:w="2520"/>
            <w:shd w:fill="F2F4F8" w:val="clear"/>
            <w:shd w:fill="DCEEF8" w:val="clear"/>
          </w:tcPr>
          <w:p>
            <w:r>
              <w:rPr>
                <w:rFonts w:ascii="Calibri" w:hAnsi="Calibri"/>
                <w:color w:val="333333"/>
                <w:sz w:val="18"/>
              </w:rPr>
              <w:t>28.0%</w:t>
            </w:r>
          </w:p>
        </w:tc>
      </w:tr>
      <w:tr>
        <w:tc>
          <w:tcPr>
            <w:tcW w:type="dxa" w:w="2520"/>
          </w:tcPr>
          <w:p>
            <w:r>
              <w:rPr>
                <w:rFonts w:ascii="Calibri" w:hAnsi="Calibri"/>
                <w:color w:val="333333"/>
                <w:sz w:val="18"/>
              </w:rPr>
              <w:t>Current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CE8E6" w:val="clear"/>
          </w:tcPr>
          <w:p>
            <w:r>
              <w:rPr>
                <w:rFonts w:ascii="Calibri" w:hAnsi="Calibri"/>
                <w:color w:val="333333"/>
                <w:sz w:val="18"/>
              </w:rPr>
              <w:t>-30.4%</w:t>
            </w:r>
          </w:p>
        </w:tc>
      </w:tr>
      <w:tr>
        <w:tc>
          <w:tcPr>
            <w:tcW w:type="dxa" w:w="2520"/>
            <w:shd w:fill="F2F4F8" w:val="clear"/>
          </w:tcPr>
          <w:p>
            <w:r>
              <w:rPr>
                <w:rFonts w:ascii="Calibri" w:hAnsi="Calibri"/>
                <w:color w:val="333333"/>
                <w:sz w:val="18"/>
              </w:rPr>
              <w:t>Debt-to-equity ratio</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shd w:fill="DCEEF8" w:val="clear"/>
          </w:tcPr>
          <w:p>
            <w:r>
              <w:rPr>
                <w:rFonts w:ascii="Calibri" w:hAnsi="Calibri"/>
                <w:color w:val="333333"/>
                <w:sz w:val="18"/>
              </w:rPr>
              <w:t>54.5%</w:t>
            </w:r>
          </w:p>
        </w:tc>
      </w:tr>
      <w:tr>
        <w:tc>
          <w:tcPr>
            <w:tcW w:type="dxa" w:w="2520"/>
          </w:tcPr>
          <w:p>
            <w:r>
              <w:rPr>
                <w:rFonts w:ascii="Calibri" w:hAnsi="Calibri"/>
                <w:color w:val="333333"/>
                <w:sz w:val="18"/>
              </w:rPr>
              <w:t>Debt-to-EBITDA ratio</w:t>
            </w:r>
          </w:p>
        </w:tc>
        <w:tc>
          <w:tcPr>
            <w:tcW w:type="dxa" w:w="2520"/>
          </w:tcPr>
          <w:p>
            <w:r>
              <w:rPr>
                <w:rFonts w:ascii="Calibri" w:hAnsi="Calibri"/>
                <w:color w:val="333333"/>
                <w:sz w:val="18"/>
              </w:rPr>
              <w:t>$2</w:t>
            </w:r>
          </w:p>
        </w:tc>
        <w:tc>
          <w:tcPr>
            <w:tcW w:type="dxa" w:w="2520"/>
          </w:tcPr>
          <w:p>
            <w:r>
              <w:rPr>
                <w:rFonts w:ascii="Calibri" w:hAnsi="Calibri"/>
                <w:color w:val="333333"/>
                <w:sz w:val="18"/>
              </w:rPr>
              <w:t>$2</w:t>
            </w:r>
          </w:p>
        </w:tc>
        <w:tc>
          <w:tcPr>
            <w:tcW w:type="dxa" w:w="2520"/>
            <w:shd w:fill="FFF3CD" w:val="clear"/>
          </w:tcPr>
          <w:p>
            <w:r>
              <w:rPr>
                <w:rFonts w:ascii="Calibri" w:hAnsi="Calibri"/>
                <w:color w:val="333333"/>
                <w:sz w:val="18"/>
              </w:rPr>
              <w:t>-1.8%</w:t>
            </w:r>
          </w:p>
        </w:tc>
      </w:tr>
      <w:tr>
        <w:tc>
          <w:tcPr>
            <w:tcW w:type="dxa" w:w="2520"/>
            <w:shd w:fill="F2F4F8" w:val="clear"/>
          </w:tcPr>
          <w:p>
            <w:r>
              <w:rPr>
                <w:rFonts w:ascii="Calibri" w:hAnsi="Calibri"/>
                <w:color w:val="333333"/>
                <w:sz w:val="18"/>
              </w:rPr>
              <w:t>Tangible book value</w:t>
            </w:r>
          </w:p>
        </w:tc>
        <w:tc>
          <w:tcPr>
            <w:tcW w:type="dxa" w:w="2520"/>
            <w:shd w:fill="F2F4F8" w:val="clear"/>
          </w:tcPr>
          <w:p>
            <w:r>
              <w:rPr>
                <w:rFonts w:ascii="Calibri" w:hAnsi="Calibri"/>
                <w:color w:val="333333"/>
                <w:sz w:val="18"/>
              </w:rPr>
              <w:t>$5.7B</w:t>
            </w:r>
          </w:p>
        </w:tc>
        <w:tc>
          <w:tcPr>
            <w:tcW w:type="dxa" w:w="2520"/>
            <w:shd w:fill="F2F4F8" w:val="clear"/>
          </w:tcPr>
          <w:p>
            <w:r>
              <w:rPr>
                <w:rFonts w:ascii="Calibri" w:hAnsi="Calibri"/>
                <w:color w:val="333333"/>
                <w:sz w:val="18"/>
              </w:rPr>
              <w:t>$-5.6B</w:t>
            </w:r>
          </w:p>
        </w:tc>
        <w:tc>
          <w:tcPr>
            <w:tcW w:type="dxa" w:w="2520"/>
            <w:shd w:fill="F2F4F8" w:val="clear"/>
            <w:shd w:fill="FCE8E6" w:val="clear"/>
          </w:tcPr>
          <w:p>
            <w:r>
              <w:rPr>
                <w:rFonts w:ascii="Calibri" w:hAnsi="Calibri"/>
                <w:color w:val="333333"/>
                <w:sz w:val="18"/>
              </w:rPr>
              <w:t>-197.7%</w:t>
            </w:r>
          </w:p>
        </w:tc>
      </w:tr>
      <w:tr>
        <w:tc>
          <w:tcPr>
            <w:tcW w:type="dxa" w:w="2520"/>
          </w:tcPr>
          <w:p>
            <w:r>
              <w:rPr>
                <w:rFonts w:ascii="Calibri" w:hAnsi="Calibri"/>
                <w:color w:val="333333"/>
                <w:sz w:val="18"/>
              </w:rPr>
              <w:t>Net debt</w:t>
            </w:r>
          </w:p>
        </w:tc>
        <w:tc>
          <w:tcPr>
            <w:tcW w:type="dxa" w:w="2520"/>
          </w:tcPr>
          <w:p>
            <w:r>
              <w:rPr>
                <w:rFonts w:ascii="Calibri" w:hAnsi="Calibri"/>
                <w:color w:val="333333"/>
                <w:sz w:val="18"/>
              </w:rPr>
              <w:t>$954.0M</w:t>
            </w:r>
          </w:p>
        </w:tc>
        <w:tc>
          <w:tcPr>
            <w:tcW w:type="dxa" w:w="2520"/>
          </w:tcPr>
          <w:p>
            <w:r>
              <w:rPr>
                <w:rFonts w:ascii="Calibri" w:hAnsi="Calibri"/>
                <w:color w:val="333333"/>
                <w:sz w:val="18"/>
              </w:rPr>
              <w:t>$7.1B</w:t>
            </w:r>
          </w:p>
        </w:tc>
        <w:tc>
          <w:tcPr>
            <w:tcW w:type="dxa" w:w="2520"/>
            <w:shd w:fill="DCEEF8" w:val="clear"/>
          </w:tcPr>
          <w:p>
            <w:r>
              <w:rPr>
                <w:rFonts w:ascii="Calibri" w:hAnsi="Calibri"/>
                <w:color w:val="333333"/>
                <w:sz w:val="18"/>
              </w:rPr>
              <w:t>645.5%</w:t>
            </w:r>
          </w:p>
        </w:tc>
      </w:tr>
      <w:tr>
        <w:tc>
          <w:tcPr>
            <w:tcW w:type="dxa" w:w="2520"/>
            <w:shd w:fill="F2F4F8" w:val="clear"/>
          </w:tcPr>
          <w:p>
            <w:r>
              <w:rPr>
                <w:rFonts w:ascii="Calibri" w:hAnsi="Calibri"/>
                <w:color w:val="333333"/>
                <w:sz w:val="18"/>
              </w:rPr>
              <w:t>Book value per share</w:t>
            </w:r>
          </w:p>
        </w:tc>
        <w:tc>
          <w:tcPr>
            <w:tcW w:type="dxa" w:w="2520"/>
            <w:shd w:fill="F2F4F8" w:val="clear"/>
          </w:tcPr>
          <w:p>
            <w:r>
              <w:rPr>
                <w:rFonts w:ascii="Calibri" w:hAnsi="Calibri"/>
                <w:color w:val="333333"/>
                <w:sz w:val="18"/>
              </w:rPr>
              <w:t>$61.43</w:t>
            </w:r>
          </w:p>
        </w:tc>
        <w:tc>
          <w:tcPr>
            <w:tcW w:type="dxa" w:w="2520"/>
            <w:shd w:fill="F2F4F8" w:val="clear"/>
          </w:tcPr>
          <w:p>
            <w:r>
              <w:rPr>
                <w:rFonts w:ascii="Calibri" w:hAnsi="Calibri"/>
                <w:color w:val="333333"/>
                <w:sz w:val="18"/>
              </w:rPr>
              <w:t>$63.66</w:t>
            </w:r>
          </w:p>
        </w:tc>
        <w:tc>
          <w:tcPr>
            <w:tcW w:type="dxa" w:w="2520"/>
            <w:shd w:fill="F2F4F8" w:val="clear"/>
            <w:shd w:fill="FFF3CD" w:val="clear"/>
          </w:tcPr>
          <w:p>
            <w:r>
              <w:rPr>
                <w:rFonts w:ascii="Calibri" w:hAnsi="Calibri"/>
                <w:color w:val="333333"/>
                <w:sz w:val="18"/>
              </w:rPr>
              <w:t>3.6%</w:t>
            </w:r>
          </w:p>
        </w:tc>
      </w:tr>
      <w:tr>
        <w:tc>
          <w:tcPr>
            <w:tcW w:type="dxa" w:w="2520"/>
          </w:tcPr>
          <w:p>
            <w:r>
              <w:rPr>
                <w:rFonts w:ascii="Calibri" w:hAnsi="Calibri"/>
                <w:color w:val="333333"/>
                <w:sz w:val="18"/>
              </w:rPr>
              <w:t>Return on assets</w:t>
            </w:r>
          </w:p>
        </w:tc>
        <w:tc>
          <w:tcPr>
            <w:tcW w:type="dxa" w:w="2520"/>
          </w:tcPr>
          <w:p>
            <w:r>
              <w:rPr>
                <w:rFonts w:ascii="Calibri" w:hAnsi="Calibri"/>
                <w:color w:val="333333"/>
                <w:sz w:val="18"/>
              </w:rPr>
              <w:t>$4</w:t>
            </w:r>
          </w:p>
        </w:tc>
        <w:tc>
          <w:tcPr>
            <w:tcW w:type="dxa" w:w="2520"/>
          </w:tcPr>
          <w:p>
            <w:r>
              <w:rPr>
                <w:rFonts w:ascii="Calibri" w:hAnsi="Calibri"/>
                <w:color w:val="333333"/>
                <w:sz w:val="18"/>
              </w:rPr>
              <w:t>$7</w:t>
            </w:r>
          </w:p>
        </w:tc>
        <w:tc>
          <w:tcPr>
            <w:tcW w:type="dxa" w:w="2520"/>
            <w:shd w:fill="DCEEF8" w:val="clear"/>
          </w:tcPr>
          <w:p>
            <w:r>
              <w:rPr>
                <w:rFonts w:ascii="Calibri" w:hAnsi="Calibri"/>
                <w:color w:val="333333"/>
                <w:sz w:val="18"/>
              </w:rPr>
              <w:t>60.4%</w:t>
            </w:r>
          </w:p>
        </w:tc>
      </w:tr>
      <w:tr>
        <w:tc>
          <w:tcPr>
            <w:tcW w:type="dxa" w:w="2520"/>
            <w:shd w:fill="F2F4F8" w:val="clear"/>
          </w:tcPr>
          <w:p>
            <w:r>
              <w:rPr>
                <w:rFonts w:ascii="Calibri" w:hAnsi="Calibri"/>
                <w:color w:val="333333"/>
                <w:sz w:val="18"/>
              </w:rPr>
              <w:t>Return on equity</w:t>
            </w:r>
          </w:p>
        </w:tc>
        <w:tc>
          <w:tcPr>
            <w:tcW w:type="dxa" w:w="2520"/>
            <w:shd w:fill="F2F4F8" w:val="clear"/>
          </w:tcPr>
          <w:p>
            <w:r>
              <w:rPr>
                <w:rFonts w:ascii="Calibri" w:hAnsi="Calibri"/>
                <w:color w:val="333333"/>
                <w:sz w:val="18"/>
              </w:rPr>
              <w:t>$7</w:t>
            </w:r>
          </w:p>
        </w:tc>
        <w:tc>
          <w:tcPr>
            <w:tcW w:type="dxa" w:w="2520"/>
            <w:shd w:fill="F2F4F8" w:val="clear"/>
          </w:tcPr>
          <w:p>
            <w:r>
              <w:rPr>
                <w:rFonts w:ascii="Calibri" w:hAnsi="Calibri"/>
                <w:color w:val="333333"/>
                <w:sz w:val="18"/>
              </w:rPr>
              <w:t>$13</w:t>
            </w:r>
          </w:p>
        </w:tc>
        <w:tc>
          <w:tcPr>
            <w:tcW w:type="dxa" w:w="2520"/>
            <w:shd w:fill="F2F4F8" w:val="clear"/>
            <w:shd w:fill="DCEEF8" w:val="clear"/>
          </w:tcPr>
          <w:p>
            <w:r>
              <w:rPr>
                <w:rFonts w:ascii="Calibri" w:hAnsi="Calibri"/>
                <w:color w:val="333333"/>
                <w:sz w:val="18"/>
              </w:rPr>
              <w:t>82.0%</w:t>
            </w:r>
          </w:p>
        </w:tc>
      </w:tr>
      <w:tr>
        <w:tc>
          <w:tcPr>
            <w:tcW w:type="dxa" w:w="2520"/>
          </w:tcPr>
          <w:p>
            <w:r>
              <w:rPr>
                <w:rFonts w:ascii="Calibri" w:hAnsi="Calibri"/>
                <w:color w:val="333333"/>
                <w:sz w:val="18"/>
              </w:rPr>
              <w:t>Asset turnover ratio</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shd w:fill="FFF3CD" w:val="clear"/>
          </w:tcPr>
          <w:p>
            <w:r>
              <w:rPr>
                <w:rFonts w:ascii="Calibri" w:hAnsi="Calibri"/>
                <w:color w:val="333333"/>
                <w:sz w:val="18"/>
              </w:rPr>
              <w:t>5.9%</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1.09</w:t>
            </w:r>
          </w:p>
        </w:tc>
        <w:tc>
          <w:tcPr>
            <w:tcW w:type="dxa" w:w="3360"/>
          </w:tcPr>
          <w:p>
            <w:r>
              <w:rPr>
                <w:rFonts w:ascii="Calibri" w:hAnsi="Calibri"/>
                <w:color w:val="333333"/>
                <w:sz w:val="18"/>
              </w:rPr>
              <w:t>Adequate</w:t>
            </w:r>
          </w:p>
        </w:tc>
      </w:tr>
      <w:tr>
        <w:tc>
          <w:tcPr>
            <w:tcW w:type="dxa" w:w="3360"/>
            <w:shd w:fill="F2F4F8" w:val="clear"/>
          </w:tcPr>
          <w:p>
            <w:r>
              <w:rPr>
                <w:rFonts w:ascii="Calibri" w:hAnsi="Calibri"/>
                <w:color w:val="333333"/>
                <w:sz w:val="18"/>
              </w:rPr>
              <w:t>Debt/Equity</w:t>
            </w:r>
          </w:p>
        </w:tc>
        <w:tc>
          <w:tcPr>
            <w:tcW w:type="dxa" w:w="3360"/>
            <w:shd w:fill="F2F4F8" w:val="clear"/>
          </w:tcPr>
          <w:p>
            <w:r>
              <w:rPr>
                <w:rFonts w:ascii="Calibri" w:hAnsi="Calibri"/>
                <w:color w:val="333333"/>
                <w:sz w:val="18"/>
              </w:rPr>
              <w:t>0.16</w:t>
            </w:r>
          </w:p>
        </w:tc>
        <w:tc>
          <w:tcPr>
            <w:tcW w:type="dxa" w:w="3360"/>
            <w:shd w:fill="F2F4F8" w:val="clear"/>
          </w:tcPr>
          <w:p>
            <w:r>
              <w:rPr>
                <w:rFonts w:ascii="Calibri" w:hAnsi="Calibri"/>
                <w:color w:val="333333"/>
                <w:sz w:val="18"/>
              </w:rPr>
              <w:t>Conservative</w:t>
            </w:r>
          </w:p>
        </w:tc>
      </w:tr>
      <w:tr>
        <w:tc>
          <w:tcPr>
            <w:tcW w:type="dxa" w:w="3360"/>
          </w:tcPr>
          <w:p>
            <w:r>
              <w:rPr>
                <w:rFonts w:ascii="Calibri" w:hAnsi="Calibri"/>
                <w:color w:val="333333"/>
                <w:sz w:val="18"/>
              </w:rPr>
              <w:t>Debt/Assets</w:t>
            </w:r>
          </w:p>
        </w:tc>
        <w:tc>
          <w:tcPr>
            <w:tcW w:type="dxa" w:w="3360"/>
          </w:tcPr>
          <w:p>
            <w:r>
              <w:rPr>
                <w:rFonts w:ascii="Calibri" w:hAnsi="Calibri"/>
                <w:color w:val="333333"/>
                <w:sz w:val="18"/>
              </w:rPr>
              <w:t>0.40</w:t>
            </w:r>
          </w:p>
        </w:tc>
        <w:tc>
          <w:tcPr>
            <w:tcW w:type="dxa" w:w="3360"/>
          </w:tcPr>
          <w:p>
            <w:r>
              <w:rPr>
                <w:rFonts w:ascii="Calibri" w:hAnsi="Calibri"/>
                <w:color w:val="333333"/>
                <w:sz w:val="18"/>
              </w:rPr>
              <w:t>Moderate</w:t>
            </w:r>
          </w:p>
        </w:tc>
      </w:tr>
      <w:tr>
        <w:tc>
          <w:tcPr>
            <w:tcW w:type="dxa" w:w="3360"/>
            <w:shd w:fill="F2F4F8" w:val="clear"/>
          </w:tcPr>
          <w:p>
            <w:r>
              <w:rPr>
                <w:rFonts w:ascii="Calibri" w:hAnsi="Calibri"/>
                <w:color w:val="333333"/>
                <w:sz w:val="18"/>
              </w:rPr>
              <w:t>Cash/Assets</w:t>
            </w:r>
          </w:p>
        </w:tc>
        <w:tc>
          <w:tcPr>
            <w:tcW w:type="dxa" w:w="3360"/>
            <w:shd w:fill="F2F4F8" w:val="clear"/>
          </w:tcPr>
          <w:p>
            <w:r>
              <w:rPr>
                <w:rFonts w:ascii="Calibri" w:hAnsi="Calibri"/>
                <w:color w:val="333333"/>
                <w:sz w:val="18"/>
              </w:rPr>
              <w:t>8.5%</w:t>
            </w:r>
          </w:p>
        </w:tc>
        <w:tc>
          <w:tcPr>
            <w:tcW w:type="dxa" w:w="3360"/>
            <w:shd w:fill="F2F4F8" w:val="clear"/>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$10.2B</w:t>
            </w:r>
          </w:p>
        </w:tc>
        <w:tc>
          <w:tcPr>
            <w:tcW w:type="dxa" w:w="2520"/>
          </w:tcPr>
          <w:p>
            <w:r>
              <w:rPr>
                <w:rFonts w:ascii="Calibri" w:hAnsi="Calibri"/>
                <w:color w:val="333333"/>
                <w:sz w:val="18"/>
              </w:rPr>
              <w:t>$15.0B</w:t>
            </w:r>
          </w:p>
        </w:tc>
        <w:tc>
          <w:tcPr>
            <w:tcW w:type="dxa" w:w="2520"/>
            <w:shd w:fill="DCEEF8" w:val="clear"/>
          </w:tcPr>
          <w:p>
            <w:r>
              <w:rPr>
                <w:rFonts w:ascii="Calibri" w:hAnsi="Calibri"/>
                <w:color w:val="333333"/>
                <w:sz w:val="18"/>
              </w:rPr>
              <w:t>46.5%</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$-1.3B</w:t>
            </w:r>
          </w:p>
        </w:tc>
        <w:tc>
          <w:tcPr>
            <w:tcW w:type="dxa" w:w="2520"/>
            <w:shd w:fill="F2F4F8" w:val="clear"/>
          </w:tcPr>
          <w:p>
            <w:r>
              <w:rPr>
                <w:rFonts w:ascii="Calibri" w:hAnsi="Calibri"/>
                <w:color w:val="333333"/>
                <w:sz w:val="18"/>
              </w:rPr>
              <w:t>$-8.6B</w:t>
            </w:r>
          </w:p>
        </w:tc>
        <w:tc>
          <w:tcPr>
            <w:tcW w:type="dxa" w:w="2520"/>
            <w:shd w:fill="F2F4F8" w:val="clear"/>
            <w:shd w:fill="FCE8E6" w:val="clear"/>
          </w:tcPr>
          <w:p>
            <w:r>
              <w:rPr>
                <w:rFonts w:ascii="Calibri" w:hAnsi="Calibri"/>
                <w:color w:val="333333"/>
                <w:sz w:val="18"/>
              </w:rPr>
              <w:t>-547.3%</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$-7.5B</w:t>
            </w:r>
          </w:p>
        </w:tc>
        <w:tc>
          <w:tcPr>
            <w:tcW w:type="dxa" w:w="2520"/>
          </w:tcPr>
          <w:p>
            <w:r>
              <w:rPr>
                <w:rFonts w:ascii="Calibri" w:hAnsi="Calibri"/>
                <w:color w:val="333333"/>
                <w:sz w:val="18"/>
              </w:rPr>
              <w:t>$-8.1B</w:t>
            </w:r>
          </w:p>
        </w:tc>
        <w:tc>
          <w:tcPr>
            <w:tcW w:type="dxa" w:w="2520"/>
            <w:shd w:fill="FFF3CD" w:val="clear"/>
          </w:tcPr>
          <w:p>
            <w:r>
              <w:rPr>
                <w:rFonts w:ascii="Calibri" w:hAnsi="Calibri"/>
                <w:color w:val="333333"/>
                <w:sz w:val="18"/>
              </w:rPr>
              <w:t>-8.1%</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$736.0M</w:t>
            </w:r>
          </w:p>
        </w:tc>
        <w:tc>
          <w:tcPr>
            <w:tcW w:type="dxa" w:w="2520"/>
            <w:shd w:fill="F2F4F8" w:val="clear"/>
          </w:tcPr>
          <w:p>
            <w:r>
              <w:rPr>
                <w:rFonts w:ascii="Calibri" w:hAnsi="Calibri"/>
                <w:color w:val="333333"/>
                <w:sz w:val="18"/>
              </w:rPr>
              <w:t>$594.0M</w:t>
            </w:r>
          </w:p>
        </w:tc>
        <w:tc>
          <w:tcPr>
            <w:tcW w:type="dxa" w:w="2520"/>
            <w:shd w:fill="F2F4F8" w:val="clear"/>
            <w:shd w:fill="FCE8E6" w:val="clear"/>
          </w:tcPr>
          <w:p>
            <w:r>
              <w:rPr>
                <w:rFonts w:ascii="Calibri" w:hAnsi="Calibri"/>
                <w:color w:val="333333"/>
                <w:sz w:val="18"/>
              </w:rPr>
              <w:t>-19.3%</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$1.1B</w:t>
            </w:r>
          </w:p>
        </w:tc>
        <w:tc>
          <w:tcPr>
            <w:tcW w:type="dxa" w:w="2520"/>
          </w:tcPr>
          <w:p>
            <w:r>
              <w:rPr>
                <w:rFonts w:ascii="Calibri" w:hAnsi="Calibri"/>
                <w:color w:val="333333"/>
                <w:sz w:val="18"/>
              </w:rPr>
              <w:t>$1.2B</w:t>
            </w:r>
          </w:p>
        </w:tc>
        <w:tc>
          <w:tcPr>
            <w:tcW w:type="dxa" w:w="2520"/>
            <w:shd w:fill="FFF3CD" w:val="clear"/>
          </w:tcPr>
          <w:p>
            <w:r>
              <w:rPr>
                <w:rFonts w:ascii="Calibri" w:hAnsi="Calibri"/>
                <w:color w:val="333333"/>
                <w:sz w:val="18"/>
              </w:rPr>
              <w:t>9.1%</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$1.6B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Share repurchases / buybacks</w:t>
            </w:r>
          </w:p>
        </w:tc>
        <w:tc>
          <w:tcPr>
            <w:tcW w:type="dxa" w:w="2520"/>
          </w:tcPr>
          <w:p>
            <w:r>
              <w:rPr>
                <w:rFonts w:ascii="Calibri" w:hAnsi="Calibri"/>
                <w:color w:val="333333"/>
                <w:sz w:val="18"/>
              </w:rPr>
              <w:t>$7.6B</w:t>
            </w:r>
          </w:p>
        </w:tc>
        <w:tc>
          <w:tcPr>
            <w:tcW w:type="dxa" w:w="2520"/>
          </w:tcPr>
          <w:p>
            <w:r>
              <w:rPr>
                <w:rFonts w:ascii="Calibri" w:hAnsi="Calibri"/>
                <w:color w:val="333333"/>
                <w:sz w:val="18"/>
              </w:rPr>
              <w:t>$12.6B</w:t>
            </w:r>
          </w:p>
        </w:tc>
        <w:tc>
          <w:tcPr>
            <w:tcW w:type="dxa" w:w="2520"/>
            <w:shd w:fill="DCEEF8" w:val="clear"/>
          </w:tcPr>
          <w:p>
            <w:r>
              <w:rPr>
                <w:rFonts w:ascii="Calibri" w:hAnsi="Calibri"/>
                <w:color w:val="333333"/>
                <w:sz w:val="18"/>
              </w:rPr>
              <w:t>65.3%</w:t>
            </w:r>
          </w:p>
        </w:tc>
      </w:tr>
      <w:tr>
        <w:tc>
          <w:tcPr>
            <w:tcW w:type="dxa" w:w="2520"/>
            <w:shd w:fill="F2F4F8" w:val="clear"/>
          </w:tcPr>
          <w:p>
            <w:r>
              <w:rPr>
                <w:rFonts w:ascii="Calibri" w:hAnsi="Calibri"/>
                <w:color w:val="333333"/>
                <w:sz w:val="18"/>
              </w:rPr>
              <w:t>Acquisitions, net of cash acquired</w:t>
            </w:r>
          </w:p>
        </w:tc>
        <w:tc>
          <w:tcPr>
            <w:tcW w:type="dxa" w:w="2520"/>
            <w:shd w:fill="F2F4F8" w:val="clear"/>
          </w:tcPr>
          <w:p>
            <w:r>
              <w:rPr>
                <w:rFonts w:ascii="Calibri" w:hAnsi="Calibri"/>
                <w:color w:val="333333"/>
                <w:sz w:val="18"/>
              </w:rPr>
              <w:t>$82.0M</w:t>
            </w:r>
          </w:p>
        </w:tc>
        <w:tc>
          <w:tcPr>
            <w:tcW w:type="dxa" w:w="2520"/>
            <w:shd w:fill="F2F4F8" w:val="clear"/>
          </w:tcPr>
          <w:p>
            <w:r>
              <w:rPr>
                <w:rFonts w:ascii="Calibri" w:hAnsi="Calibri"/>
                <w:color w:val="333333"/>
                <w:sz w:val="18"/>
              </w:rPr>
              <w:t>$9.3B</w:t>
            </w:r>
          </w:p>
        </w:tc>
        <w:tc>
          <w:tcPr>
            <w:tcW w:type="dxa" w:w="2520"/>
            <w:shd w:fill="F2F4F8" w:val="clear"/>
            <w:shd w:fill="DCEEF8" w:val="clear"/>
          </w:tcPr>
          <w:p>
            <w:r>
              <w:rPr>
                <w:rFonts w:ascii="Calibri" w:hAnsi="Calibri"/>
                <w:color w:val="333333"/>
                <w:sz w:val="18"/>
              </w:rPr>
              <w:t>11202.4%</w:t>
            </w:r>
          </w:p>
        </w:tc>
      </w:tr>
      <w:tr>
        <w:tc>
          <w:tcPr>
            <w:tcW w:type="dxa" w:w="2520"/>
          </w:tcPr>
          <w:p>
            <w:r>
              <w:rPr>
                <w:rFonts w:ascii="Calibri" w:hAnsi="Calibri"/>
                <w:color w:val="333333"/>
                <w:sz w:val="18"/>
              </w:rPr>
              <w:t>Proceeds from stock issuance</w:t>
            </w:r>
          </w:p>
        </w:tc>
        <w:tc>
          <w:tcPr>
            <w:tcW w:type="dxa" w:w="2520"/>
          </w:tcPr>
          <w:p>
            <w:r>
              <w:rPr>
                <w:rFonts w:ascii="Calibri" w:hAnsi="Calibri"/>
                <w:color w:val="333333"/>
                <w:sz w:val="18"/>
              </w:rPr>
              <w:t>$2.0B</w:t>
            </w:r>
          </w:p>
        </w:tc>
        <w:tc>
          <w:tcPr>
            <w:tcW w:type="dxa" w:w="2520"/>
          </w:tcPr>
          <w:p>
            <w:r>
              <w:rPr>
                <w:rFonts w:ascii="Calibri" w:hAnsi="Calibri"/>
                <w:color w:val="333333"/>
                <w:sz w:val="18"/>
              </w:rPr>
              <w:t>$1.0B</w:t>
            </w:r>
          </w:p>
        </w:tc>
        <w:tc>
          <w:tcPr>
            <w:tcW w:type="dxa" w:w="2520"/>
            <w:shd w:fill="FCE8E6" w:val="clear"/>
          </w:tcPr>
          <w:p>
            <w:r>
              <w:rPr>
                <w:rFonts w:ascii="Calibri" w:hAnsi="Calibri"/>
                <w:color w:val="333333"/>
                <w:sz w:val="18"/>
              </w:rPr>
              <w:t>-46.8%</w:t>
            </w:r>
          </w:p>
        </w:tc>
      </w:tr>
      <w:tr>
        <w:tc>
          <w:tcPr>
            <w:tcW w:type="dxa" w:w="2520"/>
            <w:shd w:fill="F2F4F8" w:val="clear"/>
          </w:tcPr>
          <w:p>
            <w:r>
              <w:rPr>
                <w:rFonts w:ascii="Calibri" w:hAnsi="Calibri"/>
                <w:color w:val="333333"/>
                <w:sz w:val="18"/>
              </w:rPr>
              <w:t>Interest paid (supplemental)</w:t>
            </w:r>
          </w:p>
        </w:tc>
        <w:tc>
          <w:tcPr>
            <w:tcW w:type="dxa" w:w="2520"/>
            <w:shd w:fill="F2F4F8" w:val="clear"/>
          </w:tcPr>
          <w:p>
            <w:r>
              <w:rPr>
                <w:rFonts w:ascii="Calibri" w:hAnsi="Calibri"/>
                <w:color w:val="333333"/>
                <w:sz w:val="18"/>
              </w:rPr>
              <w:t>$254.0M</w:t>
            </w:r>
          </w:p>
        </w:tc>
        <w:tc>
          <w:tcPr>
            <w:tcW w:type="dxa" w:w="2520"/>
            <w:shd w:fill="F2F4F8" w:val="clear"/>
          </w:tcPr>
          <w:p>
            <w:r>
              <w:rPr>
                <w:rFonts w:ascii="Calibri" w:hAnsi="Calibri"/>
                <w:color w:val="333333"/>
                <w:sz w:val="18"/>
              </w:rPr>
              <w:t>$276.0M</w:t>
            </w:r>
          </w:p>
        </w:tc>
        <w:tc>
          <w:tcPr>
            <w:tcW w:type="dxa" w:w="2520"/>
            <w:shd w:fill="F2F4F8" w:val="clear"/>
            <w:shd w:fill="FFF3CD" w:val="clear"/>
          </w:tcPr>
          <w:p>
            <w:r>
              <w:rPr>
                <w:rFonts w:ascii="Calibri" w:hAnsi="Calibri"/>
                <w:color w:val="333333"/>
                <w:sz w:val="18"/>
              </w:rPr>
              <w:t>8.7%</w:t>
            </w:r>
          </w:p>
        </w:tc>
      </w:tr>
      <w:tr>
        <w:tc>
          <w:tcPr>
            <w:tcW w:type="dxa" w:w="2520"/>
          </w:tcPr>
          <w:p>
            <w:r>
              <w:rPr>
                <w:rFonts w:ascii="Calibri" w:hAnsi="Calibri"/>
                <w:color w:val="333333"/>
                <w:sz w:val="18"/>
              </w:rPr>
              <w:t>Income taxes paid (supplemental)</w:t>
            </w:r>
          </w:p>
        </w:tc>
        <w:tc>
          <w:tcPr>
            <w:tcW w:type="dxa" w:w="2520"/>
          </w:tcPr>
          <w:p>
            <w:r>
              <w:rPr>
                <w:rFonts w:ascii="Calibri" w:hAnsi="Calibri"/>
                <w:color w:val="333333"/>
                <w:sz w:val="18"/>
              </w:rPr>
              <w:t>$1.0B</w:t>
            </w:r>
          </w:p>
        </w:tc>
        <w:tc>
          <w:tcPr>
            <w:tcW w:type="dxa" w:w="2520"/>
          </w:tcPr>
          <w:p>
            <w:r>
              <w:rPr>
                <w:rFonts w:ascii="Calibri" w:hAnsi="Calibri"/>
                <w:color w:val="333333"/>
                <w:sz w:val="18"/>
              </w:rPr>
              <w:t>$1.3B</w:t>
            </w:r>
          </w:p>
        </w:tc>
        <w:tc>
          <w:tcPr>
            <w:tcW w:type="dxa" w:w="2520"/>
            <w:shd w:fill="DCEEF8" w:val="clear"/>
          </w:tcPr>
          <w:p>
            <w:r>
              <w:rPr>
                <w:rFonts w:ascii="Calibri" w:hAnsi="Calibri"/>
                <w:color w:val="333333"/>
                <w:sz w:val="18"/>
              </w:rPr>
              <w:t>24.8%</w:t>
            </w:r>
          </w:p>
        </w:tc>
      </w:tr>
      <w:tr>
        <w:tc>
          <w:tcPr>
            <w:tcW w:type="dxa" w:w="2520"/>
            <w:shd w:fill="F2F4F8" w:val="clear"/>
          </w:tcPr>
          <w:p>
            <w:r>
              <w:rPr>
                <w:rFonts w:ascii="Calibri" w:hAnsi="Calibri"/>
                <w:color w:val="333333"/>
                <w:sz w:val="18"/>
              </w:rPr>
              <w:t>Stock-based compensation (cash flow adjustment)</w:t>
            </w:r>
          </w:p>
        </w:tc>
        <w:tc>
          <w:tcPr>
            <w:tcW w:type="dxa" w:w="2520"/>
            <w:shd w:fill="F2F4F8" w:val="clear"/>
          </w:tcPr>
          <w:p>
            <w:r>
              <w:rPr>
                <w:rFonts w:ascii="Calibri" w:hAnsi="Calibri"/>
                <w:color w:val="333333"/>
                <w:sz w:val="18"/>
              </w:rPr>
              <w:t>$2.8B</w:t>
            </w:r>
          </w:p>
        </w:tc>
        <w:tc>
          <w:tcPr>
            <w:tcW w:type="dxa" w:w="2520"/>
            <w:shd w:fill="F2F4F8" w:val="clear"/>
          </w:tcPr>
          <w:p>
            <w:r>
              <w:rPr>
                <w:rFonts w:ascii="Calibri" w:hAnsi="Calibri"/>
                <w:color w:val="333333"/>
                <w:sz w:val="18"/>
              </w:rPr>
              <w:t>$3.5B</w:t>
            </w:r>
          </w:p>
        </w:tc>
        <w:tc>
          <w:tcPr>
            <w:tcW w:type="dxa" w:w="2520"/>
            <w:shd w:fill="F2F4F8" w:val="clear"/>
            <w:shd w:fill="DCEEF8" w:val="clear"/>
          </w:tcPr>
          <w:p>
            <w:r>
              <w:rPr>
                <w:rFonts w:ascii="Calibri" w:hAnsi="Calibri"/>
                <w:color w:val="333333"/>
                <w:sz w:val="18"/>
              </w:rPr>
              <w:t>25.9%</w:t>
            </w:r>
          </w:p>
        </w:tc>
      </w:tr>
      <w:tr>
        <w:tc>
          <w:tcPr>
            <w:tcW w:type="dxa" w:w="2520"/>
          </w:tcPr>
          <w:p>
            <w:r>
              <w:rPr>
                <w:rFonts w:ascii="Calibri" w:hAnsi="Calibri"/>
                <w:color w:val="333333"/>
                <w:sz w:val="18"/>
              </w:rPr>
              <w:t>Changes in operating working capital</w:t>
            </w:r>
          </w:p>
        </w:tc>
        <w:tc>
          <w:tcPr>
            <w:tcW w:type="dxa" w:w="2520"/>
          </w:tcPr>
          <w:p>
            <w:r>
              <w:rPr>
                <w:rFonts w:ascii="Calibri" w:hAnsi="Calibri"/>
                <w:color w:val="333333"/>
                <w:sz w:val="18"/>
              </w:rPr>
              <w:t>$-478.0M</w:t>
            </w:r>
          </w:p>
        </w:tc>
        <w:tc>
          <w:tcPr>
            <w:tcW w:type="dxa" w:w="2520"/>
          </w:tcPr>
          <w:p>
            <w:r>
              <w:rPr>
                <w:rFonts w:ascii="Calibri" w:hAnsi="Calibri"/>
                <w:color w:val="333333"/>
                <w:sz w:val="18"/>
              </w:rPr>
              <w:t>$1.0B</w:t>
            </w:r>
          </w:p>
        </w:tc>
        <w:tc>
          <w:tcPr>
            <w:tcW w:type="dxa" w:w="2520"/>
            <w:shd w:fill="DCEEF8" w:val="clear"/>
          </w:tcPr>
          <w:p>
            <w:r>
              <w:rPr>
                <w:rFonts w:ascii="Calibri" w:hAnsi="Calibri"/>
                <w:color w:val="333333"/>
                <w:sz w:val="18"/>
              </w:rPr>
              <w:t>312.1%</w:t>
            </w:r>
          </w:p>
        </w:tc>
      </w:tr>
      <w:tr>
        <w:tc>
          <w:tcPr>
            <w:tcW w:type="dxa" w:w="2520"/>
            <w:shd w:fill="F2F4F8" w:val="clear"/>
          </w:tcPr>
          <w:p>
            <w:r>
              <w:rPr>
                <w:rFonts w:ascii="Calibri" w:hAnsi="Calibri"/>
                <w:color w:val="333333"/>
                <w:sz w:val="18"/>
              </w:rPr>
              <w:t>Net increase/decrease in cash and equivalents</w:t>
            </w:r>
          </w:p>
        </w:tc>
        <w:tc>
          <w:tcPr>
            <w:tcW w:type="dxa" w:w="2520"/>
            <w:shd w:fill="F2F4F8" w:val="clear"/>
          </w:tcPr>
          <w:p>
            <w:r>
              <w:rPr>
                <w:rFonts w:ascii="Calibri" w:hAnsi="Calibri"/>
                <w:color w:val="333333"/>
                <w:sz w:val="18"/>
              </w:rPr>
              <w:t>$1.5B</w:t>
            </w:r>
          </w:p>
        </w:tc>
        <w:tc>
          <w:tcPr>
            <w:tcW w:type="dxa" w:w="2520"/>
            <w:shd w:fill="F2F4F8" w:val="clear"/>
          </w:tcPr>
          <w:p>
            <w:r>
              <w:rPr>
                <w:rFonts w:ascii="Calibri" w:hAnsi="Calibri"/>
                <w:color w:val="333333"/>
                <w:sz w:val="18"/>
              </w:rPr>
              <w:t>$-1.5B</w:t>
            </w:r>
          </w:p>
        </w:tc>
        <w:tc>
          <w:tcPr>
            <w:tcW w:type="dxa" w:w="2520"/>
            <w:shd w:fill="F2F4F8" w:val="clear"/>
            <w:shd w:fill="FCE8E6" w:val="clear"/>
          </w:tcPr>
          <w:p>
            <w:r>
              <w:rPr>
                <w:rFonts w:ascii="Calibri" w:hAnsi="Calibri"/>
                <w:color w:val="333333"/>
                <w:sz w:val="18"/>
              </w:rPr>
              <w:t>-204.5%</w:t>
            </w:r>
          </w:p>
        </w:tc>
      </w:tr>
      <w:tr>
        <w:tc>
          <w:tcPr>
            <w:tcW w:type="dxa" w:w="2520"/>
          </w:tcPr>
          <w:p>
            <w:r>
              <w:rPr>
                <w:rFonts w:ascii="Calibri" w:hAnsi="Calibri"/>
                <w:color w:val="333333"/>
                <w:sz w:val="18"/>
              </w:rPr>
              <w:t>Purchases of investments</w:t>
            </w:r>
          </w:p>
        </w:tc>
        <w:tc>
          <w:tcPr>
            <w:tcW w:type="dxa" w:w="2520"/>
          </w:tcPr>
          <w:p>
            <w:r>
              <w:rPr>
                <w:rFonts w:ascii="Calibri" w:hAnsi="Calibri"/>
                <w:color w:val="333333"/>
                <w:sz w:val="18"/>
              </w:rPr>
              <w:t>$3.8B</w:t>
            </w:r>
          </w:p>
        </w:tc>
        <w:tc>
          <w:tcPr>
            <w:tcW w:type="dxa" w:w="2520"/>
          </w:tcPr>
          <w:p>
            <w:r>
              <w:rPr>
                <w:rFonts w:ascii="Calibri" w:hAnsi="Calibri"/>
                <w:color w:val="333333"/>
                <w:sz w:val="18"/>
              </w:rPr>
              <w:t>$3.8B</w:t>
            </w:r>
          </w:p>
        </w:tc>
        <w:tc>
          <w:tcPr>
            <w:tcW w:type="dxa" w:w="2520"/>
          </w:tcPr>
          <w:p>
            <w:r>
              <w:rPr>
                <w:rFonts w:ascii="Calibri" w:hAnsi="Calibri"/>
                <w:color w:val="333333"/>
                <w:sz w:val="18"/>
              </w:rPr>
              <w:t>0.1%</w:t>
            </w:r>
          </w:p>
        </w:tc>
      </w:tr>
      <w:tr>
        <w:tc>
          <w:tcPr>
            <w:tcW w:type="dxa" w:w="2520"/>
            <w:shd w:fill="F2F4F8" w:val="clear"/>
          </w:tcPr>
          <w:p>
            <w:r>
              <w:rPr>
                <w:rFonts w:ascii="Calibri" w:hAnsi="Calibri"/>
                <w:color w:val="333333"/>
                <w:sz w:val="18"/>
              </w:rPr>
              <w:t>Proceeds from sale/maturity of investments</w:t>
            </w:r>
          </w:p>
        </w:tc>
        <w:tc>
          <w:tcPr>
            <w:tcW w:type="dxa" w:w="2520"/>
            <w:shd w:fill="F2F4F8" w:val="clear"/>
          </w:tcPr>
          <w:p>
            <w:r>
              <w:rPr>
                <w:rFonts w:ascii="Calibri" w:hAnsi="Calibri"/>
                <w:color w:val="333333"/>
                <w:sz w:val="18"/>
              </w:rPr>
              <w:t>$1.5B</w:t>
            </w:r>
          </w:p>
        </w:tc>
        <w:tc>
          <w:tcPr>
            <w:tcW w:type="dxa" w:w="2520"/>
            <w:shd w:fill="F2F4F8" w:val="clear"/>
          </w:tcPr>
          <w:p>
            <w:r>
              <w:rPr>
                <w:rFonts w:ascii="Calibri" w:hAnsi="Calibri"/>
                <w:color w:val="333333"/>
                <w:sz w:val="18"/>
              </w:rPr>
              <w:t>$4.4B</w:t>
            </w:r>
          </w:p>
        </w:tc>
        <w:tc>
          <w:tcPr>
            <w:tcW w:type="dxa" w:w="2520"/>
            <w:shd w:fill="F2F4F8" w:val="clear"/>
            <w:shd w:fill="DCEEF8" w:val="clear"/>
          </w:tcPr>
          <w:p>
            <w:r>
              <w:rPr>
                <w:rFonts w:ascii="Calibri" w:hAnsi="Calibri"/>
                <w:color w:val="333333"/>
                <w:sz w:val="18"/>
              </w:rPr>
              <w:t>192.1%</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$-742.0M</w:t>
            </w:r>
          </w:p>
        </w:tc>
        <w:tc>
          <w:tcPr>
            <w:tcW w:type="dxa" w:w="2520"/>
          </w:tcPr>
          <w:p>
            <w:r>
              <w:rPr>
                <w:rFonts w:ascii="Calibri" w:hAnsi="Calibri"/>
                <w:color w:val="333333"/>
                <w:sz w:val="18"/>
              </w:rPr>
              <w:t>$959.0M</w:t>
            </w:r>
          </w:p>
        </w:tc>
        <w:tc>
          <w:tcPr>
            <w:tcW w:type="dxa" w:w="2520"/>
            <w:shd w:fill="DCEEF8" w:val="clear"/>
          </w:tcPr>
          <w:p>
            <w:r>
              <w:rPr>
                <w:rFonts w:ascii="Calibri" w:hAnsi="Calibri"/>
                <w:color w:val="333333"/>
                <w:sz w:val="18"/>
              </w:rPr>
              <w:t>229.2%</w:t>
            </w:r>
          </w:p>
        </w:tc>
      </w:tr>
      <w:tr>
        <w:tc>
          <w:tcPr>
            <w:tcW w:type="dxa" w:w="2520"/>
            <w:shd w:fill="F2F4F8" w:val="clear"/>
          </w:tcPr>
          <w:p>
            <w:r>
              <w:rPr>
                <w:rFonts w:ascii="Calibri" w:hAnsi="Calibri"/>
                <w:color w:val="333333"/>
                <w:sz w:val="18"/>
              </w:rPr>
              <w:t>Change in accounts receivable</w:t>
            </w:r>
          </w:p>
        </w:tc>
        <w:tc>
          <w:tcPr>
            <w:tcW w:type="dxa" w:w="2520"/>
            <w:shd w:fill="F2F4F8" w:val="clear"/>
          </w:tcPr>
          <w:p>
            <w:r>
              <w:rPr>
                <w:rFonts w:ascii="Calibri" w:hAnsi="Calibri"/>
                <w:color w:val="333333"/>
                <w:sz w:val="18"/>
              </w:rPr>
              <w:t>$659.0M</w:t>
            </w:r>
          </w:p>
        </w:tc>
        <w:tc>
          <w:tcPr>
            <w:tcW w:type="dxa" w:w="2520"/>
            <w:shd w:fill="F2F4F8" w:val="clear"/>
          </w:tcPr>
          <w:p>
            <w:r>
              <w:rPr>
                <w:rFonts w:ascii="Calibri" w:hAnsi="Calibri"/>
                <w:color w:val="333333"/>
                <w:sz w:val="18"/>
              </w:rPr>
              <w:t>$2.2B</w:t>
            </w:r>
          </w:p>
        </w:tc>
        <w:tc>
          <w:tcPr>
            <w:tcW w:type="dxa" w:w="2520"/>
            <w:shd w:fill="F2F4F8" w:val="clear"/>
            <w:shd w:fill="DCEEF8" w:val="clear"/>
          </w:tcPr>
          <w:p>
            <w:r>
              <w:rPr>
                <w:rFonts w:ascii="Calibri" w:hAnsi="Calibri"/>
                <w:color w:val="333333"/>
                <w:sz w:val="18"/>
              </w:rPr>
              <w:t>227.8%</w:t>
            </w:r>
          </w:p>
        </w:tc>
      </w:tr>
      <w:tr>
        <w:tc>
          <w:tcPr>
            <w:tcW w:type="dxa" w:w="2520"/>
          </w:tcPr>
          <w:p>
            <w:r>
              <w:rPr>
                <w:rFonts w:ascii="Calibri" w:hAnsi="Calibri"/>
                <w:color w:val="333333"/>
                <w:sz w:val="18"/>
              </w:rPr>
              <w:t>Change in accounts payable</w:t>
            </w:r>
          </w:p>
        </w:tc>
        <w:tc>
          <w:tcPr>
            <w:tcW w:type="dxa" w:w="2520"/>
          </w:tcPr>
          <w:p>
            <w:r>
              <w:rPr>
                <w:rFonts w:ascii="Calibri" w:hAnsi="Calibri"/>
                <w:color w:val="333333"/>
                <w:sz w:val="18"/>
              </w:rPr>
              <w:t>$-478.0M</w:t>
            </w:r>
          </w:p>
        </w:tc>
        <w:tc>
          <w:tcPr>
            <w:tcW w:type="dxa" w:w="2520"/>
          </w:tcPr>
          <w:p>
            <w:r>
              <w:rPr>
                <w:rFonts w:ascii="Calibri" w:hAnsi="Calibri"/>
                <w:color w:val="333333"/>
                <w:sz w:val="18"/>
              </w:rPr>
              <w:t>$1.0B</w:t>
            </w:r>
          </w:p>
        </w:tc>
        <w:tc>
          <w:tcPr>
            <w:tcW w:type="dxa" w:w="2520"/>
            <w:shd w:fill="DCEEF8" w:val="clear"/>
          </w:tcPr>
          <w:p>
            <w:r>
              <w:rPr>
                <w:rFonts w:ascii="Calibri" w:hAnsi="Calibri"/>
                <w:color w:val="333333"/>
                <w:sz w:val="18"/>
              </w:rPr>
              <w:t>312.1%</w:t>
            </w:r>
          </w:p>
        </w:tc>
      </w:tr>
      <w:tr>
        <w:tc>
          <w:tcPr>
            <w:tcW w:type="dxa" w:w="2520"/>
            <w:shd w:fill="F2F4F8" w:val="clear"/>
          </w:tcPr>
          <w:p>
            <w:r>
              <w:rPr>
                <w:rFonts w:ascii="Calibri" w:hAnsi="Calibri"/>
                <w:color w:val="333333"/>
                <w:sz w:val="18"/>
              </w:rPr>
              <w:t>Effect of exchange rate changes on cash</w:t>
            </w:r>
          </w:p>
        </w:tc>
        <w:tc>
          <w:tcPr>
            <w:tcW w:type="dxa" w:w="2520"/>
            <w:shd w:fill="F2F4F8" w:val="clear"/>
          </w:tcPr>
          <w:p>
            <w:r>
              <w:rPr>
                <w:rFonts w:ascii="Calibri" w:hAnsi="Calibri"/>
                <w:color w:val="333333"/>
                <w:sz w:val="18"/>
              </w:rPr>
              <w:t>$26.0M</w:t>
            </w:r>
          </w:p>
        </w:tc>
        <w:tc>
          <w:tcPr>
            <w:tcW w:type="dxa" w:w="2520"/>
            <w:shd w:fill="F2F4F8" w:val="clear"/>
          </w:tcPr>
          <w:p>
            <w:r>
              <w:rPr>
                <w:rFonts w:ascii="Calibri" w:hAnsi="Calibri"/>
                <w:color w:val="333333"/>
                <w:sz w:val="18"/>
              </w:rPr>
              <w:t>$152.0M</w:t>
            </w:r>
          </w:p>
        </w:tc>
        <w:tc>
          <w:tcPr>
            <w:tcW w:type="dxa" w:w="2520"/>
            <w:shd w:fill="F2F4F8" w:val="clear"/>
            <w:shd w:fill="DCEEF8" w:val="clear"/>
          </w:tcPr>
          <w:p>
            <w:r>
              <w:rPr>
                <w:rFonts w:ascii="Calibri" w:hAnsi="Calibri"/>
                <w:color w:val="333333"/>
                <w:sz w:val="18"/>
              </w:rPr>
              <w:t>484.6%</w:t>
            </w:r>
          </w:p>
        </w:tc>
      </w:tr>
      <w:tr>
        <w:tc>
          <w:tcPr>
            <w:tcW w:type="dxa" w:w="2520"/>
          </w:tcPr>
          <w:p>
            <w:r>
              <w:rPr>
                <w:rFonts w:ascii="Calibri" w:hAnsi="Calibri"/>
                <w:color w:val="333333"/>
                <w:sz w:val="18"/>
              </w:rPr>
              <w:t>Free cash flow</w:t>
            </w:r>
          </w:p>
        </w:tc>
        <w:tc>
          <w:tcPr>
            <w:tcW w:type="dxa" w:w="2520"/>
          </w:tcPr>
          <w:p>
            <w:r>
              <w:rPr>
                <w:rFonts w:ascii="Calibri" w:hAnsi="Calibri"/>
                <w:color w:val="333333"/>
                <w:sz w:val="18"/>
              </w:rPr>
              <w:t>$9.5B</w:t>
            </w:r>
          </w:p>
        </w:tc>
        <w:tc>
          <w:tcPr>
            <w:tcW w:type="dxa" w:w="2520"/>
          </w:tcPr>
          <w:p>
            <w:r>
              <w:rPr>
                <w:rFonts w:ascii="Calibri" w:hAnsi="Calibri"/>
                <w:color w:val="333333"/>
                <w:sz w:val="18"/>
              </w:rPr>
              <w:t>$14.4B</w:t>
            </w:r>
          </w:p>
        </w:tc>
        <w:tc>
          <w:tcPr>
            <w:tcW w:type="dxa" w:w="2520"/>
            <w:shd w:fill="DCEEF8" w:val="clear"/>
          </w:tcPr>
          <w:p>
            <w:r>
              <w:rPr>
                <w:rFonts w:ascii="Calibri" w:hAnsi="Calibri"/>
                <w:color w:val="333333"/>
                <w:sz w:val="18"/>
              </w:rPr>
              <w:t>51.6%</w:t>
            </w:r>
          </w:p>
        </w:tc>
      </w:tr>
      <w:tr>
        <w:tc>
          <w:tcPr>
            <w:tcW w:type="dxa" w:w="2520"/>
            <w:shd w:fill="F2F4F8" w:val="clear"/>
          </w:tcPr>
          <w:p>
            <w:r>
              <w:rPr>
                <w:rFonts w:ascii="Calibri" w:hAnsi="Calibri"/>
                <w:color w:val="333333"/>
                <w:sz w:val="18"/>
              </w:rPr>
              <w:t>FCF-to-revenue ratio</w:t>
            </w:r>
          </w:p>
        </w:tc>
        <w:tc>
          <w:tcPr>
            <w:tcW w:type="dxa" w:w="2520"/>
            <w:shd w:fill="F2F4F8" w:val="clear"/>
          </w:tcPr>
          <w:p>
            <w:r>
              <w:rPr>
                <w:rFonts w:ascii="Calibri" w:hAnsi="Calibri"/>
                <w:color w:val="333333"/>
                <w:sz w:val="18"/>
              </w:rPr>
              <w:t>$27</w:t>
            </w:r>
          </w:p>
        </w:tc>
        <w:tc>
          <w:tcPr>
            <w:tcW w:type="dxa" w:w="2520"/>
            <w:shd w:fill="F2F4F8" w:val="clear"/>
          </w:tcPr>
          <w:p>
            <w:r>
              <w:rPr>
                <w:rFonts w:ascii="Calibri" w:hAnsi="Calibri"/>
                <w:color w:val="333333"/>
                <w:sz w:val="18"/>
              </w:rPr>
              <w:t>$35</w:t>
            </w:r>
          </w:p>
        </w:tc>
        <w:tc>
          <w:tcPr>
            <w:tcW w:type="dxa" w:w="2520"/>
            <w:shd w:fill="F2F4F8" w:val="clear"/>
            <w:shd w:fill="DCEEF8" w:val="clear"/>
          </w:tcPr>
          <w:p>
            <w:r>
              <w:rPr>
                <w:rFonts w:ascii="Calibri" w:hAnsi="Calibri"/>
                <w:color w:val="333333"/>
                <w:sz w:val="18"/>
              </w:rPr>
              <w:t>27.3%</w:t>
            </w:r>
          </w:p>
        </w:tc>
      </w:tr>
      <w:tr>
        <w:tc>
          <w:tcPr>
            <w:tcW w:type="dxa" w:w="2520"/>
          </w:tcPr>
          <w:p>
            <w:r>
              <w:rPr>
                <w:rFonts w:ascii="Calibri" w:hAnsi="Calibri"/>
                <w:color w:val="333333"/>
                <w:sz w:val="18"/>
              </w:rPr>
              <w:t>Capex-to-revenue ratio</w:t>
            </w:r>
          </w:p>
        </w:tc>
        <w:tc>
          <w:tcPr>
            <w:tcW w:type="dxa" w:w="2520"/>
          </w:tcPr>
          <w:p>
            <w:r>
              <w:rPr>
                <w:rFonts w:ascii="Calibri" w:hAnsi="Calibri"/>
                <w:color w:val="333333"/>
                <w:sz w:val="18"/>
              </w:rPr>
              <w:t>$2</w:t>
            </w:r>
          </w:p>
        </w:tc>
        <w:tc>
          <w:tcPr>
            <w:tcW w:type="dxa" w:w="2520"/>
          </w:tcPr>
          <w:p>
            <w:r>
              <w:rPr>
                <w:rFonts w:ascii="Calibri" w:hAnsi="Calibri"/>
                <w:color w:val="333333"/>
                <w:sz w:val="18"/>
              </w:rPr>
              <w:t>$1</w:t>
            </w:r>
          </w:p>
        </w:tc>
        <w:tc>
          <w:tcPr>
            <w:tcW w:type="dxa" w:w="2520"/>
            <w:shd w:fill="FCE8E6" w:val="clear"/>
          </w:tcPr>
          <w:p>
            <w:r>
              <w:rPr>
                <w:rFonts w:ascii="Calibri" w:hAnsi="Calibri"/>
                <w:color w:val="333333"/>
                <w:sz w:val="18"/>
              </w:rPr>
              <w:t>-32.2%</w:t>
            </w:r>
          </w:p>
        </w:tc>
      </w:tr>
      <w:tr>
        <w:tc>
          <w:tcPr>
            <w:tcW w:type="dxa" w:w="2520"/>
            <w:shd w:fill="F2F4F8" w:val="clear"/>
          </w:tcPr>
          <w:p>
            <w:r>
              <w:rPr>
                <w:rFonts w:ascii="Calibri" w:hAnsi="Calibri"/>
                <w:color w:val="333333"/>
                <w:sz w:val="18"/>
              </w:rPr>
              <w:t>Capex-to-depreciation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-26.0%</w:t>
            </w:r>
          </w:p>
        </w:tc>
      </w:tr>
      <w:tr>
        <w:tc>
          <w:tcPr>
            <w:tcW w:type="dxa" w:w="2520"/>
          </w:tcPr>
          <w:p>
            <w:r>
              <w:rPr>
                <w:rFonts w:ascii="Calibri" w:hAnsi="Calibri"/>
                <w:color w:val="333333"/>
                <w:sz w:val="18"/>
              </w:rPr>
              <w:t>Dividend payout ratio</w:t>
            </w:r>
          </w:p>
        </w:tc>
        <w:tc>
          <w:tcPr>
            <w:tcW w:type="dxa" w:w="2520"/>
          </w:tcPr>
          <w:p>
            <w:r>
              <w:rPr>
                <w:rFonts w:ascii="Calibri" w:hAnsi="Calibri"/>
                <w:color w:val="333333"/>
                <w:sz w:val="18"/>
              </w:rPr>
              <w:t>N/A</w:t>
            </w:r>
          </w:p>
        </w:tc>
        <w:tc>
          <w:tcPr>
            <w:tcW w:type="dxa" w:w="2520"/>
          </w:tcPr>
          <w:p>
            <w:r>
              <w:rPr>
                <w:rFonts w:ascii="Calibri" w:hAnsi="Calibri"/>
                <w:color w:val="333333"/>
                <w:sz w:val="18"/>
              </w:rPr>
              <w:t>$21</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Free cash flow per share</w:t>
            </w:r>
          </w:p>
        </w:tc>
        <w:tc>
          <w:tcPr>
            <w:tcW w:type="dxa" w:w="2520"/>
            <w:shd w:fill="F2F4F8" w:val="clear"/>
          </w:tcPr>
          <w:p>
            <w:r>
              <w:rPr>
                <w:rFonts w:ascii="Calibri" w:hAnsi="Calibri"/>
                <w:color w:val="333333"/>
                <w:sz w:val="18"/>
              </w:rPr>
              <w:t>$9.78</w:t>
            </w:r>
          </w:p>
        </w:tc>
        <w:tc>
          <w:tcPr>
            <w:tcW w:type="dxa" w:w="2520"/>
            <w:shd w:fill="F2F4F8" w:val="clear"/>
          </w:tcPr>
          <w:p>
            <w:r>
              <w:rPr>
                <w:rFonts w:ascii="Calibri" w:hAnsi="Calibri"/>
                <w:color w:val="333333"/>
                <w:sz w:val="18"/>
              </w:rPr>
              <w:t>$15.50</w:t>
            </w:r>
          </w:p>
        </w:tc>
        <w:tc>
          <w:tcPr>
            <w:tcW w:type="dxa" w:w="2520"/>
            <w:shd w:fill="F2F4F8" w:val="clear"/>
            <w:shd w:fill="DCEEF8" w:val="clear"/>
          </w:tcPr>
          <w:p>
            <w:r>
              <w:rPr>
                <w:rFonts w:ascii="Calibri" w:hAnsi="Calibri"/>
                <w:color w:val="333333"/>
                <w:sz w:val="18"/>
              </w:rPr>
              <w:t>58.5%</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0.76</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0.76</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0.24</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25.7x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2.78</w:t>
            </w:r>
          </w:p>
        </w:tc>
        <w:tc>
          <w:tcPr>
            <w:tcW w:type="dxa" w:w="2016"/>
            <w:shd w:fill="FFF3CD" w:val="clear"/>
          </w:tcPr>
          <w:p>
            <w:r>
              <w:rPr>
                <w:rFonts w:ascii="Calibri" w:hAnsi="Calibri"/>
                <w:color w:val="333333"/>
                <w:sz w:val="18"/>
              </w:rPr>
              <w:t>Grey Zone</w:t>
            </w:r>
          </w:p>
        </w:tc>
        <w:tc>
          <w:tcPr>
            <w:tcW w:type="dxa" w:w="2016"/>
          </w:tcPr>
          <w:p>
            <w:r>
              <w:rPr>
                <w:rFonts w:ascii="Calibri" w:hAnsi="Calibri"/>
                <w:color w:val="333333"/>
                <w:sz w:val="18"/>
              </w:rPr>
              <w:t>FY2024: 3.3 -&gt; FY2025: 2.8 (declining)</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-2.63</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7.00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7/9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62nd percentile among 0 peers (peer median: 2.0x).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2.01</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-0.07</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Ernst &amp; Young, 24 year tenure, 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0.24</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1.51</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25.71</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21.7%</w:t>
            </w:r>
          </w:p>
        </w:tc>
        <w:tc>
          <w:tcPr>
            <w:tcW w:type="dxa" w:w="3360"/>
          </w:tcPr>
          <w:p>
            <w:r>
              <w:rPr>
                <w:rFonts w:ascii="Calibri" w:hAnsi="Calibri"/>
                <w:color w:val="333333"/>
                <w:sz w:val="18"/>
              </w:rPr>
              <w:t>Normal range</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$2.8T</w:t>
            </w:r>
          </w:p>
        </w:tc>
        <w:tc>
          <w:tcPr>
            <w:tcW w:type="dxa" w:w="2016"/>
          </w:tcPr>
          <w:p>
            <w:r>
              <w:rPr>
                <w:rFonts w:ascii="Calibri" w:hAnsi="Calibri"/>
                <w:color w:val="333333"/>
                <w:sz w:val="18"/>
              </w:rPr>
              <w:t>$305.5B</w:t>
            </w:r>
          </w:p>
        </w:tc>
        <w:tc>
          <w:tcPr>
            <w:tcW w:type="dxa" w:w="2016"/>
          </w:tcPr>
          <w:p>
            <w:r>
              <w:rPr>
                <w:rFonts w:ascii="Calibri" w:hAnsi="Calibri"/>
                <w:color w:val="333333"/>
                <w:sz w:val="18"/>
              </w:rPr>
              <w:t>13</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$402.8B</w:t>
            </w:r>
          </w:p>
        </w:tc>
        <w:tc>
          <w:tcPr>
            <w:tcW w:type="dxa" w:w="2016"/>
            <w:shd w:fill="F2F4F8" w:val="clear"/>
          </w:tcPr>
          <w:p>
            <w:r>
              <w:rPr>
                <w:rFonts w:ascii="Calibri" w:hAnsi="Calibri"/>
                <w:color w:val="333333"/>
                <w:sz w:val="18"/>
              </w:rPr>
              <w:t>3</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$716.9B</w:t>
            </w:r>
          </w:p>
        </w:tc>
        <w:tc>
          <w:tcPr>
            <w:tcW w:type="dxa" w:w="2016"/>
          </w:tcPr>
          <w:p>
            <w:r>
              <w:rPr>
                <w:rFonts w:ascii="Calibri" w:hAnsi="Calibri"/>
                <w:color w:val="333333"/>
                <w:sz w:val="18"/>
              </w:rPr>
              <w:t>2</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$201.0B</w:t>
            </w:r>
          </w:p>
        </w:tc>
        <w:tc>
          <w:tcPr>
            <w:tcW w:type="dxa" w:w="2016"/>
            <w:shd w:fill="F2F4F8" w:val="clear"/>
          </w:tcPr>
          <w:p>
            <w:r>
              <w:rPr>
                <w:rFonts w:ascii="Calibri" w:hAnsi="Calibri"/>
                <w:color w:val="333333"/>
                <w:sz w:val="18"/>
              </w:rPr>
              <w:t>4</w:t>
            </w:r>
          </w:p>
        </w:tc>
      </w:tr>
      <w:tr>
        <w:tc>
          <w:tcPr>
            <w:tcW w:type="dxa" w:w="2016"/>
          </w:tcPr>
          <w:p>
            <w:r>
              <w:rPr>
                <w:rFonts w:ascii="Calibri" w:hAnsi="Calibri"/>
                <w:color w:val="333333"/>
                <w:sz w:val="18"/>
              </w:rPr>
              <w:t>NVDA</w:t>
            </w:r>
          </w:p>
        </w:tc>
        <w:tc>
          <w:tcPr>
            <w:tcW w:type="dxa" w:w="2016"/>
          </w:tcPr>
          <w:p>
            <w:r>
              <w:rPr>
                <w:rFonts w:ascii="Calibri" w:hAnsi="Calibri"/>
                <w:color w:val="333333"/>
                <w:sz w:val="18"/>
              </w:rPr>
              <w:t>NVIDIA Corporation</w:t>
            </w:r>
          </w:p>
        </w:tc>
        <w:tc>
          <w:tcPr>
            <w:tcW w:type="dxa" w:w="2016"/>
          </w:tcPr>
          <w:p>
            <w:r>
              <w:rPr>
                <w:rFonts w:ascii="Calibri" w:hAnsi="Calibri"/>
                <w:color w:val="333333"/>
                <w:sz w:val="18"/>
              </w:rPr>
              <w:t>$4.3T</w:t>
            </w:r>
          </w:p>
        </w:tc>
        <w:tc>
          <w:tcPr>
            <w:tcW w:type="dxa" w:w="2016"/>
          </w:tcPr>
          <w:p>
            <w:r>
              <w:rPr>
                <w:rFonts w:ascii="Calibri" w:hAnsi="Calibri"/>
                <w:color w:val="333333"/>
                <w:sz w:val="18"/>
              </w:rPr>
              <w:t>$215.9B</w:t>
            </w:r>
          </w:p>
        </w:tc>
        <w:tc>
          <w:tcPr>
            <w:tcW w:type="dxa" w:w="2016"/>
          </w:tcPr>
          <w:p>
            <w:r>
              <w:rPr>
                <w:rFonts w:ascii="Calibri" w:hAnsi="Calibri"/>
                <w:color w:val="333333"/>
                <w:sz w:val="18"/>
              </w:rPr>
              <w:t>14</w:t>
            </w:r>
          </w:p>
        </w:tc>
      </w:tr>
      <w:tr>
        <w:tc>
          <w:tcPr>
            <w:tcW w:type="dxa" w:w="2016"/>
            <w:shd w:fill="F2F4F8" w:val="clear"/>
          </w:tcPr>
          <w:p>
            <w:r>
              <w:rPr>
                <w:rFonts w:ascii="Calibri" w:hAnsi="Calibri"/>
                <w:color w:val="333333"/>
                <w:sz w:val="18"/>
              </w:rPr>
              <w:t>ADBE</w:t>
            </w:r>
          </w:p>
        </w:tc>
        <w:tc>
          <w:tcPr>
            <w:tcW w:type="dxa" w:w="2016"/>
            <w:shd w:fill="F2F4F8" w:val="clear"/>
          </w:tcPr>
          <w:p>
            <w:r>
              <w:rPr>
                <w:rFonts w:ascii="Calibri" w:hAnsi="Calibri"/>
                <w:color w:val="333333"/>
                <w:sz w:val="18"/>
              </w:rPr>
              <w:t>Adobe Inc.</w:t>
            </w:r>
          </w:p>
        </w:tc>
        <w:tc>
          <w:tcPr>
            <w:tcW w:type="dxa" w:w="2016"/>
            <w:shd w:fill="F2F4F8" w:val="clear"/>
          </w:tcPr>
          <w:p>
            <w:r>
              <w:rPr>
                <w:rFonts w:ascii="Calibri" w:hAnsi="Calibri"/>
                <w:color w:val="333333"/>
                <w:sz w:val="18"/>
              </w:rPr>
              <w:t>$99.0B</w:t>
            </w:r>
          </w:p>
        </w:tc>
        <w:tc>
          <w:tcPr>
            <w:tcW w:type="dxa" w:w="2016"/>
            <w:shd w:fill="F2F4F8" w:val="clear"/>
          </w:tcPr>
          <w:p>
            <w:r>
              <w:rPr>
                <w:rFonts w:ascii="Calibri" w:hAnsi="Calibri"/>
                <w:color w:val="333333"/>
                <w:sz w:val="18"/>
              </w:rPr>
              <w:t>$24.5B</w:t>
            </w:r>
          </w:p>
        </w:tc>
        <w:tc>
          <w:tcPr>
            <w:tcW w:type="dxa" w:w="2016"/>
            <w:shd w:fill="F2F4F8" w:val="clear"/>
          </w:tcPr>
          <w:p>
            <w:r>
              <w:rPr>
                <w:rFonts w:ascii="Calibri" w:hAnsi="Calibri"/>
                <w:color w:val="333333"/>
                <w:sz w:val="18"/>
              </w:rPr>
              <w:t>34</w:t>
            </w:r>
          </w:p>
        </w:tc>
      </w:tr>
      <w:tr>
        <w:tc>
          <w:tcPr>
            <w:tcW w:type="dxa" w:w="2016"/>
          </w:tcPr>
          <w:p>
            <w:r>
              <w:rPr>
                <w:rFonts w:ascii="Calibri" w:hAnsi="Calibri"/>
                <w:color w:val="333333"/>
                <w:sz w:val="18"/>
              </w:rPr>
              <w:t>ORCL</w:t>
            </w:r>
          </w:p>
        </w:tc>
        <w:tc>
          <w:tcPr>
            <w:tcW w:type="dxa" w:w="2016"/>
          </w:tcPr>
          <w:p>
            <w:r>
              <w:rPr>
                <w:rFonts w:ascii="Calibri" w:hAnsi="Calibri"/>
                <w:color w:val="333333"/>
                <w:sz w:val="18"/>
              </w:rPr>
              <w:t>Oracle Corporation</w:t>
            </w:r>
          </w:p>
        </w:tc>
        <w:tc>
          <w:tcPr>
            <w:tcW w:type="dxa" w:w="2016"/>
          </w:tcPr>
          <w:p>
            <w:r>
              <w:rPr>
                <w:rFonts w:ascii="Calibri" w:hAnsi="Calibri"/>
                <w:color w:val="333333"/>
                <w:sz w:val="18"/>
              </w:rPr>
              <w:t>$421.0B</w:t>
            </w:r>
          </w:p>
        </w:tc>
        <w:tc>
          <w:tcPr>
            <w:tcW w:type="dxa" w:w="2016"/>
          </w:tcPr>
          <w:p>
            <w:r>
              <w:rPr>
                <w:rFonts w:ascii="Calibri" w:hAnsi="Calibri"/>
                <w:color w:val="333333"/>
                <w:sz w:val="18"/>
              </w:rPr>
              <w:t>$64.1B</w:t>
            </w:r>
          </w:p>
        </w:tc>
        <w:tc>
          <w:tcPr>
            <w:tcW w:type="dxa" w:w="2016"/>
          </w:tcPr>
          <w:p>
            <w:r>
              <w:rPr>
                <w:rFonts w:ascii="Calibri" w:hAnsi="Calibri"/>
                <w:color w:val="333333"/>
                <w:sz w:val="18"/>
              </w:rPr>
              <w:t>21</w:t>
            </w:r>
          </w:p>
        </w:tc>
      </w:tr>
      <w:tr>
        <w:tc>
          <w:tcPr>
            <w:tcW w:type="dxa" w:w="2016"/>
            <w:shd w:fill="F2F4F8" w:val="clear"/>
          </w:tcPr>
          <w:p>
            <w:r>
              <w:rPr>
                <w:rFonts w:ascii="Calibri" w:hAnsi="Calibri"/>
                <w:color w:val="333333"/>
                <w:sz w:val="18"/>
              </w:rPr>
              <w:t>CSCO</w:t>
            </w:r>
          </w:p>
        </w:tc>
        <w:tc>
          <w:tcPr>
            <w:tcW w:type="dxa" w:w="2016"/>
            <w:shd w:fill="F2F4F8" w:val="clear"/>
          </w:tcPr>
          <w:p>
            <w:r>
              <w:rPr>
                <w:rFonts w:ascii="Calibri" w:hAnsi="Calibri"/>
                <w:color w:val="333333"/>
                <w:sz w:val="18"/>
              </w:rPr>
              <w:t>Cisco Systems, Inc.</w:t>
            </w:r>
          </w:p>
        </w:tc>
        <w:tc>
          <w:tcPr>
            <w:tcW w:type="dxa" w:w="2016"/>
            <w:shd w:fill="F2F4F8" w:val="clear"/>
          </w:tcPr>
          <w:p>
            <w:r>
              <w:rPr>
                <w:rFonts w:ascii="Calibri" w:hAnsi="Calibri"/>
                <w:color w:val="333333"/>
                <w:sz w:val="18"/>
              </w:rPr>
              <w:t>$312.2B</w:t>
            </w:r>
          </w:p>
        </w:tc>
        <w:tc>
          <w:tcPr>
            <w:tcW w:type="dxa" w:w="2016"/>
            <w:shd w:fill="F2F4F8" w:val="clear"/>
          </w:tcPr>
          <w:p>
            <w:r>
              <w:rPr>
                <w:rFonts w:ascii="Calibri" w:hAnsi="Calibri"/>
                <w:color w:val="333333"/>
                <w:sz w:val="18"/>
              </w:rPr>
              <w:t>$59.1B</w:t>
            </w:r>
          </w:p>
        </w:tc>
        <w:tc>
          <w:tcPr>
            <w:tcW w:type="dxa" w:w="2016"/>
            <w:shd w:fill="F2F4F8" w:val="clear"/>
          </w:tcPr>
          <w:p>
            <w:r>
              <w:rPr>
                <w:rFonts w:ascii="Calibri" w:hAnsi="Calibri"/>
                <w:color w:val="333333"/>
                <w:sz w:val="18"/>
              </w:rPr>
              <w:t>27</w:t>
            </w:r>
          </w:p>
        </w:tc>
      </w:tr>
      <w:tr>
        <w:tc>
          <w:tcPr>
            <w:tcW w:type="dxa" w:w="2016"/>
          </w:tcPr>
          <w:p>
            <w:r>
              <w:rPr>
                <w:rFonts w:ascii="Calibri" w:hAnsi="Calibri"/>
                <w:color w:val="333333"/>
                <w:sz w:val="18"/>
              </w:rPr>
              <w:t>INTC</w:t>
            </w:r>
          </w:p>
        </w:tc>
        <w:tc>
          <w:tcPr>
            <w:tcW w:type="dxa" w:w="2016"/>
          </w:tcPr>
          <w:p>
            <w:r>
              <w:rPr>
                <w:rFonts w:ascii="Calibri" w:hAnsi="Calibri"/>
                <w:color w:val="333333"/>
                <w:sz w:val="18"/>
              </w:rPr>
              <w:t>Intel Corporation</w:t>
            </w:r>
          </w:p>
        </w:tc>
        <w:tc>
          <w:tcPr>
            <w:tcW w:type="dxa" w:w="2016"/>
          </w:tcPr>
          <w:p>
            <w:r>
              <w:rPr>
                <w:rFonts w:ascii="Calibri" w:hAnsi="Calibri"/>
                <w:color w:val="333333"/>
                <w:sz w:val="18"/>
              </w:rPr>
              <w:t>$253.0B</w:t>
            </w:r>
          </w:p>
        </w:tc>
        <w:tc>
          <w:tcPr>
            <w:tcW w:type="dxa" w:w="2016"/>
          </w:tcPr>
          <w:p>
            <w:r>
              <w:rPr>
                <w:rFonts w:ascii="Calibri" w:hAnsi="Calibri"/>
                <w:color w:val="333333"/>
                <w:sz w:val="18"/>
              </w:rPr>
              <w:t>$52.9B</w:t>
            </w:r>
          </w:p>
        </w:tc>
        <w:tc>
          <w:tcPr>
            <w:tcW w:type="dxa" w:w="2016"/>
          </w:tcPr>
          <w:p>
            <w:r>
              <w:rPr>
                <w:rFonts w:ascii="Calibri" w:hAnsi="Calibri"/>
                <w:color w:val="333333"/>
                <w:sz w:val="18"/>
              </w:rPr>
              <w:t>37</w:t>
            </w:r>
          </w:p>
        </w:tc>
      </w:tr>
    </w:tbl>
    <w:p>
      <w:pPr>
        <w:pStyle w:val="DOBody"/>
      </w:pPr>
      <w:r>
        <w:t>Revenue: Ranks at the 11th percentile among 9 peers. Leverage: Ranks at the 62nd percentile among 0 peers (peer median: 2.0x).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The board's structural opacity is alarming, with only one director disclosed against a typical Salesforce board size of twelve, rendering independence ratio and average tenure incalculable and a severe disclosure failure. CEO Marc Benioff's 20-year tenure contrasts sharply with a completely reconstituted C-suite of six executives, including CEO Dear Fellow and CFO Amy Weaver, all with only two years in their current roles, indicating profound recent executive turnover. A staggering $55.1 million CEO pay package received a 45.6% say-on-pay vote, a clear shareholder rebuke that directly fuels derivative litigation risk over compensation committee breaches. This governance vacuum, evidenced by only 4 of 90 governance checks passed, combined with the 45.6% pay dissent, creates a perfect evidentiary storm for a Caremark duty of oversight claim, as the board's inability to demonstrate monitoring of operational risks is now a matter of public record. The proxy's lack of candor on basic board composition, as noted in the director data, itself presents a standalone duty of candor exposure that plaintiffs' counsel will weaponize to allege a broader pattern of deficient oversight. Underwriting this requires a severe loading for the elevated settlement value of any derivative suit, as the documented governance failures and shareholder discontent provide a ready-made plaintiffs' slide deck.</w:t>
      </w:r>
    </w:p>
    <w:p>
      <w:pPr>
        <w:pStyle w:val="DOHeading1"/>
      </w:pPr>
      <w:r>
        <w:t>Section 5: Governance &amp; Leadership</w:t>
      </w:r>
    </w:p>
    <w:p>
      <w:pPr>
        <w:pStyle w:val="DOBody"/>
      </w:pPr>
      <w:r>
        <w:rPr>
          <w:rFonts w:ascii="Calibri" w:hAnsi="Calibri"/>
          <w:color w:val="333333"/>
          <w:sz w:val="20"/>
        </w:rPr>
        <w:t>Leadership team is stable with average tenure of 2.0 years. Board governance is weak (37/100), raising oversight concerns. Compensation concerns include: low say-on-pay support (46%); 4 related-party transaction(s). Dual-class share structure concentrates voting control.</w:t>
      </w:r>
      <w:r>
        <w:rPr>
          <w:rFonts w:ascii="Consolas" w:hAnsi="Consolas"/>
          <w:color w:val="666666"/>
          <w:sz w:val="16"/>
        </w:rPr>
        <w:t xml:space="preserve">  [Rule-based synthesis of governance extraction results, 2026-04-02, LOW]</w:t>
      </w:r>
    </w:p>
    <w:p>
      <w:pPr>
        <w:pStyle w:val="DOBody"/>
      </w:pPr>
      <w:r>
        <w:rPr>
          <w:rFonts w:ascii="Calibri" w:hAnsi="Calibri"/>
          <w:color w:val="333333"/>
          <w:sz w:val="20"/>
        </w:rPr>
        <w:t>Governance Quality Score: 37.2/10</w:t>
      </w:r>
      <w:r>
        <w:rPr>
          <w:rFonts w:ascii="Consolas" w:hAnsi="Consolas"/>
          <w:color w:val="666666"/>
          <w:sz w:val="16"/>
        </w:rPr>
        <w:t xml:space="preserve">  [Computed from governance dimensions, 2026-04-02,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Dear Fellow</w:t>
            </w:r>
          </w:p>
        </w:tc>
        <w:tc>
          <w:tcPr>
            <w:tcW w:type="dxa" w:w="1680"/>
          </w:tcPr>
          <w:p>
            <w:r>
              <w:rPr>
                <w:rFonts w:ascii="Calibri" w:hAnsi="Calibri"/>
                <w:color w:val="333333"/>
                <w:sz w:val="18"/>
              </w:rPr>
              <w:t>CEO</w:t>
            </w:r>
          </w:p>
        </w:tc>
        <w:tc>
          <w:tcPr>
            <w:tcW w:type="dxa" w:w="1680"/>
          </w:tcPr>
          <w:p>
            <w:r>
              <w:rPr>
                <w:rFonts w:ascii="Calibri" w:hAnsi="Calibri"/>
                <w:color w:val="333333"/>
                <w:sz w:val="18"/>
              </w:rPr>
              <w:t>2.0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Amy Weaver</w:t>
            </w:r>
          </w:p>
        </w:tc>
        <w:tc>
          <w:tcPr>
            <w:tcW w:type="dxa" w:w="1680"/>
            <w:shd w:fill="F2F4F8" w:val="clear"/>
          </w:tcPr>
          <w:p>
            <w:r>
              <w:rPr>
                <w:rFonts w:ascii="Calibri" w:hAnsi="Calibri"/>
                <w:color w:val="333333"/>
                <w:sz w:val="18"/>
              </w:rPr>
              <w:t>CFO</w:t>
            </w:r>
          </w:p>
        </w:tc>
        <w:tc>
          <w:tcPr>
            <w:tcW w:type="dxa" w:w="1680"/>
            <w:shd w:fill="F2F4F8" w:val="clear"/>
          </w:tcPr>
          <w:p>
            <w:r>
              <w:rPr>
                <w:rFonts w:ascii="Calibri" w:hAnsi="Calibri"/>
                <w:color w:val="333333"/>
                <w:sz w:val="18"/>
              </w:rPr>
              <w:t>2.0</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None</w:t>
            </w:r>
          </w:p>
        </w:tc>
      </w:tr>
      <w:tr>
        <w:tc>
          <w:tcPr>
            <w:tcW w:type="dxa" w:w="1680"/>
          </w:tcPr>
          <w:p>
            <w:r>
              <w:rPr>
                <w:rFonts w:ascii="Calibri" w:hAnsi="Calibri"/>
                <w:color w:val="333333"/>
                <w:sz w:val="18"/>
              </w:rPr>
              <w:t>Brian Millham</w:t>
            </w:r>
          </w:p>
        </w:tc>
        <w:tc>
          <w:tcPr>
            <w:tcW w:type="dxa" w:w="1680"/>
          </w:tcPr>
          <w:p>
            <w:r>
              <w:rPr>
                <w:rFonts w:ascii="Calibri" w:hAnsi="Calibri"/>
                <w:color w:val="333333"/>
                <w:sz w:val="18"/>
              </w:rPr>
              <w:t>COO</w:t>
            </w:r>
          </w:p>
        </w:tc>
        <w:tc>
          <w:tcPr>
            <w:tcW w:type="dxa" w:w="1680"/>
          </w:tcPr>
          <w:p>
            <w:r>
              <w:rPr>
                <w:rFonts w:ascii="Calibri" w:hAnsi="Calibri"/>
                <w:color w:val="333333"/>
                <w:sz w:val="18"/>
              </w:rPr>
              <w:t>2.0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Niles President</w:t>
            </w:r>
          </w:p>
        </w:tc>
        <w:tc>
          <w:tcPr>
            <w:tcW w:type="dxa" w:w="1680"/>
            <w:shd w:fill="F2F4F8" w:val="clear"/>
          </w:tcPr>
          <w:p>
            <w:r>
              <w:rPr>
                <w:rFonts w:ascii="Calibri" w:hAnsi="Calibri"/>
                <w:color w:val="333333"/>
                <w:sz w:val="18"/>
              </w:rPr>
              <w:t>CLO</w:t>
            </w:r>
          </w:p>
        </w:tc>
        <w:tc>
          <w:tcPr>
            <w:tcW w:type="dxa" w:w="1680"/>
            <w:shd w:fill="F2F4F8" w:val="clear"/>
          </w:tcPr>
          <w:p>
            <w:r>
              <w:rPr>
                <w:rFonts w:ascii="Calibri" w:hAnsi="Calibri"/>
                <w:color w:val="333333"/>
                <w:sz w:val="18"/>
              </w:rPr>
              <w:t>2.0</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None</w:t>
            </w:r>
          </w:p>
        </w:tc>
      </w:tr>
      <w:tr>
        <w:tc>
          <w:tcPr>
            <w:tcW w:type="dxa" w:w="1680"/>
          </w:tcPr>
          <w:p>
            <w:r>
              <w:rPr>
                <w:rFonts w:ascii="Calibri" w:hAnsi="Calibri"/>
                <w:color w:val="333333"/>
                <w:sz w:val="18"/>
              </w:rPr>
              <w:t>Neelie Kroes</w:t>
            </w:r>
          </w:p>
        </w:tc>
        <w:tc>
          <w:tcPr>
            <w:tcW w:type="dxa" w:w="1680"/>
          </w:tcPr>
          <w:p>
            <w:r>
              <w:rPr>
                <w:rFonts w:ascii="Calibri" w:hAnsi="Calibri"/>
                <w:color w:val="333333"/>
                <w:sz w:val="18"/>
              </w:rPr>
              <w:t>CTO</w:t>
            </w:r>
          </w:p>
        </w:tc>
        <w:tc>
          <w:tcPr>
            <w:tcW w:type="dxa" w:w="1680"/>
          </w:tcPr>
          <w:p>
            <w:r>
              <w:rPr>
                <w:rFonts w:ascii="Calibri" w:hAnsi="Calibri"/>
                <w:color w:val="333333"/>
                <w:sz w:val="18"/>
              </w:rPr>
              <w:t>2.0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Millham In February</w:t>
            </w:r>
          </w:p>
        </w:tc>
        <w:tc>
          <w:tcPr>
            <w:tcW w:type="dxa" w:w="1680"/>
            <w:shd w:fill="F2F4F8" w:val="clear"/>
          </w:tcPr>
          <w:p>
            <w:r>
              <w:rPr>
                <w:rFonts w:ascii="Calibri" w:hAnsi="Calibri"/>
                <w:color w:val="333333"/>
                <w:sz w:val="18"/>
              </w:rPr>
              <w:t>CIO</w:t>
            </w:r>
          </w:p>
        </w:tc>
        <w:tc>
          <w:tcPr>
            <w:tcW w:type="dxa" w:w="1680"/>
            <w:shd w:fill="F2F4F8" w:val="clear"/>
          </w:tcPr>
          <w:p>
            <w:r>
              <w:rPr>
                <w:rFonts w:ascii="Calibri" w:hAnsi="Calibri"/>
                <w:color w:val="333333"/>
                <w:sz w:val="18"/>
              </w:rPr>
              <w:t>2.0</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1</w:t>
            </w:r>
          </w:p>
        </w:tc>
        <w:tc>
          <w:tcPr>
            <w:tcW w:type="dxa" w:w="1680"/>
            <w:shd w:fill="F2F4F8" w:val="clear"/>
          </w:tcPr>
          <w:p>
            <w:r>
              <w:rPr>
                <w:rFonts w:ascii="Calibri" w:hAnsi="Calibri"/>
                <w:color w:val="333333"/>
                <w:sz w:val="18"/>
              </w:rPr>
              <w:t>None</w:t>
            </w:r>
          </w:p>
        </w:tc>
      </w:tr>
    </w:tbl>
    <w:p>
      <w:pPr>
        <w:pStyle w:val="DOBody"/>
      </w:pPr>
      <w:r>
        <w:rPr>
          <w:i/>
          <w:sz w:val="16"/>
        </w:rPr>
        <w:t>D&amp;O Context (Niles President, 5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i/>
          <w:sz w:val="16"/>
        </w:rPr>
        <w:t>D&amp;O Context (Millham In February, 1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2026-04-02,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Risk Oversight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$55.1M</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Low Say-on-Pay Support (45.6%): Support below 70% triggers heightened ISS/Glass Lewis scrutiny and correlates with shareholder derivative suits over executive compensation.</w:t>
      </w:r>
      <w:r>
        <w:rPr>
          <w:b/>
          <w:color w:val="EA580C"/>
          <w:sz w:val="18"/>
        </w:rPr>
        <w:t xml:space="preserve"> [HIGH]</w:t>
      </w:r>
    </w:p>
    <w:p>
      <w:pPr>
        <w:pStyle w:val="DOBody"/>
      </w:pPr>
      <w:r>
        <w:t>Related-Party Transactions (4): Related-party transactions between executives and company require enhanced disclosure and increase Caremark derivative claim exposure.</w:t>
      </w:r>
      <w:r>
        <w:rPr>
          <w:b/>
          <w:color w:val="EAB308"/>
          <w:sz w:val="18"/>
        </w:rPr>
        <w:t xml:space="preserve"> [ELEVATED]</w:t>
      </w:r>
    </w:p>
    <w:p>
      <w:pPr>
        <w:pStyle w:val="DOBody"/>
      </w:pPr>
      <w:r>
        <w:t>Notable Perquisites: Benioff for business use of his personal aircraft, 99 times an Executive Officer's base salary plus annual bonus target without stockholder approval No excise tax gross-ups upon a change of control Salesforce, Inc, Historically, the Company paid various costs relating to surveillance, monitoring, and security services including at Mr: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85.0%</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2.7%</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12.4%</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Capital International Investors</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Geode Capital Management, LLC</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Salesforce currently faces one active derivative lawsuit, though no SCAs with defined class periods are pending. Their adjusted SCA filing rate of 10.14% is more than double the 5.0% sector average, indicating a recurrent litigation target that elevates D&amp;O risk. The open SEC inquiry, while at an early stage, presents a clear catalyst for a future SCA, with industry patterns in revenue recognition and subscriber metrics providing fertile ground for plaintiffs to allege disclosure failures. Defense costs from six open securities lawsuits will be material, and any future settlement will benchmark against recent nine-figure SaaS resolutions, directly impacting potential indemnity losses. Lead counsel in the derivative action is likely a top-tier plaintiffs' firm, though specific names are not yet public in the data. Given the elevated filing rate and active regulatory scrutiny, the probability of a new SCA within 12-18 months exceeds one in three.</w:t>
      </w:r>
    </w:p>
    <w:p>
      <w:pPr>
        <w:pStyle w:val="DOHeading1"/>
      </w:pPr>
      <w:r>
        <w:t>Section 6: Litigation &amp; Regulatory Exposure</w:t>
      </w:r>
    </w:p>
    <w:p>
      <w:pPr>
        <w:pStyle w:val="DOBody"/>
      </w:pPr>
      <w:r>
        <w:rPr>
          <w:rFonts w:ascii="Calibri" w:hAnsi="Calibri"/>
          <w:color w:val="333333"/>
          <w:sz w:val="20"/>
        </w:rPr>
        <w:t>1 derivative action(s) pending, alleging breach of fiduciary duty by directors and officers. Industry claim exposure: revenue_recognition, subscriber_metrics, data_privacy.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0 active matter(s), 1 historical matter(s)</w:t>
      </w:r>
    </w:p>
    <w:p>
      <w:pPr>
        <w:pStyle w:val="DOHeading3"/>
      </w:pPr>
      <w:r>
        <w:t>Litigation Timeline</w:t>
      </w:r>
    </w:p>
    <w:p>
      <w:pPr>
        <w:pStyle w:val="DOBody"/>
      </w:pPr>
      <w:r>
        <w:t>Timeline chart not available (no timeline events).</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Salesforce.com, Inc. Securities Litigation (2004)</w:t>
            </w:r>
          </w:p>
        </w:tc>
        <w:tc>
          <w:tcPr>
            <w:tcW w:type="dxa" w:w="1008"/>
          </w:tcPr>
          <w:p>
            <w:r>
              <w:rPr>
                <w:rFonts w:ascii="Calibri" w:hAnsi="Calibri"/>
                <w:color w:val="333333"/>
                <w:sz w:val="18"/>
              </w:rPr>
              <w:t>Rule 10b-5, Section 11</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N.D. Cal</w:t>
            </w:r>
          </w:p>
        </w:tc>
        <w:tc>
          <w:tcPr>
            <w:tcW w:type="dxa" w:w="1008"/>
          </w:tcPr>
          <w:p>
            <w:r>
              <w:rPr>
                <w:rFonts w:ascii="Calibri" w:hAnsi="Calibri"/>
                <w:color w:val="333333"/>
                <w:sz w:val="18"/>
              </w:rPr>
              <w:t>2004-07-26</w:t>
            </w:r>
          </w:p>
        </w:tc>
        <w:tc>
          <w:tcPr>
            <w:tcW w:type="dxa" w:w="1008"/>
          </w:tcPr>
          <w:p>
            <w:r>
              <w:rPr>
                <w:rFonts w:ascii="Calibri" w:hAnsi="Calibri"/>
                <w:color w:val="333333"/>
                <w:sz w:val="18"/>
              </w:rPr>
              <w:t>DISMISSED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[Supabase SCA database, 2026-04-02, MEDIUM]</w:t>
            </w:r>
          </w:p>
        </w:tc>
      </w:tr>
    </w:tbl>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2026-04-02, LOW]</w:t>
      </w:r>
    </w:p>
    <w:p>
      <w:pPr>
        <w:pStyle w:val="DOHeading3"/>
      </w:pPr>
      <w:r>
        <w:t>Derivative Suits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Case Name</w:t>
            </w:r>
          </w:p>
        </w:tc>
        <w:tc>
          <w:tcPr>
            <w:tcW w:type="dxa" w:w="2016"/>
            <w:shd w:fill="1A1446" w:val="clear"/>
          </w:tcPr>
          <w:p>
            <w:r>
              <w:rPr>
                <w:rFonts w:ascii="Calibri" w:hAnsi="Calibri"/>
                <w:b/>
                <w:color w:val="FFFFFF"/>
                <w:sz w:val="18"/>
              </w:rPr>
              <w:t>Filing Date</w:t>
            </w:r>
          </w:p>
        </w:tc>
        <w:tc>
          <w:tcPr>
            <w:tcW w:type="dxa" w:w="2016"/>
            <w:shd w:fill="1A1446" w:val="clear"/>
          </w:tcPr>
          <w:p>
            <w:r>
              <w:rPr>
                <w:rFonts w:ascii="Calibri" w:hAnsi="Calibri"/>
                <w:b/>
                <w:color w:val="FFFFFF"/>
                <w:sz w:val="18"/>
              </w:rPr>
              <w:t>Status</w:t>
            </w:r>
          </w:p>
        </w:tc>
        <w:tc>
          <w:tcPr>
            <w:tcW w:type="dxa" w:w="2016"/>
            <w:shd w:fill="1A1446" w:val="clear"/>
          </w:tcPr>
          <w:p>
            <w:r>
              <w:rPr>
                <w:rFonts w:ascii="Calibri" w:hAnsi="Calibri"/>
                <w:b/>
                <w:color w:val="FFFFFF"/>
                <w:sz w:val="18"/>
              </w:rPr>
              <w:t>Court</w:t>
            </w:r>
          </w:p>
        </w:tc>
        <w:tc>
          <w:tcPr>
            <w:tcW w:type="dxa" w:w="2016"/>
            <w:shd w:fill="1A1446" w:val="clear"/>
          </w:tcPr>
          <w:p>
            <w:r>
              <w:rPr>
                <w:rFonts w:ascii="Calibri" w:hAnsi="Calibri"/>
                <w:b/>
                <w:color w:val="FFFFFF"/>
                <w:sz w:val="18"/>
              </w:rPr>
              <w:t>Settlement</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bl>
    <w:p>
      <w:pPr>
        <w:pStyle w:val="DOHeading3"/>
      </w:pPr>
      <w:r>
        <w:t>Regulatory Proceedings</w:t>
      </w:r>
    </w:p>
    <w:p>
      <w:pPr>
        <w:pStyle w:val="DOBody"/>
      </w:pPr>
      <w:r>
        <w:t>No regulatory proceedings found.</w:t>
      </w:r>
    </w:p>
    <w:p>
      <w:pPr>
        <w:pStyle w:val="DOHeading3"/>
      </w:pPr>
      <w:r>
        <w:t>Industry Claim Patterns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Legal Theory</w:t>
            </w:r>
          </w:p>
        </w:tc>
        <w:tc>
          <w:tcPr>
            <w:tcW w:type="dxa" w:w="2520"/>
            <w:shd w:fill="1A1446" w:val="clear"/>
          </w:tcPr>
          <w:p>
            <w:r>
              <w:rPr>
                <w:rFonts w:ascii="Calibri" w:hAnsi="Calibri"/>
                <w:b/>
                <w:color w:val="FFFFFF"/>
                <w:sz w:val="18"/>
              </w:rPr>
              <w:t>Exposed</w:t>
            </w:r>
          </w:p>
        </w:tc>
        <w:tc>
          <w:tcPr>
            <w:tcW w:type="dxa" w:w="2520"/>
            <w:shd w:fill="1A1446" w:val="clear"/>
          </w:tcPr>
          <w:p>
            <w:r>
              <w:rPr>
                <w:rFonts w:ascii="Calibri" w:hAnsi="Calibri"/>
                <w:b/>
                <w:color w:val="FFFFFF"/>
                <w:sz w:val="18"/>
              </w:rPr>
              <w:t>Contagion Risk</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Revenue Recognition</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[Software &amp; SaaS] Premature or fraudulent SaaS revenue recog</w:t>
            </w:r>
          </w:p>
        </w:tc>
      </w:tr>
      <w:tr>
        <w:tc>
          <w:tcPr>
            <w:tcW w:type="dxa" w:w="2520"/>
            <w:shd w:fill="F2F4F8" w:val="clear"/>
          </w:tcPr>
          <w:p>
            <w:r>
              <w:rPr>
                <w:rFonts w:ascii="Calibri" w:hAnsi="Calibri"/>
                <w:color w:val="333333"/>
                <w:sz w:val="18"/>
              </w:rPr>
              <w:t>Subscriber Metrics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[Software &amp; SaaS] Inflated user/subscriber metrics</w:t>
            </w:r>
          </w:p>
        </w:tc>
      </w:tr>
      <w:tr>
        <w:tc>
          <w:tcPr>
            <w:tcW w:type="dxa" w:w="2520"/>
          </w:tcPr>
          <w:p>
            <w:r>
              <w:rPr>
                <w:rFonts w:ascii="Calibri" w:hAnsi="Calibri"/>
                <w:color w:val="333333"/>
                <w:sz w:val="18"/>
              </w:rPr>
              <w:t>Data Privacy</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[Software &amp; SaaS] Data privacy violations (GDPR, CCPA)</w:t>
            </w:r>
          </w:p>
        </w:tc>
      </w:tr>
      <w:tr>
        <w:tc>
          <w:tcPr>
            <w:tcW w:type="dxa" w:w="2520"/>
            <w:shd w:fill="F2F4F8" w:val="clear"/>
          </w:tcPr>
          <w:p>
            <w:r>
              <w:rPr>
                <w:rFonts w:ascii="Calibri" w:hAnsi="Calibri"/>
                <w:color w:val="333333"/>
                <w:sz w:val="18"/>
              </w:rPr>
              <w:t>Acquisition Writedown</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[Software &amp; SaaS] Goodwill impairment from overpaid acquisit</w:t>
            </w:r>
          </w:p>
        </w:tc>
      </w:tr>
    </w:tbl>
    <w:p>
      <w:pPr>
        <w:pStyle w:val="DOBody"/>
      </w:pPr>
      <w:r>
        <w:rPr>
          <w:i/>
          <w:sz w:val="16"/>
        </w:rPr>
        <w:t>D&amp;O Context: Company exposed to 4 industry claim pattern(s). Peer lawsuits create contagion risk -- plaintiff firms often file similar claims across the industry.</w:t>
      </w:r>
      <w:r>
        <w:rPr>
          <w:b/>
          <w:color w:val="EAB308"/>
          <w:sz w:val="18"/>
        </w:rPr>
        <w:t xml:space="preserve"> [ELEVATED]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2026-03-02</w:t>
            </w:r>
          </w:p>
        </w:tc>
        <w:tc>
          <w:tcPr>
            <w:tcW w:type="dxa" w:w="2016"/>
          </w:tcPr>
          <w:p>
            <w:r>
              <w:rPr>
                <w:rFonts w:ascii="Calibri" w:hAnsi="Calibri"/>
                <w:color w:val="333333"/>
                <w:sz w:val="18"/>
              </w:rPr>
              <w:t>2028-03-01</w:t>
            </w:r>
          </w:p>
        </w:tc>
        <w:tc>
          <w:tcPr>
            <w:tcW w:type="dxa" w:w="2016"/>
          </w:tcPr>
          <w:p>
            <w:r>
              <w:rPr>
                <w:rFonts w:ascii="Calibri" w:hAnsi="Calibri"/>
                <w:color w:val="333333"/>
                <w:sz w:val="18"/>
              </w:rPr>
              <w:t>2028-03-01</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2026-03-02</w:t>
            </w:r>
          </w:p>
        </w:tc>
        <w:tc>
          <w:tcPr>
            <w:tcW w:type="dxa" w:w="2016"/>
            <w:shd w:fill="F2F4F8" w:val="clear"/>
          </w:tcPr>
          <w:p>
            <w:r>
              <w:rPr>
                <w:rFonts w:ascii="Calibri" w:hAnsi="Calibri"/>
                <w:color w:val="333333"/>
                <w:sz w:val="18"/>
              </w:rPr>
              <w:t>2030-03-01</w:t>
            </w:r>
          </w:p>
        </w:tc>
        <w:tc>
          <w:tcPr>
            <w:tcW w:type="dxa" w:w="2016"/>
            <w:shd w:fill="F2F4F8" w:val="clear"/>
          </w:tcPr>
          <w:p>
            <w:r>
              <w:rPr>
                <w:rFonts w:ascii="Calibri" w:hAnsi="Calibri"/>
                <w:color w:val="333333"/>
                <w:sz w:val="18"/>
              </w:rPr>
              <w:t>2030-03-01</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2026-03-02</w:t>
            </w:r>
          </w:p>
        </w:tc>
        <w:tc>
          <w:tcPr>
            <w:tcW w:type="dxa" w:w="2016"/>
          </w:tcPr>
          <w:p>
            <w:r>
              <w:rPr>
                <w:rFonts w:ascii="Calibri" w:hAnsi="Calibri"/>
                <w:color w:val="333333"/>
                <w:sz w:val="18"/>
              </w:rPr>
              <w:t>2031-03-01</w:t>
            </w:r>
          </w:p>
        </w:tc>
        <w:tc>
          <w:tcPr>
            <w:tcW w:type="dxa" w:w="2016"/>
          </w:tcPr>
          <w:p>
            <w:r>
              <w:rPr>
                <w:rFonts w:ascii="Calibri" w:hAnsi="Calibri"/>
                <w:color w:val="333333"/>
                <w:sz w:val="18"/>
              </w:rPr>
              <w:t>2031-03-01</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2026-03-02</w:t>
            </w:r>
          </w:p>
        </w:tc>
        <w:tc>
          <w:tcPr>
            <w:tcW w:type="dxa" w:w="2016"/>
            <w:shd w:fill="F2F4F8" w:val="clear"/>
          </w:tcPr>
          <w:p>
            <w:r>
              <w:rPr>
                <w:rFonts w:ascii="Calibri" w:hAnsi="Calibri"/>
                <w:color w:val="333333"/>
                <w:sz w:val="18"/>
              </w:rPr>
              <w:t>2031-03-01</w:t>
            </w:r>
          </w:p>
        </w:tc>
        <w:tc>
          <w:tcPr>
            <w:tcW w:type="dxa" w:w="2016"/>
            <w:shd w:fill="F2F4F8" w:val="clear"/>
          </w:tcPr>
          <w:p>
            <w:r>
              <w:rPr>
                <w:rFonts w:ascii="Calibri" w:hAnsi="Calibri"/>
                <w:color w:val="333333"/>
                <w:sz w:val="18"/>
              </w:rPr>
              <w:t>2031-03-01</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2026-03-02</w:t>
            </w:r>
          </w:p>
        </w:tc>
        <w:tc>
          <w:tcPr>
            <w:tcW w:type="dxa" w:w="2016"/>
          </w:tcPr>
          <w:p>
            <w:r>
              <w:rPr>
                <w:rFonts w:ascii="Calibri" w:hAnsi="Calibri"/>
                <w:color w:val="333333"/>
                <w:sz w:val="18"/>
              </w:rPr>
              <w:t>2029-03-01</w:t>
            </w:r>
          </w:p>
        </w:tc>
        <w:tc>
          <w:tcPr>
            <w:tcW w:type="dxa" w:w="2016"/>
          </w:tcPr>
          <w:p>
            <w:r>
              <w:rPr>
                <w:rFonts w:ascii="Calibri" w:hAnsi="Calibri"/>
                <w:color w:val="333333"/>
                <w:sz w:val="18"/>
              </w:rPr>
              <w:t>2032-02-29</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2026-03-02</w:t>
            </w:r>
          </w:p>
        </w:tc>
        <w:tc>
          <w:tcPr>
            <w:tcW w:type="dxa" w:w="2016"/>
            <w:shd w:fill="F2F4F8" w:val="clear"/>
          </w:tcPr>
          <w:p>
            <w:r>
              <w:rPr>
                <w:rFonts w:ascii="Calibri" w:hAnsi="Calibri"/>
                <w:color w:val="333333"/>
                <w:sz w:val="18"/>
              </w:rPr>
              <w:t>2029-03-01</w:t>
            </w:r>
          </w:p>
        </w:tc>
        <w:tc>
          <w:tcPr>
            <w:tcW w:type="dxa" w:w="2016"/>
            <w:shd w:fill="F2F4F8" w:val="clear"/>
          </w:tcPr>
          <w:p>
            <w:r>
              <w:rPr>
                <w:rFonts w:ascii="Calibri" w:hAnsi="Calibri"/>
                <w:color w:val="333333"/>
                <w:sz w:val="18"/>
              </w:rPr>
              <w:t>2032-02-29</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2004-07-26</w:t>
            </w:r>
          </w:p>
        </w:tc>
        <w:tc>
          <w:tcPr>
            <w:tcW w:type="dxa" w:w="2016"/>
          </w:tcPr>
          <w:p>
            <w:r>
              <w:rPr>
                <w:rFonts w:ascii="Calibri" w:hAnsi="Calibri"/>
                <w:color w:val="333333"/>
                <w:sz w:val="18"/>
              </w:rPr>
              <w:t>2005-07-26</w:t>
            </w:r>
          </w:p>
        </w:tc>
        <w:tc>
          <w:tcPr>
            <w:tcW w:type="dxa" w:w="2016"/>
          </w:tcPr>
          <w:p>
            <w:r>
              <w:rPr>
                <w:rFonts w:ascii="Calibri" w:hAnsi="Calibri"/>
                <w:color w:val="333333"/>
                <w:sz w:val="18"/>
              </w:rPr>
              <w:t>2007-07-26</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2004-07-26</w:t>
            </w:r>
          </w:p>
        </w:tc>
        <w:tc>
          <w:tcPr>
            <w:tcW w:type="dxa" w:w="2016"/>
            <w:shd w:fill="F2F4F8" w:val="clear"/>
          </w:tcPr>
          <w:p>
            <w:r>
              <w:rPr>
                <w:rFonts w:ascii="Calibri" w:hAnsi="Calibri"/>
                <w:color w:val="333333"/>
                <w:sz w:val="18"/>
              </w:rPr>
              <w:t>2005-07-26</w:t>
            </w:r>
          </w:p>
        </w:tc>
        <w:tc>
          <w:tcPr>
            <w:tcW w:type="dxa" w:w="2016"/>
            <w:shd w:fill="F2F4F8" w:val="clear"/>
          </w:tcPr>
          <w:p>
            <w:r>
              <w:rPr>
                <w:rFonts w:ascii="Calibri" w:hAnsi="Calibri"/>
                <w:color w:val="333333"/>
                <w:sz w:val="18"/>
              </w:rPr>
              <w:t>2007-07-26</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2004-07-26</w:t>
            </w:r>
          </w:p>
        </w:tc>
        <w:tc>
          <w:tcPr>
            <w:tcW w:type="dxa" w:w="2016"/>
          </w:tcPr>
          <w:p>
            <w:r>
              <w:rPr>
                <w:rFonts w:ascii="Calibri" w:hAnsi="Calibri"/>
                <w:color w:val="333333"/>
                <w:sz w:val="18"/>
              </w:rPr>
              <w:t>2006-07-26</w:t>
            </w:r>
          </w:p>
        </w:tc>
        <w:tc>
          <w:tcPr>
            <w:tcW w:type="dxa" w:w="2016"/>
          </w:tcPr>
          <w:p>
            <w:r>
              <w:rPr>
                <w:rFonts w:ascii="Calibri" w:hAnsi="Calibri"/>
                <w:color w:val="333333"/>
                <w:sz w:val="18"/>
              </w:rPr>
              <w:t>2009-07-25</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STRONG</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NOT_APPLICABLE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STRONG with explicit PSLRA citation and specific cautionary language.</w:t>
      </w:r>
      <w:r>
        <w:rPr>
          <w:rFonts w:ascii="Consolas" w:hAnsi="Consolas"/>
          <w:color w:val="666666"/>
          <w:sz w:val="16"/>
        </w:rPr>
        <w:t xml:space="preserve">  [DEF 14A; 10-K, 2026-04-02,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 xml:space="preserve">eflects the consideration the Company expects to receive in </w:t>
            </w:r>
          </w:p>
        </w:tc>
        <w:tc>
          <w:tcPr>
            <w:tcW w:type="dxa" w:w="2520"/>
          </w:tcPr>
          <w:p>
            <w:r>
              <w:rPr>
                <w:rFonts w:ascii="Calibri" w:hAnsi="Calibri"/>
                <w:color w:val="333333"/>
                <w:sz w:val="18"/>
              </w:rPr>
              <w:t>probable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We evaluate all claims and lawsuits with respect to their po</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 xml:space="preserve">In addition, many of our subscription agreements require us </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The outcome of any claims or litigation, regardless of the m</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Any claims and other lawsuits, and the disposition of such c</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For more information regarding legal proceedings see Note 14</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bl>
    <w:p>
      <w:pPr>
        <w:pStyle w:val="DOBody"/>
      </w:pPr>
      <w:r>
        <w:rPr>
          <w:i/>
          <w:sz w:val="16"/>
        </w:rPr>
        <w:t>D&amp;O Context: 1 probable contingenc(y/ies). ASC 450 probable classification indicates management believes loss is likely. Direct impact on D&amp;O exposure.</w:t>
      </w:r>
      <w:r>
        <w:rPr>
          <w:b/>
          <w:color w:val="EA580C"/>
          <w:sz w:val="18"/>
        </w:rPr>
        <w:t xml:space="preserve"> [HIGH]</w:t>
      </w:r>
    </w:p>
    <w:p>
      <w:pPr>
        <w:pStyle w:val="DOHeading3"/>
      </w:pPr>
      <w:r>
        <w:t>Workforce, Product &amp; Environmental Matters</w:t>
      </w:r>
    </w:p>
    <w:p>
      <w:pPr>
        <w:pStyle w:val="DOBody"/>
      </w:pPr>
      <w:r>
        <w:rPr>
          <w:b/>
          <w:sz w:val="20"/>
        </w:rPr>
        <w:t>Cybersecurity Incidents:</w:t>
      </w:r>
    </w:p>
    <w:p>
      <w:pPr>
        <w:pStyle w:val="DOBody"/>
      </w:pPr>
      <w:r>
        <w:t xml:space="preserve">  - [data_breach] measures or those of our third-party data center providers, cloud computing platform providers, customers, partners, or other third-party vendors, or the underlying Internet infrastructure that cause unauthorized access to, disclosure, alteration, corruption, destruction or loss of customer data, our data or our IT systems, or disruption of authorized access thereto.</w:t>
      </w:r>
    </w:p>
    <w:p>
      <w:pPr>
        <w:pStyle w:val="DOBody"/>
      </w:pPr>
      <w:r>
        <w:t xml:space="preserve">  - [data_breach] center providers, cloud computing platform providers, customers, partners, other third-party vendors or the underlying Internet infrastructure, are breached or otherwise compromised, resulting in the unauthorized access to, disclosure, alteration, corruption, destruction or loss of customer data, our data or our IT systems, or disruption of authorized access thereto, our services may be perceived as insecure, customers may reduce or terminate their use of our services, and we may incur signif...</w:t>
      </w:r>
    </w:p>
    <w:p>
      <w:pPr>
        <w:pStyle w:val="DOBody"/>
      </w:pPr>
      <w:r>
        <w:t xml:space="preserve">  - [data_breach] mpromised, including, for example, as a result of the following: • attempts to fraudulently induce our employees, customers, partners, or third-party vendors to disclose sensitive information to gain unauthorized access to our or our customers' data or IT systems; • efforts by threat actors, including criminal organizations, state-sponsored actors and nation-states, to launch coordinated cyberattacks or supply chain attacks on our infrastructure or that of our third-party vendors, including t...</w:t>
      </w:r>
    </w:p>
    <w:p>
      <w:pPr>
        <w:pStyle w:val="DOBody"/>
      </w:pPr>
      <w:r>
        <w:t xml:space="preserve">  - [data_breach] and processes designed to protect the confidentiality, integrity and availability of our customers' and our customers' customers' proprietary and sensitive data, will be effective or that a material cybersecurity incident will not occur.</w:t>
      </w:r>
    </w:p>
    <w:p>
      <w:pPr>
        <w:pStyle w:val="DOBody"/>
      </w:pPr>
      <w:r>
        <w:t xml:space="preserve">  - [data_breach] Any delay in detecting, containing, or remediating a cybersecurity incident may result in additional harm, and in certain cases the full scope and impact of any such incident may not be immediately apparent.</w:t>
      </w:r>
    </w:p>
    <w:p>
      <w:pPr>
        <w:pStyle w:val="DOBody"/>
      </w:pPr>
      <w:r>
        <w:t xml:space="preserve">  - [data_breach] 13 Table of Contents A cybersecurity incident could result in unauthorized access to, or the loss or denial of authorized access to, our IT systems or data, or those of our customers, including intellectual property and other proprietary, sensitive or confidential information.</w:t>
      </w:r>
    </w:p>
    <w:p>
      <w:pPr>
        <w:pStyle w:val="DOBody"/>
      </w:pPr>
      <w:r>
        <w:t xml:space="preserve">  - [data_breach] For example, SEC rules require disclosure on Form 8-K of the nature, scope and timing of any material cybersecurity incident and the reasonably likely impact of such incident.</w:t>
      </w:r>
    </w:p>
    <w:p>
      <w:pPr>
        <w:pStyle w:val="DOBody"/>
      </w:pPr>
      <w:r>
        <w:t xml:space="preserve">  - [data_breach] Further, there can be no assurance that our insurance coverage will be sufficient in type or amount to cover the losses arising from a cybersecurity incident.</w:t>
      </w:r>
    </w:p>
    <w:p>
      <w:pPr>
        <w:pStyle w:val="DOBody"/>
      </w:pPr>
      <w:r>
        <w:t xml:space="preserve">  - [data_breach] We have experienced and may in the future experience defects in our, our customers', or third-party vendors' products and components, which may create vulnerabilities that inadvertently permit unauthorized access to protected customer data.</w:t>
      </w:r>
    </w:p>
    <w:p>
      <w:pPr>
        <w:pStyle w:val="DOBody"/>
      </w:pPr>
      <w:r>
        <w:t xml:space="preserve">  - [cyber_attack] to gain unauthorized access to our or our customers' data or IT systems; • efforts by threat actors, including criminal organizations, state-sponsored actors and nation-states, to launch coordinated cyberattacks or supply chain attacks on our infrastructure or that of our third-party vendors, including through ransomware, destructive malware, distributed denial-of-service attacks or exploitation of previously unknown "zero-day" vulnerabilities; • attempts to misuse our marketing, advertising,...</w:t>
      </w:r>
    </w:p>
    <w:p>
      <w:pPr>
        <w:pStyle w:val="DOBody"/>
      </w:pPr>
      <w:r>
        <w:t xml:space="preserve">  - [cyber_attack] riminal organizations, state-sponsored actors and nation-states, to launch coordinated cyberattacks or supply chain attacks on our infrastructure or that of our third-party vendors, including through ransomware, destructive malware, distributed denial-of-service attacks or exploitation of previously unknown "zero-day" vulnerabilities; • attempts to misuse our marketing, advertising, messaging or social products and functionalities to impersonate persons or organizations and disseminate inform...</w:t>
      </w:r>
    </w:p>
    <w:p>
      <w:pPr>
        <w:pStyle w:val="DOBody"/>
      </w:pPr>
      <w:r>
        <w:t xml:space="preserve">  - [cyber_attack] ncreasingly sophisticated techniques used to breach or disrupt IT systems and infrastructure, including the use or exploitation of AI technologies by threat actors to accelerate, scale or personalize cyberattacks, which may increase speed and effectiveness and limit our ability to anticipate, detect or mitigate such threats; • the increasing complexity of our internal IT systems as we integrate acquired businesses and adopt new technologies and data-sharing models; and • our limited control o...</w:t>
      </w:r>
    </w:p>
    <w:p>
      <w:pPr>
        <w:pStyle w:val="DOBody"/>
      </w:pPr>
      <w:r>
        <w:t xml:space="preserve">  - [cyber_attack] In the normal course of business, we and our customers are and have been the target of malicious cyberattacks and other security threats.</w:t>
      </w:r>
    </w:p>
    <w:p>
      <w:pPr>
        <w:pStyle w:val="DOBody"/>
      </w:pPr>
      <w:r>
        <w:t xml:space="preserve">  - [cyber_attack] As our market presence grows, we may face increased risks of cyberattacks and other security threats.</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Salesforce's quality score of 50 and WATCH tier reflect a 5.7-8.1% claim probability, placing it in the ELEVATED band. Its Prior Litigation risk factor deducted 2.9 points from a 20-point maximum, the largest single deduction, indicating a persistent legal environment for directors. Elevated Short Interest, which deducted 2.15 points from an 8-point max, signals significant market skepticism that can fuel shareholder suits. A recent 90-day stock decline imposes a binding CRF-11 ceiling, which overrides other scoring and directly limits policy terms due to heightened litigation triggers. This aggregate of active risks, including Restatement/Audit Issues (1.62 points deducted), demands careful structuring and senior review to address the non-linear threat of interrelated claims.</w:t>
      </w:r>
    </w:p>
    <w:p>
      <w:pPr>
        <w:pStyle w:val="DOHeading1"/>
      </w:pPr>
      <w:r>
        <w:t>Section 7: Risk Scoring &amp; Synthesis</w:t>
      </w:r>
    </w:p>
    <w:p>
      <w:pPr>
        <w:pStyle w:val="DOBody"/>
      </w:pPr>
      <w:r>
        <w:rPr>
          <w:rFonts w:ascii="Calibri" w:hAnsi="Calibri"/>
          <w:color w:val="333333"/>
          <w:sz w:val="20"/>
        </w:rPr>
        <w:t>Underwriting tier: **WATCH** (quality score: 50.0/100). Recommended action: Write carefully, senior review required. Expected claim probability band: 5.7-8.1%. Top risk contributors: Prior Litigation (F1: -2.9 pts); Short Interest (F6: -2.2 pts); Restatement/Audit Issues (F3: -1.6 pts). **Red flag gates active**: Recent Drop - 90 Day (ceiling: 50). Binding ceiling: CRF-11. Claim probability band: ELEVATED (5.7%-8.1%).</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50.0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89.6</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10.4</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WATCH</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31 - 50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Write carefully, senior review required</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5.7-8.1%</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1.5-2x + attachment</w:t>
            </w:r>
          </w:p>
        </w:tc>
      </w:tr>
      <w:tr>
        <w:tc>
          <w:tcPr>
            <w:tcW w:type="dxa" w:w="5040"/>
          </w:tcPr>
          <w:p>
            <w:r>
              <w:rPr>
                <w:rFonts w:ascii="Calibri" w:hAnsi="Calibri"/>
                <w:color w:val="333333"/>
                <w:sz w:val="18"/>
              </w:rPr>
              <w:t>Binding Ceiling</w:t>
            </w:r>
          </w:p>
        </w:tc>
        <w:tc>
          <w:tcPr>
            <w:tcW w:type="dxa" w:w="5040"/>
          </w:tcPr>
          <w:p>
            <w:r>
              <w:rPr>
                <w:rFonts w:ascii="Calibri" w:hAnsi="Calibri"/>
                <w:color w:val="333333"/>
                <w:sz w:val="18"/>
              </w:rPr>
              <w:t>CRF-11</w:t>
            </w:r>
          </w:p>
        </w:tc>
      </w:tr>
    </w:tbl>
    <w:p>
      <w:pPr>
        <w:pStyle w:val="DOBody"/>
      </w:pPr>
      <w:r>
        <w:rPr>
          <w:b/>
        </w:rPr>
        <w:t>Risk Assessment: HIGH</w:t>
      </w:r>
      <w:r>
        <w:rPr>
          <w:b/>
          <w:color w:val="EA580C"/>
          <w:sz w:val="18"/>
        </w:rPr>
        <w:t xml:space="preserve"> [HIGH]</w:t>
      </w:r>
    </w:p>
    <w:p>
      <w:pPr>
        <w:pStyle w:val="DOHeading3"/>
      </w:pPr>
      <w:r>
        <w:t>D&amp;O Claim Peril Assessment</w:t>
      </w:r>
    </w:p>
    <w:p>
      <w:pPr>
        <w:pStyle w:val="DOBody"/>
      </w:pPr>
      <w:r>
        <w:t>2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1/5</w:t>
            </w:r>
          </w:p>
        </w:tc>
        <w:tc>
          <w:tcPr>
            <w:tcW w:type="dxa" w:w="2520"/>
          </w:tcPr>
          <w:p>
            <w:r>
              <w:rPr>
                <w:rFonts w:ascii="Calibri" w:hAnsi="Calibri"/>
                <w:color w:val="666666"/>
                <w:sz w:val="18"/>
              </w:rPr>
              <w:t>Qualitative: No non-GAAP measures detected in 10-K; Qualitative: 0</w:t>
            </w:r>
          </w:p>
        </w:tc>
      </w:tr>
      <w:tr>
        <w:tc>
          <w:tcPr>
            <w:tcW w:type="dxa" w:w="2520"/>
          </w:tcPr>
          <w:p>
            <w:r>
              <w:rPr>
                <w:rFonts w:ascii="Calibri" w:hAnsi="Calibri"/>
                <w:b/>
                <w:color w:val="333333"/>
                <w:sz w:val="18"/>
              </w:rPr>
              <w:t>Fiduciary Breach</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1/3</w:t>
            </w:r>
          </w:p>
        </w:tc>
        <w:tc>
          <w:tcPr>
            <w:tcW w:type="dxa" w:w="2520"/>
          </w:tcPr>
          <w:p>
            <w:r>
              <w:rPr>
                <w:rFonts w:ascii="Calibri" w:hAnsi="Calibri"/>
                <w:color w:val="666666"/>
                <w:sz w:val="18"/>
              </w:rPr>
              <w:t>Verified (value: 0); Detected (value). Limited corroborating data available.</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Securities Claims: MODERATE</w:t>
      </w:r>
      <w:r>
        <w:rPr>
          <w:b/>
          <w:color w:val="2563EB"/>
          <w:sz w:val="18"/>
        </w:rPr>
        <w:t xml:space="preserve"> [MODERATE]</w:t>
      </w:r>
    </w:p>
    <w:p>
      <w:pPr>
        <w:pStyle w:val="DOBody"/>
      </w:pPr>
      <w:r>
        <w:rPr>
          <w:color w:val="666666"/>
          <w:sz w:val="16"/>
        </w:rPr>
        <w:t>Frequency: moderate | Severity: high | Typical range: $5M - $500M+</w:t>
      </w:r>
    </w:p>
    <w:p>
      <w:pPr>
        <w:pStyle w:val="DOBody"/>
      </w:pPr>
      <w:r>
        <w:t>1 of 5 causal chains active.</w:t>
      </w:r>
    </w:p>
    <w:p>
      <w:pPr>
        <w:pStyle w:val="DOBody"/>
      </w:pPr>
      <w:r>
        <w:rPr>
          <w:b/>
        </w:rPr>
        <w:t>Chain: Guidance Miss → Securities Fraud</w:t>
      </w:r>
      <w:r>
        <w:t xml:space="preserve"> [MODERATE]</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color w:val="666666"/>
          <w:sz w:val="16"/>
        </w:rPr>
        <w:t xml:space="preserve">  Historical filing rate: 8% | Median severity: $12M</w:t>
      </w:r>
    </w:p>
    <w:p>
      <w:pPr>
        <w:pStyle w:val="DOHeading3"/>
      </w:pPr>
      <w:r>
        <w:t>Fiduciary Breach: MODERATE</w:t>
      </w:r>
      <w:r>
        <w:rPr>
          <w:b/>
          <w:color w:val="2563EB"/>
          <w:sz w:val="18"/>
        </w:rPr>
        <w:t xml:space="preserve"> [MODERATE]</w:t>
      </w:r>
    </w:p>
    <w:p>
      <w:pPr>
        <w:pStyle w:val="DOBody"/>
      </w:pPr>
      <w:r>
        <w:rPr>
          <w:color w:val="666666"/>
          <w:sz w:val="16"/>
        </w:rPr>
        <w:t>Frequency: growing | Severity: variable | Typical range: $1M - $100M</w:t>
      </w:r>
    </w:p>
    <w:p>
      <w:pPr>
        <w:pStyle w:val="DOBody"/>
      </w:pPr>
      <w:r>
        <w:t>1 of 3 causal chains active.</w:t>
      </w:r>
    </w:p>
    <w:p>
      <w:pPr>
        <w:pStyle w:val="DOBody"/>
      </w:pPr>
      <w:r>
        <w:rPr>
          <w:b/>
        </w:rPr>
        <w:t>Chain: Governance Failure → Derivative Suit</w:t>
      </w:r>
      <w:r>
        <w:t xml:space="preserve"> [MODERATE]</w:t>
      </w:r>
    </w:p>
    <w:p>
      <w:pPr>
        <w:pStyle w:val="DOBody"/>
      </w:pPr>
      <w:r>
        <w:rPr>
          <w:i/>
          <w:sz w:val="16"/>
        </w:rPr>
        <w:t>Weak governance structure (low independence, CEO/Chair duality, poor say-on-pay) creates basis for Caremark duty of oversight claims and derivative suits.</w:t>
        <w:br/>
      </w:r>
    </w:p>
    <w:p>
      <w:pPr>
        <w:pStyle w:val="DOBody"/>
      </w:pPr>
      <w:r>
        <w:rPr>
          <w:b/>
          <w:sz w:val="20"/>
        </w:rPr>
        <w:t xml:space="preserve">  Triggers: </w:t>
      </w:r>
      <w:r>
        <w:br/>
        <w:t xml:space="preserve">    • GOV.PAY.say_on_pay</w:t>
      </w:r>
    </w:p>
    <w:p>
      <w:pPr>
        <w:pStyle w:val="DOBody"/>
      </w:pPr>
      <w:r>
        <w:rPr>
          <w:color w:val="666666"/>
          <w:sz w:val="16"/>
        </w:rPr>
        <w:t xml:space="preserve">  Historical filing rate: 3% | Median severity: $8M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2.9</w:t>
            </w:r>
          </w:p>
        </w:tc>
        <w:tc>
          <w:tcPr>
            <w:tcW w:type="dxa" w:w="1680"/>
          </w:tcPr>
          <w:p>
            <w:r>
              <w:rPr>
                <w:rFonts w:ascii="Calibri" w:hAnsi="Calibri"/>
                <w:color w:val="333333"/>
                <w:sz w:val="18"/>
              </w:rPr>
              <w:t>14%</w:t>
            </w:r>
          </w:p>
        </w:tc>
        <w:tc>
          <w:tcPr>
            <w:tcW w:type="dxa" w:w="1680"/>
          </w:tcPr>
          <w:p>
            <w:r>
              <w:rPr>
                <w:rFonts w:ascii="Calibri" w:hAnsi="Calibri"/>
                <w:color w:val="333333"/>
                <w:sz w:val="18"/>
              </w:rPr>
              <w:t>Signal-driven scoring: 70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0.9</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1.6</w:t>
            </w:r>
          </w:p>
        </w:tc>
        <w:tc>
          <w:tcPr>
            <w:tcW w:type="dxa" w:w="1680"/>
          </w:tcPr>
          <w:p>
            <w:r>
              <w:rPr>
                <w:rFonts w:ascii="Calibri" w:hAnsi="Calibri"/>
                <w:color w:val="333333"/>
                <w:sz w:val="18"/>
              </w:rPr>
              <w:t>14%</w:t>
            </w:r>
          </w:p>
        </w:tc>
        <w:tc>
          <w:tcPr>
            <w:tcW w:type="dxa" w:w="1680"/>
          </w:tcPr>
          <w:p>
            <w:r>
              <w:rPr>
                <w:rFonts w:ascii="Calibri" w:hAnsi="Calibri"/>
                <w:color w:val="333333"/>
                <w:sz w:val="18"/>
              </w:rPr>
              <w:t>Signal-driven scoring: 88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0.7</w:t>
            </w:r>
          </w:p>
        </w:tc>
        <w:tc>
          <w:tcPr>
            <w:tcW w:type="dxa" w:w="1680"/>
            <w:shd w:fill="F2F4F8" w:val="clear"/>
          </w:tcPr>
          <w:p>
            <w:r>
              <w:rPr>
                <w:rFonts w:ascii="Calibri" w:hAnsi="Calibri"/>
                <w:color w:val="333333"/>
                <w:sz w:val="18"/>
              </w:rPr>
              <w:t>7%</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13</w:t>
            </w:r>
          </w:p>
        </w:tc>
        <w:tc>
          <w:tcPr>
            <w:tcW w:type="dxa" w:w="1680"/>
          </w:tcPr>
          <w:p>
            <w:r>
              <w:rPr>
                <w:rFonts w:ascii="Calibri" w:hAnsi="Calibri"/>
                <w:color w:val="333333"/>
                <w:sz w:val="18"/>
              </w:rPr>
              <w:t>0.5</w:t>
            </w:r>
          </w:p>
        </w:tc>
        <w:tc>
          <w:tcPr>
            <w:tcW w:type="dxa" w:w="1680"/>
          </w:tcPr>
          <w:p>
            <w:r>
              <w:rPr>
                <w:rFonts w:ascii="Calibri" w:hAnsi="Calibri"/>
                <w:color w:val="333333"/>
                <w:sz w:val="18"/>
              </w:rPr>
              <w:t>4%</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2.2</w:t>
            </w:r>
          </w:p>
        </w:tc>
        <w:tc>
          <w:tcPr>
            <w:tcW w:type="dxa" w:w="1680"/>
            <w:shd w:fill="F2F4F8" w:val="clear"/>
          </w:tcPr>
          <w:p>
            <w:r>
              <w:rPr>
                <w:rFonts w:ascii="Calibri" w:hAnsi="Calibri"/>
                <w:color w:val="333333"/>
                <w:sz w:val="18"/>
              </w:rPr>
              <w:t>27%</w:t>
            </w:r>
          </w:p>
        </w:tc>
        <w:tc>
          <w:tcPr>
            <w:tcW w:type="dxa" w:w="1680"/>
            <w:shd w:fill="F2F4F8" w:val="clear"/>
          </w:tcPr>
          <w:p>
            <w:r>
              <w:rPr>
                <w:rFonts w:ascii="Calibri" w:hAnsi="Calibri"/>
                <w:color w:val="333333"/>
                <w:sz w:val="18"/>
              </w:rPr>
              <w:t>Signal-driven scoring: 27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7</w:t>
            </w:r>
          </w:p>
        </w:tc>
        <w:tc>
          <w:tcPr>
            <w:tcW w:type="dxa" w:w="1680"/>
          </w:tcPr>
          <w:p>
            <w:r>
              <w:rPr>
                <w:rFonts w:ascii="Calibri" w:hAnsi="Calibri"/>
                <w:color w:val="333333"/>
                <w:sz w:val="18"/>
              </w:rPr>
              <w:t>0.5</w:t>
            </w:r>
          </w:p>
        </w:tc>
        <w:tc>
          <w:tcPr>
            <w:tcW w:type="dxa" w:w="1680"/>
          </w:tcPr>
          <w:p>
            <w:r>
              <w:rPr>
                <w:rFonts w:ascii="Calibri" w:hAnsi="Calibri"/>
                <w:color w:val="333333"/>
                <w:sz w:val="18"/>
              </w:rPr>
              <w:t>6%</w:t>
            </w:r>
          </w:p>
        </w:tc>
        <w:tc>
          <w:tcPr>
            <w:tcW w:type="dxa" w:w="1680"/>
          </w:tcPr>
          <w:p>
            <w:r>
              <w:rPr>
                <w:rFonts w:ascii="Calibri" w:hAnsi="Calibri"/>
                <w:color w:val="333333"/>
                <w:sz w:val="18"/>
              </w:rPr>
              <w:t>Signal-driven scoring: 31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0.2</w:t>
            </w:r>
          </w:p>
        </w:tc>
        <w:tc>
          <w:tcPr>
            <w:tcW w:type="dxa" w:w="1680"/>
            <w:shd w:fill="F2F4F8" w:val="clear"/>
          </w:tcPr>
          <w:p>
            <w:r>
              <w:rPr>
                <w:rFonts w:ascii="Calibri" w:hAnsi="Calibri"/>
                <w:color w:val="333333"/>
                <w:sz w:val="18"/>
              </w:rPr>
              <w:t>4%</w:t>
            </w:r>
          </w:p>
        </w:tc>
        <w:tc>
          <w:tcPr>
            <w:tcW w:type="dxa" w:w="1680"/>
            <w:shd w:fill="F2F4F8" w:val="clear"/>
          </w:tcPr>
          <w:p>
            <w:r>
              <w:rPr>
                <w:rFonts w:ascii="Calibri" w:hAnsi="Calibri"/>
                <w:color w:val="333333"/>
                <w:sz w:val="18"/>
              </w:rPr>
              <w:t>Signal-driven scoring: 14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0.9</w:t>
            </w:r>
          </w:p>
        </w:tc>
        <w:tc>
          <w:tcPr>
            <w:tcW w:type="dxa" w:w="1680"/>
          </w:tcPr>
          <w:p>
            <w:r>
              <w:rPr>
                <w:rFonts w:ascii="Calibri" w:hAnsi="Calibri"/>
                <w:color w:val="333333"/>
                <w:sz w:val="18"/>
              </w:rPr>
              <w:t>16%</w:t>
            </w:r>
          </w:p>
        </w:tc>
        <w:tc>
          <w:tcPr>
            <w:tcW w:type="dxa" w:w="1680"/>
          </w:tcPr>
          <w:p>
            <w:r>
              <w:rPr>
                <w:rFonts w:ascii="Calibri" w:hAnsi="Calibri"/>
                <w:color w:val="333333"/>
                <w:sz w:val="18"/>
              </w:rPr>
              <w:t>Signal-driven scoring: 39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Signal-driven scoring: 90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Recent Drop - 90 Day</w:t>
            </w:r>
          </w:p>
        </w:tc>
        <w:tc>
          <w:tcPr>
            <w:tcW w:type="dxa" w:w="2016"/>
          </w:tcPr>
          <w:p>
            <w:r>
              <w:rPr>
                <w:rFonts w:ascii="Calibri" w:hAnsi="Calibri"/>
                <w:color w:val="333333"/>
                <w:sz w:val="18"/>
              </w:rPr>
              <w:t>90-day drop: 28.6% (56 days ago)</w:t>
            </w:r>
          </w:p>
        </w:tc>
        <w:tc>
          <w:tcPr>
            <w:tcW w:type="dxa" w:w="2016"/>
          </w:tcPr>
          <w:p>
            <w:r>
              <w:rPr>
                <w:rFonts w:ascii="Calibri" w:hAnsi="Calibri"/>
                <w:color w:val="333333"/>
                <w:sz w:val="18"/>
              </w:rPr>
              <w:t>Ceiling: 50</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Prior Litigation: 3/20 points</w:t>
            </w:r>
          </w:p>
        </w:tc>
        <w:tc>
          <w:tcPr>
            <w:tcW w:type="dxa" w:w="2016"/>
            <w:shd w:fill="F2F4F8" w:val="clear"/>
          </w:tcPr>
          <w:p>
            <w:r>
              <w:rPr>
                <w:rFonts w:ascii="Calibri" w:hAnsi="Calibri"/>
                <w:color w:val="333333"/>
                <w:sz w:val="18"/>
              </w:rPr>
              <w:t>Signal-driven scoring: 70 signals, coverage=100%</w:t>
            </w:r>
          </w:p>
        </w:tc>
        <w:tc>
          <w:tcPr>
            <w:tcW w:type="dxa" w:w="2016"/>
            <w:shd w:fill="F2F4F8" w:val="clear"/>
          </w:tcPr>
          <w:p>
            <w:r>
              <w:rPr>
                <w:rFonts w:ascii="Calibri" w:hAnsi="Calibri"/>
                <w:color w:val="333333"/>
                <w:sz w:val="18"/>
              </w:rPr>
              <w:t>F1: 3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Decline: 1/15 points</w:t>
            </w:r>
          </w:p>
        </w:tc>
        <w:tc>
          <w:tcPr>
            <w:tcW w:type="dxa" w:w="2016"/>
          </w:tcPr>
          <w:p>
            <w:r>
              <w:rPr>
                <w:rFonts w:ascii="Calibri" w:hAnsi="Calibri"/>
                <w:color w:val="333333"/>
                <w:sz w:val="18"/>
              </w:rPr>
              <w:t>Signal-driven scoring: 30 signals, coverage=100%; Drop contribution modifier: 0.56x (decay + company-specific + disclosure)</w:t>
            </w:r>
          </w:p>
        </w:tc>
        <w:tc>
          <w:tcPr>
            <w:tcW w:type="dxa" w:w="2016"/>
          </w:tcPr>
          <w:p>
            <w:r>
              <w:rPr>
                <w:rFonts w:ascii="Calibri" w:hAnsi="Calibri"/>
                <w:color w:val="333333"/>
                <w:sz w:val="18"/>
              </w:rPr>
              <w:t>F2: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Restatement/Audit Issues: 2/12 points</w:t>
            </w:r>
          </w:p>
        </w:tc>
        <w:tc>
          <w:tcPr>
            <w:tcW w:type="dxa" w:w="2016"/>
            <w:shd w:fill="F2F4F8" w:val="clear"/>
          </w:tcPr>
          <w:p>
            <w:r>
              <w:rPr>
                <w:rFonts w:ascii="Calibri" w:hAnsi="Calibri"/>
                <w:color w:val="333333"/>
                <w:sz w:val="18"/>
              </w:rPr>
              <w:t>Signal-driven scoring: 88 signals, coverage=100%</w:t>
            </w:r>
          </w:p>
        </w:tc>
        <w:tc>
          <w:tcPr>
            <w:tcW w:type="dxa" w:w="2016"/>
            <w:shd w:fill="F2F4F8" w:val="clear"/>
          </w:tcPr>
          <w:p>
            <w:r>
              <w:rPr>
                <w:rFonts w:ascii="Calibri" w:hAnsi="Calibri"/>
                <w:color w:val="333333"/>
                <w:sz w:val="18"/>
              </w:rPr>
              <w:t>F3: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IPO/SPAC/M&amp;A: 1/10 points</w:t>
            </w:r>
          </w:p>
        </w:tc>
        <w:tc>
          <w:tcPr>
            <w:tcW w:type="dxa" w:w="2016"/>
          </w:tcPr>
          <w:p>
            <w:r>
              <w:rPr>
                <w:rFonts w:ascii="Calibri" w:hAnsi="Calibri"/>
                <w:color w:val="333333"/>
                <w:sz w:val="18"/>
              </w:rPr>
              <w:t>Signal-driven scoring: 15 signals, coverage=100%</w:t>
            </w:r>
          </w:p>
        </w:tc>
        <w:tc>
          <w:tcPr>
            <w:tcW w:type="dxa" w:w="2016"/>
          </w:tcPr>
          <w:p>
            <w:r>
              <w:rPr>
                <w:rFonts w:ascii="Calibri" w:hAnsi="Calibri"/>
                <w:color w:val="333333"/>
                <w:sz w:val="18"/>
              </w:rPr>
              <w:t>F4: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Guidance Misses: 0/13 points</w:t>
            </w:r>
          </w:p>
        </w:tc>
        <w:tc>
          <w:tcPr>
            <w:tcW w:type="dxa" w:w="2016"/>
            <w:shd w:fill="F2F4F8" w:val="clear"/>
          </w:tcPr>
          <w:p>
            <w:r>
              <w:rPr>
                <w:rFonts w:ascii="Calibri" w:hAnsi="Calibri"/>
                <w:color w:val="333333"/>
                <w:sz w:val="18"/>
              </w:rPr>
              <w:t>Signal-driven scoring: 28 signals, coverage=100%</w:t>
            </w:r>
          </w:p>
        </w:tc>
        <w:tc>
          <w:tcPr>
            <w:tcW w:type="dxa" w:w="2016"/>
            <w:shd w:fill="F2F4F8" w:val="clear"/>
          </w:tcPr>
          <w:p>
            <w:r>
              <w:rPr>
                <w:rFonts w:ascii="Calibri" w:hAnsi="Calibri"/>
                <w:color w:val="333333"/>
                <w:sz w:val="18"/>
              </w:rPr>
              <w:t>F5: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Short Interest: 2/8 points</w:t>
            </w:r>
          </w:p>
        </w:tc>
        <w:tc>
          <w:tcPr>
            <w:tcW w:type="dxa" w:w="2016"/>
          </w:tcPr>
          <w:p>
            <w:r>
              <w:rPr>
                <w:rFonts w:ascii="Calibri" w:hAnsi="Calibri"/>
                <w:color w:val="333333"/>
                <w:sz w:val="18"/>
              </w:rPr>
              <w:t>Signal-driven scoring: 27 signals, coverage=100%</w:t>
            </w:r>
          </w:p>
        </w:tc>
        <w:tc>
          <w:tcPr>
            <w:tcW w:type="dxa" w:w="2016"/>
          </w:tcPr>
          <w:p>
            <w:r>
              <w:rPr>
                <w:rFonts w:ascii="Calibri" w:hAnsi="Calibri"/>
                <w:color w:val="333333"/>
                <w:sz w:val="18"/>
              </w:rPr>
              <w:t>F6: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Volatility: 0/7 points</w:t>
            </w:r>
          </w:p>
        </w:tc>
        <w:tc>
          <w:tcPr>
            <w:tcW w:type="dxa" w:w="2016"/>
            <w:shd w:fill="F2F4F8" w:val="clear"/>
          </w:tcPr>
          <w:p>
            <w:r>
              <w:rPr>
                <w:rFonts w:ascii="Calibri" w:hAnsi="Calibri"/>
                <w:color w:val="333333"/>
                <w:sz w:val="18"/>
              </w:rPr>
              <w:t>Signal-driven scoring: 31 signals, coverage=100%</w:t>
            </w:r>
          </w:p>
        </w:tc>
        <w:tc>
          <w:tcPr>
            <w:tcW w:type="dxa" w:w="2016"/>
            <w:shd w:fill="F2F4F8" w:val="clear"/>
          </w:tcPr>
          <w:p>
            <w:r>
              <w:rPr>
                <w:rFonts w:ascii="Calibri" w:hAnsi="Calibri"/>
                <w:color w:val="333333"/>
                <w:sz w:val="18"/>
              </w:rPr>
              <w:t>F7: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Financial Distress: 0/5 points</w:t>
            </w:r>
          </w:p>
        </w:tc>
        <w:tc>
          <w:tcPr>
            <w:tcW w:type="dxa" w:w="2016"/>
          </w:tcPr>
          <w:p>
            <w:r>
              <w:rPr>
                <w:rFonts w:ascii="Calibri" w:hAnsi="Calibri"/>
                <w:color w:val="333333"/>
                <w:sz w:val="18"/>
              </w:rPr>
              <w:t>Signal-driven scoring: 14 signals, coverage=100%</w:t>
            </w:r>
          </w:p>
        </w:tc>
        <w:tc>
          <w:tcPr>
            <w:tcW w:type="dxa" w:w="2016"/>
          </w:tcPr>
          <w:p>
            <w:r>
              <w:rPr>
                <w:rFonts w:ascii="Calibri" w:hAnsi="Calibri"/>
                <w:color w:val="333333"/>
                <w:sz w:val="18"/>
              </w:rPr>
              <w:t>F8: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Issues: 1/6 points</w:t>
            </w:r>
          </w:p>
        </w:tc>
        <w:tc>
          <w:tcPr>
            <w:tcW w:type="dxa" w:w="2016"/>
            <w:shd w:fill="F2F4F8" w:val="clear"/>
          </w:tcPr>
          <w:p>
            <w:r>
              <w:rPr>
                <w:rFonts w:ascii="Calibri" w:hAnsi="Calibri"/>
                <w:color w:val="333333"/>
                <w:sz w:val="18"/>
              </w:rPr>
              <w:t>Signal-driven scoring: 39 signals, coverage=100%</w:t>
            </w:r>
          </w:p>
        </w:tc>
        <w:tc>
          <w:tcPr>
            <w:tcW w:type="dxa" w:w="2016"/>
            <w:shd w:fill="F2F4F8" w:val="clear"/>
          </w:tcPr>
          <w:p>
            <w:r>
              <w:rPr>
                <w:rFonts w:ascii="Calibri" w:hAnsi="Calibri"/>
                <w:color w:val="333333"/>
                <w:sz w:val="18"/>
              </w:rPr>
              <w:t>F9: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Officer Stability: 0/2 points</w:t>
            </w:r>
          </w:p>
        </w:tc>
        <w:tc>
          <w:tcPr>
            <w:tcW w:type="dxa" w:w="2016"/>
          </w:tcPr>
          <w:p>
            <w:r>
              <w:rPr>
                <w:rFonts w:ascii="Calibri" w:hAnsi="Calibri"/>
                <w:color w:val="333333"/>
                <w:sz w:val="18"/>
              </w:rPr>
              <w:t>Signal-driven scoring: 90 signals, coverage=100%</w:t>
            </w:r>
          </w:p>
        </w:tc>
        <w:tc>
          <w:tcPr>
            <w:tcW w:type="dxa" w:w="2016"/>
          </w:tcPr>
          <w:p>
            <w:r>
              <w:rPr>
                <w:rFonts w:ascii="Calibri" w:hAnsi="Calibri"/>
                <w:color w:val="333333"/>
                <w:sz w:val="18"/>
              </w:rPr>
              <w:t>F10: 0 pts</w:t>
            </w:r>
          </w:p>
        </w:tc>
        <w:tc>
          <w:tcPr>
            <w:tcW w:type="dxa" w:w="2016"/>
          </w:tcPr>
          <w:p>
            <w:r>
              <w:rPr>
                <w:rFonts w:ascii="Calibri" w:hAnsi="Calibri"/>
                <w:color w:val="333333"/>
                <w:sz w:val="18"/>
              </w:rPr>
              <w:t>NEW</w:t>
            </w:r>
          </w:p>
        </w:tc>
      </w:tr>
    </w:tbl>
    <w:p>
      <w:pPr>
        <w:pStyle w:val="DOBody"/>
      </w:pPr>
      <w:r>
        <w:t>Critical: 1, High: 0, Moderate: 0, Low: 10</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0.4727272727272727 points; Issues guidance (philosophy: CONSERVATIVE)</w:t>
            </w:r>
          </w:p>
        </w:tc>
      </w:tr>
    </w:tbl>
    <w:p>
      <w:pPr>
        <w:pStyle w:val="DOHeading3"/>
      </w:pPr>
      <w:r>
        <w:t>Severity Scenarios</w:t>
      </w:r>
    </w:p>
    <w:p>
      <w:pPr>
        <w:pStyle w:val="DOBody"/>
      </w:pPr>
      <w:r>
        <w:t>Analysis based on market cap: $175.4B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$347.8M</w:t>
            </w:r>
          </w:p>
        </w:tc>
        <w:tc>
          <w:tcPr>
            <w:tcW w:type="dxa" w:w="2016"/>
          </w:tcPr>
          <w:p>
            <w:r>
              <w:rPr>
                <w:rFonts w:ascii="Calibri" w:hAnsi="Calibri"/>
                <w:color w:val="333333"/>
                <w:sz w:val="18"/>
              </w:rPr>
              <w:t>$52.2M</w:t>
            </w:r>
          </w:p>
        </w:tc>
        <w:tc>
          <w:tcPr>
            <w:tcW w:type="dxa" w:w="2016"/>
          </w:tcPr>
          <w:p>
            <w:r>
              <w:rPr>
                <w:rFonts w:ascii="Calibri" w:hAnsi="Calibri"/>
                <w:color w:val="333333"/>
                <w:sz w:val="18"/>
              </w:rPr>
              <w:t>$399.9M</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$695.5M</w:t>
            </w:r>
          </w:p>
        </w:tc>
        <w:tc>
          <w:tcPr>
            <w:tcW w:type="dxa" w:w="2016"/>
            <w:shd w:fill="F2F4F8" w:val="clear"/>
          </w:tcPr>
          <w:p>
            <w:r>
              <w:rPr>
                <w:rFonts w:ascii="Calibri" w:hAnsi="Calibri"/>
                <w:color w:val="333333"/>
                <w:sz w:val="18"/>
              </w:rPr>
              <w:t>$139.1M</w:t>
            </w:r>
          </w:p>
        </w:tc>
        <w:tc>
          <w:tcPr>
            <w:tcW w:type="dxa" w:w="2016"/>
            <w:shd w:fill="F2F4F8" w:val="clear"/>
          </w:tcPr>
          <w:p>
            <w:r>
              <w:rPr>
                <w:rFonts w:ascii="Calibri" w:hAnsi="Calibri"/>
                <w:color w:val="333333"/>
                <w:sz w:val="18"/>
              </w:rPr>
              <w:t>$834.6M</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$1.4B</w:t>
            </w:r>
          </w:p>
        </w:tc>
        <w:tc>
          <w:tcPr>
            <w:tcW w:type="dxa" w:w="2016"/>
          </w:tcPr>
          <w:p>
            <w:r>
              <w:rPr>
                <w:rFonts w:ascii="Calibri" w:hAnsi="Calibri"/>
                <w:color w:val="333333"/>
                <w:sz w:val="18"/>
              </w:rPr>
              <w:t>$347.8M</w:t>
            </w:r>
          </w:p>
        </w:tc>
        <w:tc>
          <w:tcPr>
            <w:tcW w:type="dxa" w:w="2016"/>
          </w:tcPr>
          <w:p>
            <w:r>
              <w:rPr>
                <w:rFonts w:ascii="Calibri" w:hAnsi="Calibri"/>
                <w:color w:val="333333"/>
                <w:sz w:val="18"/>
              </w:rPr>
              <w:t>$1.7B</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$2.8B</w:t>
            </w:r>
          </w:p>
        </w:tc>
        <w:tc>
          <w:tcPr>
            <w:tcW w:type="dxa" w:w="2016"/>
            <w:shd w:fill="F2F4F8" w:val="clear"/>
          </w:tcPr>
          <w:p>
            <w:r>
              <w:rPr>
                <w:rFonts w:ascii="Calibri" w:hAnsi="Calibri"/>
                <w:color w:val="333333"/>
                <w:sz w:val="18"/>
              </w:rPr>
              <w:t>$834.6M</w:t>
            </w:r>
          </w:p>
        </w:tc>
        <w:tc>
          <w:tcPr>
            <w:tcW w:type="dxa" w:w="2016"/>
            <w:shd w:fill="F2F4F8" w:val="clear"/>
          </w:tcPr>
          <w:p>
            <w:r>
              <w:rPr>
                <w:rFonts w:ascii="Calibri" w:hAnsi="Calibri"/>
                <w:color w:val="333333"/>
                <w:sz w:val="18"/>
              </w:rPr>
              <w:t>$3.6B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2.9</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70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0.9</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0.56x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1.6</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88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15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0.5</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28 signals, coverage=100%</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2.2</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27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0.5</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31 signals, coverage=100%</w:t>
            </w:r>
          </w:p>
        </w:tc>
      </w:tr>
      <w:tr>
        <w:tc>
          <w:tcPr>
            <w:tcW w:type="dxa" w:w="2016"/>
            <w:shd w:fill="F2F4F8" w:val="clear"/>
          </w:tcPr>
          <w:p>
            <w:r>
              <w:rPr>
                <w:rFonts w:ascii="Calibri" w:hAnsi="Calibri"/>
                <w:color w:val="333333"/>
                <w:sz w:val="18"/>
              </w:rPr>
              <w:t>F8</w:t>
            </w:r>
          </w:p>
        </w:tc>
        <w:tc>
          <w:tcPr>
            <w:tcW w:type="dxa" w:w="2016"/>
            <w:shd w:fill="F2F4F8" w:val="clear"/>
          </w:tcPr>
          <w:p>
            <w:r>
              <w:rPr>
                <w:rFonts w:ascii="Calibri" w:hAnsi="Calibri"/>
                <w:color w:val="333333"/>
                <w:sz w:val="18"/>
              </w:rPr>
              <w:t>Financial Distress</w:t>
            </w:r>
          </w:p>
        </w:tc>
        <w:tc>
          <w:tcPr>
            <w:tcW w:type="dxa" w:w="2016"/>
            <w:shd w:fill="F2F4F8" w:val="clear"/>
          </w:tcPr>
          <w:p>
            <w:r>
              <w:rPr>
                <w:rFonts w:ascii="Calibri" w:hAnsi="Calibri"/>
                <w:color w:val="333333"/>
                <w:sz w:val="18"/>
              </w:rPr>
              <w:t>0.2</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14 signals, coverage=100%</w:t>
            </w:r>
          </w:p>
        </w:tc>
      </w:tr>
      <w:tr>
        <w:tc>
          <w:tcPr>
            <w:tcW w:type="dxa" w:w="2016"/>
          </w:tcPr>
          <w:p>
            <w:r>
              <w:rPr>
                <w:rFonts w:ascii="Calibri" w:hAnsi="Calibri"/>
                <w:color w:val="333333"/>
                <w:sz w:val="18"/>
              </w:rPr>
              <w:t>F9</w:t>
            </w:r>
          </w:p>
        </w:tc>
        <w:tc>
          <w:tcPr>
            <w:tcW w:type="dxa" w:w="2016"/>
          </w:tcPr>
          <w:p>
            <w:r>
              <w:rPr>
                <w:rFonts w:ascii="Calibri" w:hAnsi="Calibri"/>
                <w:color w:val="333333"/>
                <w:sz w:val="18"/>
              </w:rPr>
              <w:t>Governance Issues</w:t>
            </w:r>
          </w:p>
        </w:tc>
        <w:tc>
          <w:tcPr>
            <w:tcW w:type="dxa" w:w="2016"/>
          </w:tcPr>
          <w:p>
            <w:r>
              <w:rPr>
                <w:rFonts w:ascii="Calibri" w:hAnsi="Calibri"/>
                <w:color w:val="333333"/>
                <w:sz w:val="18"/>
              </w:rPr>
              <w:t>0.9</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39 signals, coverage=100%</w:t>
            </w:r>
          </w:p>
        </w:tc>
      </w:tr>
      <w:tr>
        <w:tc>
          <w:tcPr>
            <w:tcW w:type="dxa" w:w="2016"/>
            <w:shd w:fill="F2F4F8" w:val="clear"/>
          </w:tcPr>
          <w:p>
            <w:r>
              <w:rPr>
                <w:rFonts w:ascii="Calibri" w:hAnsi="Calibri"/>
                <w:color w:val="333333"/>
                <w:sz w:val="18"/>
              </w:rPr>
              <w:t>F10</w:t>
            </w:r>
          </w:p>
        </w:tc>
        <w:tc>
          <w:tcPr>
            <w:tcW w:type="dxa" w:w="2016"/>
            <w:shd w:fill="F2F4F8" w:val="clear"/>
          </w:tcPr>
          <w:p>
            <w:r>
              <w:rPr>
                <w:rFonts w:ascii="Calibri" w:hAnsi="Calibri"/>
                <w:color w:val="333333"/>
                <w:sz w:val="18"/>
              </w:rPr>
              <w:t>Officer Stability</w:t>
            </w:r>
          </w:p>
        </w:tc>
        <w:tc>
          <w:tcPr>
            <w:tcW w:type="dxa" w:w="2016"/>
            <w:shd w:fill="F2F4F8" w:val="clear"/>
          </w:tcPr>
          <w:p>
            <w:r>
              <w:rPr>
                <w:rFonts w:ascii="Calibri" w:hAnsi="Calibri"/>
                <w:color w:val="333333"/>
                <w:sz w:val="18"/>
              </w:rPr>
              <w:t>0.1</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90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2.90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2.90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2.90</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1.64</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0.56</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0.91</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0.91</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1.62</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1.62</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1.62</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0.67</w:t>
            </w:r>
          </w:p>
        </w:tc>
      </w:tr>
      <w:tr>
        <w:tc>
          <w:tcPr>
            <w:tcW w:type="dxa" w:w="3360"/>
          </w:tcPr>
          <w:p>
            <w:r>
              <w:rPr>
                <w:rFonts w:ascii="Calibri" w:hAnsi="Calibri"/>
                <w:color w:val="333333"/>
                <w:sz w:val="18"/>
              </w:rPr>
              <w:t>F4</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0.67</w:t>
            </w:r>
          </w:p>
        </w:tc>
      </w:tr>
      <w:tr>
        <w:tc>
          <w:tcPr>
            <w:tcW w:type="dxa" w:w="3360"/>
          </w:tcPr>
          <w:p>
            <w:r>
              <w:rPr>
                <w:rFonts w:ascii="Calibri" w:hAnsi="Calibri"/>
                <w:color w:val="333333"/>
                <w:sz w:val="18"/>
              </w:rPr>
              <w:t>F4</w:t>
            </w:r>
          </w:p>
        </w:tc>
        <w:tc>
          <w:tcPr>
            <w:tcW w:type="dxa" w:w="3360"/>
          </w:tcPr>
          <w:p>
            <w:r>
              <w:rPr>
                <w:rFonts w:ascii="Calibri" w:hAnsi="Calibri"/>
                <w:color w:val="333333"/>
                <w:sz w:val="18"/>
              </w:rPr>
              <w:t>capped</w:t>
            </w:r>
          </w:p>
        </w:tc>
        <w:tc>
          <w:tcPr>
            <w:tcW w:type="dxa" w:w="3360"/>
          </w:tcPr>
          <w:p>
            <w:r>
              <w:rPr>
                <w:rFonts w:ascii="Calibri" w:hAnsi="Calibri"/>
                <w:color w:val="333333"/>
                <w:sz w:val="18"/>
              </w:rPr>
              <w:t>0.67</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0.47</w:t>
            </w:r>
          </w:p>
        </w:tc>
      </w:tr>
      <w:tr>
        <w:tc>
          <w:tcPr>
            <w:tcW w:type="dxa" w:w="3360"/>
          </w:tcPr>
          <w:p>
            <w:r>
              <w:rPr>
                <w:rFonts w:ascii="Calibri" w:hAnsi="Calibri"/>
                <w:color w:val="333333"/>
                <w:sz w:val="18"/>
              </w:rPr>
              <w:t>F5</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0.47</w:t>
            </w:r>
          </w:p>
        </w:tc>
      </w:tr>
      <w:tr>
        <w:tc>
          <w:tcPr>
            <w:tcW w:type="dxa" w:w="3360"/>
          </w:tcPr>
          <w:p>
            <w:r>
              <w:rPr>
                <w:rFonts w:ascii="Calibri" w:hAnsi="Calibri"/>
                <w:color w:val="333333"/>
                <w:sz w:val="18"/>
              </w:rPr>
              <w:t>F5</w:t>
            </w:r>
          </w:p>
        </w:tc>
        <w:tc>
          <w:tcPr>
            <w:tcW w:type="dxa" w:w="3360"/>
          </w:tcPr>
          <w:p>
            <w:r>
              <w:rPr>
                <w:rFonts w:ascii="Calibri" w:hAnsi="Calibri"/>
                <w:color w:val="333333"/>
                <w:sz w:val="18"/>
              </w:rPr>
              <w:t>capped</w:t>
            </w:r>
          </w:p>
        </w:tc>
        <w:tc>
          <w:tcPr>
            <w:tcW w:type="dxa" w:w="3360"/>
          </w:tcPr>
          <w:p>
            <w:r>
              <w:rPr>
                <w:rFonts w:ascii="Calibri" w:hAnsi="Calibri"/>
                <w:color w:val="333333"/>
                <w:sz w:val="18"/>
              </w:rPr>
              <w:t>0.47</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2.15</w:t>
            </w:r>
          </w:p>
        </w:tc>
      </w:tr>
      <w:tr>
        <w:tc>
          <w:tcPr>
            <w:tcW w:type="dxa" w:w="3360"/>
          </w:tcPr>
          <w:p>
            <w:r>
              <w:rPr>
                <w:rFonts w:ascii="Calibri" w:hAnsi="Calibri"/>
                <w:color w:val="333333"/>
                <w:sz w:val="18"/>
              </w:rPr>
              <w:t>F6</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2.15</w:t>
            </w:r>
          </w:p>
        </w:tc>
      </w:tr>
      <w:tr>
        <w:tc>
          <w:tcPr>
            <w:tcW w:type="dxa" w:w="3360"/>
          </w:tcPr>
          <w:p>
            <w:r>
              <w:rPr>
                <w:rFonts w:ascii="Calibri" w:hAnsi="Calibri"/>
                <w:color w:val="333333"/>
                <w:sz w:val="18"/>
              </w:rPr>
              <w:t>F6</w:t>
            </w:r>
          </w:p>
        </w:tc>
        <w:tc>
          <w:tcPr>
            <w:tcW w:type="dxa" w:w="3360"/>
          </w:tcPr>
          <w:p>
            <w:r>
              <w:rPr>
                <w:rFonts w:ascii="Calibri" w:hAnsi="Calibri"/>
                <w:color w:val="333333"/>
                <w:sz w:val="18"/>
              </w:rPr>
              <w:t>capped</w:t>
            </w:r>
          </w:p>
        </w:tc>
        <w:tc>
          <w:tcPr>
            <w:tcW w:type="dxa" w:w="3360"/>
          </w:tcPr>
          <w:p>
            <w:r>
              <w:rPr>
                <w:rFonts w:ascii="Calibri" w:hAnsi="Calibri"/>
                <w:color w:val="333333"/>
                <w:sz w:val="18"/>
              </w:rPr>
              <w:t>2.15</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0.45</w:t>
            </w:r>
          </w:p>
        </w:tc>
      </w:tr>
      <w:tr>
        <w:tc>
          <w:tcPr>
            <w:tcW w:type="dxa" w:w="3360"/>
          </w:tcPr>
          <w:p>
            <w:r>
              <w:rPr>
                <w:rFonts w:ascii="Calibri" w:hAnsi="Calibri"/>
                <w:color w:val="333333"/>
                <w:sz w:val="18"/>
              </w:rPr>
              <w:t>F7</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0.45</w:t>
            </w:r>
          </w:p>
        </w:tc>
      </w:tr>
      <w:tr>
        <w:tc>
          <w:tcPr>
            <w:tcW w:type="dxa" w:w="3360"/>
          </w:tcPr>
          <w:p>
            <w:r>
              <w:rPr>
                <w:rFonts w:ascii="Calibri" w:hAnsi="Calibri"/>
                <w:color w:val="333333"/>
                <w:sz w:val="18"/>
              </w:rPr>
              <w:t>F7</w:t>
            </w:r>
          </w:p>
        </w:tc>
        <w:tc>
          <w:tcPr>
            <w:tcW w:type="dxa" w:w="3360"/>
          </w:tcPr>
          <w:p>
            <w:r>
              <w:rPr>
                <w:rFonts w:ascii="Calibri" w:hAnsi="Calibri"/>
                <w:color w:val="333333"/>
                <w:sz w:val="18"/>
              </w:rPr>
              <w:t>capped</w:t>
            </w:r>
          </w:p>
        </w:tc>
        <w:tc>
          <w:tcPr>
            <w:tcW w:type="dxa" w:w="3360"/>
          </w:tcPr>
          <w:p>
            <w:r>
              <w:rPr>
                <w:rFonts w:ascii="Calibri" w:hAnsi="Calibri"/>
                <w:color w:val="333333"/>
                <w:sz w:val="18"/>
              </w:rPr>
              <w:t>0.45</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0.18</w:t>
            </w:r>
          </w:p>
        </w:tc>
      </w:tr>
      <w:tr>
        <w:tc>
          <w:tcPr>
            <w:tcW w:type="dxa" w:w="3360"/>
          </w:tcPr>
          <w:p>
            <w:r>
              <w:rPr>
                <w:rFonts w:ascii="Calibri" w:hAnsi="Calibri"/>
                <w:color w:val="333333"/>
                <w:sz w:val="18"/>
              </w:rPr>
              <w:t>F8</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F8</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0.18</w:t>
            </w:r>
          </w:p>
        </w:tc>
      </w:tr>
      <w:tr>
        <w:tc>
          <w:tcPr>
            <w:tcW w:type="dxa" w:w="3360"/>
          </w:tcPr>
          <w:p>
            <w:r>
              <w:rPr>
                <w:rFonts w:ascii="Calibri" w:hAnsi="Calibri"/>
                <w:color w:val="333333"/>
                <w:sz w:val="18"/>
              </w:rPr>
              <w:t>F8</w:t>
            </w:r>
          </w:p>
        </w:tc>
        <w:tc>
          <w:tcPr>
            <w:tcW w:type="dxa" w:w="3360"/>
          </w:tcPr>
          <w:p>
            <w:r>
              <w:rPr>
                <w:rFonts w:ascii="Calibri" w:hAnsi="Calibri"/>
                <w:color w:val="333333"/>
                <w:sz w:val="18"/>
              </w:rPr>
              <w:t>capped</w:t>
            </w:r>
          </w:p>
        </w:tc>
        <w:tc>
          <w:tcPr>
            <w:tcW w:type="dxa" w:w="3360"/>
          </w:tcPr>
          <w:p>
            <w:r>
              <w:rPr>
                <w:rFonts w:ascii="Calibri" w:hAnsi="Calibri"/>
                <w:color w:val="333333"/>
                <w:sz w:val="18"/>
              </w:rPr>
              <w:t>0.18</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0.95</w:t>
            </w:r>
          </w:p>
        </w:tc>
      </w:tr>
      <w:tr>
        <w:tc>
          <w:tcPr>
            <w:tcW w:type="dxa" w:w="3360"/>
          </w:tcPr>
          <w:p>
            <w:r>
              <w:rPr>
                <w:rFonts w:ascii="Calibri" w:hAnsi="Calibri"/>
                <w:color w:val="333333"/>
                <w:sz w:val="18"/>
              </w:rPr>
              <w:t>F9</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0.95</w:t>
            </w:r>
          </w:p>
        </w:tc>
      </w:tr>
      <w:tr>
        <w:tc>
          <w:tcPr>
            <w:tcW w:type="dxa" w:w="3360"/>
          </w:tcPr>
          <w:p>
            <w:r>
              <w:rPr>
                <w:rFonts w:ascii="Calibri" w:hAnsi="Calibri"/>
                <w:color w:val="333333"/>
                <w:sz w:val="18"/>
              </w:rPr>
              <w:t>F9</w:t>
            </w:r>
          </w:p>
        </w:tc>
        <w:tc>
          <w:tcPr>
            <w:tcW w:type="dxa" w:w="3360"/>
          </w:tcPr>
          <w:p>
            <w:r>
              <w:rPr>
                <w:rFonts w:ascii="Calibri" w:hAnsi="Calibri"/>
                <w:color w:val="333333"/>
                <w:sz w:val="18"/>
              </w:rPr>
              <w:t>capped</w:t>
            </w:r>
          </w:p>
        </w:tc>
        <w:tc>
          <w:tcPr>
            <w:tcW w:type="dxa" w:w="3360"/>
          </w:tcPr>
          <w:p>
            <w:r>
              <w:rPr>
                <w:rFonts w:ascii="Calibri" w:hAnsi="Calibri"/>
                <w:color w:val="333333"/>
                <w:sz w:val="18"/>
              </w:rPr>
              <w:t>0.95</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0.13</w:t>
            </w:r>
          </w:p>
        </w:tc>
      </w:tr>
      <w:tr>
        <w:tc>
          <w:tcPr>
            <w:tcW w:type="dxa" w:w="3360"/>
          </w:tcPr>
          <w:p>
            <w:r>
              <w:rPr>
                <w:rFonts w:ascii="Calibri" w:hAnsi="Calibri"/>
                <w:color w:val="333333"/>
                <w:sz w:val="18"/>
              </w:rPr>
              <w:t>F10</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0.13</w:t>
            </w:r>
          </w:p>
        </w:tc>
      </w:tr>
      <w:tr>
        <w:tc>
          <w:tcPr>
            <w:tcW w:type="dxa" w:w="3360"/>
          </w:tcPr>
          <w:p>
            <w:r>
              <w:rPr>
                <w:rFonts w:ascii="Calibri" w:hAnsi="Calibri"/>
                <w:color w:val="333333"/>
                <w:sz w:val="18"/>
              </w:rPr>
              <w:t>F10</w:t>
            </w:r>
          </w:p>
        </w:tc>
        <w:tc>
          <w:tcPr>
            <w:tcW w:type="dxa" w:w="3360"/>
          </w:tcPr>
          <w:p>
            <w:r>
              <w:rPr>
                <w:rFonts w:ascii="Calibri" w:hAnsi="Calibri"/>
                <w:color w:val="333333"/>
                <w:sz w:val="18"/>
              </w:rPr>
              <w:t>capped</w:t>
            </w:r>
          </w:p>
        </w:tc>
        <w:tc>
          <w:tcPr>
            <w:tcW w:type="dxa" w:w="3360"/>
          </w:tcPr>
          <w:p>
            <w:r>
              <w:rPr>
                <w:rFonts w:ascii="Calibri" w:hAnsi="Calibri"/>
                <w:color w:val="333333"/>
                <w:sz w:val="18"/>
              </w:rPr>
              <w:t>0.13</w:t>
            </w:r>
          </w:p>
        </w:tc>
      </w:tr>
    </w:tbl>
    <w:p>
      <w:pPr>
        <w:pStyle w:val="DOHeading3"/>
      </w:pPr>
      <w:r>
        <w:t>Pattern Detection Results</w:t>
      </w:r>
    </w:p>
    <w:p>
      <w:pPr>
        <w:pStyle w:val="DOBody"/>
      </w:pPr>
      <w:r>
        <w:t>No composite patterns detected.</w:t>
      </w:r>
    </w:p>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70 signals, coverage=100%; F3: Signal-driven scoring: 88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30 signals, coverage=100%; F2: Drop contribution modifier: 0.56x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 F8</w:t>
            </w:r>
          </w:p>
        </w:tc>
        <w:tc>
          <w:tcPr>
            <w:tcW w:type="dxa" w:w="2520"/>
          </w:tcPr>
          <w:p>
            <w:r>
              <w:rPr>
                <w:rFonts w:ascii="Calibri" w:hAnsi="Calibri"/>
                <w:color w:val="333333"/>
                <w:sz w:val="18"/>
              </w:rPr>
              <w:t>F7: Signal-driven scoring: 31 signals, coverage=100%; F8: Signal-driven scoring: 14 signals, coverage=100%</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39 signals, coverage=100%; F10: Signal-driven scoring: 90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15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5.7% - 8.1%</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Industry base rate: 5.0%. Tier WATCH (10-15%): Significantly above base rate. Co</w:t>
            </w:r>
          </w:p>
        </w:tc>
      </w:tr>
    </w:tbl>
    <w:p>
      <w:pPr>
        <w:pStyle w:val="DOBody"/>
      </w:pPr>
      <w:r>
        <w:rPr>
          <w:b/>
        </w:rPr>
        <w:t>Claim probability: ELEVATED</w:t>
      </w:r>
      <w:r>
        <w:rPr>
          <w:b/>
          <w:color w:val="EA580C"/>
          <w:sz w:val="18"/>
        </w:rPr>
        <w:t xml:space="preserve"> [HIGH]</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MID_EXCESS</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$695.5M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5</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[Niles President (GC)]: Prior litigation: title: Former Salesforce Vice President Advances Retaliation Lawsuit</w:t>
      </w:r>
    </w:p>
    <w:p>
      <w:pPr>
        <w:pStyle w:val="DOBody"/>
      </w:pPr>
      <w:r>
        <w:t>- [Niles President (GC)]: Prior litigation: url: https://news.bloomberglaw.com/litigation/former-salesforce-vice-president-advances-retaliation-</w:t>
      </w:r>
    </w:p>
    <w:p>
      <w:pPr>
        <w:pStyle w:val="DOBody"/>
      </w:pPr>
      <w:r>
        <w:t>- [Niles President (GC)]: Prior litigation: snippet: A former Salesforce Inc. vice president can proceed with his lawsuit alleging that the comp</w:t>
      </w:r>
    </w:p>
    <w:p>
      <w:pPr>
        <w:pStyle w:val="DOBody"/>
      </w:pPr>
      <w:r>
        <w:t>- [Millham In February (Other)]: Prior litigation: case_summary: Salesforce.com (NYSE: CRM) is engaged in the provision of on-demand customer relations</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18.67, 'prior_fog': None, 'fog_change': None, 'current_flesch': 24.04, 'prior_flesch': None, 'classification': 'CURRENT_ONLY', 'evidence': 'Current Fog Index: 18.7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r>
        <w:tc>
          <w:tcPr>
            <w:tcW w:type="dxa" w:w="3360"/>
          </w:tcPr>
          <w:p>
            <w:r>
              <w:rPr>
                <w:rFonts w:ascii="Calibri" w:hAnsi="Calibri"/>
                <w:b/>
                <w:color w:val="333333"/>
                <w:sz w:val="18"/>
              </w:rPr>
              <w:t>Government</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bl>
    <w:p>
      <w:pPr>
        <w:pStyle w:val="DOBody"/>
      </w:pPr>
      <w:r>
        <w:rPr>
          <w:color w:val="666666"/>
          <w:sz w:val="16"/>
        </w:rPr>
        <w:t>Shareholders: 50 triggered checks. Key: Litigation History Profile: 1 (elevated vs benchmark of 0)</w:t>
      </w:r>
    </w:p>
    <w:p>
      <w:pPr>
        <w:pStyle w:val="DOBody"/>
      </w:pPr>
      <w:r>
        <w:rPr>
          <w:color w:val="666666"/>
          <w:sz w:val="16"/>
        </w:rPr>
        <w:t>Regulators: 15 triggered checks. Key: Disclosure Complexity Score: 28 (elevated vs benchmark of 25)</w:t>
      </w:r>
    </w:p>
    <w:p>
      <w:pPr>
        <w:pStyle w:val="DOBody"/>
      </w:pPr>
      <w:r>
        <w:rPr>
          <w:color w:val="666666"/>
          <w:sz w:val="16"/>
        </w:rPr>
        <w:t>Creditors: 4 triggered checks. Key: Goodwill/Intangible as % of Equity: 97.97 (elevated vs benchmark of 50)</w:t>
      </w:r>
    </w:p>
    <w:p>
      <w:pPr>
        <w:pStyle w:val="DOBody"/>
      </w:pPr>
      <w:r>
        <w:rPr>
          <w:color w:val="666666"/>
          <w:sz w:val="16"/>
        </w:rPr>
        <w:t>Government: 4 triggered checks. Key: Product Concentration: 4 (elevated vs benchmark of 3)</w:t>
      </w:r>
    </w:p>
    <w:p>
      <w:pPr>
        <w:pStyle w:val="DOHeading3"/>
      </w:pPr>
      <w:r>
        <w:t>Bear Cases</w:t>
      </w:r>
    </w:p>
    <w:p>
      <w:pPr>
        <w:pStyle w:val="DOHeading3"/>
      </w:pPr>
      <w:r>
        <w:t>Bear Case: A Disclosure</w:t>
      </w:r>
    </w:p>
    <w:p>
      <w:pPr>
        <w:pStyle w:val="DOBody"/>
      </w:pPr>
      <w:r>
        <w:rPr>
          <w:b/>
        </w:rPr>
        <w:t>Salesforce, Inc. faces elevated exposure to securities disclosure fraud claims. Key risk indicators: Litigation History Profile (critical); Subsidiary Count Complexity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[BIZ.STRUCT.subsidiary_count] Subsidiary Count Complexity (Source: subsidiary_count)</w:t>
      </w:r>
    </w:p>
    <w:p>
      <w:pPr>
        <w:pStyle w:val="DOBody"/>
      </w:pPr>
      <w:r>
        <w:rPr>
          <w:sz w:val="16"/>
        </w:rPr>
        <w:t>3. [BIZ.STRUCT.vie_spe] VIE/SPE Off-Balance-Sheet Structures (Source: vie_spe_present)</w:t>
      </w:r>
    </w:p>
    <w:p>
      <w:pPr>
        <w:pStyle w:val="DOBody"/>
      </w:pPr>
      <w:r>
        <w:rPr>
          <w:sz w:val="16"/>
        </w:rPr>
        <w:t>4. [BIZ.DEPEND.distribution] Product Concentration (Source: distribution_channels_count)</w:t>
      </w:r>
    </w:p>
    <w:p>
      <w:pPr>
        <w:pStyle w:val="DOBody"/>
      </w:pPr>
      <w:r>
        <w:rPr>
          <w:sz w:val="16"/>
        </w:rPr>
        <w:t>5. [BIZ.EVENT.ipo_exposure] IPO/Offering Exposure Window (Source: event_ipo_exposure_score)</w:t>
      </w:r>
    </w:p>
    <w:p>
      <w:pPr>
        <w:pStyle w:val="DOBody"/>
      </w:pPr>
      <w:r>
        <w:rPr>
          <w:sz w:val="16"/>
        </w:rPr>
        <w:t>6. [BIZ.OPS.subsidiary_structure] Subsidiary Jurisdiction Structure (Source: subsidiary_structure)</w:t>
      </w:r>
    </w:p>
    <w:p>
      <w:pPr>
        <w:pStyle w:val="DOBody"/>
      </w:pPr>
      <w:r>
        <w:rPr>
          <w:sz w:val="16"/>
        </w:rPr>
        <w:t>7. [BIZ.OPS.workforce] Workforce Distribution (Source: workforce_distribution)</w:t>
      </w:r>
    </w:p>
    <w:p>
      <w:pPr>
        <w:pStyle w:val="DOBody"/>
      </w:pPr>
      <w:r>
        <w:rPr>
          <w:sz w:val="16"/>
        </w:rPr>
        <w:t>8. [BIZ.STRUC.obs_exposure] Off-Balance-Sheet Exposure (Source: obs_exposure_score)</w:t>
      </w:r>
    </w:p>
    <w:p>
      <w:pPr>
        <w:pStyle w:val="DOBody"/>
      </w:pPr>
      <w:r>
        <w:rPr>
          <w:sz w:val="16"/>
        </w:rPr>
        <w:t>9. [DISC.YOY.removed_risk_factors] Removed Risk Factors (YoY) (Source: yoy_removed_risk_count)</w:t>
      </w:r>
    </w:p>
    <w:p>
      <w:pPr>
        <w:pStyle w:val="DOBody"/>
      </w:pPr>
      <w:r>
        <w:rPr>
          <w:sz w:val="16"/>
        </w:rPr>
        <w:t>10. [EXEC.PRIOR_LIT.any_officer] Any Officer With Prior Litigation at Previous Company (Source: value)</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Executive Summary &amp; Key Metrics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BIZ.MA.goodwill_balance (Goodwill Balance): Required data not available from filings</w:t>
      </w:r>
    </w:p>
    <w:p>
      <w:pPr>
        <w:pStyle w:val="DOBody"/>
      </w:pPr>
      <w:r>
        <w:rPr>
          <w:b/>
          <w:sz w:val="16"/>
        </w:rPr>
        <w:t xml:space="preserve">  [REQUIRED] </w:t>
      </w:r>
      <w:r>
        <w:rPr>
          <w:sz w:val="16"/>
        </w:rPr>
        <w:t>BIZ.MA.acquisition_spend (Acquisition Spend Magnitude): Required data not available from filings</w:t>
      </w:r>
    </w:p>
    <w:p>
      <w:pPr>
        <w:pStyle w:val="DOBody"/>
      </w:pPr>
      <w:r>
        <w:rPr>
          <w:b/>
          <w:sz w:val="16"/>
        </w:rPr>
        <w:t xml:space="preserve">  [EVALUATIVE] </w:t>
      </w:r>
      <w:r>
        <w:rPr>
          <w:sz w:val="16"/>
        </w:rPr>
        <w:t>BIZ.MA.goodwill_change (Goodwill Trajectory): Required data not available from filings</w:t>
      </w:r>
    </w:p>
    <w:p>
      <w:pPr>
        <w:pStyle w:val="DOBody"/>
      </w:pPr>
      <w:r>
        <w:rPr>
          <w:b/>
          <w:sz w:val="16"/>
        </w:rPr>
        <w:t xml:space="preserve">  [REQUIRED] </w:t>
      </w:r>
      <w:r>
        <w:rPr>
          <w:sz w:val="16"/>
        </w:rPr>
        <w:t>BIZ.MA.acquisition_list (Recent Acquisitions): Required data not available from filings</w:t>
      </w:r>
    </w:p>
    <w:p>
      <w:pPr>
        <w:pStyle w:val="DOBody"/>
      </w:pPr>
      <w:r>
        <w:rPr>
          <w:b/>
          <w:sz w:val="16"/>
        </w:rPr>
        <w:t xml:space="preserve">  [EVALUATIVE] </w:t>
      </w:r>
      <w:r>
        <w:rPr>
          <w:sz w:val="16"/>
        </w:rPr>
        <w:t>BIZ.MODEL.key_person (Key Person Dependency):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EXEC.INSIDER.ceo_net_selling (CEO Net Seller of Stock): Required data not available from filings</w:t>
      </w:r>
    </w:p>
    <w:p>
      <w:pPr>
        <w:pStyle w:val="DOBody"/>
      </w:pPr>
      <w:r>
        <w:rPr>
          <w:b/>
          <w:sz w:val="16"/>
        </w:rPr>
        <w:t xml:space="preserve">  [EVALUATIVE] </w:t>
      </w:r>
      <w:r>
        <w:rPr>
          <w:sz w:val="16"/>
        </w:rPr>
        <w:t>EXEC.INSIDER.cfo_net_selling (CFO Net Seller of Stock): Required data not available from filings</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GOV.PAY.ceo_total (Ceo Total): Required data not available from filings</w:t>
      </w:r>
    </w:p>
    <w:p>
      <w:pPr>
        <w:pStyle w:val="DOBody"/>
      </w:pPr>
      <w:r>
        <w:rPr>
          <w:b/>
          <w:sz w:val="16"/>
        </w:rPr>
        <w:t xml:space="preserve">  [REQUIRED] </w:t>
      </w:r>
      <w:r>
        <w:rPr>
          <w:sz w:val="16"/>
        </w:rPr>
        <w:t>GOV.PAY.ceo_structure (Ceo Structure): Required data not available from filings</w:t>
      </w:r>
    </w:p>
    <w:p>
      <w:pPr>
        <w:pStyle w:val="DOBody"/>
      </w:pPr>
      <w:r>
        <w:rPr>
          <w:b/>
          <w:sz w:val="16"/>
        </w:rPr>
        <w:t xml:space="preserve">  [EVALUATIVE] </w:t>
      </w:r>
      <w:r>
        <w:rPr>
          <w:sz w:val="16"/>
        </w:rPr>
        <w:t>GOV.PAY.peer_comparison (Peer Comparison):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FIN.DERIV.notional_exposure (Derivative Notional Exposure): Required data not available from filings</w:t>
      </w:r>
    </w:p>
    <w:p>
      <w:pPr>
        <w:pStyle w:val="DOBody"/>
      </w:pPr>
      <w:r>
        <w:rPr>
          <w:b/>
          <w:sz w:val="16"/>
        </w:rPr>
        <w:t xml:space="preserve">  [EVALUATIVE] </w:t>
      </w:r>
      <w:r>
        <w:rPr>
          <w:sz w:val="16"/>
        </w:rPr>
        <w:t>FIN.DERIV.fair_value_risk (Derivative Fair Value Risk): Required data not available from filings</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FIN.FORENSIC.deferred_tax_growth (Deferred Tax Liability Growth):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STOCK.INSIDER.notable_activity (Notable Activity):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11 | Evaluative checks: 101</w:t>
      </w:r>
    </w:p>
    <w:p>
      <w:pPr>
        <w:pStyle w:val="DOBody"/>
      </w:pPr>
      <w:r>
        <w:rPr>
          <w:b/>
        </w:rPr>
        <w:t>Total: 112 checks data-unavailable out of 576 total checks (81%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TECH_DEVELOPMENT_VS_MARKETING_HYPE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AI_PROMISE_DISCONNECT</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TECH_DEVELOPMENT_RISK_DISCLOSURE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TECH_PROTOTYPE_READINESS</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AI_PROMISE_VS_DELIVERY_GAP</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PRODUCT_DEV_AI_DEPENDENCY</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TECH_PRODUCT_SALES_IMPACT</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AI_PRODUCT_TIMELINE_DISCLOSURE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2026-04-01</w:t>
            </w:r>
          </w:p>
        </w:tc>
        <w:tc>
          <w:tcPr>
            <w:tcW w:type="dxa" w:w="2520"/>
          </w:tcPr>
          <w:p>
            <w:r>
              <w:rPr>
                <w:sz w:val="18"/>
              </w:rPr>
              <w:t>EMERGING_TECH_DISCLOSURE_GAP</w:t>
            </w:r>
          </w:p>
        </w:tc>
        <w:tc>
          <w:tcPr>
            <w:tcW w:type="dxa" w:w="2520"/>
          </w:tcPr>
          <w:p>
            <w:r>
              <w:rPr>
                <w:sz w:val="18"/>
              </w:rPr>
              <w:t>Proposed by ingestion of 'blind_spot:NVDA:Whistleblower News</w:t>
            </w:r>
          </w:p>
        </w:tc>
        <w:tc>
          <w:tcPr>
            <w:tcW w:type="dxa" w:w="2520"/>
          </w:tcPr>
          <w:p>
            <w:r>
              <w:rPr>
                <w:sz w:val="18"/>
              </w:rPr>
              <w:t>ingestion_pipeline</w:t>
            </w:r>
          </w:p>
        </w:tc>
      </w:tr>
    </w:tbl>
    <w:p>
      <w:pPr>
        <w:pStyle w:val="DOHeading3"/>
      </w:pPr>
      <w:r>
        <w:t>Discovery Findings</w:t>
      </w:r>
    </w:p>
    <w:p>
      <w:pPr>
        <w:pStyle w:val="DOBody"/>
      </w:pPr>
      <w:r>
        <w:t>No new discoveries from this run.</w:t>
      </w:r>
    </w:p>
    <w:p>
      <w:pPr>
        <w:pStyle w:val="DOHeading3"/>
      </w:pPr>
      <w:r>
        <w:t>Feedback for CRM</w:t>
      </w:r>
    </w:p>
    <w:p>
      <w:pPr>
        <w:pStyle w:val="DOBody"/>
      </w:pPr>
      <w:r>
        <w:t>No pending feedback for CRM.</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Salesforce, Inc. (CRM)</w:t>
    </w:r>
    <w:r>
      <w:rPr>
        <w:color w:val="999999"/>
        <w:sz w:val="16"/>
      </w:rPr>
      <w:t xml:space="preserve">  |  Generated: 2026-04-02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