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Walt Disney Co (DIS)</w:t>
      </w:r>
    </w:p>
    <w:p>
      <w:pPr>
        <w:pStyle w:val="DOBody"/>
      </w:pPr>
      <w:r>
        <w:rPr>
          <w:color w:val="666666"/>
          <w:sz w:val="20"/>
        </w:rPr>
        <w:t>Generated: April 03,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 xml:space="preserve">**Underwriting Thesis for Walt Disney Co. (DIS)**  </w:t>
        <w:br/>
        <w:t>Walt Disney Co.’s D&amp;O risk profile is anchored by its robust 90.96 composite score, placing it firmly in the WIN tier and justifying a "must-have account, compete aggressively" stance. The primary underwriting exposure stems from a MODERATE claim probability band of 3.04% to 4.35%, driven by a 2.34% inherent risk percentage. Forensic synthesis identifies Prior Litigation as the leading deduction, costing 2.46 points against a 20-point scale and reflecting 70 identified litigation signals. This is compounded by a 1.78-point deduction for Short Interest and a 1.33-point deduction for IPO/SPAC/M&amp;A activity, the latter indicating integration risks from acquisitions like 21st Century Fox. However, these headwinds are materially offset by a clean SEC enforcement record, a stable C-suite with no departures in 18 months, and a clean audit opinion with no material weaknesses. The $171.3 billion market cap and 175,560-employee scale provide institutional resilience, while a short interest below 5% of the float signals underlying market confidence. Consequently, Disney’s tier reflects a high-quality governance baseline that absorbs litigation volatility, making its D&amp;O placement a core portfolio holding despite its elevated claim probability relative to peers.</w:t>
      </w:r>
    </w:p>
    <w:p>
      <w:pPr>
        <w:pStyle w:val="DOHeading1"/>
      </w:pPr>
      <w:r>
        <w:t>Executive Summary</w:t>
      </w:r>
    </w:p>
    <w:p>
      <w:pPr>
        <w:pStyle w:val="DOHeading2"/>
      </w:pPr>
      <w:r>
        <w:t>Underwriting Thesis</w:t>
      </w:r>
    </w:p>
    <w:p>
      <w:pPr>
        <w:pStyle w:val="DOBody"/>
      </w:pPr>
      <w:r>
        <w:rPr>
          <w:color w:val="1A1446"/>
        </w:rPr>
        <w:t>Walt Disney Co is a $171.3B (Decile 1 of 10) mega-cap communications company scoring 91/100 (WIN tier). The primary risk driver is Prior Litigation, driving elevated risk in this area. Signal-driven scoring: 70 signals, coverage=100%. At a 3-4% claim probability (2.3% adjusted rate, 0.7x the Communications sector baseline of 3.5%), this account requires primary or low-excess participation.</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Walt Disney Co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DIS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Communication Services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Entertainment</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$171.3B  [Decile 1 (largest ~400 accounts)]  (Ranks at the 33rd percentile among 9 peers)</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$94.4B</w:t>
            </w:r>
          </w:p>
        </w:tc>
        <w:tc>
          <w:tcPr>
            <w:tcW w:type="dxa" w:w="3360"/>
          </w:tcPr>
          <w:p>
            <w:r>
              <w:rPr>
                <w:rFonts w:ascii="Calibri" w:hAnsi="Calibri"/>
                <w:color w:val="333333"/>
                <w:sz w:val="18"/>
              </w:rPr>
              <w:t>[10-K 2025-09-27 CIK1744489 accn:0001744489-25-000155, filed 2025-09-27,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175,560</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7990 -- Services-Miscellaneous Amusement &amp; Recreation</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25301050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713990</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10-03</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WIN</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91.0/100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91.0/100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2.5, F2: 0.5, F3: 1.2, F4: 1.3, F5: 0.4, F6: 1.8, F7: 0.5, F8: 0.0, F9: 0.7, F10: 0.1</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91.0 falls in WIN range (86-100)</w:t>
            </w:r>
          </w:p>
        </w:tc>
      </w:tr>
      <w:tr>
        <w:tc>
          <w:tcPr>
            <w:tcW w:type="dxa" w:w="5040"/>
            <w:shd w:fill="F2F4F8" w:val="clear"/>
          </w:tcPr>
          <w:p>
            <w:r>
              <w:rPr>
                <w:rFonts w:ascii="Calibri" w:hAnsi="Calibri"/>
                <w:color w:val="333333"/>
                <w:sz w:val="18"/>
              </w:rPr>
              <w:t>Appetite</w:t>
            </w:r>
          </w:p>
        </w:tc>
        <w:tc>
          <w:tcPr>
            <w:tcW w:type="dxa" w:w="5040"/>
            <w:shd w:fill="F2F4F8" w:val="clear"/>
          </w:tcPr>
          <w:p>
            <w:r>
              <w:rPr>
                <w:rFonts w:ascii="Calibri" w:hAnsi="Calibri"/>
                <w:color w:val="333333"/>
                <w:sz w:val="18"/>
              </w:rPr>
              <w:t>Must-have account, compete aggressively</w:t>
            </w:r>
          </w:p>
        </w:tc>
      </w:tr>
    </w:tbl>
    <w:p>
      <w:pPr>
        <w:pStyle w:val="DOBody"/>
      </w:pPr>
      <w:r>
        <w:t>Classification: WIN</w:t>
      </w:r>
      <w:r>
        <w:rPr>
          <w:b/>
          <w:color w:val="2563EB"/>
          <w:sz w:val="18"/>
        </w:rPr>
        <w:t xml:space="preserve"> [MODERATE]</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Communications (Base rate: 3.5%)</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5.5%</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0.43x (quality score multiplier) -&gt; 2.3%</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2.3% adjusted claim rate, the company faces 0.7x its sector baseline of 3.5% for Communications companies. This rate reflects the MEGA cap multiplier (1.56x) combined with the quality score multiplier (0.43x from WIN tier classification).</w:t>
      </w:r>
    </w:p>
    <w:p>
      <w:pPr>
        <w:pStyle w:val="DOCaption"/>
      </w:pPr>
      <w:r>
        <w:t>Note: NEEDS CALIBRATION</w:t>
      </w:r>
    </w:p>
    <w:p>
      <w:pPr>
        <w:pStyle w:val="DOHeading3"/>
      </w:pPr>
      <w:r>
        <w:t>Underwriting Headwinds</w:t>
      </w:r>
    </w:p>
    <w:p>
      <w:pPr>
        <w:pStyle w:val="DOBody"/>
      </w:pPr>
      <w:r>
        <w:rPr>
          <w:b/>
        </w:rPr>
        <w:t>1. Structural Complexity &amp; Litigation History</w:t>
      </w:r>
      <w:r>
        <w:rPr>
          <w:b/>
          <w:color w:val="EA580C"/>
          <w:sz w:val="18"/>
        </w:rPr>
        <w:t xml:space="preserve"> [HIGH]</w:t>
      </w:r>
    </w:p>
    <w:p>
      <w:pPr>
        <w:pStyle w:val="DOBody"/>
      </w:pPr>
      <w:r>
        <w:t>Walt Disney Co has 31 subsidiaries, increasing multi-jurisdictional litigation exposure. Goodwill at 37.4% of total assets reflects an acquisition-driven strategy where integration risk and impairment charges are common SCA triggers. The current docket includes 3 derivative suits. With goodwill at 37.4% of total assets and 3 active matters, Walt Disney Co's exposure profile combines impairment risk with demonstrated plaintiff interest in this issuer. (see Litigation)</w:t>
      </w:r>
    </w:p>
    <w:p>
      <w:pPr>
        <w:pStyle w:val="DOBody"/>
      </w:pPr>
      <w:r>
        <w:rPr>
          <w:b/>
        </w:rPr>
        <w:t>2. Earnings Guidance Track Record</w:t>
      </w:r>
      <w:r>
        <w:rPr>
          <w:b/>
          <w:color w:val="EA580C"/>
          <w:sz w:val="18"/>
        </w:rPr>
        <w:t xml:space="preserve"> [HIGH]</w:t>
      </w:r>
    </w:p>
    <w:p>
      <w:pPr>
        <w:pStyle w:val="DOBody"/>
      </w:pPr>
      <w:r>
        <w:t>Walt Disney Co has missed earnings guidance in 5 quarters, with management credibility score at 79%. At $171.3B market cap with an estimated DDL of $25.5B, guidance misses generate large absolute loss figures that attract institutional lead plaintiffs. (see Market &amp; Trading)</w:t>
      </w:r>
    </w:p>
    <w:p>
      <w:pPr>
        <w:pStyle w:val="DOBody"/>
      </w:pPr>
      <w:r>
        <w:rPr>
          <w:b/>
        </w:rPr>
        <w:t>3. Stock Price Decline</w:t>
      </w:r>
      <w:r>
        <w:rPr>
          <w:b/>
          <w:color w:val="EAB308"/>
          <w:sz w:val="18"/>
        </w:rPr>
        <w:t xml:space="preserve"> [ELEVATED]</w:t>
      </w:r>
    </w:p>
    <w:p>
      <w:pPr>
        <w:pStyle w:val="DOBody"/>
      </w:pPr>
      <w:r>
        <w:t>Walt Disney Co's stock has undergone a -23% dip of -22.5% from $124.69 to $96.61 over 252 trading days. This creates an estimated Disclosure Dollar Loss (DDL) of $25.5B, among the largest potential DDL exposures in the market. (see Market &amp; Trading)</w:t>
      </w:r>
    </w:p>
    <w:p>
      <w:pPr>
        <w:pStyle w:val="DOBody"/>
      </w:pPr>
      <w:r>
        <w:rPr>
          <w:b/>
        </w:rPr>
        <w:t>4. Transaction-Related Exposure</w:t>
      </w:r>
      <w:r>
        <w:rPr>
          <w:b/>
          <w:color w:val="EAB308"/>
          <w:sz w:val="18"/>
        </w:rPr>
        <w:t xml:space="preserve"> [ELEVATED]</w:t>
      </w:r>
    </w:p>
    <w:p>
      <w:pPr>
        <w:pStyle w:val="DOBody"/>
      </w:pPr>
      <w:r>
        <w:t>Walt Disney Co has transaction-related risk factors. Goodwill at 37.4% of total assets reflects acquisition activity. Failed acquisitions are among the most common SCA triggers. At $171.3B market cap, transaction claims carry both Section 10(b) exposure (misleading disclosures) and Section 14(a) exposure (deficient proxy statements).</w:t>
      </w:r>
    </w:p>
    <w:p>
      <w:pPr>
        <w:pStyle w:val="DOBody"/>
      </w:pPr>
      <w:r>
        <w:rPr>
          <w:b/>
        </w:rPr>
        <w:t>5. Stock Volatility</w:t>
      </w:r>
      <w:r>
        <w:rPr>
          <w:b/>
          <w:color w:val="EAB308"/>
          <w:sz w:val="18"/>
        </w:rPr>
        <w:t xml:space="preserve"> [ELEVATED]</w:t>
      </w:r>
    </w:p>
    <w:p>
      <w:pPr>
        <w:pStyle w:val="DOBody"/>
      </w:pPr>
      <w:r>
        <w:t>Walt Disney Co's stock exhibits elevated volatility with a -23% dip of -22.5% from its 52-week high. The estimated DDL of $25.5B amplifies settlement severity for any corrective disclosure event. (see Market &amp; Trading)</w:t>
      </w:r>
    </w:p>
    <w:p>
      <w:pPr>
        <w:pStyle w:val="DOHeading3"/>
      </w:pPr>
      <w:r>
        <w:t>Risk Mitigants</w:t>
      </w:r>
    </w:p>
    <w:p>
      <w:pPr>
        <w:pStyle w:val="DOBody"/>
      </w:pPr>
      <w:r>
        <w:rPr>
          <w:b/>
        </w:rPr>
        <w:t>1. Clean Regulatory Record</w:t>
      </w:r>
    </w:p>
    <w:p>
      <w:pPr>
        <w:pStyle w:val="DOBody"/>
      </w:pPr>
      <w:r>
        <w:t>Walt Disney Co has no active SEC enforcement pipeline activity, open investigations, or pending Wells Notices. A clean regulatory record for Walt Disney Co eliminates the highest-severity D&amp;O claim catalyst and supports favorable underwriting consideration. (see Litigation)</w:t>
      </w:r>
    </w:p>
    <w:p>
      <w:pPr>
        <w:pStyle w:val="DOBody"/>
      </w:pPr>
      <w:r>
        <w:rPr>
          <w:b/>
        </w:rPr>
        <w:t>2. Clean Audit &amp; Accounting History</w:t>
      </w:r>
    </w:p>
    <w:p>
      <w:pPr>
        <w:pStyle w:val="DOBody"/>
      </w:pPr>
      <w:r>
        <w:t>Walt Disney Co maintains a clean audit opinion from Ernst &amp; Young with no material weaknesses, restatements, or going concern qualifications. Ernst &amp; Young's clean opinion supports disclosure reliability for Walt Disney Co's financial statements. However, goodwill at 37.4% of total assets requires ongoing impairment testing -- clean audit history does not eliminate future impairment risk. (see Financial Health)</w:t>
      </w:r>
    </w:p>
    <w:p>
      <w:pPr>
        <w:pStyle w:val="DOBody"/>
      </w:pPr>
      <w:r>
        <w:rPr>
          <w:b/>
        </w:rPr>
        <w:t>3. Sound Financial Position</w:t>
      </w:r>
    </w:p>
    <w:p>
      <w:pPr>
        <w:pStyle w:val="DOBody"/>
      </w:pPr>
      <w:r>
        <w:t>No financial distress indicators present (Altman Z-Score of 2.25, D/E of 0.38, current ratio of 0.7x, interest coverage of 7.5x). Altman Z of 2.25 is in the gray zone but other indicators do not suggest imminent distress. (see Financial Health)</w:t>
      </w:r>
    </w:p>
    <w:p>
      <w:pPr>
        <w:pStyle w:val="DOBody"/>
      </w:pPr>
      <w:r>
        <w:rPr>
          <w:b/>
        </w:rPr>
        <w:t>4. Stable Executive Leadership</w:t>
      </w:r>
    </w:p>
    <w:p>
      <w:pPr>
        <w:pStyle w:val="DOBody"/>
      </w:pPr>
      <w:r>
        <w:t>C-suite leadership is stable with no recent departures. (see Governance)</w:t>
      </w:r>
    </w:p>
    <w:p>
      <w:pPr>
        <w:pStyle w:val="DOBody"/>
      </w:pPr>
      <w:r>
        <w:rPr>
          <w:b/>
        </w:rPr>
        <w:t>5. Low Short Interest</w:t>
      </w:r>
    </w:p>
    <w:p>
      <w:pPr>
        <w:pStyle w:val="DOBody"/>
      </w:pPr>
      <w:r>
        <w:t>Short interest is low at 1.1% of float, indicating institutional investors are not positioning against the stock. At 1.1%, short positioning is minimal -- there is no institutional bearish thesis driving potential short-seller reports or activist campaigns against Walt Disney Co. (see Market &amp; Trading)</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3.0% - 4.3%</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3.5%</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$161.6M</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$337.2M</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$702.5M</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$1.5B</w:t>
            </w:r>
          </w:p>
        </w:tc>
      </w:tr>
    </w:tbl>
    <w:p>
      <w:pPr>
        <w:pStyle w:val="DOBody"/>
      </w:pPr>
      <w:r>
        <w:t>Probability Band: MODERATE</w:t>
      </w:r>
      <w:r>
        <w:rPr>
          <w:b/>
          <w:color w:val="EAB308"/>
          <w:sz w:val="18"/>
        </w:rPr>
        <w:t xml:space="preserve"> [ELEVATED]</w:t>
      </w:r>
    </w:p>
    <w:p>
      <w:pPr>
        <w:pStyle w:val="DOBody"/>
      </w:pPr>
      <w:r>
        <w:t>The 3-4% probability band represents approximately 1x the Communications sector base rate of 3.5%. Accounts in WIN tier historically produce claims at elevated frequency. Industry base rate: 3.5%. Tier WIN (0-2%): Below base rate. Strong risk profile reduces claim probability below industry average. NEEDS CALIBRATION: Probability estimates are indicative and require actuarial validation per SECT7-11. Enhanced frequency: 4.55% base x 0.96 hazard x 1.00 signal = 4.35%.</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$281.0M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Company Overview</w:t>
        <w:br/>
        <w:t>The Walt Disney Company, a $171.3 billion market cap public company since 1957, operates a globally integrated entertainment ecosystem spanning linear TV networks, direct-to-consumer streaming (Disney+, Hulu), and massive theme park resorts. Its 175,560 employees across at least five key jurisdictions create and distribute iconic IP, making its brand reputation and creative pipeline its core assets. This scale and cultural influence inherently draw multi-jurisdictional regulatory and public scrutiny, creating compliance complexity for the board in markets like China and the EU.</w:t>
        <w:br/>
        <w:br/>
        <w:t>Revenue Model</w:t>
        <w:br/>
        <w:t>Revenue flows from three segments: the high-margin, cash-generative Experiences (parks and cruises), the volatile but brand-critical Entertainment (film and TV production/distribution), and the cash-intensive Sports (ESPN). The $24 billion annual investment in content for streaming and linear platforms is a massive, discretionary capital allocation decision with long-term payoff uncertainty, exposing directors to claims of strategic misstep. The revenue engine breaks if park attendance materially declines or if content spending fails to retain subscribers, directly pressuring management's strategic bets and opening directors to oversight claims.</w:t>
        <w:br/>
        <w:br/>
        <w:t>D&amp;O Risk Profile</w:t>
        <w:br/>
        <w:t>Directors face acute exposure from activist investors challenging the strategic pivot to streaming, given its $11 billion in cumulative DTC operating losses since 2019, which forms the basis for potential fiduciary duty claims. The multi-jurisdictional regulatory footprint, specifically in China and the EU, subjects content and data privacy decisions to conflicting political pressures and potential sanctions, creating personal liability risk for directors approving those market entries. Employment litigation risk is elevated across 175k employees, but the concentrated risk is successor liability from the 2019 Fox acquisition and subsequent restructuring, which already spawned shareholder derivative suits alleging poor due diligence.</w:t>
      </w:r>
    </w:p>
    <w:p>
      <w:pPr>
        <w:pStyle w:val="DOHeading1"/>
      </w:pPr>
      <w:r>
        <w:t>Section 2: Company Profile</w:t>
      </w:r>
    </w:p>
    <w:p>
      <w:pPr>
        <w:pStyle w:val="DOBody"/>
      </w:pPr>
      <w:r>
        <w:rPr>
          <w:rFonts w:ascii="Calibri" w:hAnsi="Calibri"/>
          <w:color w:val="333333"/>
          <w:sz w:val="20"/>
        </w:rPr>
        <w:t>Walt Disney Co operates in the Entertainment industry. The company has 175,560 employees and $171.3B market cap. Key D&amp;O exposure factors include: Regulatory Multi Jurisdiction, Employment Litigation Risk, Transaction Litigation Risk.</w:t>
      </w:r>
      <w:r>
        <w:rPr>
          <w:rFonts w:ascii="Consolas" w:hAnsi="Consolas"/>
          <w:color w:val="666666"/>
          <w:sz w:val="16"/>
        </w:rPr>
        <w:t xml:space="preserve">  [derived:section_summary, 2026-04-03,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Walt Disney Co</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DIS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1744489</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Communications</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7990</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Services-Miscellaneous Amusement &amp; Recreation</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25301050</w:t>
            </w:r>
          </w:p>
        </w:tc>
        <w:tc>
          <w:tcPr>
            <w:tcW w:type="dxa" w:w="3360"/>
          </w:tcPr>
          <w:p>
            <w:r>
              <w:rPr>
                <w:rFonts w:ascii="Calibri" w:hAnsi="Calibri"/>
                <w:color w:val="333333"/>
                <w:sz w:val="18"/>
              </w:rPr>
              <w:t>[SIC-&gt;GICS mapping (SIC 7990), filed 2026-04-03,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713990</w:t>
            </w:r>
          </w:p>
        </w:tc>
        <w:tc>
          <w:tcPr>
            <w:tcW w:type="dxa" w:w="3360"/>
            <w:shd w:fill="F2F4F8" w:val="clear"/>
          </w:tcPr>
          <w:p>
            <w:r>
              <w:rPr>
                <w:rFonts w:ascii="Calibri" w:hAnsi="Calibri"/>
                <w:color w:val="333333"/>
                <w:sz w:val="18"/>
              </w:rPr>
              <w:t>[SIC-&gt;NAICS crosswalk (SIC 7990), filed 2026-04-03,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10-03</w:t>
            </w:r>
          </w:p>
        </w:tc>
        <w:tc>
          <w:tcPr>
            <w:tcW w:type="dxa" w:w="3360"/>
            <w:shd w:fill="F2F4F8" w:val="clear"/>
          </w:tcPr>
          <w:p>
            <w:r>
              <w:rPr>
                <w:rFonts w:ascii="Calibri" w:hAnsi="Calibri"/>
                <w:color w:val="333333"/>
                <w:sz w:val="18"/>
              </w:rPr>
              <w:t>[SEC EDGAR submissions, filed 2026-04-03, HIGH confidence]</w:t>
            </w:r>
          </w:p>
        </w:tc>
      </w:tr>
    </w:tbl>
    <w:p>
      <w:pPr>
        <w:pStyle w:val="DOHeading2"/>
      </w:pPr>
      <w:r>
        <w:t>Business Description</w:t>
      </w:r>
    </w:p>
    <w:p>
      <w:pPr>
        <w:pStyle w:val="DOBody"/>
      </w:pPr>
      <w:r>
        <w:rPr>
          <w:rFonts w:ascii="Calibri" w:hAnsi="Calibri"/>
          <w:color w:val="333333"/>
          <w:sz w:val="20"/>
        </w:rPr>
        <w:t>The Walt Disney Company is a diversified worldwide entertainment company with operations in three segments: Entertainment, Sports, and Experiences. The Entertainment segment includes linear networks (domestic and international TV channels), direct-to-consumer streaming services (Disney+ and Hulu), and content sales/licensing (theatrical distribution, TV/VOD, home entertainment, music, stage plays). The Sports segment is anchored by ESPN, offering linear networks, direct-to-consumer streaming, and event management. The Experiences segment includes theme parks, resorts, cruise lines, and consumer products. Revenue is generated through subscription fees, advertising, affiliate fees, park admissions, merchandise sales, and content licensing. The company leverages its iconic intellectual property across all segments to drive profitability and maintain a competitive advantage in global entertainment.</w:t>
      </w:r>
      <w:r>
        <w:rPr>
          <w:rFonts w:ascii="Consolas" w:hAnsi="Consolas"/>
          <w:color w:val="666666"/>
          <w:sz w:val="16"/>
        </w:rPr>
        <w:t xml:space="preserve">  [10-K (LLM), filed 2026-04-03, HIGH confidence]</w:t>
      </w:r>
    </w:p>
    <w:p>
      <w:pPr>
        <w:pStyle w:val="DOHeading2"/>
      </w:pPr>
      <w:r>
        <w:t>Subsidiaries</w:t>
      </w:r>
    </w:p>
    <w:p>
      <w:pPr>
        <w:pStyle w:val="DOBody"/>
      </w:pPr>
      <w:r>
        <w:rPr>
          <w:rFonts w:ascii="Calibri" w:hAnsi="Calibri"/>
          <w:color w:val="333333"/>
          <w:sz w:val="20"/>
        </w:rPr>
        <w:t>Total subsidiaries: 31</w:t>
      </w:r>
      <w:r>
        <w:rPr>
          <w:rFonts w:ascii="Consolas" w:hAnsi="Consolas"/>
          <w:color w:val="666666"/>
          <w:sz w:val="16"/>
        </w:rPr>
        <w:t xml:space="preserve">  [Exhibit 21 (subsidiary list), filed 2026-04-03, HIGH confidence]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HYBRID</w:t>
            </w:r>
          </w:p>
        </w:tc>
      </w:tr>
      <w:tr>
        <w:tc>
          <w:tcPr>
            <w:tcW w:type="dxa" w:w="5040"/>
            <w:shd w:fill="F2F4F8" w:val="clear"/>
          </w:tcPr>
          <w:p>
            <w:r>
              <w:rPr>
                <w:rFonts w:ascii="Calibri" w:hAnsi="Calibri"/>
                <w:color w:val="333333"/>
                <w:sz w:val="18"/>
              </w:rPr>
              <w:t>Key Person Risk</w:t>
            </w:r>
          </w:p>
        </w:tc>
        <w:tc>
          <w:tcPr>
            <w:tcW w:type="dxa" w:w="5040"/>
            <w:shd w:fill="F2F4F8" w:val="clear"/>
          </w:tcPr>
          <w:p>
            <w:r>
              <w:rPr>
                <w:rFonts w:ascii="Calibri" w:hAnsi="Calibri"/>
                <w:color w:val="333333"/>
                <w:sz w:val="18"/>
              </w:rPr>
              <w:t>LOW (Score: 0/3)</w:t>
            </w:r>
          </w:p>
        </w:tc>
      </w:tr>
      <w:tr>
        <w:tc>
          <w:tcPr>
            <w:tcW w:type="dxa" w:w="5040"/>
          </w:tcPr>
          <w:p>
            <w:r>
              <w:rPr>
                <w:rFonts w:ascii="Calibri" w:hAnsi="Calibri"/>
                <w:color w:val="333333"/>
                <w:sz w:val="18"/>
              </w:rPr>
              <w:t>Disruption Risk</w:t>
            </w:r>
          </w:p>
        </w:tc>
        <w:tc>
          <w:tcPr>
            <w:tcW w:type="dxa" w:w="5040"/>
          </w:tcPr>
          <w:p>
            <w:r>
              <w:rPr>
                <w:rFonts w:ascii="Calibri" w:hAnsi="Calibri"/>
                <w:color w:val="333333"/>
                <w:sz w:val="18"/>
              </w:rPr>
              <w:t>HIGH (3 threats) - Changes in technology and consumer consumption patterns affecting demand for entertainment offerings.; Shifting patterns of content consumption and how entertainment products/services are generated.; Competition from new technologies and entertainment offerings.</w:t>
            </w:r>
          </w:p>
        </w:tc>
      </w:tr>
    </w:tbl>
    <w:p>
      <w:pPr>
        <w:pStyle w:val="DOHeading2"/>
      </w:pPr>
      <w:r>
        <w:t>Operational Complexity</w:t>
      </w:r>
    </w:p>
    <w:p>
      <w:pPr>
        <w:pStyle w:val="DOBody"/>
      </w:pPr>
      <w:r>
        <w:rPr>
          <w:b/>
        </w:rPr>
        <w:t>Complexity Score: 175560/20 --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17 (8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175,560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3</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7/100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[X] Holding Depth  |  [X]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LOW (Score: 0/4) | 0 acquisition years | Goodwill growth: -1.3%</w:t>
            </w:r>
          </w:p>
        </w:tc>
      </w:tr>
    </w:tbl>
    <w:p>
      <w:pPr>
        <w:pStyle w:val="DOBody"/>
      </w:pPr>
      <w:r>
        <w:rPr>
          <w:b/>
        </w:rPr>
        <w:t>Business Changes:</w:t>
      </w:r>
    </w:p>
    <w:p>
      <w:pPr>
        <w:pStyle w:val="DOBody"/>
      </w:pPr>
      <w:r>
        <w:t xml:space="preserve">  - 15 current event filings (8-K), most recent 2026-03-20</w:t>
      </w:r>
    </w:p>
    <w:p>
      <w:pPr>
        <w:pStyle w:val="DOBody"/>
      </w:pPr>
      <w:r>
        <w:t xml:space="preserve">  - M&amp;A activity indicated (acquisition, divestiture, restructuring)</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LOW</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HIGH (3)</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MODERATE (1)</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GOOGL</w:t>
            </w:r>
          </w:p>
        </w:tc>
        <w:tc>
          <w:tcPr>
            <w:tcW w:type="dxa" w:w="2016"/>
          </w:tcPr>
          <w:p>
            <w:r>
              <w:rPr>
                <w:rFonts w:ascii="Calibri" w:hAnsi="Calibri"/>
                <w:color w:val="333333"/>
                <w:sz w:val="18"/>
              </w:rPr>
              <w:t>Alphabet Inc.</w:t>
            </w:r>
          </w:p>
        </w:tc>
        <w:tc>
          <w:tcPr>
            <w:tcW w:type="dxa" w:w="2016"/>
          </w:tcPr>
          <w:p>
            <w:r>
              <w:rPr>
                <w:rFonts w:ascii="Calibri" w:hAnsi="Calibri"/>
                <w:color w:val="333333"/>
                <w:sz w:val="18"/>
              </w:rPr>
              <w:t>$3.6T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15%</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18%</w:t>
            </w:r>
          </w:p>
        </w:tc>
      </w:tr>
      <w:tr>
        <w:tc>
          <w:tcPr>
            <w:tcW w:type="dxa" w:w="2016"/>
          </w:tcPr>
          <w:p>
            <w:r>
              <w:rPr>
                <w:rFonts w:ascii="Calibri" w:hAnsi="Calibri"/>
                <w:color w:val="333333"/>
                <w:sz w:val="18"/>
              </w:rPr>
              <w:t>NFLX</w:t>
            </w:r>
          </w:p>
        </w:tc>
        <w:tc>
          <w:tcPr>
            <w:tcW w:type="dxa" w:w="2016"/>
          </w:tcPr>
          <w:p>
            <w:r>
              <w:rPr>
                <w:rFonts w:ascii="Calibri" w:hAnsi="Calibri"/>
                <w:color w:val="333333"/>
                <w:sz w:val="18"/>
              </w:rPr>
              <w:t>Netflix, Inc.</w:t>
            </w:r>
          </w:p>
        </w:tc>
        <w:tc>
          <w:tcPr>
            <w:tcW w:type="dxa" w:w="2016"/>
          </w:tcPr>
          <w:p>
            <w:r>
              <w:rPr>
                <w:rFonts w:ascii="Calibri" w:hAnsi="Calibri"/>
                <w:color w:val="333333"/>
                <w:sz w:val="18"/>
              </w:rPr>
              <w:t>$418.5B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28%</w:t>
            </w:r>
          </w:p>
        </w:tc>
      </w:tr>
      <w:tr>
        <w:tc>
          <w:tcPr>
            <w:tcW w:type="dxa" w:w="2016"/>
            <w:shd w:fill="F2F4F8" w:val="clear"/>
          </w:tcPr>
          <w:p>
            <w:r>
              <w:rPr>
                <w:rFonts w:ascii="Calibri" w:hAnsi="Calibri"/>
                <w:color w:val="333333"/>
                <w:sz w:val="18"/>
              </w:rPr>
              <w:t>CMCSA</w:t>
            </w:r>
          </w:p>
        </w:tc>
        <w:tc>
          <w:tcPr>
            <w:tcW w:type="dxa" w:w="2016"/>
            <w:shd w:fill="F2F4F8" w:val="clear"/>
          </w:tcPr>
          <w:p>
            <w:r>
              <w:rPr>
                <w:rFonts w:ascii="Calibri" w:hAnsi="Calibri"/>
                <w:color w:val="333333"/>
                <w:sz w:val="18"/>
              </w:rPr>
              <w:t>Comcast Corporation</w:t>
            </w:r>
          </w:p>
        </w:tc>
        <w:tc>
          <w:tcPr>
            <w:tcW w:type="dxa" w:w="2016"/>
            <w:shd w:fill="F2F4F8" w:val="clear"/>
          </w:tcPr>
          <w:p>
            <w:r>
              <w:rPr>
                <w:rFonts w:ascii="Calibri" w:hAnsi="Calibri"/>
                <w:color w:val="333333"/>
                <w:sz w:val="18"/>
              </w:rPr>
              <w:t>$101.8B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28%</w:t>
            </w:r>
          </w:p>
        </w:tc>
      </w:tr>
      <w:tr>
        <w:tc>
          <w:tcPr>
            <w:tcW w:type="dxa" w:w="2016"/>
          </w:tcPr>
          <w:p>
            <w:r>
              <w:rPr>
                <w:rFonts w:ascii="Calibri" w:hAnsi="Calibri"/>
                <w:color w:val="333333"/>
                <w:sz w:val="18"/>
              </w:rPr>
              <w:t>T</w:t>
            </w:r>
          </w:p>
        </w:tc>
        <w:tc>
          <w:tcPr>
            <w:tcW w:type="dxa" w:w="2016"/>
          </w:tcPr>
          <w:p>
            <w:r>
              <w:rPr>
                <w:rFonts w:ascii="Calibri" w:hAnsi="Calibri"/>
                <w:color w:val="333333"/>
                <w:sz w:val="18"/>
              </w:rPr>
              <w:t>AT&amp;T Inc.</w:t>
            </w:r>
          </w:p>
        </w:tc>
        <w:tc>
          <w:tcPr>
            <w:tcW w:type="dxa" w:w="2016"/>
          </w:tcPr>
          <w:p>
            <w:r>
              <w:rPr>
                <w:rFonts w:ascii="Calibri" w:hAnsi="Calibri"/>
                <w:color w:val="333333"/>
                <w:sz w:val="18"/>
              </w:rPr>
              <w:t>$198.3B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44%</w:t>
            </w:r>
          </w:p>
        </w:tc>
      </w:tr>
      <w:tr>
        <w:tc>
          <w:tcPr>
            <w:tcW w:type="dxa" w:w="2016"/>
            <w:shd w:fill="F2F4F8" w:val="clear"/>
          </w:tcPr>
          <w:p>
            <w:r>
              <w:rPr>
                <w:rFonts w:ascii="Calibri" w:hAnsi="Calibri"/>
                <w:color w:val="333333"/>
                <w:sz w:val="18"/>
              </w:rPr>
              <w:t>VZ</w:t>
            </w:r>
          </w:p>
        </w:tc>
        <w:tc>
          <w:tcPr>
            <w:tcW w:type="dxa" w:w="2016"/>
            <w:shd w:fill="F2F4F8" w:val="clear"/>
          </w:tcPr>
          <w:p>
            <w:r>
              <w:rPr>
                <w:rFonts w:ascii="Calibri" w:hAnsi="Calibri"/>
                <w:color w:val="333333"/>
                <w:sz w:val="18"/>
              </w:rPr>
              <w:t>Verizon Communications Inc.</w:t>
            </w:r>
          </w:p>
        </w:tc>
        <w:tc>
          <w:tcPr>
            <w:tcW w:type="dxa" w:w="2016"/>
            <w:shd w:fill="F2F4F8" w:val="clear"/>
          </w:tcPr>
          <w:p>
            <w:r>
              <w:rPr>
                <w:rFonts w:ascii="Calibri" w:hAnsi="Calibri"/>
                <w:color w:val="333333"/>
                <w:sz w:val="18"/>
              </w:rPr>
              <w:t>$208.4B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41%</w:t>
            </w:r>
          </w:p>
        </w:tc>
      </w:tr>
      <w:tr>
        <w:tc>
          <w:tcPr>
            <w:tcW w:type="dxa" w:w="2016"/>
          </w:tcPr>
          <w:p>
            <w:r>
              <w:rPr>
                <w:rFonts w:ascii="Calibri" w:hAnsi="Calibri"/>
                <w:color w:val="333333"/>
                <w:sz w:val="18"/>
              </w:rPr>
              <w:t>TMUS</w:t>
            </w:r>
          </w:p>
        </w:tc>
        <w:tc>
          <w:tcPr>
            <w:tcW w:type="dxa" w:w="2016"/>
          </w:tcPr>
          <w:p>
            <w:r>
              <w:rPr>
                <w:rFonts w:ascii="Calibri" w:hAnsi="Calibri"/>
                <w:color w:val="333333"/>
                <w:sz w:val="18"/>
              </w:rPr>
              <w:t>T-Mobile US, Inc.</w:t>
            </w:r>
          </w:p>
        </w:tc>
        <w:tc>
          <w:tcPr>
            <w:tcW w:type="dxa" w:w="2016"/>
          </w:tcPr>
          <w:p>
            <w:r>
              <w:rPr>
                <w:rFonts w:ascii="Calibri" w:hAnsi="Calibri"/>
                <w:color w:val="333333"/>
                <w:sz w:val="18"/>
              </w:rPr>
              <w:t>$225.3B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42%</w:t>
            </w:r>
          </w:p>
        </w:tc>
      </w:tr>
      <w:tr>
        <w:tc>
          <w:tcPr>
            <w:tcW w:type="dxa" w:w="2016"/>
            <w:shd w:fill="F2F4F8" w:val="clear"/>
          </w:tcPr>
          <w:p>
            <w:r>
              <w:rPr>
                <w:rFonts w:ascii="Calibri" w:hAnsi="Calibri"/>
                <w:color w:val="333333"/>
                <w:sz w:val="18"/>
              </w:rPr>
              <w:t>CHTR</w:t>
            </w:r>
          </w:p>
        </w:tc>
        <w:tc>
          <w:tcPr>
            <w:tcW w:type="dxa" w:w="2016"/>
            <w:shd w:fill="F2F4F8" w:val="clear"/>
          </w:tcPr>
          <w:p>
            <w:r>
              <w:rPr>
                <w:rFonts w:ascii="Calibri" w:hAnsi="Calibri"/>
                <w:color w:val="333333"/>
                <w:sz w:val="18"/>
              </w:rPr>
              <w:t>Charter Communications, Inc.</w:t>
            </w:r>
          </w:p>
        </w:tc>
        <w:tc>
          <w:tcPr>
            <w:tcW w:type="dxa" w:w="2016"/>
            <w:shd w:fill="F2F4F8" w:val="clear"/>
          </w:tcPr>
          <w:p>
            <w:r>
              <w:rPr>
                <w:rFonts w:ascii="Calibri" w:hAnsi="Calibri"/>
                <w:color w:val="333333"/>
                <w:sz w:val="18"/>
              </w:rPr>
              <w:t>$27.8B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20%</w:t>
            </w:r>
          </w:p>
        </w:tc>
      </w:tr>
      <w:tr>
        <w:tc>
          <w:tcPr>
            <w:tcW w:type="dxa" w:w="2016"/>
          </w:tcPr>
          <w:p>
            <w:r>
              <w:rPr>
                <w:rFonts w:ascii="Calibri" w:hAnsi="Calibri"/>
                <w:color w:val="333333"/>
                <w:sz w:val="18"/>
              </w:rPr>
              <w:t>EA</w:t>
            </w:r>
          </w:p>
        </w:tc>
        <w:tc>
          <w:tcPr>
            <w:tcW w:type="dxa" w:w="2016"/>
          </w:tcPr>
          <w:p>
            <w:r>
              <w:rPr>
                <w:rFonts w:ascii="Calibri" w:hAnsi="Calibri"/>
                <w:color w:val="333333"/>
                <w:sz w:val="18"/>
              </w:rPr>
              <w:t>Electronic Arts Inc.</w:t>
            </w:r>
          </w:p>
        </w:tc>
        <w:tc>
          <w:tcPr>
            <w:tcW w:type="dxa" w:w="2016"/>
          </w:tcPr>
          <w:p>
            <w:r>
              <w:rPr>
                <w:rFonts w:ascii="Calibri" w:hAnsi="Calibri"/>
                <w:color w:val="333333"/>
                <w:sz w:val="18"/>
              </w:rPr>
              <w:t>$51.0B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bl>
    <w:p>
      <w:pPr>
        <w:pStyle w:val="DOBody"/>
      </w:pPr>
      <w:r>
        <w:rPr>
          <w:rFonts w:ascii="Calibri" w:hAnsi="Calibri"/>
          <w:color w:val="333333"/>
          <w:sz w:val="20"/>
        </w:rPr>
        <w:t>The peer group of 9 companies shares the same industry classification (SIC 7990). Walt Disney Co ranks at the 33rd percentile among 9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Jurisdiction</w:t>
            </w:r>
          </w:p>
        </w:tc>
        <w:tc>
          <w:tcPr>
            <w:tcW w:type="dxa" w:w="2520"/>
            <w:shd w:fill="1A1446" w:val="clear"/>
          </w:tcPr>
          <w:p>
            <w:r>
              <w:rPr>
                <w:rFonts w:ascii="Calibri" w:hAnsi="Calibri"/>
                <w:b/>
                <w:color w:val="FFFFFF"/>
                <w:sz w:val="18"/>
              </w:rPr>
              <w:t>Subsidiaries</w:t>
            </w:r>
          </w:p>
        </w:tc>
        <w:tc>
          <w:tcPr>
            <w:tcW w:type="dxa" w:w="2520"/>
            <w:shd w:fill="1A1446" w:val="clear"/>
          </w:tcPr>
          <w:p>
            <w:r>
              <w:rPr>
                <w:rFonts w:ascii="Calibri" w:hAnsi="Calibri"/>
                <w:b/>
                <w:color w:val="FFFFFF"/>
                <w:sz w:val="18"/>
              </w:rPr>
              <w:t>% of Total</w:t>
            </w:r>
          </w:p>
        </w:tc>
        <w:tc>
          <w:tcPr>
            <w:tcW w:type="dxa" w:w="2520"/>
            <w:shd w:fill="1A1446" w:val="clear"/>
          </w:tcPr>
          <w:p>
            <w:r>
              <w:rPr>
                <w:rFonts w:ascii="Calibri" w:hAnsi="Calibri"/>
                <w:b/>
                <w:color w:val="FFFFFF"/>
                <w:sz w:val="18"/>
              </w:rPr>
              <w:t>Region</w:t>
            </w:r>
          </w:p>
        </w:tc>
      </w:tr>
      <w:tr>
        <w:tc>
          <w:tcPr>
            <w:tcW w:type="dxa" w:w="2520"/>
          </w:tcPr>
          <w:p>
            <w:r>
              <w:rPr>
                <w:rFonts w:ascii="Calibri" w:hAnsi="Calibri"/>
                <w:color w:val="333333"/>
                <w:sz w:val="18"/>
              </w:rPr>
              <w:t>Hawaii</w:t>
            </w:r>
          </w:p>
        </w:tc>
        <w:tc>
          <w:tcPr>
            <w:tcW w:type="dxa" w:w="2520"/>
          </w:tcPr>
          <w:p>
            <w:r>
              <w:rPr>
                <w:rFonts w:ascii="Calibri" w:hAnsi="Calibri"/>
                <w:color w:val="333333"/>
                <w:sz w:val="18"/>
              </w:rPr>
              <w:t>1</w:t>
            </w:r>
          </w:p>
        </w:tc>
        <w:tc>
          <w:tcPr>
            <w:tcW w:type="dxa" w:w="2520"/>
          </w:tcPr>
          <w:p>
            <w:r>
              <w:rPr>
                <w:rFonts w:ascii="Calibri" w:hAnsi="Calibri"/>
                <w:color w:val="333333"/>
                <w:sz w:val="18"/>
              </w:rPr>
              <w:t>3.2%</w:t>
            </w:r>
          </w:p>
        </w:tc>
        <w:tc>
          <w:tcPr>
            <w:tcW w:type="dxa" w:w="2520"/>
          </w:tcPr>
          <w:p>
            <w:r>
              <w:rPr>
                <w:rFonts w:ascii="Calibri" w:hAnsi="Calibri"/>
                <w:color w:val="333333"/>
                <w:sz w:val="18"/>
              </w:rPr>
              <w:t>US</w:t>
            </w:r>
          </w:p>
        </w:tc>
      </w:tr>
      <w:tr>
        <w:tc>
          <w:tcPr>
            <w:tcW w:type="dxa" w:w="2520"/>
            <w:shd w:fill="F2F4F8" w:val="clear"/>
          </w:tcPr>
          <w:p>
            <w:r>
              <w:rPr>
                <w:rFonts w:ascii="Calibri" w:hAnsi="Calibri"/>
                <w:color w:val="333333"/>
                <w:sz w:val="18"/>
              </w:rPr>
              <w:t>New York</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3.2%</w:t>
            </w:r>
          </w:p>
        </w:tc>
        <w:tc>
          <w:tcPr>
            <w:tcW w:type="dxa" w:w="2520"/>
            <w:shd w:fill="F2F4F8" w:val="clear"/>
          </w:tcPr>
          <w:p>
            <w:r>
              <w:rPr>
                <w:rFonts w:ascii="Calibri" w:hAnsi="Calibri"/>
                <w:color w:val="333333"/>
                <w:sz w:val="18"/>
              </w:rPr>
              <w:t>US</w:t>
            </w:r>
          </w:p>
        </w:tc>
      </w:tr>
      <w:tr>
        <w:tc>
          <w:tcPr>
            <w:tcW w:type="dxa" w:w="2520"/>
          </w:tcPr>
          <w:p>
            <w:r>
              <w:rPr>
                <w:rFonts w:ascii="Calibri" w:hAnsi="Calibri"/>
                <w:color w:val="333333"/>
                <w:sz w:val="18"/>
              </w:rPr>
              <w:t>Singapore</w:t>
            </w:r>
          </w:p>
        </w:tc>
        <w:tc>
          <w:tcPr>
            <w:tcW w:type="dxa" w:w="2520"/>
          </w:tcPr>
          <w:p>
            <w:r>
              <w:rPr>
                <w:rFonts w:ascii="Calibri" w:hAnsi="Calibri"/>
                <w:color w:val="333333"/>
                <w:sz w:val="18"/>
              </w:rPr>
              <w:t>4</w:t>
            </w:r>
          </w:p>
        </w:tc>
        <w:tc>
          <w:tcPr>
            <w:tcW w:type="dxa" w:w="2520"/>
          </w:tcPr>
          <w:p>
            <w:r>
              <w:rPr>
                <w:rFonts w:ascii="Calibri" w:hAnsi="Calibri"/>
                <w:color w:val="333333"/>
                <w:sz w:val="18"/>
              </w:rPr>
              <w:t>12.9%</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China [HIGH RISK]</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12.9%</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France</w:t>
            </w:r>
          </w:p>
        </w:tc>
        <w:tc>
          <w:tcPr>
            <w:tcW w:type="dxa" w:w="2520"/>
          </w:tcPr>
          <w:p>
            <w:r>
              <w:rPr>
                <w:rFonts w:ascii="Calibri" w:hAnsi="Calibri"/>
                <w:color w:val="333333"/>
                <w:sz w:val="18"/>
              </w:rPr>
              <w:t>3</w:t>
            </w:r>
          </w:p>
        </w:tc>
        <w:tc>
          <w:tcPr>
            <w:tcW w:type="dxa" w:w="2520"/>
          </w:tcPr>
          <w:p>
            <w:r>
              <w:rPr>
                <w:rFonts w:ascii="Calibri" w:hAnsi="Calibri"/>
                <w:color w:val="333333"/>
                <w:sz w:val="18"/>
              </w:rPr>
              <w:t>9.7%</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United Kingdom</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6.5%</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Argentina</w:t>
            </w:r>
          </w:p>
        </w:tc>
        <w:tc>
          <w:tcPr>
            <w:tcW w:type="dxa" w:w="2520"/>
          </w:tcPr>
          <w:p>
            <w:r>
              <w:rPr>
                <w:rFonts w:ascii="Calibri" w:hAnsi="Calibri"/>
                <w:color w:val="333333"/>
                <w:sz w:val="18"/>
              </w:rPr>
              <w:t>2</w:t>
            </w:r>
          </w:p>
        </w:tc>
        <w:tc>
          <w:tcPr>
            <w:tcW w:type="dxa" w:w="2520"/>
          </w:tcPr>
          <w:p>
            <w:r>
              <w:rPr>
                <w:rFonts w:ascii="Calibri" w:hAnsi="Calibri"/>
                <w:color w:val="333333"/>
                <w:sz w:val="18"/>
              </w:rPr>
              <w:t>6.5%</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Australia</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6.5%</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Germany</w:t>
            </w:r>
          </w:p>
        </w:tc>
        <w:tc>
          <w:tcPr>
            <w:tcW w:type="dxa" w:w="2520"/>
          </w:tcPr>
          <w:p>
            <w:r>
              <w:rPr>
                <w:rFonts w:ascii="Calibri" w:hAnsi="Calibri"/>
                <w:color w:val="333333"/>
                <w:sz w:val="18"/>
              </w:rPr>
              <w:t>2</w:t>
            </w:r>
          </w:p>
        </w:tc>
        <w:tc>
          <w:tcPr>
            <w:tcW w:type="dxa" w:w="2520"/>
          </w:tcPr>
          <w:p>
            <w:r>
              <w:rPr>
                <w:rFonts w:ascii="Calibri" w:hAnsi="Calibri"/>
                <w:color w:val="333333"/>
                <w:sz w:val="18"/>
              </w:rPr>
              <w:t>6.5%</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Japan</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6.5%</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Mexico</w:t>
            </w:r>
          </w:p>
        </w:tc>
        <w:tc>
          <w:tcPr>
            <w:tcW w:type="dxa" w:w="2520"/>
          </w:tcPr>
          <w:p>
            <w:r>
              <w:rPr>
                <w:rFonts w:ascii="Calibri" w:hAnsi="Calibri"/>
                <w:color w:val="333333"/>
                <w:sz w:val="18"/>
              </w:rPr>
              <w:t>2</w:t>
            </w:r>
          </w:p>
        </w:tc>
        <w:tc>
          <w:tcPr>
            <w:tcW w:type="dxa" w:w="2520"/>
          </w:tcPr>
          <w:p>
            <w:r>
              <w:rPr>
                <w:rFonts w:ascii="Calibri" w:hAnsi="Calibri"/>
                <w:color w:val="333333"/>
                <w:sz w:val="18"/>
              </w:rPr>
              <w:t>6.5%</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India</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3.2%</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Netherlands</w:t>
            </w:r>
          </w:p>
        </w:tc>
        <w:tc>
          <w:tcPr>
            <w:tcW w:type="dxa" w:w="2520"/>
          </w:tcPr>
          <w:p>
            <w:r>
              <w:rPr>
                <w:rFonts w:ascii="Calibri" w:hAnsi="Calibri"/>
                <w:color w:val="333333"/>
                <w:sz w:val="18"/>
              </w:rPr>
              <w:t>1</w:t>
            </w:r>
          </w:p>
        </w:tc>
        <w:tc>
          <w:tcPr>
            <w:tcW w:type="dxa" w:w="2520"/>
          </w:tcPr>
          <w:p>
            <w:r>
              <w:rPr>
                <w:rFonts w:ascii="Calibri" w:hAnsi="Calibri"/>
                <w:color w:val="333333"/>
                <w:sz w:val="18"/>
              </w:rPr>
              <w:t>3.2%</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Hong Kong</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3.2%</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British Virgin Islands</w:t>
            </w:r>
          </w:p>
        </w:tc>
        <w:tc>
          <w:tcPr>
            <w:tcW w:type="dxa" w:w="2520"/>
          </w:tcPr>
          <w:p>
            <w:r>
              <w:rPr>
                <w:rFonts w:ascii="Calibri" w:hAnsi="Calibri"/>
                <w:color w:val="333333"/>
                <w:sz w:val="18"/>
              </w:rPr>
              <w:t>1</w:t>
            </w:r>
          </w:p>
        </w:tc>
        <w:tc>
          <w:tcPr>
            <w:tcW w:type="dxa" w:w="2520"/>
          </w:tcPr>
          <w:p>
            <w:r>
              <w:rPr>
                <w:rFonts w:ascii="Calibri" w:hAnsi="Calibri"/>
                <w:color w:val="333333"/>
                <w:sz w:val="18"/>
              </w:rPr>
              <w:t>3.2%</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Cayman Islands</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3.2%</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Brazil</w:t>
            </w:r>
          </w:p>
        </w:tc>
        <w:tc>
          <w:tcPr>
            <w:tcW w:type="dxa" w:w="2520"/>
          </w:tcPr>
          <w:p>
            <w:r>
              <w:rPr>
                <w:rFonts w:ascii="Calibri" w:hAnsi="Calibri"/>
                <w:color w:val="333333"/>
                <w:sz w:val="18"/>
              </w:rPr>
              <w:t>1</w:t>
            </w:r>
          </w:p>
        </w:tc>
        <w:tc>
          <w:tcPr>
            <w:tcW w:type="dxa" w:w="2520"/>
          </w:tcPr>
          <w:p>
            <w:r>
              <w:rPr>
                <w:rFonts w:ascii="Calibri" w:hAnsi="Calibri"/>
                <w:color w:val="333333"/>
                <w:sz w:val="18"/>
              </w:rPr>
              <w:t>3.2%</w:t>
            </w:r>
          </w:p>
        </w:tc>
        <w:tc>
          <w:tcPr>
            <w:tcW w:type="dxa" w:w="2520"/>
          </w:tcPr>
          <w:p>
            <w:r>
              <w:rPr>
                <w:rFonts w:ascii="Calibri" w:hAnsi="Calibri"/>
                <w:color w:val="333333"/>
                <w:sz w:val="18"/>
              </w:rPr>
              <w:t>Int'l</w:t>
            </w:r>
          </w:p>
        </w:tc>
      </w:tr>
    </w:tbl>
    <w:p>
      <w:pPr>
        <w:pStyle w:val="DOCaption"/>
      </w:pPr>
      <w:r>
        <w:t>Total: 31 subsidiaries across 2 US states and 15 international jurisdictions. International exposure: 94% of entity footprint. Multi-jurisdiction operations increase regulatory, tax, and litigation complexity for D&amp;O exposure.</w:t>
      </w:r>
    </w:p>
    <w:p>
      <w:pPr>
        <w:pStyle w:val="DOBody"/>
      </w:pPr>
      <w:r>
        <w:rPr>
          <w:b/>
        </w:rPr>
        <w:t>D&amp;O Alert: Operations in high-risk jurisdictions: China. Sanctions compliance and regulatory exposure elevated.</w:t>
      </w:r>
      <w:r>
        <w:rPr>
          <w:b/>
          <w:color w:val="EA580C"/>
          <w:sz w:val="18"/>
        </w:rPr>
        <w:t xml:space="preserve"> [HIGH]</w:t>
      </w:r>
    </w:p>
    <w:p>
      <w:pPr>
        <w:pStyle w:val="DOHeading2"/>
      </w:pPr>
      <w:r>
        <w:t>Customer &amp; Supplier Concentration</w:t>
      </w:r>
    </w:p>
    <w:p>
      <w:pPr>
        <w:pStyle w:val="DOBody"/>
      </w:pPr>
      <w:r>
        <w:t>Concentration data not available from filings.</w:t>
      </w:r>
    </w:p>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COMM (COMM)</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4.5%</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$40.0M -- $150.0M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$25.7B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1.30x</w:t>
            </w:r>
          </w:p>
        </w:tc>
      </w:tr>
    </w:tbl>
    <w:p>
      <w:pPr>
        <w:pStyle w:val="DOHeading2"/>
      </w:pPr>
      <w:r>
        <w:t>Hazard Profile (Inherent Exposure Score)</w:t>
      </w:r>
    </w:p>
    <w:p>
      <w:pPr>
        <w:pStyle w:val="DOBody"/>
      </w:pPr>
      <w:r>
        <w:rPr>
          <w:b/>
        </w:rPr>
        <w:t>IES: 46/100 (MODERATE) | Multiplier: 0.96x | Data Coverage: 74%</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Goodwill-Heavy Balance Sheet</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Goodwill 37.1% of assets (HIGH -- impairment risk)</w:t>
            </w:r>
          </w:p>
        </w:tc>
      </w:tr>
      <w:tr>
        <w:tc>
          <w:tcPr>
            <w:tcW w:type="dxa" w:w="2520"/>
            <w:shd w:fill="F2F4F8" w:val="clear"/>
          </w:tcPr>
          <w:p>
            <w:r>
              <w:rPr>
                <w:rFonts w:ascii="Calibri" w:hAnsi="Calibri"/>
                <w:color w:val="333333"/>
                <w:sz w:val="18"/>
              </w:rPr>
              <w:t>Board Independence</w:t>
            </w:r>
          </w:p>
        </w:tc>
        <w:tc>
          <w:tcPr>
            <w:tcW w:type="dxa" w:w="2520"/>
            <w:shd w:fill="F2F4F8" w:val="clear"/>
          </w:tcPr>
          <w:p>
            <w:r>
              <w:rPr>
                <w:rFonts w:ascii="Calibri" w:hAnsi="Calibri"/>
                <w:color w:val="333333"/>
                <w:sz w:val="18"/>
              </w:rPr>
              <w:t>100</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Proxy: independence score 0.0; Estimated from related indicators.</w:t>
            </w:r>
          </w:p>
        </w:tc>
      </w:tr>
      <w:tr>
        <w:tc>
          <w:tcPr>
            <w:tcW w:type="dxa" w:w="2520"/>
          </w:tcPr>
          <w:p>
            <w:r>
              <w:rPr>
                <w:rFonts w:ascii="Calibri" w:hAnsi="Calibri"/>
                <w:color w:val="333333"/>
                <w:sz w:val="18"/>
              </w:rPr>
              <w:t>Geopolitical Risk</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17 geographic regions (significant international exposure)</w:t>
            </w:r>
          </w:p>
        </w:tc>
      </w:tr>
      <w:tr>
        <w:tc>
          <w:tcPr>
            <w:tcW w:type="dxa" w:w="2520"/>
            <w:shd w:fill="F2F4F8" w:val="clear"/>
          </w:tcPr>
          <w:p>
            <w:r>
              <w:rPr>
                <w:rFonts w:ascii="Calibri" w:hAnsi="Calibri"/>
                <w:color w:val="333333"/>
                <w:sz w:val="18"/>
              </w:rPr>
              <w:t>Industry Expertise Match</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No executives with explicit COMM background in bios</w:t>
            </w:r>
          </w:p>
        </w:tc>
      </w:tr>
      <w:tr>
        <w:tc>
          <w:tcPr>
            <w:tcW w:type="dxa" w:w="2520"/>
          </w:tcPr>
          <w:p>
            <w:r>
              <w:rPr>
                <w:rFonts w:ascii="Calibri" w:hAnsi="Calibri"/>
                <w:color w:val="333333"/>
                <w:sz w:val="18"/>
              </w:rPr>
              <w:t>Combined CEO / Board Chair</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CEO and Chair roles combined -- concentrated authority</w:t>
            </w:r>
          </w:p>
        </w:tc>
      </w:tr>
      <w:tr>
        <w:tc>
          <w:tcPr>
            <w:tcW w:type="dxa" w:w="2520"/>
            <w:shd w:fill="F2F4F8" w:val="clear"/>
          </w:tcPr>
          <w:p>
            <w:r>
              <w:rPr>
                <w:rFonts w:ascii="Calibri" w:hAnsi="Calibri"/>
                <w:color w:val="333333"/>
                <w:sz w:val="18"/>
              </w:rPr>
              <w:t>Geographic Complexity</w:t>
            </w:r>
          </w:p>
        </w:tc>
        <w:tc>
          <w:tcPr>
            <w:tcW w:type="dxa" w:w="2520"/>
            <w:shd w:fill="F2F4F8" w:val="clear"/>
          </w:tcPr>
          <w:p>
            <w:r>
              <w:rPr>
                <w:rFonts w:ascii="Calibri" w:hAnsi="Calibri"/>
                <w:color w:val="333333"/>
                <w:sz w:val="18"/>
              </w:rPr>
              <w:t>60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17 geographic regions, 31 subsidiaries (HIGH)</w:t>
            </w:r>
          </w:p>
        </w:tc>
      </w:tr>
      <w:tr>
        <w:tc>
          <w:tcPr>
            <w:tcW w:type="dxa" w:w="2520"/>
          </w:tcPr>
          <w:p>
            <w:r>
              <w:rPr>
                <w:rFonts w:ascii="Calibri" w:hAnsi="Calibri"/>
                <w:color w:val="333333"/>
                <w:sz w:val="18"/>
              </w:rPr>
              <w:t>M&amp;A Activity</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1 acquisition(s) noted; Goodwill 37.1% of assets (HIGH)</w:t>
            </w:r>
          </w:p>
        </w:tc>
      </w:tr>
      <w:tr>
        <w:tc>
          <w:tcPr>
            <w:tcW w:type="dxa" w:w="2520"/>
            <w:shd w:fill="F2F4F8" w:val="clear"/>
          </w:tcPr>
          <w:p>
            <w:r>
              <w:rPr>
                <w:rFonts w:ascii="Calibri" w:hAnsi="Calibri"/>
                <w:color w:val="333333"/>
                <w:sz w:val="18"/>
              </w:rPr>
              <w:t>Customer &amp; Supplier Concentration</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Capital Intensity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CapEx/Revenue 8.5% (MODERATE); PP&amp;E/Assets 20.9% (MODERATE)</w:t>
            </w:r>
          </w:p>
        </w:tc>
      </w:tr>
      <w:tr>
        <w:tc>
          <w:tcPr>
            <w:tcW w:type="dxa" w:w="2520"/>
            <w:shd w:fill="F2F4F8" w:val="clear"/>
          </w:tcPr>
          <w:p>
            <w:r>
              <w:rPr>
                <w:rFonts w:ascii="Calibri" w:hAnsi="Calibri"/>
                <w:color w:val="333333"/>
                <w:sz w:val="18"/>
              </w:rPr>
              <w:t>Technology Platform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Founder-Led vs Professional Management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Management Turnover</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Off-Balance Sheet Arrangements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OBS indicator: LITIGATION: Exclusive forum provision in bylaws; Estimated from related indicators.</w:t>
            </w:r>
          </w:p>
        </w:tc>
      </w:tr>
      <w:tr>
        <w:tc>
          <w:tcPr>
            <w:tcW w:type="dxa" w:w="2520"/>
            <w:shd w:fill="F2F4F8" w:val="clear"/>
          </w:tcPr>
          <w:p>
            <w:r>
              <w:rPr>
                <w:rFonts w:ascii="Calibri" w:hAnsi="Calibri"/>
                <w:color w:val="333333"/>
                <w:sz w:val="18"/>
              </w:rPr>
              <w:t>Related Party Transactions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Capital Markets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Audit Committee Quality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Committee quality score 0.0/10 (weak); Estimated from related indicators.</w:t>
            </w:r>
          </w:p>
        </w:tc>
      </w:tr>
      <w:tr>
        <w:tc>
          <w:tcPr>
            <w:tcW w:type="dxa" w:w="2520"/>
          </w:tcPr>
          <w:p>
            <w:r>
              <w:rPr>
                <w:rFonts w:ascii="Calibri" w:hAnsi="Calibri"/>
                <w:color w:val="333333"/>
                <w:sz w:val="18"/>
              </w:rPr>
              <w:t>Shareholder Rights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IPO Recency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Seasoning &amp; Track Record</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Acquisition Machine (1.27x): Serial acquirer with goodwill-heavy balance sheet and integration risk</w:t>
      </w:r>
    </w:p>
    <w:p>
      <w:pPr>
        <w:pStyle w:val="DOBody"/>
      </w:pPr>
      <w:r>
        <w:rPr>
          <w:b/>
        </w:rPr>
        <w:t>Elevated Co-occurrence (1.09x): 7 dimensions scoring above 60% threshold</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Goodwill-Heavy Balance Sheet</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Goodwill 37.1% of assets (HIGH -- impairment risk)</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100</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0.0</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17 geographic regions (significant international exposure)</w:t>
            </w:r>
          </w:p>
        </w:tc>
      </w:tr>
      <w:tr>
        <w:tc>
          <w:tcPr>
            <w:tcW w:type="dxa" w:w="2016"/>
            <w:shd w:fill="F2F4F8" w:val="clear"/>
          </w:tcPr>
          <w:p>
            <w:r>
              <w:rPr>
                <w:rFonts w:ascii="Calibri" w:hAnsi="Calibri"/>
                <w:color w:val="333333"/>
                <w:sz w:val="18"/>
              </w:rPr>
              <w:t>Industry Expertise Match</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executives with explicit COMM background in bios</w:t>
            </w:r>
          </w:p>
        </w:tc>
      </w:tr>
      <w:tr>
        <w:tc>
          <w:tcPr>
            <w:tcW w:type="dxa" w:w="2016"/>
          </w:tcPr>
          <w:p>
            <w:r>
              <w:rPr>
                <w:rFonts w:ascii="Calibri" w:hAnsi="Calibri"/>
                <w:color w:val="333333"/>
                <w:sz w:val="18"/>
              </w:rPr>
              <w:t>Combined CEO / Board Chair</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CEO and Chair roles combined -- concentrated authority</w:t>
            </w:r>
          </w:p>
        </w:tc>
      </w:tr>
      <w:tr>
        <w:tc>
          <w:tcPr>
            <w:tcW w:type="dxa" w:w="2016"/>
            <w:shd w:fill="F2F4F8" w:val="clear"/>
          </w:tcPr>
          <w:p>
            <w:r>
              <w:rPr>
                <w:rFonts w:ascii="Calibri" w:hAnsi="Calibri"/>
                <w:color w:val="333333"/>
                <w:sz w:val="18"/>
              </w:rPr>
              <w:t>Geographic Complexity</w:t>
            </w:r>
          </w:p>
        </w:tc>
        <w:tc>
          <w:tcPr>
            <w:tcW w:type="dxa" w:w="2016"/>
            <w:shd w:fill="F2F4F8" w:val="clear"/>
          </w:tcPr>
          <w:p>
            <w:r>
              <w:rPr>
                <w:rFonts w:ascii="Calibri" w:hAnsi="Calibri"/>
                <w:color w:val="333333"/>
                <w:sz w:val="18"/>
              </w:rPr>
              <w:t>60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17 geographic regions, 31 subsidiaries (HIGH)</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Customer &amp; Supplier Concentration</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Capital Intensity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CapEx/Revenue 8.5% (MODERATE)</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Founder-Led vs Professional Management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Management Turnover</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Off-Balance Sheet Arrangements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OBS indicator: LITIGATION: Exclusive forum provision in bylaws</w:t>
            </w:r>
          </w:p>
        </w:tc>
      </w:tr>
      <w:tr>
        <w:tc>
          <w:tcPr>
            <w:tcW w:type="dxa" w:w="2016"/>
            <w:shd w:fill="F2F4F8" w:val="clear"/>
          </w:tcPr>
          <w:p>
            <w:r>
              <w:rPr>
                <w:rFonts w:ascii="Calibri" w:hAnsi="Calibri"/>
                <w:color w:val="333333"/>
                <w:sz w:val="18"/>
              </w:rPr>
              <w:t>Related Party Transactions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Capital Markets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Audit Committee Quality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Committee quality score 0.0/10 (weak)</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IPO Recency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'COMM' maps to risk score 4.0/10.0</w:t>
            </w:r>
          </w:p>
        </w:tc>
      </w:tr>
      <w:tr>
        <w:tc>
          <w:tcPr>
            <w:tcW w:type="dxa" w:w="2016"/>
            <w:shd w:fill="F2F4F8" w:val="clear"/>
          </w:tcPr>
          <w:p>
            <w:r>
              <w:rPr>
                <w:rFonts w:ascii="Calibri" w:hAnsi="Calibri"/>
                <w:color w:val="333333"/>
                <w:sz w:val="18"/>
              </w:rPr>
              <w:t>Compensation Structure</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Clawback policy in place</w:t>
            </w:r>
          </w:p>
        </w:tc>
      </w:tr>
      <w:tr>
        <w:tc>
          <w:tcPr>
            <w:tcW w:type="dxa" w:w="2016"/>
          </w:tcPr>
          <w:p>
            <w:r>
              <w:rPr>
                <w:rFonts w:ascii="Calibri" w:hAnsi="Calibri"/>
                <w:color w:val="333333"/>
                <w:sz w:val="18"/>
              </w:rPr>
              <w:t>Industry Regulatory Spotlight</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'COMM' regulatory spotlight level: 1.0/3.0</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DE (standard D&amp;O protections)</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Workforce &amp; Labor Model</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Large workforce (175,560 employees) -- labor risk surface</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Proxy: 1 key person dependency mentions in risk factors</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1.46 -- aligned</w:t>
            </w:r>
          </w:p>
        </w:tc>
      </w:tr>
      <w:tr>
        <w:tc>
          <w:tcPr>
            <w:tcW w:type="dxa" w:w="2016"/>
            <w:shd w:fill="F2F4F8" w:val="clear"/>
          </w:tcPr>
          <w:p>
            <w:r>
              <w:rPr>
                <w:rFonts w:ascii="Calibri" w:hAnsi="Calibri"/>
                <w:color w:val="333333"/>
                <w:sz w:val="18"/>
              </w:rPr>
              <w:t>Industry Litigation Wave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'COMM' litigation wave level: 0.5/3.0</w:t>
            </w:r>
          </w:p>
        </w:tc>
      </w:tr>
      <w:tr>
        <w:tc>
          <w:tcPr>
            <w:tcW w:type="dxa" w:w="2016"/>
          </w:tcPr>
          <w:p>
            <w:r>
              <w:rPr>
                <w:rFonts w:ascii="Calibri" w:hAnsi="Calibri"/>
                <w:color w:val="333333"/>
                <w:sz w:val="18"/>
              </w:rPr>
              <w:t>Cybersecurity Governance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Minimal cybersecurity disclosure (1 mention)</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3.4% (STABLE)</w:t>
            </w:r>
          </w:p>
        </w:tc>
      </w:tr>
      <w:tr>
        <w:tc>
          <w:tcPr>
            <w:tcW w:type="dxa" w:w="2016"/>
          </w:tcPr>
          <w:p>
            <w:r>
              <w:rPr>
                <w:rFonts w:ascii="Calibri" w:hAnsi="Calibri"/>
                <w:color w:val="333333"/>
                <w:sz w:val="18"/>
              </w:rPr>
              <w:t>Business Model Complexity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'COMM' regulatory intensity: 0.0/5.0</w:t>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Dual-Class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Management Public Company Experience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Leverage &amp; Capital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Debt/Equity 0.38 (LOW)</w:t>
            </w:r>
          </w:p>
        </w:tc>
      </w:tr>
      <w:tr>
        <w:tc>
          <w:tcPr>
            <w:tcW w:type="dxa" w:w="2016"/>
          </w:tcPr>
          <w:p>
            <w:r>
              <w:rPr>
                <w:rFonts w:ascii="Calibri" w:hAnsi="Calibri"/>
                <w:color w:val="333333"/>
                <w:sz w:val="18"/>
              </w:rPr>
              <w:t>Earnings Quality Characteristics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Beneish M-Score -3.09 -- safe zone</w:t>
            </w:r>
          </w:p>
        </w:tc>
      </w:tr>
      <w:tr>
        <w:tc>
          <w:tcPr>
            <w:tcW w:type="dxa" w:w="2016"/>
            <w:shd w:fill="F2F4F8" w:val="clear"/>
          </w:tcPr>
          <w:p>
            <w:r>
              <w:rPr>
                <w:rFonts w:ascii="Calibri" w:hAnsi="Calibri"/>
                <w:color w:val="333333"/>
                <w:sz w:val="18"/>
              </w:rPr>
              <w:t>Pre-Revenue / Cash Burn</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Revenue-generating company with positive cash flow profile</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Exchange &amp; Index Membership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Listed on NYSE (major exchange -- standard oversight)</w:t>
            </w:r>
          </w:p>
        </w:tc>
      </w:tr>
      <w:tr>
        <w:tc>
          <w:tcPr>
            <w:tcW w:type="dxa" w:w="2016"/>
            <w:shd w:fill="F2F4F8" w:val="clear"/>
          </w:tcPr>
          <w:p>
            <w:r>
              <w:rPr>
                <w:rFonts w:ascii="Calibri" w:hAnsi="Calibri"/>
                <w:color w:val="333333"/>
                <w:sz w:val="18"/>
              </w:rPr>
              <w:t>FPI / ADR Status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Domestic issuer (standard SEC reporting)</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ESG/climate exposure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29.8</w:t>
            </w:r>
          </w:p>
        </w:tc>
        <w:tc>
          <w:tcPr>
            <w:tcW w:type="dxa" w:w="1680"/>
          </w:tcPr>
          <w:p>
            <w:r>
              <w:rPr>
                <w:rFonts w:ascii="Calibri" w:hAnsi="Calibri"/>
                <w:color w:val="333333"/>
                <w:sz w:val="18"/>
              </w:rPr>
              <w:t>9.7</w:t>
            </w:r>
          </w:p>
        </w:tc>
        <w:tc>
          <w:tcPr>
            <w:tcW w:type="dxa" w:w="1680"/>
          </w:tcPr>
          <w:p>
            <w:r>
              <w:rPr>
                <w:rFonts w:ascii="Calibri" w:hAnsi="Calibri"/>
                <w:color w:val="333333"/>
                <w:sz w:val="18"/>
              </w:rPr>
              <w:t>10/13</w:t>
            </w:r>
          </w:p>
        </w:tc>
        <w:tc>
          <w:tcPr>
            <w:tcW w:type="dxa" w:w="1680"/>
          </w:tcPr>
          <w:p>
            <w:r>
              <w:rPr>
                <w:rFonts w:ascii="Calibri" w:hAnsi="Calibri"/>
                <w:color w:val="333333"/>
                <w:sz w:val="18"/>
              </w:rPr>
              <w:t>77%</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29.2</w:t>
            </w:r>
          </w:p>
        </w:tc>
        <w:tc>
          <w:tcPr>
            <w:tcW w:type="dxa" w:w="1680"/>
            <w:shd w:fill="F2F4F8" w:val="clear"/>
          </w:tcPr>
          <w:p>
            <w:r>
              <w:rPr>
                <w:rFonts w:ascii="Calibri" w:hAnsi="Calibri"/>
                <w:color w:val="333333"/>
                <w:sz w:val="18"/>
              </w:rPr>
              <w:t>4.4</w:t>
            </w:r>
          </w:p>
        </w:tc>
        <w:tc>
          <w:tcPr>
            <w:tcW w:type="dxa" w:w="1680"/>
            <w:shd w:fill="F2F4F8" w:val="clear"/>
          </w:tcPr>
          <w:p>
            <w:r>
              <w:rPr>
                <w:rFonts w:ascii="Calibri" w:hAnsi="Calibri"/>
                <w:color w:val="333333"/>
                <w:sz w:val="18"/>
              </w:rPr>
              <w:t>5/8</w:t>
            </w:r>
          </w:p>
        </w:tc>
        <w:tc>
          <w:tcPr>
            <w:tcW w:type="dxa" w:w="1680"/>
            <w:shd w:fill="F2F4F8" w:val="clear"/>
          </w:tcPr>
          <w:p>
            <w:r>
              <w:rPr>
                <w:rFonts w:ascii="Calibri" w:hAnsi="Calibri"/>
                <w:color w:val="333333"/>
                <w:sz w:val="18"/>
              </w:rPr>
              <w:t>62%</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33.3</w:t>
            </w:r>
          </w:p>
        </w:tc>
        <w:tc>
          <w:tcPr>
            <w:tcW w:type="dxa" w:w="1680"/>
          </w:tcPr>
          <w:p>
            <w:r>
              <w:rPr>
                <w:rFonts w:ascii="Calibri" w:hAnsi="Calibri"/>
                <w:color w:val="333333"/>
                <w:sz w:val="18"/>
              </w:rPr>
              <w:t>5.0</w:t>
            </w:r>
          </w:p>
        </w:tc>
        <w:tc>
          <w:tcPr>
            <w:tcW w:type="dxa" w:w="1680"/>
          </w:tcPr>
          <w:p>
            <w:r>
              <w:rPr>
                <w:rFonts w:ascii="Calibri" w:hAnsi="Calibri"/>
                <w:color w:val="333333"/>
                <w:sz w:val="18"/>
              </w:rPr>
              <w:t>6/8</w:t>
            </w:r>
          </w:p>
        </w:tc>
        <w:tc>
          <w:tcPr>
            <w:tcW w:type="dxa" w:w="1680"/>
          </w:tcPr>
          <w:p>
            <w:r>
              <w:rPr>
                <w:rFonts w:ascii="Calibri" w:hAnsi="Calibri"/>
                <w:color w:val="333333"/>
                <w:sz w:val="18"/>
              </w:rPr>
              <w:t>75%</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40.6</w:t>
            </w:r>
          </w:p>
        </w:tc>
        <w:tc>
          <w:tcPr>
            <w:tcW w:type="dxa" w:w="1680"/>
            <w:shd w:fill="F2F4F8" w:val="clear"/>
          </w:tcPr>
          <w:p>
            <w:r>
              <w:rPr>
                <w:rFonts w:ascii="Calibri" w:hAnsi="Calibri"/>
                <w:color w:val="333333"/>
                <w:sz w:val="18"/>
              </w:rPr>
              <w:t>3.0</w:t>
            </w:r>
          </w:p>
        </w:tc>
        <w:tc>
          <w:tcPr>
            <w:tcW w:type="dxa" w:w="1680"/>
            <w:shd w:fill="F2F4F8" w:val="clear"/>
          </w:tcPr>
          <w:p>
            <w:r>
              <w:rPr>
                <w:rFonts w:ascii="Calibri" w:hAnsi="Calibri"/>
                <w:color w:val="333333"/>
                <w:sz w:val="18"/>
              </w:rPr>
              <w:t>7/8</w:t>
            </w:r>
          </w:p>
        </w:tc>
        <w:tc>
          <w:tcPr>
            <w:tcW w:type="dxa" w:w="1680"/>
            <w:shd w:fill="F2F4F8" w:val="clear"/>
          </w:tcPr>
          <w:p>
            <w:r>
              <w:rPr>
                <w:rFonts w:ascii="Calibri" w:hAnsi="Calibri"/>
                <w:color w:val="333333"/>
                <w:sz w:val="18"/>
              </w:rPr>
              <w:t>88%</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30.0</w:t>
            </w:r>
          </w:p>
        </w:tc>
        <w:tc>
          <w:tcPr>
            <w:tcW w:type="dxa" w:w="1680"/>
          </w:tcPr>
          <w:p>
            <w:r>
              <w:rPr>
                <w:rFonts w:ascii="Calibri" w:hAnsi="Calibri"/>
                <w:color w:val="333333"/>
                <w:sz w:val="18"/>
              </w:rPr>
              <w:t>3.0</w:t>
            </w:r>
          </w:p>
        </w:tc>
        <w:tc>
          <w:tcPr>
            <w:tcW w:type="dxa" w:w="1680"/>
          </w:tcPr>
          <w:p>
            <w:r>
              <w:rPr>
                <w:rFonts w:ascii="Calibri" w:hAnsi="Calibri"/>
                <w:color w:val="333333"/>
                <w:sz w:val="18"/>
              </w:rPr>
              <w:t>2/5</w:t>
            </w:r>
          </w:p>
        </w:tc>
        <w:tc>
          <w:tcPr>
            <w:tcW w:type="dxa" w:w="1680"/>
          </w:tcPr>
          <w:p>
            <w:r>
              <w:rPr>
                <w:rFonts w:ascii="Calibri" w:hAnsi="Calibri"/>
                <w:color w:val="333333"/>
                <w:sz w:val="18"/>
              </w:rPr>
              <w:t>40%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50.0</w:t>
            </w:r>
          </w:p>
        </w:tc>
        <w:tc>
          <w:tcPr>
            <w:tcW w:type="dxa" w:w="1680"/>
            <w:shd w:fill="F2F4F8" w:val="clear"/>
          </w:tcPr>
          <w:p>
            <w:r>
              <w:rPr>
                <w:rFonts w:ascii="Calibri" w:hAnsi="Calibri"/>
                <w:color w:val="333333"/>
                <w:sz w:val="18"/>
              </w:rPr>
              <w:t>5.0</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27.8</w:t>
            </w:r>
          </w:p>
        </w:tc>
        <w:tc>
          <w:tcPr>
            <w:tcW w:type="dxa" w:w="1680"/>
          </w:tcPr>
          <w:p>
            <w:r>
              <w:rPr>
                <w:rFonts w:ascii="Calibri" w:hAnsi="Calibri"/>
                <w:color w:val="333333"/>
                <w:sz w:val="18"/>
              </w:rPr>
              <w:t>2.8</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Cybersecurity threats and incidents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 faces an increasingly challenging cybersecurity environment, and from time to time the persistent efforts of bad actors to gain unauthorized access to our and our service providers' information systems and our confidential and proprietary information are successful.</w:t>
            </w:r>
          </w:p>
        </w:tc>
      </w:tr>
      <w:tr>
        <w:tc>
          <w:tcPr>
            <w:tcW w:type="dxa" w:w="2016"/>
            <w:shd w:fill="F2F4F8" w:val="clear"/>
          </w:tcPr>
          <w:p>
            <w:r>
              <w:rPr>
                <w:rFonts w:ascii="Calibri" w:hAnsi="Calibri"/>
                <w:color w:val="333333"/>
                <w:sz w:val="18"/>
              </w:rPr>
              <w:t>Declines in U.S., global and regional economic conditions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Declines in U.S., global and regional economic conditions, such as recessions, other less severe slowdowns in economic activity and/or inflationary conditions typically adversely affect demand for our products and services and/or costs to operate our businesses, reducing our revenue and earnings.</w:t>
            </w:r>
          </w:p>
        </w:tc>
      </w:tr>
      <w:tr>
        <w:tc>
          <w:tcPr>
            <w:tcW w:type="dxa" w:w="2016"/>
          </w:tcPr>
          <w:p>
            <w:r>
              <w:rPr>
                <w:rFonts w:ascii="Calibri" w:hAnsi="Calibri"/>
                <w:color w:val="333333"/>
                <w:sz w:val="18"/>
              </w:rPr>
              <w:t>Changes in technology and consumer consumption patterns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The media entertainment and technology businesses in which we participate increasingly depend on our ability to successfully adapt to new technologies, including shifting patterns of content consumption and how entertainment products and services are generated.</w:t>
            </w:r>
          </w:p>
        </w:tc>
      </w:tr>
      <w:tr>
        <w:tc>
          <w:tcPr>
            <w:tcW w:type="dxa" w:w="2016"/>
            <w:shd w:fill="F2F4F8" w:val="clear"/>
          </w:tcPr>
          <w:p>
            <w:r>
              <w:rPr>
                <w:rFonts w:ascii="Calibri" w:hAnsi="Calibri"/>
                <w:color w:val="333333"/>
                <w:sz w:val="18"/>
              </w:rPr>
              <w:t>Extensive government regulation</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Our businesses are subject to extensive government regulation in the U.S. and internationally. Laws and regulations in any of these and other areas and changes in judicial and agency interpretation or regulatory priorities, actions or initiatives require us to incur additional costs and may limit our ability to implement our business strategies as planned.</w:t>
            </w:r>
          </w:p>
        </w:tc>
      </w:tr>
      <w:tr>
        <w:tc>
          <w:tcPr>
            <w:tcW w:type="dxa" w:w="2016"/>
          </w:tcPr>
          <w:p>
            <w:r>
              <w:rPr>
                <w:rFonts w:ascii="Calibri" w:hAnsi="Calibri"/>
                <w:color w:val="333333"/>
                <w:sz w:val="18"/>
              </w:rPr>
              <w:t>Fluctuations in foreign currency exchange rates</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Fluctuations in foreign currency exchange rates against the U.S. dollar impact our results of operations, including by impacting the cost in U.S. dollars of providing our goods and services, our revenues in U.S. dollars generated by our international businesses and the international demand for our domestic products and services.</w:t>
            </w:r>
          </w:p>
        </w:tc>
      </w:tr>
      <w:tr>
        <w:tc>
          <w:tcPr>
            <w:tcW w:type="dxa" w:w="2016"/>
            <w:shd w:fill="F2F4F8" w:val="clear"/>
          </w:tcPr>
          <w:p>
            <w:r>
              <w:rPr>
                <w:rFonts w:ascii="Calibri" w:hAnsi="Calibri"/>
                <w:color w:val="333333"/>
                <w:sz w:val="18"/>
              </w:rPr>
              <w:t>Exclusive forum provision in bylaws</w:t>
            </w:r>
          </w:p>
        </w:tc>
        <w:tc>
          <w:tcPr>
            <w:tcW w:type="dxa" w:w="2016"/>
            <w:shd w:fill="F2F4F8" w:val="clear"/>
          </w:tcPr>
          <w:p>
            <w:r>
              <w:rPr>
                <w:rFonts w:ascii="Calibri" w:hAnsi="Calibri"/>
                <w:color w:val="333333"/>
                <w:sz w:val="18"/>
              </w:rPr>
              <w:t>LITIGATION</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The Company's amended and restated bylaws provide to the fullest extent permitted by law that the Court of Chancery of the State of Delaware will be the exclusive forum for certain legal actions between the Company and its stockholders, which could increase costs to bring a claim, discourage claims or limit the ability of the Company's stockholders to bring a claim in a judicial forum viewed by the stockholders as more favorable.</w:t>
            </w:r>
          </w:p>
        </w:tc>
      </w:tr>
    </w:tbl>
    <w:p>
      <w:pPr>
        <w:pStyle w:val="DOCaption"/>
      </w:pPr>
      <w:r>
        <w:t>6 D&amp;O-relevant risk factors (0 new this year, 4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Disney's stock has declined 22.5% from its 52-week high of $124.69 to a current price of $96.61, with its most severe single-day drop of 9.51% occurring on May 7, 2024, following an earnings release. This sharp decline, which exceeds the typical 10-15% Dura Pharmaceuticals threshold for stock-drop litigation, is notable given the net insider buying activity and the 100% of all $559,056 in insider selling being executed under 10b5-1 plans. The entirely planned selling weakens any Tellabs inference of scienter, shifting plaintiff focus to operational disclosures. The low 1.13% short interest, which has been declining over six months, reflects market disappointment rather than fraud allegations, aligning with the prevailing 'Buy' analyst consensus despite zero recent upgrades or downgrades. The underwriting catch is that the litigation narrative will center on the credibility of forward guidance around streaming profitability and park margins, the precise issues that triggered the 9.51% May 7th drop. My pricing would reflect heightened securities class action risk from this clear loss causation event, offset only modestly by the favorable insider trading profile and a low F2 score deduction of 0.54 points.</w:t>
      </w:r>
    </w:p>
    <w:p>
      <w:pPr>
        <w:pStyle w:val="DOHeading1"/>
      </w:pPr>
      <w:r>
        <w:t>Section 4: Market &amp; Trading Analysis</w:t>
      </w:r>
    </w:p>
    <w:p>
      <w:pPr>
        <w:pStyle w:val="DOBody"/>
      </w:pPr>
      <w:r>
        <w:rPr>
          <w:rFonts w:ascii="Calibri" w:hAnsi="Calibri"/>
          <w:color w:val="333333"/>
          <w:sz w:val="20"/>
        </w:rPr>
        <w:t>The stock trades 22.5% below its 52-week high ($125 to current $97), entering the range where SCA filings become economically viable. Worst single-day decline: 9.5% on 2024-05-07 triggered by earnings_release. Short interest of 1.1% of float is low (6-month trend: DECLINING). Analyst consensus: BUY.</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593460"/>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593460"/>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11490"/>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11490"/>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384912"/>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384912"/>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97945"/>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97945"/>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$96.61</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$124.69</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$80.10</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9.9%</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-25.0%</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26.7%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1.44</w:t>
            </w:r>
          </w:p>
        </w:tc>
      </w:tr>
    </w:tbl>
    <w:p>
      <w:pPr>
        <w:pStyle w:val="DOBody"/>
      </w:pPr>
      <w:r>
        <w:t>10 significant stock decline events detected in the 1Y period: 3 critical (&gt;10%), 7 notable (5-10%). 10 were company-specific, 4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FF3CD" w:val="clear"/>
          </w:tcPr>
          <w:p>
            <w:r>
              <w:rPr>
                <w:rFonts w:ascii="Calibri" w:hAnsi="Calibri"/>
                <w:color w:val="333333"/>
                <w:sz w:val="18"/>
              </w:rPr>
              <w:t>2026-02-02</w:t>
            </w:r>
          </w:p>
        </w:tc>
        <w:tc>
          <w:tcPr>
            <w:tcW w:type="dxa" w:w="1440"/>
            <w:shd w:fill="FFF3CD" w:val="clear"/>
          </w:tcPr>
          <w:p>
            <w:r>
              <w:rPr>
                <w:rFonts w:ascii="Calibri" w:hAnsi="Calibri"/>
                <w:color w:val="333333"/>
                <w:sz w:val="18"/>
              </w:rPr>
              <w:t>-7.4%</w:t>
            </w:r>
          </w:p>
        </w:tc>
        <w:tc>
          <w:tcPr>
            <w:tcW w:type="dxa" w:w="1440"/>
            <w:shd w:fill="FFF3CD" w:val="clear"/>
          </w:tcPr>
          <w:p>
            <w:r>
              <w:rPr>
                <w:rFonts w:ascii="Calibri" w:hAnsi="Calibri"/>
                <w:color w:val="333333"/>
                <w:sz w:val="18"/>
              </w:rPr>
              <w:t>80%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2025-11-13</w:t>
            </w:r>
          </w:p>
        </w:tc>
        <w:tc>
          <w:tcPr>
            <w:tcW w:type="dxa" w:w="1440"/>
            <w:shd w:fill="F2F4F8" w:val="clear"/>
            <w:shd w:fill="FFF3CD" w:val="clear"/>
          </w:tcPr>
          <w:p>
            <w:r>
              <w:rPr>
                <w:rFonts w:ascii="Calibri" w:hAnsi="Calibri"/>
                <w:color w:val="333333"/>
                <w:sz w:val="18"/>
              </w:rPr>
              <w:t>-7.8%</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38 days</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2026-02-12</w:t>
            </w:r>
          </w:p>
        </w:tc>
        <w:tc>
          <w:tcPr>
            <w:tcW w:type="dxa" w:w="1440"/>
            <w:shd w:fill="FFF3CD" w:val="clear"/>
          </w:tcPr>
          <w:p>
            <w:r>
              <w:rPr>
                <w:rFonts w:ascii="Calibri" w:hAnsi="Calibri"/>
                <w:color w:val="333333"/>
                <w:sz w:val="18"/>
              </w:rPr>
              <w:t>-5.3%</w:t>
            </w:r>
          </w:p>
        </w:tc>
        <w:tc>
          <w:tcPr>
            <w:tcW w:type="dxa" w:w="1440"/>
            <w:shd w:fill="FFF3CD" w:val="clear"/>
          </w:tcPr>
          <w:p>
            <w:r>
              <w:rPr>
                <w:rFonts w:ascii="Calibri" w:hAnsi="Calibri"/>
                <w:color w:val="333333"/>
                <w:sz w:val="18"/>
              </w:rPr>
              <w:t>83%</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2025-04-03 to 2025-04-10 (8d)</w:t>
            </w:r>
          </w:p>
        </w:tc>
        <w:tc>
          <w:tcPr>
            <w:tcW w:type="dxa" w:w="1440"/>
            <w:shd w:fill="F2F4F8" w:val="clear"/>
            <w:shd w:fill="FCE8E6" w:val="clear"/>
          </w:tcPr>
          <w:p>
            <w:r>
              <w:rPr>
                <w:rFonts w:ascii="Calibri" w:hAnsi="Calibri"/>
                <w:color w:val="333333"/>
                <w:sz w:val="18"/>
              </w:rPr>
              <w:t>-17.2%</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https://apnews.com/hub/walt-disney-co</w:t>
            </w:r>
          </w:p>
        </w:tc>
      </w:tr>
      <w:tr>
        <w:tc>
          <w:tcPr>
            <w:tcW w:type="dxa" w:w="1440"/>
            <w:shd w:fill="FCE8E6" w:val="clear"/>
          </w:tcPr>
          <w:p>
            <w:r>
              <w:rPr>
                <w:rFonts w:ascii="Calibri" w:hAnsi="Calibri"/>
                <w:color w:val="333333"/>
                <w:sz w:val="18"/>
              </w:rPr>
              <w:t>2025-04-07 (5d)</w:t>
            </w:r>
          </w:p>
        </w:tc>
        <w:tc>
          <w:tcPr>
            <w:tcW w:type="dxa" w:w="1440"/>
            <w:shd w:fill="FCE8E6" w:val="clear"/>
          </w:tcPr>
          <w:p>
            <w:r>
              <w:rPr>
                <w:rFonts w:ascii="Calibri" w:hAnsi="Calibri"/>
                <w:color w:val="333333"/>
                <w:sz w:val="18"/>
              </w:rPr>
              <w:t>-15.6%</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2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https://apnews.com/hub/walt-disney-co</w:t>
            </w:r>
          </w:p>
        </w:tc>
      </w:tr>
      <w:tr>
        <w:tc>
          <w:tcPr>
            <w:tcW w:type="dxa" w:w="1440"/>
            <w:shd w:fill="F2F4F8" w:val="clear"/>
            <w:shd w:fill="FCE8E6" w:val="clear"/>
          </w:tcPr>
          <w:p>
            <w:r>
              <w:rPr>
                <w:rFonts w:ascii="Calibri" w:hAnsi="Calibri"/>
                <w:color w:val="333333"/>
                <w:sz w:val="18"/>
              </w:rPr>
              <w:t>2025-04-04 (2d)</w:t>
            </w:r>
          </w:p>
        </w:tc>
        <w:tc>
          <w:tcPr>
            <w:tcW w:type="dxa" w:w="1440"/>
            <w:shd w:fill="F2F4F8" w:val="clear"/>
            <w:shd w:fill="FCE8E6" w:val="clear"/>
          </w:tcPr>
          <w:p>
            <w:r>
              <w:rPr>
                <w:rFonts w:ascii="Calibri" w:hAnsi="Calibri"/>
                <w:color w:val="333333"/>
                <w:sz w:val="18"/>
              </w:rPr>
              <w:t>-14.7%</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3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https://apnews.com/hub/walt-disney-co</w:t>
            </w:r>
          </w:p>
        </w:tc>
      </w:tr>
      <w:tr>
        <w:tc>
          <w:tcPr>
            <w:tcW w:type="dxa" w:w="1440"/>
            <w:shd w:fill="FFF3CD" w:val="clear"/>
          </w:tcPr>
          <w:p>
            <w:r>
              <w:rPr>
                <w:rFonts w:ascii="Calibri" w:hAnsi="Calibri"/>
                <w:color w:val="333333"/>
                <w:sz w:val="18"/>
              </w:rPr>
              <w:t>2025-04-03 (2d)</w:t>
            </w:r>
          </w:p>
        </w:tc>
        <w:tc>
          <w:tcPr>
            <w:tcW w:type="dxa" w:w="1440"/>
            <w:shd w:fill="FFF3CD" w:val="clear"/>
          </w:tcPr>
          <w:p>
            <w:r>
              <w:rPr>
                <w:rFonts w:ascii="Calibri" w:hAnsi="Calibri"/>
                <w:color w:val="333333"/>
                <w:sz w:val="18"/>
              </w:rPr>
              <w:t>-6.0%</w:t>
            </w:r>
          </w:p>
        </w:tc>
        <w:tc>
          <w:tcPr>
            <w:tcW w:type="dxa" w:w="1440"/>
            <w:shd w:fill="FFF3CD" w:val="clear"/>
          </w:tcPr>
          <w:p>
            <w:r>
              <w:rPr>
                <w:rFonts w:ascii="Calibri" w:hAnsi="Calibri"/>
                <w:color w:val="333333"/>
                <w:sz w:val="18"/>
              </w:rPr>
              <w:t>25%</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Market-Wide Event</w:t>
            </w:r>
          </w:p>
        </w:tc>
        <w:tc>
          <w:tcPr>
            <w:tcW w:type="dxa" w:w="1440"/>
            <w:shd w:fill="FFF3CD" w:val="clear"/>
          </w:tcPr>
          <w:p>
            <w:r>
              <w:rPr>
                <w:rFonts w:ascii="Calibri" w:hAnsi="Calibri"/>
                <w:color w:val="333333"/>
                <w:sz w:val="18"/>
              </w:rPr>
              <w:t>https://apnews.com/hub/walt-disney-co</w:t>
            </w:r>
          </w:p>
        </w:tc>
      </w:tr>
      <w:tr>
        <w:tc>
          <w:tcPr>
            <w:tcW w:type="dxa" w:w="1440"/>
            <w:shd w:fill="F2F4F8" w:val="clear"/>
            <w:shd w:fill="FFF3CD" w:val="clear"/>
          </w:tcPr>
          <w:p>
            <w:r>
              <w:rPr>
                <w:rFonts w:ascii="Calibri" w:hAnsi="Calibri"/>
                <w:color w:val="333333"/>
                <w:sz w:val="18"/>
              </w:rPr>
              <w:t>2025-04-10</w:t>
            </w:r>
          </w:p>
        </w:tc>
        <w:tc>
          <w:tcPr>
            <w:tcW w:type="dxa" w:w="1440"/>
            <w:shd w:fill="F2F4F8" w:val="clear"/>
            <w:shd w:fill="FFF3CD" w:val="clear"/>
          </w:tcPr>
          <w:p>
            <w:r>
              <w:rPr>
                <w:rFonts w:ascii="Calibri" w:hAnsi="Calibri"/>
                <w:color w:val="333333"/>
                <w:sz w:val="18"/>
              </w:rPr>
              <w:t>-6.8%</w:t>
            </w:r>
          </w:p>
        </w:tc>
        <w:tc>
          <w:tcPr>
            <w:tcW w:type="dxa" w:w="1440"/>
            <w:shd w:fill="F2F4F8" w:val="clear"/>
            <w:shd w:fill="FFF3CD" w:val="clear"/>
          </w:tcPr>
          <w:p>
            <w:r>
              <w:rPr>
                <w:rFonts w:ascii="Calibri" w:hAnsi="Calibri"/>
                <w:color w:val="333333"/>
                <w:sz w:val="18"/>
              </w:rPr>
              <w:t>25%</w:t>
            </w:r>
          </w:p>
        </w:tc>
        <w:tc>
          <w:tcPr>
            <w:tcW w:type="dxa" w:w="1440"/>
            <w:shd w:fill="F2F4F8" w:val="clear"/>
            <w:shd w:fill="FFF3CD" w:val="clear"/>
          </w:tcPr>
          <w:p>
            <w:r>
              <w:rPr>
                <w:rFonts w:ascii="Calibri" w:hAnsi="Calibri"/>
                <w:color w:val="333333"/>
                <w:sz w:val="18"/>
              </w:rPr>
              <w:t>15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Market-Wide Event</w:t>
            </w:r>
          </w:p>
        </w:tc>
        <w:tc>
          <w:tcPr>
            <w:tcW w:type="dxa" w:w="1440"/>
            <w:shd w:fill="F2F4F8" w:val="clear"/>
            <w:shd w:fill="FFF3CD" w:val="clear"/>
          </w:tcPr>
          <w:p>
            <w:r>
              <w:rPr>
                <w:rFonts w:ascii="Calibri" w:hAnsi="Calibri"/>
                <w:color w:val="333333"/>
                <w:sz w:val="18"/>
              </w:rPr>
              <w:t>https://apnews.com/hub/walt-disney-co</w:t>
            </w:r>
          </w:p>
        </w:tc>
      </w:tr>
      <w:tr>
        <w:tc>
          <w:tcPr>
            <w:tcW w:type="dxa" w:w="1440"/>
            <w:shd w:fill="FFF3CD" w:val="clear"/>
          </w:tcPr>
          <w:p>
            <w:r>
              <w:rPr>
                <w:rFonts w:ascii="Calibri" w:hAnsi="Calibri"/>
                <w:color w:val="333333"/>
                <w:sz w:val="18"/>
              </w:rPr>
              <w:t>2025-03-11</w:t>
            </w:r>
          </w:p>
        </w:tc>
        <w:tc>
          <w:tcPr>
            <w:tcW w:type="dxa" w:w="1440"/>
            <w:shd w:fill="FFF3CD" w:val="clear"/>
          </w:tcPr>
          <w:p>
            <w:r>
              <w:rPr>
                <w:rFonts w:ascii="Calibri" w:hAnsi="Calibri"/>
                <w:color w:val="333333"/>
                <w:sz w:val="18"/>
              </w:rPr>
              <w:t>-5.0%</w:t>
            </w:r>
          </w:p>
        </w:tc>
        <w:tc>
          <w:tcPr>
            <w:tcW w:type="dxa" w:w="1440"/>
            <w:shd w:fill="FFF3CD" w:val="clear"/>
          </w:tcPr>
          <w:p>
            <w:r>
              <w:rPr>
                <w:rFonts w:ascii="Calibri" w:hAnsi="Calibri"/>
                <w:color w:val="333333"/>
                <w:sz w:val="18"/>
              </w:rPr>
              <w:t>23%</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https://apnews.com/hub/walt-disney-co</w:t>
            </w:r>
          </w:p>
        </w:tc>
      </w:tr>
      <w:tr>
        <w:tc>
          <w:tcPr>
            <w:tcW w:type="dxa" w:w="1440"/>
            <w:shd w:fill="F2F4F8" w:val="clear"/>
            <w:shd w:fill="FFF3CD" w:val="clear"/>
          </w:tcPr>
          <w:p>
            <w:r>
              <w:rPr>
                <w:rFonts w:ascii="Calibri" w:hAnsi="Calibri"/>
                <w:color w:val="333333"/>
                <w:sz w:val="18"/>
              </w:rPr>
              <w:t>2024-05-07</w:t>
            </w:r>
          </w:p>
        </w:tc>
        <w:tc>
          <w:tcPr>
            <w:tcW w:type="dxa" w:w="1440"/>
            <w:shd w:fill="F2F4F8" w:val="clear"/>
            <w:shd w:fill="FFF3CD" w:val="clear"/>
          </w:tcPr>
          <w:p>
            <w:r>
              <w:rPr>
                <w:rFonts w:ascii="Calibri" w:hAnsi="Calibri"/>
                <w:color w:val="333333"/>
                <w:sz w:val="18"/>
              </w:rPr>
              <w:t>-9.5%</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https://apnews.com/hub/walt-disney-co</w:t>
            </w:r>
          </w:p>
        </w:tc>
      </w:tr>
    </w:tbl>
    <w:p>
      <w:pPr>
        <w:pStyle w:val="DOBody"/>
      </w:pPr>
      <w:r>
        <w:t>3 significant stock decline events detected in the 5Y period: 3 critical (&gt;10%). 3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2025-04-03 to 2025-04-10 (8d)</w:t>
            </w:r>
          </w:p>
        </w:tc>
        <w:tc>
          <w:tcPr>
            <w:tcW w:type="dxa" w:w="1440"/>
            <w:shd w:fill="FCE8E6" w:val="clear"/>
          </w:tcPr>
          <w:p>
            <w:r>
              <w:rPr>
                <w:rFonts w:ascii="Calibri" w:hAnsi="Calibri"/>
                <w:color w:val="333333"/>
                <w:sz w:val="18"/>
              </w:rPr>
              <w:t>-17.2%</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https://apnews.com/hub/walt-disney-co</w:t>
            </w:r>
          </w:p>
        </w:tc>
      </w:tr>
      <w:tr>
        <w:tc>
          <w:tcPr>
            <w:tcW w:type="dxa" w:w="1440"/>
            <w:shd w:fill="F2F4F8" w:val="clear"/>
            <w:shd w:fill="FCE8E6" w:val="clear"/>
          </w:tcPr>
          <w:p>
            <w:r>
              <w:rPr>
                <w:rFonts w:ascii="Calibri" w:hAnsi="Calibri"/>
                <w:color w:val="333333"/>
                <w:sz w:val="18"/>
              </w:rPr>
              <w:t>2025-04-07 (5d)</w:t>
            </w:r>
          </w:p>
        </w:tc>
        <w:tc>
          <w:tcPr>
            <w:tcW w:type="dxa" w:w="1440"/>
            <w:shd w:fill="F2F4F8" w:val="clear"/>
            <w:shd w:fill="FCE8E6" w:val="clear"/>
          </w:tcPr>
          <w:p>
            <w:r>
              <w:rPr>
                <w:rFonts w:ascii="Calibri" w:hAnsi="Calibri"/>
                <w:color w:val="333333"/>
                <w:sz w:val="18"/>
              </w:rPr>
              <w:t>-15.6%</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2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https://apnews.com/hub/walt-disney-co</w:t>
            </w:r>
          </w:p>
        </w:tc>
      </w:tr>
      <w:tr>
        <w:tc>
          <w:tcPr>
            <w:tcW w:type="dxa" w:w="1440"/>
            <w:shd w:fill="FCE8E6" w:val="clear"/>
          </w:tcPr>
          <w:p>
            <w:r>
              <w:rPr>
                <w:rFonts w:ascii="Calibri" w:hAnsi="Calibri"/>
                <w:color w:val="333333"/>
                <w:sz w:val="18"/>
              </w:rPr>
              <w:t>2025-04-04 (2d)</w:t>
            </w:r>
          </w:p>
        </w:tc>
        <w:tc>
          <w:tcPr>
            <w:tcW w:type="dxa" w:w="1440"/>
            <w:shd w:fill="FCE8E6" w:val="clear"/>
          </w:tcPr>
          <w:p>
            <w:r>
              <w:rPr>
                <w:rFonts w:ascii="Calibri" w:hAnsi="Calibri"/>
                <w:color w:val="333333"/>
                <w:sz w:val="18"/>
              </w:rPr>
              <w:t>-14.7%</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3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https://apnews.com/hub/walt-disney-co</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1.1% (Ranks at the 86th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1.90</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DECLINING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0.8%</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$1.58</w:t>
            </w:r>
          </w:p>
        </w:tc>
        <w:tc>
          <w:tcPr>
            <w:tcW w:type="dxa" w:w="1680"/>
          </w:tcPr>
          <w:p>
            <w:r>
              <w:rPr>
                <w:rFonts w:ascii="Calibri" w:hAnsi="Calibri"/>
                <w:color w:val="333333"/>
                <w:sz w:val="18"/>
              </w:rPr>
              <w:t>$1.63</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+3.4%</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$1.02</w:t>
            </w:r>
          </w:p>
        </w:tc>
        <w:tc>
          <w:tcPr>
            <w:tcW w:type="dxa" w:w="1680"/>
            <w:shd w:fill="F2F4F8" w:val="clear"/>
          </w:tcPr>
          <w:p>
            <w:r>
              <w:rPr>
                <w:rFonts w:ascii="Calibri" w:hAnsi="Calibri"/>
                <w:color w:val="333333"/>
                <w:sz w:val="18"/>
              </w:rPr>
              <w:t>$1.11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+8.4%</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$1.45</w:t>
            </w:r>
          </w:p>
        </w:tc>
        <w:tc>
          <w:tcPr>
            <w:tcW w:type="dxa" w:w="1680"/>
          </w:tcPr>
          <w:p>
            <w:r>
              <w:rPr>
                <w:rFonts w:ascii="Calibri" w:hAnsi="Calibri"/>
                <w:color w:val="333333"/>
                <w:sz w:val="18"/>
              </w:rPr>
              <w:t>$1.61</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+11.3%</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$1.21</w:t>
            </w:r>
          </w:p>
        </w:tc>
        <w:tc>
          <w:tcPr>
            <w:tcW w:type="dxa" w:w="1680"/>
            <w:shd w:fill="F2F4F8" w:val="clear"/>
          </w:tcPr>
          <w:p>
            <w:r>
              <w:rPr>
                <w:rFonts w:ascii="Calibri" w:hAnsi="Calibri"/>
                <w:color w:val="333333"/>
                <w:sz w:val="18"/>
              </w:rPr>
              <w:t>$1.45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+19.8%</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$1.43</w:t>
            </w:r>
          </w:p>
        </w:tc>
        <w:tc>
          <w:tcPr>
            <w:tcW w:type="dxa" w:w="1680"/>
          </w:tcPr>
          <w:p>
            <w:r>
              <w:rPr>
                <w:rFonts w:ascii="Calibri" w:hAnsi="Calibri"/>
                <w:color w:val="333333"/>
                <w:sz w:val="18"/>
              </w:rPr>
              <w:t>$1.76</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+22.9%</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$1.11</w:t>
            </w:r>
          </w:p>
        </w:tc>
        <w:tc>
          <w:tcPr>
            <w:tcW w:type="dxa" w:w="1680"/>
            <w:shd w:fill="F2F4F8" w:val="clear"/>
          </w:tcPr>
          <w:p>
            <w:r>
              <w:rPr>
                <w:rFonts w:ascii="Calibri" w:hAnsi="Calibri"/>
                <w:color w:val="333333"/>
                <w:sz w:val="18"/>
              </w:rPr>
              <w:t>$1.14</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+2.8%</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$1.19</w:t>
            </w:r>
          </w:p>
        </w:tc>
        <w:tc>
          <w:tcPr>
            <w:tcW w:type="dxa" w:w="1680"/>
          </w:tcPr>
          <w:p>
            <w:r>
              <w:rPr>
                <w:rFonts w:ascii="Calibri" w:hAnsi="Calibri"/>
                <w:color w:val="333333"/>
                <w:sz w:val="18"/>
              </w:rPr>
              <w:t>$1.39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+16.4%</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$1.10</w:t>
            </w:r>
          </w:p>
        </w:tc>
        <w:tc>
          <w:tcPr>
            <w:tcW w:type="dxa" w:w="1680"/>
            <w:shd w:fill="F2F4F8" w:val="clear"/>
          </w:tcPr>
          <w:p>
            <w:r>
              <w:rPr>
                <w:rFonts w:ascii="Calibri" w:hAnsi="Calibri"/>
                <w:color w:val="333333"/>
                <w:sz w:val="18"/>
              </w:rPr>
              <w:t>$1.21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+9.8%</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$1.03</w:t>
            </w:r>
          </w:p>
        </w:tc>
        <w:tc>
          <w:tcPr>
            <w:tcW w:type="dxa" w:w="1680"/>
          </w:tcPr>
          <w:p>
            <w:r>
              <w:rPr>
                <w:rFonts w:ascii="Calibri" w:hAnsi="Calibri"/>
                <w:color w:val="333333"/>
                <w:sz w:val="18"/>
              </w:rPr>
              <w:t>$1.22</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+18.2%</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$0.71</w:t>
            </w:r>
          </w:p>
        </w:tc>
        <w:tc>
          <w:tcPr>
            <w:tcW w:type="dxa" w:w="1680"/>
            <w:shd w:fill="F2F4F8" w:val="clear"/>
          </w:tcPr>
          <w:p>
            <w:r>
              <w:rPr>
                <w:rFonts w:ascii="Calibri" w:hAnsi="Calibri"/>
                <w:color w:val="333333"/>
                <w:sz w:val="18"/>
              </w:rPr>
              <w:t>$0.82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+15.1%</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$0.98</w:t>
            </w:r>
          </w:p>
        </w:tc>
        <w:tc>
          <w:tcPr>
            <w:tcW w:type="dxa" w:w="1680"/>
          </w:tcPr>
          <w:p>
            <w:r>
              <w:rPr>
                <w:rFonts w:ascii="Calibri" w:hAnsi="Calibri"/>
                <w:color w:val="333333"/>
                <w:sz w:val="18"/>
              </w:rPr>
              <w:t>$1.04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+6.8%</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$0.94</w:t>
            </w:r>
          </w:p>
        </w:tc>
        <w:tc>
          <w:tcPr>
            <w:tcW w:type="dxa" w:w="1680"/>
            <w:shd w:fill="F2F4F8" w:val="clear"/>
          </w:tcPr>
          <w:p>
            <w:r>
              <w:rPr>
                <w:rFonts w:ascii="Calibri" w:hAnsi="Calibri"/>
                <w:color w:val="333333"/>
                <w:sz w:val="18"/>
              </w:rPr>
              <w:t>$0.93</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+1.1%</w:t>
            </w:r>
          </w:p>
        </w:tc>
        <w:tc>
          <w:tcPr>
            <w:tcW w:type="dxa" w:w="1680"/>
            <w:shd w:fill="F2F4F8" w:val="clear"/>
          </w:tcPr>
          <w:p>
            <w:r>
              <w:rPr>
                <w:rFonts w:ascii="Calibri" w:hAnsi="Calibri"/>
                <w:color w:val="333333"/>
                <w:sz w:val="18"/>
              </w:rPr>
              <w:t>-0.9%</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$0.79</w:t>
            </w:r>
          </w:p>
        </w:tc>
        <w:tc>
          <w:tcPr>
            <w:tcW w:type="dxa" w:w="1680"/>
          </w:tcPr>
          <w:p>
            <w:r>
              <w:rPr>
                <w:rFonts w:ascii="Calibri" w:hAnsi="Calibri"/>
                <w:color w:val="333333"/>
                <w:sz w:val="18"/>
              </w:rPr>
              <w:t>$0.99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+26.0%</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$0.56</w:t>
            </w:r>
          </w:p>
        </w:tc>
        <w:tc>
          <w:tcPr>
            <w:tcW w:type="dxa" w:w="1680"/>
            <w:shd w:fill="F2F4F8" w:val="clear"/>
          </w:tcPr>
          <w:p>
            <w:r>
              <w:rPr>
                <w:rFonts w:ascii="Calibri" w:hAnsi="Calibri"/>
                <w:color w:val="333333"/>
                <w:sz w:val="18"/>
              </w:rPr>
              <w:t>$0.30</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+46.4%</w:t>
            </w:r>
          </w:p>
        </w:tc>
        <w:tc>
          <w:tcPr>
            <w:tcW w:type="dxa" w:w="1680"/>
            <w:shd w:fill="F2F4F8" w:val="clear"/>
          </w:tcPr>
          <w:p>
            <w:r>
              <w:rPr>
                <w:rFonts w:ascii="Calibri" w:hAnsi="Calibri"/>
                <w:color w:val="333333"/>
                <w:sz w:val="18"/>
              </w:rPr>
              <w:t>-46.9%</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$0.99</w:t>
            </w:r>
          </w:p>
        </w:tc>
        <w:tc>
          <w:tcPr>
            <w:tcW w:type="dxa" w:w="1680"/>
          </w:tcPr>
          <w:p>
            <w:r>
              <w:rPr>
                <w:rFonts w:ascii="Calibri" w:hAnsi="Calibri"/>
                <w:color w:val="333333"/>
                <w:sz w:val="18"/>
              </w:rPr>
              <w:t>$1.09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+10.0%</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$1.19</w:t>
            </w:r>
          </w:p>
        </w:tc>
        <w:tc>
          <w:tcPr>
            <w:tcW w:type="dxa" w:w="1680"/>
            <w:shd w:fill="F2F4F8" w:val="clear"/>
          </w:tcPr>
          <w:p>
            <w:r>
              <w:rPr>
                <w:rFonts w:ascii="Calibri" w:hAnsi="Calibri"/>
                <w:color w:val="333333"/>
                <w:sz w:val="18"/>
              </w:rPr>
              <w:t>$1.08</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+9.2%</w:t>
            </w:r>
          </w:p>
        </w:tc>
        <w:tc>
          <w:tcPr>
            <w:tcW w:type="dxa" w:w="1680"/>
            <w:shd w:fill="F2F4F8" w:val="clear"/>
          </w:tcPr>
          <w:p>
            <w:r>
              <w:rPr>
                <w:rFonts w:ascii="Calibri" w:hAnsi="Calibri"/>
                <w:color w:val="333333"/>
                <w:sz w:val="18"/>
              </w:rPr>
              <w:t>-9.2%</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29</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1.58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$129</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$160</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$77</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2025-04-03 to 2025-04-10</w:t>
            </w:r>
          </w:p>
        </w:tc>
        <w:tc>
          <w:tcPr>
            <w:tcW w:type="dxa" w:w="1680"/>
          </w:tcPr>
          <w:p>
            <w:r>
              <w:rPr>
                <w:rFonts w:ascii="Calibri" w:hAnsi="Calibri"/>
                <w:color w:val="333333"/>
                <w:sz w:val="18"/>
              </w:rPr>
              <w:t>-17.2%</w:t>
            </w:r>
          </w:p>
        </w:tc>
        <w:tc>
          <w:tcPr>
            <w:tcW w:type="dxa" w:w="1680"/>
          </w:tcPr>
          <w:p>
            <w:r>
              <w:rPr>
                <w:rFonts w:ascii="Calibri" w:hAnsi="Calibri"/>
                <w:color w:val="333333"/>
                <w:sz w:val="18"/>
              </w:rPr>
              <w:t>MULTI_DAY (8d)</w:t>
            </w:r>
          </w:p>
        </w:tc>
        <w:tc>
          <w:tcPr>
            <w:tcW w:type="dxa" w:w="1680"/>
          </w:tcPr>
          <w:p>
            <w:r>
              <w:rPr>
                <w:rFonts w:ascii="Calibri" w:hAnsi="Calibri"/>
                <w:color w:val="333333"/>
                <w:sz w:val="18"/>
              </w:rPr>
              <w:t>Unknown</w:t>
            </w:r>
          </w:p>
        </w:tc>
        <w:tc>
          <w:tcPr>
            <w:tcW w:type="dxa" w:w="1680"/>
          </w:tcPr>
          <w:p>
            <w:r>
              <w:rPr>
                <w:rFonts w:ascii="Calibri" w:hAnsi="Calibri"/>
                <w:color w:val="333333"/>
                <w:sz w:val="18"/>
              </w:rPr>
              <w:t>-10.8%</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2025-04-07</w:t>
            </w:r>
          </w:p>
        </w:tc>
        <w:tc>
          <w:tcPr>
            <w:tcW w:type="dxa" w:w="1680"/>
            <w:shd w:fill="F2F4F8" w:val="clear"/>
          </w:tcPr>
          <w:p>
            <w:r>
              <w:rPr>
                <w:rFonts w:ascii="Calibri" w:hAnsi="Calibri"/>
                <w:color w:val="333333"/>
                <w:sz w:val="18"/>
              </w:rPr>
              <w:t>-15.6%</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-9.4%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2025-04-04</w:t>
            </w:r>
          </w:p>
        </w:tc>
        <w:tc>
          <w:tcPr>
            <w:tcW w:type="dxa" w:w="1680"/>
          </w:tcPr>
          <w:p>
            <w:r>
              <w:rPr>
                <w:rFonts w:ascii="Calibri" w:hAnsi="Calibri"/>
                <w:color w:val="333333"/>
                <w:sz w:val="18"/>
              </w:rPr>
              <w:t>-14.7%</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-9.9%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2024-05-07</w:t>
            </w:r>
          </w:p>
        </w:tc>
        <w:tc>
          <w:tcPr>
            <w:tcW w:type="dxa" w:w="1680"/>
            <w:shd w:fill="F2F4F8" w:val="clear"/>
          </w:tcPr>
          <w:p>
            <w:r>
              <w:rPr>
                <w:rFonts w:ascii="Calibri" w:hAnsi="Calibri"/>
                <w:color w:val="333333"/>
                <w:sz w:val="18"/>
              </w:rPr>
              <w:t>-9.5%</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+0.1%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2025-04-03</w:t>
            </w:r>
          </w:p>
        </w:tc>
        <w:tc>
          <w:tcPr>
            <w:tcW w:type="dxa" w:w="1680"/>
          </w:tcPr>
          <w:p>
            <w:r>
              <w:rPr>
                <w:rFonts w:ascii="Calibri" w:hAnsi="Calibri"/>
                <w:color w:val="333333"/>
                <w:sz w:val="18"/>
              </w:rPr>
              <w:t>-9.2%</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-4.5%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2025-11-13</w:t>
            </w:r>
          </w:p>
        </w:tc>
        <w:tc>
          <w:tcPr>
            <w:tcW w:type="dxa" w:w="1680"/>
            <w:shd w:fill="F2F4F8" w:val="clear"/>
          </w:tcPr>
          <w:p>
            <w:r>
              <w:rPr>
                <w:rFonts w:ascii="Calibri" w:hAnsi="Calibri"/>
                <w:color w:val="333333"/>
                <w:sz w:val="18"/>
              </w:rPr>
              <w:t>-7.8%</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-1.4%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2026-02-02</w:t>
            </w:r>
          </w:p>
        </w:tc>
        <w:tc>
          <w:tcPr>
            <w:tcW w:type="dxa" w:w="1680"/>
          </w:tcPr>
          <w:p>
            <w:r>
              <w:rPr>
                <w:rFonts w:ascii="Calibri" w:hAnsi="Calibri"/>
                <w:color w:val="333333"/>
                <w:sz w:val="18"/>
              </w:rPr>
              <w:t>-7.4%</w:t>
            </w:r>
          </w:p>
        </w:tc>
        <w:tc>
          <w:tcPr>
            <w:tcW w:type="dxa" w:w="1680"/>
          </w:tcPr>
          <w:p>
            <w:r>
              <w:rPr>
                <w:rFonts w:ascii="Calibri" w:hAnsi="Calibri"/>
                <w:color w:val="333333"/>
                <w:sz w:val="18"/>
              </w:rPr>
              <w:t>SINGLE_DAY</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-0.3%</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2025-04-10</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-3.5%</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2026-02-12</w:t>
            </w:r>
          </w:p>
        </w:tc>
        <w:tc>
          <w:tcPr>
            <w:tcW w:type="dxa" w:w="1680"/>
          </w:tcPr>
          <w:p>
            <w:r>
              <w:rPr>
                <w:rFonts w:ascii="Calibri" w:hAnsi="Calibri"/>
                <w:color w:val="333333"/>
                <w:sz w:val="18"/>
              </w:rPr>
              <w:t>-5.3%</w:t>
            </w:r>
          </w:p>
        </w:tc>
        <w:tc>
          <w:tcPr>
            <w:tcW w:type="dxa" w:w="1680"/>
          </w:tcPr>
          <w:p>
            <w:r>
              <w:rPr>
                <w:rFonts w:ascii="Calibri" w:hAnsi="Calibri"/>
                <w:color w:val="333333"/>
                <w:sz w:val="18"/>
              </w:rPr>
              <w:t>SINGLE_DAY</w:t>
            </w:r>
          </w:p>
        </w:tc>
        <w:tc>
          <w:tcPr>
            <w:tcW w:type="dxa" w:w="1680"/>
          </w:tcPr>
          <w:p>
            <w:r>
              <w:rPr>
                <w:rFonts w:ascii="Calibri" w:hAnsi="Calibri"/>
                <w:color w:val="333333"/>
                <w:sz w:val="18"/>
              </w:rPr>
              <w:t>8-K_filing</w:t>
            </w:r>
          </w:p>
        </w:tc>
        <w:tc>
          <w:tcPr>
            <w:tcW w:type="dxa" w:w="1680"/>
          </w:tcPr>
          <w:p>
            <w:r>
              <w:rPr>
                <w:rFonts w:ascii="Calibri" w:hAnsi="Calibri"/>
                <w:color w:val="333333"/>
                <w:sz w:val="18"/>
              </w:rPr>
              <w:t>-1.8%</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2025-03-11</w:t>
            </w:r>
          </w:p>
        </w:tc>
        <w:tc>
          <w:tcPr>
            <w:tcW w:type="dxa" w:w="1680"/>
            <w:shd w:fill="F2F4F8" w:val="clear"/>
          </w:tcPr>
          <w:p>
            <w:r>
              <w:rPr>
                <w:rFonts w:ascii="Calibri" w:hAnsi="Calibri"/>
                <w:color w:val="333333"/>
                <w:sz w:val="18"/>
              </w:rPr>
              <w:t>-5.0%</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-1.5%</w:t>
            </w:r>
          </w:p>
        </w:tc>
        <w:tc>
          <w:tcPr>
            <w:tcW w:type="dxa" w:w="1680"/>
            <w:shd w:fill="F2F4F8" w:val="clear"/>
            <w:shd w:fill="FFF3CD" w:val="clear"/>
          </w:tcPr>
          <w:p>
            <w:r>
              <w:rPr>
                <w:rFonts w:ascii="Calibri" w:hAnsi="Calibri"/>
                <w:color w:val="333333"/>
                <w:sz w:val="18"/>
              </w:rPr>
              <w:t>Yes</w:t>
            </w:r>
          </w:p>
        </w:tc>
      </w:tr>
    </w:tbl>
    <w:p>
      <w:pPr>
        <w:pStyle w:val="DOBody"/>
      </w:pPr>
      <w:r>
        <w:t>Class Period Potential: 3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NET_BUYING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100.0%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2</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Froman Michael B. G.</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1,088</w:t>
            </w:r>
          </w:p>
        </w:tc>
        <w:tc>
          <w:tcPr>
            <w:tcW w:type="dxa" w:w="1440"/>
          </w:tcPr>
          <w:p>
            <w:r>
              <w:rPr>
                <w:rFonts w:ascii="Calibri" w:hAnsi="Calibri"/>
                <w:color w:val="333333"/>
                <w:sz w:val="18"/>
              </w:rPr>
              <w:t>$105.5K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2026-03-31</w:t>
            </w:r>
          </w:p>
        </w:tc>
        <w:tc>
          <w:tcPr>
            <w:tcW w:type="dxa" w:w="1440"/>
            <w:shd w:fill="F2F4F8" w:val="clear"/>
          </w:tcPr>
          <w:p>
            <w:r>
              <w:rPr>
                <w:rFonts w:ascii="Calibri" w:hAnsi="Calibri"/>
                <w:color w:val="333333"/>
                <w:sz w:val="18"/>
              </w:rPr>
              <w:t>LAGOMASINO MARIA ELENA</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1,267</w:t>
            </w:r>
          </w:p>
        </w:tc>
        <w:tc>
          <w:tcPr>
            <w:tcW w:type="dxa" w:w="1440"/>
            <w:shd w:fill="F2F4F8" w:val="clear"/>
          </w:tcPr>
          <w:p>
            <w:r>
              <w:rPr>
                <w:rFonts w:ascii="Calibri" w:hAnsi="Calibri"/>
                <w:color w:val="333333"/>
                <w:sz w:val="18"/>
              </w:rPr>
              <w:t>$122.8K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Darroch Jeremy</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1,034</w:t>
            </w:r>
          </w:p>
        </w:tc>
        <w:tc>
          <w:tcPr>
            <w:tcW w:type="dxa" w:w="1440"/>
          </w:tcPr>
          <w:p>
            <w:r>
              <w:rPr>
                <w:rFonts w:ascii="Calibri" w:hAnsi="Calibri"/>
                <w:color w:val="333333"/>
                <w:sz w:val="18"/>
              </w:rPr>
              <w:t>$100.3K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2026-03-31</w:t>
            </w:r>
          </w:p>
        </w:tc>
        <w:tc>
          <w:tcPr>
            <w:tcW w:type="dxa" w:w="1440"/>
            <w:shd w:fill="F2F4F8" w:val="clear"/>
          </w:tcPr>
          <w:p>
            <w:r>
              <w:rPr>
                <w:rFonts w:ascii="Calibri" w:hAnsi="Calibri"/>
                <w:color w:val="333333"/>
                <w:sz w:val="18"/>
              </w:rPr>
              <w:t>Darroch Jeremy</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89</w:t>
            </w:r>
          </w:p>
        </w:tc>
        <w:tc>
          <w:tcPr>
            <w:tcW w:type="dxa" w:w="1440"/>
            <w:shd w:fill="F2F4F8" w:val="clear"/>
          </w:tcPr>
          <w:p>
            <w:r>
              <w:rPr>
                <w:rFonts w:ascii="Calibri" w:hAnsi="Calibri"/>
                <w:color w:val="333333"/>
                <w:sz w:val="18"/>
              </w:rPr>
              <w:t>$8.5K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Darroch Jeremy</w:t>
            </w:r>
          </w:p>
        </w:tc>
        <w:tc>
          <w:tcPr>
            <w:tcW w:type="dxa" w:w="1440"/>
          </w:tcPr>
          <w:p>
            <w:r>
              <w:rPr>
                <w:rFonts w:ascii="Calibri" w:hAnsi="Calibri"/>
                <w:color w:val="333333"/>
                <w:sz w:val="18"/>
              </w:rPr>
              <w:t>Director</w:t>
            </w:r>
          </w:p>
        </w:tc>
        <w:tc>
          <w:tcPr>
            <w:tcW w:type="dxa" w:w="1440"/>
          </w:tcPr>
          <w:p>
            <w:r>
              <w:rPr>
                <w:rFonts w:ascii="Calibri" w:hAnsi="Calibri"/>
                <w:color w:val="333333"/>
                <w:sz w:val="18"/>
              </w:rPr>
              <w:t>DISPOSITION</w:t>
            </w:r>
          </w:p>
        </w:tc>
        <w:tc>
          <w:tcPr>
            <w:tcW w:type="dxa" w:w="1440"/>
          </w:tcPr>
          <w:p>
            <w:r>
              <w:rPr>
                <w:rFonts w:ascii="Calibri" w:hAnsi="Calibri"/>
                <w:color w:val="333333"/>
                <w:sz w:val="18"/>
              </w:rPr>
              <w:t>218</w:t>
            </w:r>
          </w:p>
        </w:tc>
        <w:tc>
          <w:tcPr>
            <w:tcW w:type="dxa" w:w="1440"/>
          </w:tcPr>
          <w:p>
            <w:r>
              <w:rPr>
                <w:rFonts w:ascii="Calibri" w:hAnsi="Calibri"/>
                <w:color w:val="333333"/>
                <w:sz w:val="18"/>
              </w:rPr>
              <w:t>$24.5K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2026-03-31</w:t>
            </w:r>
          </w:p>
        </w:tc>
        <w:tc>
          <w:tcPr>
            <w:tcW w:type="dxa" w:w="1440"/>
            <w:shd w:fill="F2F4F8" w:val="clear"/>
          </w:tcPr>
          <w:p>
            <w:r>
              <w:rPr>
                <w:rFonts w:ascii="Calibri" w:hAnsi="Calibri"/>
                <w:color w:val="333333"/>
                <w:sz w:val="18"/>
              </w:rPr>
              <w:t>Darroch Jeremy</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DISPOSITION</w:t>
            </w:r>
          </w:p>
        </w:tc>
        <w:tc>
          <w:tcPr>
            <w:tcW w:type="dxa" w:w="1440"/>
            <w:shd w:fill="F2F4F8" w:val="clear"/>
          </w:tcPr>
          <w:p>
            <w:r>
              <w:rPr>
                <w:rFonts w:ascii="Calibri" w:hAnsi="Calibri"/>
                <w:color w:val="333333"/>
                <w:sz w:val="18"/>
              </w:rPr>
              <w:t>163</w:t>
            </w:r>
          </w:p>
        </w:tc>
        <w:tc>
          <w:tcPr>
            <w:tcW w:type="dxa" w:w="1440"/>
            <w:shd w:fill="F2F4F8" w:val="clear"/>
          </w:tcPr>
          <w:p>
            <w:r>
              <w:rPr>
                <w:rFonts w:ascii="Calibri" w:hAnsi="Calibri"/>
                <w:color w:val="333333"/>
                <w:sz w:val="18"/>
              </w:rPr>
              <w:t>$18.6K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Everson Carolyn</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1,065</w:t>
            </w:r>
          </w:p>
        </w:tc>
        <w:tc>
          <w:tcPr>
            <w:tcW w:type="dxa" w:w="1440"/>
          </w:tcPr>
          <w:p>
            <w:r>
              <w:rPr>
                <w:rFonts w:ascii="Calibri" w:hAnsi="Calibri"/>
                <w:color w:val="333333"/>
                <w:sz w:val="18"/>
              </w:rPr>
              <w:t>$103.2K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2026-03-31</w:t>
            </w:r>
          </w:p>
        </w:tc>
        <w:tc>
          <w:tcPr>
            <w:tcW w:type="dxa" w:w="1440"/>
            <w:shd w:fill="F2F4F8" w:val="clear"/>
          </w:tcPr>
          <w:p>
            <w:r>
              <w:rPr>
                <w:rFonts w:ascii="Calibri" w:hAnsi="Calibri"/>
                <w:color w:val="333333"/>
                <w:sz w:val="18"/>
              </w:rPr>
              <w:t>WILLIAMS JEFFREY E</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154</w:t>
            </w:r>
          </w:p>
        </w:tc>
        <w:tc>
          <w:tcPr>
            <w:tcW w:type="dxa" w:w="1440"/>
            <w:shd w:fill="F2F4F8" w:val="clear"/>
          </w:tcPr>
          <w:p>
            <w:r>
              <w:rPr>
                <w:rFonts w:ascii="Calibri" w:hAnsi="Calibri"/>
                <w:color w:val="333333"/>
                <w:sz w:val="18"/>
              </w:rPr>
              <w:t>$15.0K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GORMAN JAMES P</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1,477</w:t>
            </w:r>
          </w:p>
        </w:tc>
        <w:tc>
          <w:tcPr>
            <w:tcW w:type="dxa" w:w="1440"/>
          </w:tcPr>
          <w:p>
            <w:r>
              <w:rPr>
                <w:rFonts w:ascii="Calibri" w:hAnsi="Calibri"/>
                <w:color w:val="333333"/>
                <w:sz w:val="18"/>
              </w:rPr>
              <w:t>$143.2K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2026-03-31</w:t>
            </w:r>
          </w:p>
        </w:tc>
        <w:tc>
          <w:tcPr>
            <w:tcW w:type="dxa" w:w="1440"/>
            <w:shd w:fill="F2F4F8" w:val="clear"/>
          </w:tcPr>
          <w:p>
            <w:r>
              <w:rPr>
                <w:rFonts w:ascii="Calibri" w:hAnsi="Calibri"/>
                <w:color w:val="333333"/>
                <w:sz w:val="18"/>
              </w:rPr>
              <w:t>Barra Mary T</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1,253</w:t>
            </w:r>
          </w:p>
        </w:tc>
        <w:tc>
          <w:tcPr>
            <w:tcW w:type="dxa" w:w="1440"/>
            <w:shd w:fill="F2F4F8" w:val="clear"/>
          </w:tcPr>
          <w:p>
            <w:r>
              <w:rPr>
                <w:rFonts w:ascii="Calibri" w:hAnsi="Calibri"/>
                <w:color w:val="333333"/>
                <w:sz w:val="18"/>
              </w:rPr>
              <w:t>$121.5K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MCDONALD CALVIN</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1,081</w:t>
            </w:r>
          </w:p>
        </w:tc>
        <w:tc>
          <w:tcPr>
            <w:tcW w:type="dxa" w:w="1440"/>
          </w:tcPr>
          <w:p>
            <w:r>
              <w:rPr>
                <w:rFonts w:ascii="Calibri" w:hAnsi="Calibri"/>
                <w:color w:val="333333"/>
                <w:sz w:val="18"/>
              </w:rPr>
              <w:t>$104.8K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2026-03-31</w:t>
            </w:r>
          </w:p>
        </w:tc>
        <w:tc>
          <w:tcPr>
            <w:tcW w:type="dxa" w:w="1440"/>
            <w:shd w:fill="F2F4F8" w:val="clear"/>
          </w:tcPr>
          <w:p>
            <w:r>
              <w:rPr>
                <w:rFonts w:ascii="Calibri" w:hAnsi="Calibri"/>
                <w:color w:val="333333"/>
                <w:sz w:val="18"/>
              </w:rPr>
              <w:t>Rice Derica W</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1,230</w:t>
            </w:r>
          </w:p>
        </w:tc>
        <w:tc>
          <w:tcPr>
            <w:tcW w:type="dxa" w:w="1440"/>
            <w:shd w:fill="F2F4F8" w:val="clear"/>
          </w:tcPr>
          <w:p>
            <w:r>
              <w:rPr>
                <w:rFonts w:ascii="Calibri" w:hAnsi="Calibri"/>
                <w:color w:val="333333"/>
                <w:sz w:val="18"/>
              </w:rPr>
              <w:t>$119.2K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Chang Amy</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1,081</w:t>
            </w:r>
          </w:p>
        </w:tc>
        <w:tc>
          <w:tcPr>
            <w:tcW w:type="dxa" w:w="1440"/>
          </w:tcPr>
          <w:p>
            <w:r>
              <w:rPr>
                <w:rFonts w:ascii="Calibri" w:hAnsi="Calibri"/>
                <w:color w:val="333333"/>
                <w:sz w:val="18"/>
              </w:rPr>
              <w:t>$104.8K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2026-03-18</w:t>
            </w:r>
          </w:p>
        </w:tc>
        <w:tc>
          <w:tcPr>
            <w:tcW w:type="dxa" w:w="1440"/>
            <w:shd w:fill="F2F4F8" w:val="clear"/>
          </w:tcPr>
          <w:p>
            <w:r>
              <w:rPr>
                <w:rFonts w:ascii="Calibri" w:hAnsi="Calibri"/>
                <w:color w:val="333333"/>
                <w:sz w:val="18"/>
              </w:rPr>
              <w:t>Walden Dana</w:t>
            </w:r>
          </w:p>
        </w:tc>
        <w:tc>
          <w:tcPr>
            <w:tcW w:type="dxa" w:w="1440"/>
            <w:shd w:fill="F2F4F8" w:val="clear"/>
          </w:tcPr>
          <w:p>
            <w:r>
              <w:rPr>
                <w:rFonts w:ascii="Calibri" w:hAnsi="Calibri"/>
                <w:color w:val="333333"/>
                <w:sz w:val="18"/>
              </w:rPr>
              <w:t>President&amp;Chief Creative Ofcr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38,798</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2026-03-18</w:t>
            </w:r>
          </w:p>
        </w:tc>
        <w:tc>
          <w:tcPr>
            <w:tcW w:type="dxa" w:w="1440"/>
          </w:tcPr>
          <w:p>
            <w:r>
              <w:rPr>
                <w:rFonts w:ascii="Calibri" w:hAnsi="Calibri"/>
                <w:color w:val="333333"/>
                <w:sz w:val="18"/>
              </w:rPr>
              <w:t>Walden Dana</w:t>
            </w:r>
          </w:p>
        </w:tc>
        <w:tc>
          <w:tcPr>
            <w:tcW w:type="dxa" w:w="1440"/>
          </w:tcPr>
          <w:p>
            <w:r>
              <w:rPr>
                <w:rFonts w:ascii="Calibri" w:hAnsi="Calibri"/>
                <w:color w:val="333333"/>
                <w:sz w:val="18"/>
              </w:rPr>
              <w:t>President&amp;Chief Creative Ofcr</w:t>
            </w:r>
          </w:p>
        </w:tc>
        <w:tc>
          <w:tcPr>
            <w:tcW w:type="dxa" w:w="1440"/>
          </w:tcPr>
          <w:p>
            <w:r>
              <w:rPr>
                <w:rFonts w:ascii="Calibri" w:hAnsi="Calibri"/>
                <w:color w:val="333333"/>
                <w:sz w:val="18"/>
              </w:rPr>
              <w:t>GRANT</w:t>
            </w:r>
          </w:p>
        </w:tc>
        <w:tc>
          <w:tcPr>
            <w:tcW w:type="dxa" w:w="1440"/>
          </w:tcPr>
          <w:p>
            <w:r>
              <w:rPr>
                <w:rFonts w:ascii="Calibri" w:hAnsi="Calibri"/>
                <w:color w:val="333333"/>
                <w:sz w:val="18"/>
              </w:rPr>
              <w:t>13,149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2026-03-18</w:t>
            </w:r>
          </w:p>
        </w:tc>
        <w:tc>
          <w:tcPr>
            <w:tcW w:type="dxa" w:w="1440"/>
            <w:shd w:fill="F2F4F8" w:val="clear"/>
          </w:tcPr>
          <w:p>
            <w:r>
              <w:rPr>
                <w:rFonts w:ascii="Calibri" w:hAnsi="Calibri"/>
                <w:color w:val="333333"/>
                <w:sz w:val="18"/>
              </w:rPr>
              <w:t>DAmaro Joshua W</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71,585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2026-03-18</w:t>
            </w:r>
          </w:p>
        </w:tc>
        <w:tc>
          <w:tcPr>
            <w:tcW w:type="dxa" w:w="1440"/>
          </w:tcPr>
          <w:p>
            <w:r>
              <w:rPr>
                <w:rFonts w:ascii="Calibri" w:hAnsi="Calibri"/>
                <w:color w:val="333333"/>
                <w:sz w:val="18"/>
              </w:rPr>
              <w:t>DAmaro Joshua W</w:t>
            </w:r>
          </w:p>
        </w:tc>
        <w:tc>
          <w:tcPr>
            <w:tcW w:type="dxa" w:w="1440"/>
          </w:tcPr>
          <w:p>
            <w:r>
              <w:rPr>
                <w:rFonts w:ascii="Calibri" w:hAnsi="Calibri"/>
                <w:color w:val="333333"/>
                <w:sz w:val="18"/>
              </w:rPr>
              <w:t>Chief Executive Officer</w:t>
            </w:r>
          </w:p>
        </w:tc>
        <w:tc>
          <w:tcPr>
            <w:tcW w:type="dxa" w:w="1440"/>
          </w:tcPr>
          <w:p>
            <w:r>
              <w:rPr>
                <w:rFonts w:ascii="Calibri" w:hAnsi="Calibri"/>
                <w:color w:val="333333"/>
                <w:sz w:val="18"/>
              </w:rPr>
              <w:t>GRANT</w:t>
            </w:r>
          </w:p>
        </w:tc>
        <w:tc>
          <w:tcPr>
            <w:tcW w:type="dxa" w:w="1440"/>
          </w:tcPr>
          <w:p>
            <w:r>
              <w:rPr>
                <w:rFonts w:ascii="Calibri" w:hAnsi="Calibri"/>
                <w:color w:val="333333"/>
                <w:sz w:val="18"/>
              </w:rPr>
              <w:t>24,261</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2026-02-12</w:t>
            </w:r>
          </w:p>
        </w:tc>
        <w:tc>
          <w:tcPr>
            <w:tcW w:type="dxa" w:w="1440"/>
            <w:shd w:fill="F2F4F8" w:val="clear"/>
          </w:tcPr>
          <w:p>
            <w:r>
              <w:rPr>
                <w:rFonts w:ascii="Calibri" w:hAnsi="Calibri"/>
                <w:color w:val="333333"/>
                <w:sz w:val="18"/>
              </w:rPr>
              <w:t>Chang Amy</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BUY</w:t>
            </w:r>
          </w:p>
        </w:tc>
        <w:tc>
          <w:tcPr>
            <w:tcW w:type="dxa" w:w="1440"/>
            <w:shd w:fill="F2F4F8" w:val="clear"/>
          </w:tcPr>
          <w:p>
            <w:r>
              <w:rPr>
                <w:rFonts w:ascii="Calibri" w:hAnsi="Calibri"/>
                <w:color w:val="333333"/>
                <w:sz w:val="18"/>
              </w:rPr>
              <w:t>916</w:t>
            </w:r>
          </w:p>
        </w:tc>
        <w:tc>
          <w:tcPr>
            <w:tcW w:type="dxa" w:w="1440"/>
            <w:shd w:fill="F2F4F8" w:val="clear"/>
          </w:tcPr>
          <w:p>
            <w:r>
              <w:rPr>
                <w:rFonts w:ascii="Calibri" w:hAnsi="Calibri"/>
                <w:color w:val="333333"/>
                <w:sz w:val="18"/>
              </w:rPr>
              <w:t>$98.8K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2026-01-22</w:t>
            </w:r>
          </w:p>
        </w:tc>
        <w:tc>
          <w:tcPr>
            <w:tcW w:type="dxa" w:w="1440"/>
          </w:tcPr>
          <w:p>
            <w:r>
              <w:rPr>
                <w:rFonts w:ascii="Calibri" w:hAnsi="Calibri"/>
                <w:color w:val="333333"/>
                <w:sz w:val="18"/>
              </w:rPr>
              <w:t>Coleman Sonia L</w:t>
            </w:r>
          </w:p>
        </w:tc>
        <w:tc>
          <w:tcPr>
            <w:tcW w:type="dxa" w:w="1440"/>
          </w:tcPr>
          <w:p>
            <w:r>
              <w:rPr>
                <w:rFonts w:ascii="Calibri" w:hAnsi="Calibri"/>
                <w:color w:val="333333"/>
                <w:sz w:val="18"/>
              </w:rPr>
              <w:t>Sr. EVP &amp; Chief People Officer</w:t>
            </w:r>
          </w:p>
        </w:tc>
        <w:tc>
          <w:tcPr>
            <w:tcW w:type="dxa" w:w="1440"/>
          </w:tcPr>
          <w:p>
            <w:r>
              <w:rPr>
                <w:rFonts w:ascii="Calibri" w:hAnsi="Calibri"/>
                <w:color w:val="333333"/>
                <w:sz w:val="18"/>
              </w:rPr>
              <w:t>SELL</w:t>
            </w:r>
          </w:p>
        </w:tc>
        <w:tc>
          <w:tcPr>
            <w:tcW w:type="dxa" w:w="1440"/>
          </w:tcPr>
          <w:p>
            <w:r>
              <w:rPr>
                <w:rFonts w:ascii="Calibri" w:hAnsi="Calibri"/>
                <w:color w:val="333333"/>
                <w:sz w:val="18"/>
              </w:rPr>
              <w:t>2,473</w:t>
            </w:r>
          </w:p>
        </w:tc>
        <w:tc>
          <w:tcPr>
            <w:tcW w:type="dxa" w:w="1440"/>
          </w:tcPr>
          <w:p>
            <w:r>
              <w:rPr>
                <w:rFonts w:ascii="Calibri" w:hAnsi="Calibri"/>
                <w:color w:val="333333"/>
                <w:sz w:val="18"/>
              </w:rPr>
              <w:t>$281.9K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2026-01-17</w:t>
            </w:r>
          </w:p>
        </w:tc>
        <w:tc>
          <w:tcPr>
            <w:tcW w:type="dxa" w:w="1440"/>
            <w:shd w:fill="F2F4F8" w:val="clear"/>
          </w:tcPr>
          <w:p>
            <w:r>
              <w:rPr>
                <w:rFonts w:ascii="Calibri" w:hAnsi="Calibri"/>
                <w:color w:val="333333"/>
                <w:sz w:val="18"/>
              </w:rPr>
              <w:t>WOODFORD BRENT</w:t>
            </w:r>
          </w:p>
        </w:tc>
        <w:tc>
          <w:tcPr>
            <w:tcW w:type="dxa" w:w="1440"/>
            <w:shd w:fill="F2F4F8" w:val="clear"/>
          </w:tcPr>
          <w:p>
            <w:r>
              <w:rPr>
                <w:rFonts w:ascii="Calibri" w:hAnsi="Calibri"/>
                <w:color w:val="333333"/>
                <w:sz w:val="18"/>
              </w:rPr>
              <w:t>EVP, Control, Fin Plan &amp; Tax</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1,162</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Disney's revenue grew 3.4% to $94.4B from $91.4B and net income surged 149% to $12.4B from $5.0B, but its Altman Z-Score of 2.252 sits in the grey zone, indicating elevated bankruptcy risk over the next two years that plaintiffs' counsel will weaponize in a claim alleging the board failed to disclose deteriorating financial health. The concerning current ratio of 0.71 and quick ratio of 0.65 reveal persistent liquidity strain despite the income rebound, creating a classic mismatch for a Section 10(b) claim if cash flow falters and the board cannot meet short-term obligations. While the Beneish M-Score of -3.087 suggests no earnings manipulation and the debt-to-equity of 0.38 is manageable, the Piotroski F-Score of 7 is only middling, showing underlying financial strength is not robust enough to shield directors from allegations of poor oversight during strategic shifts. Directors face amplified exposure from strategic bets in streaming; any future impairment or growth shortfall against this complex financial backdrop, which includes an interest coverage ratio of 9.7x and operating income of $17.6B, invites shareholder allegations that the board overpaid for assets or misjudged capital allocation.</w:t>
      </w:r>
    </w:p>
    <w:p>
      <w:pPr>
        <w:pStyle w:val="DOHeading1"/>
      </w:pPr>
      <w:r>
        <w:t>Section 3: Financial Health</w:t>
      </w:r>
    </w:p>
    <w:p>
      <w:pPr>
        <w:pStyle w:val="DOBody"/>
      </w:pPr>
      <w:r>
        <w:t>The company reported revenue of $94.4B and net income of $12.4B (per FY2025 10-K, Company Facts API CIK1744489). Revenue grew 3.4% year-over-year (from $91.4B). Distress indicators show mixed signals: Z-Score 2.25 (grey zone) and O-Score 0.00 (safe zone). Financial stress could limit litigation defense resources. Piotroski F-Score of 7/9 indicates strong fundamental quality. D/E ratio of 0.38 is moderate. Earnings quality is healthy (OCF/NI: 1.46), indicating reported income is well-supported by operating cash flows -- reducing restatement risk. Effective tax rate of 11.9% is below the 21% U.S. statutory rate, warranting review of uncertain tax positions and transfer pricing. Auditor: Ernst &amp; Young (Big 4).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$91.4B</w:t>
            </w:r>
          </w:p>
        </w:tc>
        <w:tc>
          <w:tcPr>
            <w:tcW w:type="dxa" w:w="2520"/>
          </w:tcPr>
          <w:p>
            <w:r>
              <w:rPr>
                <w:rFonts w:ascii="Calibri" w:hAnsi="Calibri"/>
                <w:color w:val="333333"/>
                <w:sz w:val="18"/>
              </w:rPr>
              <w:t>$94.4B</w:t>
            </w:r>
          </w:p>
        </w:tc>
        <w:tc>
          <w:tcPr>
            <w:tcW w:type="dxa" w:w="2520"/>
            <w:shd w:fill="FFF3CD" w:val="clear"/>
          </w:tcPr>
          <w:p>
            <w:r>
              <w:rPr>
                <w:rFonts w:ascii="Calibri" w:hAnsi="Calibri"/>
                <w:color w:val="333333"/>
                <w:sz w:val="18"/>
              </w:rPr>
              <w:t>3.4%</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$15.6B</w:t>
            </w:r>
          </w:p>
        </w:tc>
        <w:tc>
          <w:tcPr>
            <w:tcW w:type="dxa" w:w="2520"/>
            <w:shd w:fill="F2F4F8" w:val="clear"/>
          </w:tcPr>
          <w:p>
            <w:r>
              <w:rPr>
                <w:rFonts w:ascii="Calibri" w:hAnsi="Calibri"/>
                <w:color w:val="333333"/>
                <w:sz w:val="18"/>
              </w:rPr>
              <w:t>$17.6B</w:t>
            </w:r>
          </w:p>
        </w:tc>
        <w:tc>
          <w:tcPr>
            <w:tcW w:type="dxa" w:w="2520"/>
            <w:shd w:fill="F2F4F8" w:val="clear"/>
            <w:shd w:fill="DCEEF8" w:val="clear"/>
          </w:tcPr>
          <w:p>
            <w:r>
              <w:rPr>
                <w:rFonts w:ascii="Calibri" w:hAnsi="Calibri"/>
                <w:color w:val="333333"/>
                <w:sz w:val="18"/>
              </w:rPr>
              <w:t>12.5%</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$5.0B</w:t>
            </w:r>
          </w:p>
        </w:tc>
        <w:tc>
          <w:tcPr>
            <w:tcW w:type="dxa" w:w="2520"/>
          </w:tcPr>
          <w:p>
            <w:r>
              <w:rPr>
                <w:rFonts w:ascii="Calibri" w:hAnsi="Calibri"/>
                <w:color w:val="333333"/>
                <w:sz w:val="18"/>
              </w:rPr>
              <w:t>$12.4B</w:t>
            </w:r>
          </w:p>
        </w:tc>
        <w:tc>
          <w:tcPr>
            <w:tcW w:type="dxa" w:w="2520"/>
            <w:shd w:fill="DCEEF8" w:val="clear"/>
          </w:tcPr>
          <w:p>
            <w:r>
              <w:rPr>
                <w:rFonts w:ascii="Calibri" w:hAnsi="Calibri"/>
                <w:color w:val="333333"/>
                <w:sz w:val="18"/>
              </w:rPr>
              <w:t>149.5%</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$2.72</w:t>
            </w:r>
          </w:p>
        </w:tc>
        <w:tc>
          <w:tcPr>
            <w:tcW w:type="dxa" w:w="2520"/>
            <w:shd w:fill="F2F4F8" w:val="clear"/>
          </w:tcPr>
          <w:p>
            <w:r>
              <w:rPr>
                <w:rFonts w:ascii="Calibri" w:hAnsi="Calibri"/>
                <w:color w:val="333333"/>
                <w:sz w:val="18"/>
              </w:rPr>
              <w:t>$6.88</w:t>
            </w:r>
          </w:p>
        </w:tc>
        <w:tc>
          <w:tcPr>
            <w:tcW w:type="dxa" w:w="2520"/>
            <w:shd w:fill="F2F4F8" w:val="clear"/>
            <w:shd w:fill="DCEEF8" w:val="clear"/>
          </w:tcPr>
          <w:p>
            <w:r>
              <w:rPr>
                <w:rFonts w:ascii="Calibri" w:hAnsi="Calibri"/>
                <w:color w:val="333333"/>
                <w:sz w:val="18"/>
              </w:rPr>
              <w:t>152.9%</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$2.72</w:t>
            </w:r>
          </w:p>
        </w:tc>
        <w:tc>
          <w:tcPr>
            <w:tcW w:type="dxa" w:w="2520"/>
          </w:tcPr>
          <w:p>
            <w:r>
              <w:rPr>
                <w:rFonts w:ascii="Calibri" w:hAnsi="Calibri"/>
                <w:color w:val="333333"/>
                <w:sz w:val="18"/>
              </w:rPr>
              <w:t>$6.85</w:t>
            </w:r>
          </w:p>
        </w:tc>
        <w:tc>
          <w:tcPr>
            <w:tcW w:type="dxa" w:w="2520"/>
            <w:shd w:fill="DCEEF8" w:val="clear"/>
          </w:tcPr>
          <w:p>
            <w:r>
              <w:rPr>
                <w:rFonts w:ascii="Calibri" w:hAnsi="Calibri"/>
                <w:color w:val="333333"/>
                <w:sz w:val="18"/>
              </w:rPr>
              <w:t>151.8%</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$2.1B</w:t>
            </w:r>
          </w:p>
        </w:tc>
        <w:tc>
          <w:tcPr>
            <w:tcW w:type="dxa" w:w="2520"/>
            <w:shd w:fill="F2F4F8" w:val="clear"/>
          </w:tcPr>
          <w:p>
            <w:r>
              <w:rPr>
                <w:rFonts w:ascii="Calibri" w:hAnsi="Calibri"/>
                <w:color w:val="333333"/>
                <w:sz w:val="18"/>
              </w:rPr>
              <w:t>$1.8B</w:t>
            </w:r>
          </w:p>
        </w:tc>
        <w:tc>
          <w:tcPr>
            <w:tcW w:type="dxa" w:w="2520"/>
            <w:shd w:fill="F2F4F8" w:val="clear"/>
            <w:shd w:fill="FCE8E6" w:val="clear"/>
          </w:tcPr>
          <w:p>
            <w:r>
              <w:rPr>
                <w:rFonts w:ascii="Calibri" w:hAnsi="Calibri"/>
                <w:color w:val="333333"/>
                <w:sz w:val="18"/>
              </w:rPr>
              <w:t>-12.5%</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$1.8B</w:t>
            </w:r>
          </w:p>
        </w:tc>
        <w:tc>
          <w:tcPr>
            <w:tcW w:type="dxa" w:w="2520"/>
          </w:tcPr>
          <w:p>
            <w:r>
              <w:rPr>
                <w:rFonts w:ascii="Calibri" w:hAnsi="Calibri"/>
                <w:color w:val="333333"/>
                <w:sz w:val="18"/>
              </w:rPr>
              <w:t>$1.4B</w:t>
            </w:r>
          </w:p>
        </w:tc>
        <w:tc>
          <w:tcPr>
            <w:tcW w:type="dxa" w:w="2520"/>
            <w:shd w:fill="FCE8E6" w:val="clear"/>
          </w:tcPr>
          <w:p>
            <w:r>
              <w:rPr>
                <w:rFonts w:ascii="Calibri" w:hAnsi="Calibri"/>
                <w:color w:val="333333"/>
                <w:sz w:val="18"/>
              </w:rPr>
              <w:t>-20.5%</w:t>
            </w:r>
          </w:p>
        </w:tc>
      </w:tr>
      <w:tr>
        <w:tc>
          <w:tcPr>
            <w:tcW w:type="dxa" w:w="2520"/>
            <w:shd w:fill="F2F4F8" w:val="clear"/>
          </w:tcPr>
          <w:p>
            <w:r>
              <w:rPr>
                <w:rFonts w:ascii="Calibri" w:hAnsi="Calibri"/>
                <w:color w:val="333333"/>
                <w:sz w:val="18"/>
              </w:rPr>
              <w:t>Selling, general and administrative expense</w:t>
            </w:r>
          </w:p>
        </w:tc>
        <w:tc>
          <w:tcPr>
            <w:tcW w:type="dxa" w:w="2520"/>
            <w:shd w:fill="F2F4F8" w:val="clear"/>
          </w:tcPr>
          <w:p>
            <w:r>
              <w:rPr>
                <w:rFonts w:ascii="Calibri" w:hAnsi="Calibri"/>
                <w:color w:val="333333"/>
                <w:sz w:val="18"/>
              </w:rPr>
              <w:t>$15.8B</w:t>
            </w:r>
          </w:p>
        </w:tc>
        <w:tc>
          <w:tcPr>
            <w:tcW w:type="dxa" w:w="2520"/>
            <w:shd w:fill="F2F4F8" w:val="clear"/>
          </w:tcPr>
          <w:p>
            <w:r>
              <w:rPr>
                <w:rFonts w:ascii="Calibri" w:hAnsi="Calibri"/>
                <w:color w:val="333333"/>
                <w:sz w:val="18"/>
              </w:rPr>
              <w:t>$16.5B</w:t>
            </w:r>
          </w:p>
        </w:tc>
        <w:tc>
          <w:tcPr>
            <w:tcW w:type="dxa" w:w="2520"/>
            <w:shd w:fill="F2F4F8" w:val="clear"/>
            <w:shd w:fill="FFF3CD" w:val="clear"/>
          </w:tcPr>
          <w:p>
            <w:r>
              <w:rPr>
                <w:rFonts w:ascii="Calibri" w:hAnsi="Calibri"/>
                <w:color w:val="333333"/>
                <w:sz w:val="18"/>
              </w:rPr>
              <w:t>4.7%</w:t>
            </w:r>
          </w:p>
        </w:tc>
      </w:tr>
      <w:tr>
        <w:tc>
          <w:tcPr>
            <w:tcW w:type="dxa" w:w="2520"/>
          </w:tcPr>
          <w:p>
            <w:r>
              <w:rPr>
                <w:rFonts w:ascii="Calibri" w:hAnsi="Calibri"/>
                <w:color w:val="333333"/>
                <w:sz w:val="18"/>
              </w:rPr>
              <w:t>Earnings before interest and taxes (EBIT)</w:t>
            </w:r>
          </w:p>
        </w:tc>
        <w:tc>
          <w:tcPr>
            <w:tcW w:type="dxa" w:w="2520"/>
          </w:tcPr>
          <w:p>
            <w:r>
              <w:rPr>
                <w:rFonts w:ascii="Calibri" w:hAnsi="Calibri"/>
                <w:color w:val="333333"/>
                <w:sz w:val="18"/>
              </w:rPr>
              <w:t>$15.6B</w:t>
            </w:r>
          </w:p>
        </w:tc>
        <w:tc>
          <w:tcPr>
            <w:tcW w:type="dxa" w:w="2520"/>
          </w:tcPr>
          <w:p>
            <w:r>
              <w:rPr>
                <w:rFonts w:ascii="Calibri" w:hAnsi="Calibri"/>
                <w:color w:val="333333"/>
                <w:sz w:val="18"/>
              </w:rPr>
              <w:t>$17.6B</w:t>
            </w:r>
          </w:p>
        </w:tc>
        <w:tc>
          <w:tcPr>
            <w:tcW w:type="dxa" w:w="2520"/>
            <w:shd w:fill="DCEEF8" w:val="clear"/>
          </w:tcPr>
          <w:p>
            <w:r>
              <w:rPr>
                <w:rFonts w:ascii="Calibri" w:hAnsi="Calibri"/>
                <w:color w:val="333333"/>
                <w:sz w:val="18"/>
              </w:rPr>
              <w:t>12.5%</w:t>
            </w:r>
          </w:p>
        </w:tc>
      </w:tr>
      <w:tr>
        <w:tc>
          <w:tcPr>
            <w:tcW w:type="dxa" w:w="2520"/>
            <w:shd w:fill="F2F4F8" w:val="clear"/>
          </w:tcPr>
          <w:p>
            <w:r>
              <w:rPr>
                <w:rFonts w:ascii="Calibri" w:hAnsi="Calibri"/>
                <w:color w:val="333333"/>
                <w:sz w:val="18"/>
              </w:rPr>
              <w:t>Weighted average shares outstanding (basic)</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1.8B</w:t>
            </w:r>
          </w:p>
        </w:tc>
        <w:tc>
          <w:tcPr>
            <w:tcW w:type="dxa" w:w="2520"/>
            <w:shd w:fill="F2F4F8" w:val="clear"/>
            <w:shd w:fill="FFF3CD" w:val="clear"/>
          </w:tcPr>
          <w:p>
            <w:r>
              <w:rPr>
                <w:rFonts w:ascii="Calibri" w:hAnsi="Calibri"/>
                <w:color w:val="333333"/>
                <w:sz w:val="18"/>
              </w:rPr>
              <w:t>-1.1%</w:t>
            </w:r>
          </w:p>
        </w:tc>
      </w:tr>
      <w:tr>
        <w:tc>
          <w:tcPr>
            <w:tcW w:type="dxa" w:w="2520"/>
          </w:tcPr>
          <w:p>
            <w:r>
              <w:rPr>
                <w:rFonts w:ascii="Calibri" w:hAnsi="Calibri"/>
                <w:color w:val="333333"/>
                <w:sz w:val="18"/>
              </w:rPr>
              <w:t>Weighted average shares outstanding (diluted)</w:t>
            </w:r>
          </w:p>
        </w:tc>
        <w:tc>
          <w:tcPr>
            <w:tcW w:type="dxa" w:w="2520"/>
          </w:tcPr>
          <w:p>
            <w:r>
              <w:rPr>
                <w:rFonts w:ascii="Calibri" w:hAnsi="Calibri"/>
                <w:color w:val="333333"/>
                <w:sz w:val="18"/>
              </w:rPr>
              <w:t>1.8B</w:t>
            </w:r>
          </w:p>
        </w:tc>
        <w:tc>
          <w:tcPr>
            <w:tcW w:type="dxa" w:w="2520"/>
          </w:tcPr>
          <w:p>
            <w:r>
              <w:rPr>
                <w:rFonts w:ascii="Calibri" w:hAnsi="Calibri"/>
                <w:color w:val="333333"/>
                <w:sz w:val="18"/>
              </w:rPr>
              <w:t>1.8B</w:t>
            </w:r>
          </w:p>
        </w:tc>
        <w:tc>
          <w:tcPr>
            <w:tcW w:type="dxa" w:w="2520"/>
            <w:shd w:fill="FFF3CD" w:val="clear"/>
          </w:tcPr>
          <w:p>
            <w:r>
              <w:rPr>
                <w:rFonts w:ascii="Calibri" w:hAnsi="Calibri"/>
                <w:color w:val="333333"/>
                <w:sz w:val="18"/>
              </w:rPr>
              <w:t>-1.1%</w:t>
            </w:r>
          </w:p>
        </w:tc>
      </w:tr>
      <w:tr>
        <w:tc>
          <w:tcPr>
            <w:tcW w:type="dxa" w:w="2520"/>
            <w:shd w:fill="F2F4F8" w:val="clear"/>
          </w:tcPr>
          <w:p>
            <w:r>
              <w:rPr>
                <w:rFonts w:ascii="Calibri" w:hAnsi="Calibri"/>
                <w:color w:val="333333"/>
                <w:sz w:val="18"/>
              </w:rPr>
              <w:t>Total comprehensive income / loss</w:t>
            </w:r>
          </w:p>
        </w:tc>
        <w:tc>
          <w:tcPr>
            <w:tcW w:type="dxa" w:w="2520"/>
            <w:shd w:fill="F2F4F8" w:val="clear"/>
          </w:tcPr>
          <w:p>
            <w:r>
              <w:rPr>
                <w:rFonts w:ascii="Calibri" w:hAnsi="Calibri"/>
                <w:color w:val="333333"/>
                <w:sz w:val="18"/>
              </w:rPr>
              <w:t>$4.6B</w:t>
            </w:r>
          </w:p>
        </w:tc>
        <w:tc>
          <w:tcPr>
            <w:tcW w:type="dxa" w:w="2520"/>
            <w:shd w:fill="F2F4F8" w:val="clear"/>
          </w:tcPr>
          <w:p>
            <w:r>
              <w:rPr>
                <w:rFonts w:ascii="Calibri" w:hAnsi="Calibri"/>
                <w:color w:val="333333"/>
                <w:sz w:val="18"/>
              </w:rPr>
              <w:t>$13.2B</w:t>
            </w:r>
          </w:p>
        </w:tc>
        <w:tc>
          <w:tcPr>
            <w:tcW w:type="dxa" w:w="2520"/>
            <w:shd w:fill="F2F4F8" w:val="clear"/>
            <w:shd w:fill="DCEEF8" w:val="clear"/>
          </w:tcPr>
          <w:p>
            <w:r>
              <w:rPr>
                <w:rFonts w:ascii="Calibri" w:hAnsi="Calibri"/>
                <w:color w:val="333333"/>
                <w:sz w:val="18"/>
              </w:rPr>
              <w:t>188.9%</w:t>
            </w:r>
          </w:p>
        </w:tc>
      </w:tr>
      <w:tr>
        <w:tc>
          <w:tcPr>
            <w:tcW w:type="dxa" w:w="2520"/>
          </w:tcPr>
          <w:p>
            <w:r>
              <w:rPr>
                <w:rFonts w:ascii="Calibri" w:hAnsi="Calibri"/>
                <w:color w:val="333333"/>
                <w:sz w:val="18"/>
              </w:rPr>
              <w:t>Other income / non-operating income</w:t>
            </w:r>
          </w:p>
        </w:tc>
        <w:tc>
          <w:tcPr>
            <w:tcW w:type="dxa" w:w="2520"/>
          </w:tcPr>
          <w:p>
            <w:r>
              <w:rPr>
                <w:rFonts w:ascii="Calibri" w:hAnsi="Calibri"/>
                <w:color w:val="333333"/>
                <w:sz w:val="18"/>
              </w:rPr>
              <w:t>$-65.0M</w:t>
            </w:r>
          </w:p>
        </w:tc>
        <w:tc>
          <w:tcPr>
            <w:tcW w:type="dxa" w:w="2520"/>
          </w:tcPr>
          <w:p>
            <w:r>
              <w:rPr>
                <w:rFonts w:ascii="Calibri" w:hAnsi="Calibri"/>
                <w:color w:val="333333"/>
                <w:sz w:val="18"/>
              </w:rPr>
              <w:t>$0</w:t>
            </w:r>
          </w:p>
        </w:tc>
        <w:tc>
          <w:tcPr>
            <w:tcW w:type="dxa" w:w="2520"/>
            <w:shd w:fill="DCEEF8" w:val="clear"/>
          </w:tcPr>
          <w:p>
            <w:r>
              <w:rPr>
                <w:rFonts w:ascii="Calibri" w:hAnsi="Calibri"/>
                <w:color w:val="333333"/>
                <w:sz w:val="18"/>
              </w:rPr>
              <w:t>100.0%</w:t>
            </w:r>
          </w:p>
        </w:tc>
      </w:tr>
      <w:tr>
        <w:tc>
          <w:tcPr>
            <w:tcW w:type="dxa" w:w="2520"/>
            <w:shd w:fill="F2F4F8" w:val="clear"/>
          </w:tcPr>
          <w:p>
            <w:r>
              <w:rPr>
                <w:rFonts w:ascii="Calibri" w:hAnsi="Calibri"/>
                <w:color w:val="333333"/>
                <w:sz w:val="18"/>
              </w:rPr>
              <w:t>Restructuring charges</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$819.0M</w:t>
            </w:r>
          </w:p>
        </w:tc>
        <w:tc>
          <w:tcPr>
            <w:tcW w:type="dxa" w:w="2520"/>
            <w:shd w:fill="F2F4F8" w:val="clear"/>
            <w:shd w:fill="FCE8E6" w:val="clear"/>
          </w:tcPr>
          <w:p>
            <w:r>
              <w:rPr>
                <w:rFonts w:ascii="Calibri" w:hAnsi="Calibri"/>
                <w:color w:val="333333"/>
                <w:sz w:val="18"/>
              </w:rPr>
              <w:t>-77.2%</w:t>
            </w:r>
          </w:p>
        </w:tc>
      </w:tr>
      <w:tr>
        <w:tc>
          <w:tcPr>
            <w:tcW w:type="dxa" w:w="2520"/>
          </w:tcPr>
          <w:p>
            <w:r>
              <w:rPr>
                <w:rFonts w:ascii="Calibri" w:hAnsi="Calibri"/>
                <w:color w:val="333333"/>
                <w:sz w:val="18"/>
              </w:rPr>
              <w:t>Impairment charges (goodwill, intangibles, long-lived assets)</w:t>
            </w:r>
          </w:p>
        </w:tc>
        <w:tc>
          <w:tcPr>
            <w:tcW w:type="dxa" w:w="2520"/>
          </w:tcPr>
          <w:p>
            <w:r>
              <w:rPr>
                <w:rFonts w:ascii="Calibri" w:hAnsi="Calibri"/>
                <w:color w:val="333333"/>
                <w:sz w:val="18"/>
              </w:rPr>
              <w:t>$2.6B</w:t>
            </w:r>
          </w:p>
        </w:tc>
        <w:tc>
          <w:tcPr>
            <w:tcW w:type="dxa" w:w="2520"/>
          </w:tcPr>
          <w:p>
            <w:r>
              <w:rPr>
                <w:rFonts w:ascii="Calibri" w:hAnsi="Calibri"/>
                <w:color w:val="333333"/>
                <w:sz w:val="18"/>
              </w:rPr>
              <w:t>$2.6B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$15.6B</w:t>
            </w:r>
          </w:p>
        </w:tc>
        <w:tc>
          <w:tcPr>
            <w:tcW w:type="dxa" w:w="2520"/>
            <w:shd w:fill="F2F4F8" w:val="clear"/>
          </w:tcPr>
          <w:p>
            <w:r>
              <w:rPr>
                <w:rFonts w:ascii="Calibri" w:hAnsi="Calibri"/>
                <w:color w:val="333333"/>
                <w:sz w:val="18"/>
              </w:rPr>
              <w:t>$17.6B</w:t>
            </w:r>
          </w:p>
        </w:tc>
        <w:tc>
          <w:tcPr>
            <w:tcW w:type="dxa" w:w="2520"/>
            <w:shd w:fill="F2F4F8" w:val="clear"/>
            <w:shd w:fill="DCEEF8" w:val="clear"/>
          </w:tcPr>
          <w:p>
            <w:r>
              <w:rPr>
                <w:rFonts w:ascii="Calibri" w:hAnsi="Calibri"/>
                <w:color w:val="333333"/>
                <w:sz w:val="18"/>
              </w:rPr>
              <w:t>12.5%</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$7.6B</w:t>
            </w:r>
          </w:p>
        </w:tc>
        <w:tc>
          <w:tcPr>
            <w:tcW w:type="dxa" w:w="2520"/>
          </w:tcPr>
          <w:p>
            <w:r>
              <w:rPr>
                <w:rFonts w:ascii="Calibri" w:hAnsi="Calibri"/>
                <w:color w:val="333333"/>
                <w:sz w:val="18"/>
              </w:rPr>
              <w:t>$12.0B</w:t>
            </w:r>
          </w:p>
        </w:tc>
        <w:tc>
          <w:tcPr>
            <w:tcW w:type="dxa" w:w="2520"/>
            <w:shd w:fill="DCEEF8" w:val="clear"/>
          </w:tcPr>
          <w:p>
            <w:r>
              <w:rPr>
                <w:rFonts w:ascii="Calibri" w:hAnsi="Calibri"/>
                <w:color w:val="333333"/>
                <w:sz w:val="18"/>
              </w:rPr>
              <w:t>58.6%</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-0.2%</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$7.6B</w:t>
            </w:r>
          </w:p>
        </w:tc>
        <w:tc>
          <w:tcPr>
            <w:tcW w:type="dxa" w:w="2520"/>
          </w:tcPr>
          <w:p>
            <w:r>
              <w:rPr>
                <w:rFonts w:ascii="Calibri" w:hAnsi="Calibri"/>
                <w:color w:val="333333"/>
                <w:sz w:val="18"/>
              </w:rPr>
              <w:t>$12.0B</w:t>
            </w:r>
          </w:p>
        </w:tc>
        <w:tc>
          <w:tcPr>
            <w:tcW w:type="dxa" w:w="2520"/>
            <w:shd w:fill="DCEEF8" w:val="clear"/>
          </w:tcPr>
          <w:p>
            <w:r>
              <w:rPr>
                <w:rFonts w:ascii="Calibri" w:hAnsi="Calibri"/>
                <w:color w:val="333333"/>
                <w:sz w:val="18"/>
              </w:rPr>
              <w:t>58.6%</w:t>
            </w:r>
          </w:p>
        </w:tc>
      </w:tr>
      <w:tr>
        <w:tc>
          <w:tcPr>
            <w:tcW w:type="dxa" w:w="2520"/>
            <w:shd w:fill="F2F4F8" w:val="clear"/>
          </w:tcPr>
          <w:p>
            <w:r>
              <w:rPr>
                <w:rFonts w:ascii="Calibri" w:hAnsi="Calibri"/>
                <w:color w:val="333333"/>
                <w:sz w:val="18"/>
              </w:rPr>
              <w:t>Income/loss from discontinued operations, net of tax</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$-323.0M</w:t>
            </w:r>
          </w:p>
        </w:tc>
        <w:tc>
          <w:tcPr>
            <w:tcW w:type="dxa" w:w="2520"/>
          </w:tcPr>
          <w:p>
            <w:r>
              <w:rPr>
                <w:rFonts w:ascii="Calibri" w:hAnsi="Calibri"/>
                <w:color w:val="333333"/>
                <w:sz w:val="18"/>
              </w:rPr>
              <w:t>$748.0M</w:t>
            </w:r>
          </w:p>
        </w:tc>
        <w:tc>
          <w:tcPr>
            <w:tcW w:type="dxa" w:w="2520"/>
            <w:shd w:fill="DCEEF8" w:val="clear"/>
          </w:tcPr>
          <w:p>
            <w:r>
              <w:rPr>
                <w:rFonts w:ascii="Calibri" w:hAnsi="Calibri"/>
                <w:color w:val="333333"/>
                <w:sz w:val="18"/>
              </w:rPr>
              <w:t>331.6%</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$79.4B</w:t>
            </w:r>
          </w:p>
        </w:tc>
        <w:tc>
          <w:tcPr>
            <w:tcW w:type="dxa" w:w="2520"/>
            <w:shd w:fill="F2F4F8" w:val="clear"/>
          </w:tcPr>
          <w:p>
            <w:r>
              <w:rPr>
                <w:rFonts w:ascii="Calibri" w:hAnsi="Calibri"/>
                <w:color w:val="333333"/>
                <w:sz w:val="18"/>
              </w:rPr>
              <w:t>$80.6B</w:t>
            </w:r>
          </w:p>
        </w:tc>
        <w:tc>
          <w:tcPr>
            <w:tcW w:type="dxa" w:w="2520"/>
            <w:shd w:fill="F2F4F8" w:val="clear"/>
            <w:shd w:fill="FFF3CD" w:val="clear"/>
          </w:tcPr>
          <w:p>
            <w:r>
              <w:rPr>
                <w:rFonts w:ascii="Calibri" w:hAnsi="Calibri"/>
                <w:color w:val="333333"/>
                <w:sz w:val="18"/>
              </w:rPr>
              <w:t>1.4%</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$79.4B</w:t>
            </w:r>
          </w:p>
        </w:tc>
        <w:tc>
          <w:tcPr>
            <w:tcW w:type="dxa" w:w="2520"/>
          </w:tcPr>
          <w:p>
            <w:r>
              <w:rPr>
                <w:rFonts w:ascii="Calibri" w:hAnsi="Calibri"/>
                <w:color w:val="333333"/>
                <w:sz w:val="18"/>
              </w:rPr>
              <w:t>$80.6B</w:t>
            </w:r>
          </w:p>
        </w:tc>
        <w:tc>
          <w:tcPr>
            <w:tcW w:type="dxa" w:w="2520"/>
            <w:shd w:fill="FFF3CD" w:val="clear"/>
          </w:tcPr>
          <w:p>
            <w:r>
              <w:rPr>
                <w:rFonts w:ascii="Calibri" w:hAnsi="Calibri"/>
                <w:color w:val="333333"/>
                <w:sz w:val="18"/>
              </w:rPr>
              <w:t>1.4%</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$-65.0M</w:t>
            </w:r>
          </w:p>
        </w:tc>
        <w:tc>
          <w:tcPr>
            <w:tcW w:type="dxa" w:w="2520"/>
            <w:shd w:fill="F2F4F8" w:val="clear"/>
          </w:tcPr>
          <w:p>
            <w:r>
              <w:rPr>
                <w:rFonts w:ascii="Calibri" w:hAnsi="Calibri"/>
                <w:color w:val="333333"/>
                <w:sz w:val="18"/>
              </w:rPr>
              <w:t>$0</w:t>
            </w:r>
          </w:p>
        </w:tc>
        <w:tc>
          <w:tcPr>
            <w:tcW w:type="dxa" w:w="2520"/>
            <w:shd w:fill="F2F4F8" w:val="clear"/>
            <w:shd w:fill="DCEEF8" w:val="clear"/>
          </w:tcPr>
          <w:p>
            <w:r>
              <w:rPr>
                <w:rFonts w:ascii="Calibri" w:hAnsi="Calibri"/>
                <w:color w:val="333333"/>
                <w:sz w:val="18"/>
              </w:rPr>
              <w:t>100.0%</w:t>
            </w:r>
          </w:p>
        </w:tc>
      </w:tr>
      <w:tr>
        <w:tc>
          <w:tcPr>
            <w:tcW w:type="dxa" w:w="2520"/>
          </w:tcPr>
          <w:p>
            <w:r>
              <w:rPr>
                <w:rFonts w:ascii="Calibri" w:hAnsi="Calibri"/>
                <w:color w:val="333333"/>
                <w:sz w:val="18"/>
              </w:rPr>
              <w:t>Asset impairment charges (long-lived assets)</w:t>
            </w:r>
          </w:p>
        </w:tc>
        <w:tc>
          <w:tcPr>
            <w:tcW w:type="dxa" w:w="2520"/>
          </w:tcPr>
          <w:p>
            <w:r>
              <w:rPr>
                <w:rFonts w:ascii="Calibri" w:hAnsi="Calibri"/>
                <w:color w:val="333333"/>
                <w:sz w:val="18"/>
              </w:rPr>
              <w:t>$187.0M</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Current federal income tax expense / benefit</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$-130.0M</w:t>
            </w:r>
          </w:p>
        </w:tc>
        <w:tc>
          <w:tcPr>
            <w:tcW w:type="dxa" w:w="2520"/>
            <w:shd w:fill="F2F4F8" w:val="clear"/>
            <w:shd w:fill="FCE8E6" w:val="clear"/>
          </w:tcPr>
          <w:p>
            <w:r>
              <w:rPr>
                <w:rFonts w:ascii="Calibri" w:hAnsi="Calibri"/>
                <w:color w:val="333333"/>
                <w:sz w:val="18"/>
              </w:rPr>
              <w:t>-109.3%</w:t>
            </w:r>
          </w:p>
        </w:tc>
      </w:tr>
      <w:tr>
        <w:tc>
          <w:tcPr>
            <w:tcW w:type="dxa" w:w="2520"/>
          </w:tcPr>
          <w:p>
            <w:r>
              <w:rPr>
                <w:rFonts w:ascii="Calibri" w:hAnsi="Calibri"/>
                <w:color w:val="333333"/>
                <w:sz w:val="18"/>
              </w:rPr>
              <w:t>Current state and local income tax expense / benefit</w:t>
            </w:r>
          </w:p>
        </w:tc>
        <w:tc>
          <w:tcPr>
            <w:tcW w:type="dxa" w:w="2520"/>
          </w:tcPr>
          <w:p>
            <w:r>
              <w:rPr>
                <w:rFonts w:ascii="Calibri" w:hAnsi="Calibri"/>
                <w:color w:val="333333"/>
                <w:sz w:val="18"/>
              </w:rPr>
              <w:t>$237.0M</w:t>
            </w:r>
          </w:p>
        </w:tc>
        <w:tc>
          <w:tcPr>
            <w:tcW w:type="dxa" w:w="2520"/>
          </w:tcPr>
          <w:p>
            <w:r>
              <w:rPr>
                <w:rFonts w:ascii="Calibri" w:hAnsi="Calibri"/>
                <w:color w:val="333333"/>
                <w:sz w:val="18"/>
              </w:rPr>
              <w:t>$413.0M</w:t>
            </w:r>
          </w:p>
        </w:tc>
        <w:tc>
          <w:tcPr>
            <w:tcW w:type="dxa" w:w="2520"/>
            <w:shd w:fill="DCEEF8" w:val="clear"/>
          </w:tcPr>
          <w:p>
            <w:r>
              <w:rPr>
                <w:rFonts w:ascii="Calibri" w:hAnsi="Calibri"/>
                <w:color w:val="333333"/>
                <w:sz w:val="18"/>
              </w:rPr>
              <w:t>74.3%</w:t>
            </w:r>
          </w:p>
        </w:tc>
      </w:tr>
      <w:tr>
        <w:tc>
          <w:tcPr>
            <w:tcW w:type="dxa" w:w="2520"/>
            <w:shd w:fill="F2F4F8" w:val="clear"/>
          </w:tcPr>
          <w:p>
            <w:r>
              <w:rPr>
                <w:rFonts w:ascii="Calibri" w:hAnsi="Calibri"/>
                <w:color w:val="333333"/>
                <w:sz w:val="18"/>
              </w:rPr>
              <w:t>Current foreign income tax expense / benefit</w:t>
            </w:r>
          </w:p>
        </w:tc>
        <w:tc>
          <w:tcPr>
            <w:tcW w:type="dxa" w:w="2520"/>
            <w:shd w:fill="F2F4F8" w:val="clear"/>
          </w:tcPr>
          <w:p>
            <w:r>
              <w:rPr>
                <w:rFonts w:ascii="Calibri" w:hAnsi="Calibri"/>
                <w:color w:val="333333"/>
                <w:sz w:val="18"/>
              </w:rPr>
              <w:t>$973.0M</w:t>
            </w:r>
          </w:p>
        </w:tc>
        <w:tc>
          <w:tcPr>
            <w:tcW w:type="dxa" w:w="2520"/>
            <w:shd w:fill="F2F4F8" w:val="clear"/>
          </w:tcPr>
          <w:p>
            <w:r>
              <w:rPr>
                <w:rFonts w:ascii="Calibri" w:hAnsi="Calibri"/>
                <w:color w:val="333333"/>
                <w:sz w:val="18"/>
              </w:rPr>
              <w:t>$906.0M</w:t>
            </w:r>
          </w:p>
        </w:tc>
        <w:tc>
          <w:tcPr>
            <w:tcW w:type="dxa" w:w="2520"/>
            <w:shd w:fill="F2F4F8" w:val="clear"/>
            <w:shd w:fill="FFF3CD" w:val="clear"/>
          </w:tcPr>
          <w:p>
            <w:r>
              <w:rPr>
                <w:rFonts w:ascii="Calibri" w:hAnsi="Calibri"/>
                <w:color w:val="333333"/>
                <w:sz w:val="18"/>
              </w:rPr>
              <w:t>-6.9%</w:t>
            </w:r>
          </w:p>
        </w:tc>
      </w:tr>
      <w:tr>
        <w:tc>
          <w:tcPr>
            <w:tcW w:type="dxa" w:w="2520"/>
          </w:tcPr>
          <w:p>
            <w:r>
              <w:rPr>
                <w:rFonts w:ascii="Calibri" w:hAnsi="Calibri"/>
                <w:color w:val="333333"/>
                <w:sz w:val="18"/>
              </w:rPr>
              <w:t>Deferred federal income tax expense / benefit</w:t>
            </w:r>
          </w:p>
        </w:tc>
        <w:tc>
          <w:tcPr>
            <w:tcW w:type="dxa" w:w="2520"/>
          </w:tcPr>
          <w:p>
            <w:r>
              <w:rPr>
                <w:rFonts w:ascii="Calibri" w:hAnsi="Calibri"/>
                <w:color w:val="333333"/>
                <w:sz w:val="18"/>
              </w:rPr>
              <w:t>$-764.0M</w:t>
            </w:r>
          </w:p>
        </w:tc>
        <w:tc>
          <w:tcPr>
            <w:tcW w:type="dxa" w:w="2520"/>
          </w:tcPr>
          <w:p>
            <w:r>
              <w:rPr>
                <w:rFonts w:ascii="Calibri" w:hAnsi="Calibri"/>
                <w:color w:val="333333"/>
                <w:sz w:val="18"/>
              </w:rPr>
              <w:t>$-2.2B</w:t>
            </w:r>
          </w:p>
        </w:tc>
        <w:tc>
          <w:tcPr>
            <w:tcW w:type="dxa" w:w="2520"/>
            <w:shd w:fill="FCE8E6" w:val="clear"/>
          </w:tcPr>
          <w:p>
            <w:r>
              <w:rPr>
                <w:rFonts w:ascii="Calibri" w:hAnsi="Calibri"/>
                <w:color w:val="333333"/>
                <w:sz w:val="18"/>
              </w:rPr>
              <w:t>-184.2%</w:t>
            </w:r>
          </w:p>
        </w:tc>
      </w:tr>
      <w:tr>
        <w:tc>
          <w:tcPr>
            <w:tcW w:type="dxa" w:w="2520"/>
            <w:shd w:fill="F2F4F8" w:val="clear"/>
          </w:tcPr>
          <w:p>
            <w:r>
              <w:rPr>
                <w:rFonts w:ascii="Calibri" w:hAnsi="Calibri"/>
                <w:color w:val="333333"/>
                <w:sz w:val="18"/>
              </w:rPr>
              <w:t>Deferred state and local income tax expense / benefit</w:t>
            </w:r>
          </w:p>
        </w:tc>
        <w:tc>
          <w:tcPr>
            <w:tcW w:type="dxa" w:w="2520"/>
            <w:shd w:fill="F2F4F8" w:val="clear"/>
          </w:tcPr>
          <w:p>
            <w:r>
              <w:rPr>
                <w:rFonts w:ascii="Calibri" w:hAnsi="Calibri"/>
                <w:color w:val="333333"/>
                <w:sz w:val="18"/>
              </w:rPr>
              <w:t>$54.0M</w:t>
            </w:r>
          </w:p>
        </w:tc>
        <w:tc>
          <w:tcPr>
            <w:tcW w:type="dxa" w:w="2520"/>
            <w:shd w:fill="F2F4F8" w:val="clear"/>
          </w:tcPr>
          <w:p>
            <w:r>
              <w:rPr>
                <w:rFonts w:ascii="Calibri" w:hAnsi="Calibri"/>
                <w:color w:val="333333"/>
                <w:sz w:val="18"/>
              </w:rPr>
              <w:t>$-527.0M</w:t>
            </w:r>
          </w:p>
        </w:tc>
        <w:tc>
          <w:tcPr>
            <w:tcW w:type="dxa" w:w="2520"/>
            <w:shd w:fill="F2F4F8" w:val="clear"/>
            <w:shd w:fill="FCE8E6" w:val="clear"/>
          </w:tcPr>
          <w:p>
            <w:r>
              <w:rPr>
                <w:rFonts w:ascii="Calibri" w:hAnsi="Calibri"/>
                <w:color w:val="333333"/>
                <w:sz w:val="18"/>
              </w:rPr>
              <w:t>-1075.9%</w:t>
            </w:r>
          </w:p>
        </w:tc>
      </w:tr>
      <w:tr>
        <w:tc>
          <w:tcPr>
            <w:tcW w:type="dxa" w:w="2520"/>
          </w:tcPr>
          <w:p>
            <w:r>
              <w:rPr>
                <w:rFonts w:ascii="Calibri" w:hAnsi="Calibri"/>
                <w:color w:val="333333"/>
                <w:sz w:val="18"/>
              </w:rPr>
              <w:t>Deferred foreign income tax expense / benefit</w:t>
            </w:r>
          </w:p>
        </w:tc>
        <w:tc>
          <w:tcPr>
            <w:tcW w:type="dxa" w:w="2520"/>
          </w:tcPr>
          <w:p>
            <w:r>
              <w:rPr>
                <w:rFonts w:ascii="Calibri" w:hAnsi="Calibri"/>
                <w:color w:val="333333"/>
                <w:sz w:val="18"/>
              </w:rPr>
              <w:t>$-97.0M</w:t>
            </w:r>
          </w:p>
        </w:tc>
        <w:tc>
          <w:tcPr>
            <w:tcW w:type="dxa" w:w="2520"/>
          </w:tcPr>
          <w:p>
            <w:r>
              <w:rPr>
                <w:rFonts w:ascii="Calibri" w:hAnsi="Calibri"/>
                <w:color w:val="333333"/>
                <w:sz w:val="18"/>
              </w:rPr>
              <w:t>$81.0M</w:t>
            </w:r>
          </w:p>
        </w:tc>
        <w:tc>
          <w:tcPr>
            <w:tcW w:type="dxa" w:w="2520"/>
            <w:shd w:fill="DCEEF8" w:val="clear"/>
          </w:tcPr>
          <w:p>
            <w:r>
              <w:rPr>
                <w:rFonts w:ascii="Calibri" w:hAnsi="Calibri"/>
                <w:color w:val="333333"/>
                <w:sz w:val="18"/>
              </w:rPr>
              <w:t>183.5%</w:t>
            </w:r>
          </w:p>
        </w:tc>
      </w:tr>
      <w:tr>
        <w:tc>
          <w:tcPr>
            <w:tcW w:type="dxa" w:w="2520"/>
            <w:shd w:fill="F2F4F8" w:val="clear"/>
          </w:tcPr>
          <w:p>
            <w:r>
              <w:rPr>
                <w:rFonts w:ascii="Calibri" w:hAnsi="Calibri"/>
                <w:color w:val="333333"/>
                <w:sz w:val="18"/>
              </w:rPr>
              <w:t>Advertising expense</w:t>
            </w:r>
          </w:p>
        </w:tc>
        <w:tc>
          <w:tcPr>
            <w:tcW w:type="dxa" w:w="2520"/>
            <w:shd w:fill="F2F4F8" w:val="clear"/>
          </w:tcPr>
          <w:p>
            <w:r>
              <w:rPr>
                <w:rFonts w:ascii="Calibri" w:hAnsi="Calibri"/>
                <w:color w:val="333333"/>
                <w:sz w:val="18"/>
              </w:rPr>
              <w:t>$6.1B</w:t>
            </w:r>
          </w:p>
        </w:tc>
        <w:tc>
          <w:tcPr>
            <w:tcW w:type="dxa" w:w="2520"/>
            <w:shd w:fill="F2F4F8" w:val="clear"/>
          </w:tcPr>
          <w:p>
            <w:r>
              <w:rPr>
                <w:rFonts w:ascii="Calibri" w:hAnsi="Calibri"/>
                <w:color w:val="333333"/>
                <w:sz w:val="18"/>
              </w:rPr>
              <w:t>$6.5B</w:t>
            </w:r>
          </w:p>
        </w:tc>
        <w:tc>
          <w:tcPr>
            <w:tcW w:type="dxa" w:w="2520"/>
            <w:shd w:fill="F2F4F8" w:val="clear"/>
            <w:shd w:fill="FFF3CD" w:val="clear"/>
          </w:tcPr>
          <w:p>
            <w:r>
              <w:rPr>
                <w:rFonts w:ascii="Calibri" w:hAnsi="Calibri"/>
                <w:color w:val="333333"/>
                <w:sz w:val="18"/>
              </w:rPr>
              <w:t>6.6%</w:t>
            </w:r>
          </w:p>
        </w:tc>
      </w:tr>
      <w:tr>
        <w:tc>
          <w:tcPr>
            <w:tcW w:type="dxa" w:w="2520"/>
          </w:tcPr>
          <w:p>
            <w:r>
              <w:rPr>
                <w:rFonts w:ascii="Calibri" w:hAnsi="Calibri"/>
                <w:color w:val="333333"/>
                <w:sz w:val="18"/>
              </w:rPr>
              <w:t>Goodwill impairment loss</w:t>
            </w:r>
          </w:p>
        </w:tc>
        <w:tc>
          <w:tcPr>
            <w:tcW w:type="dxa" w:w="2520"/>
          </w:tcPr>
          <w:p>
            <w:r>
              <w:rPr>
                <w:rFonts w:ascii="Calibri" w:hAnsi="Calibri"/>
                <w:color w:val="333333"/>
                <w:sz w:val="18"/>
              </w:rPr>
              <w:t>$2.6B</w:t>
            </w:r>
          </w:p>
        </w:tc>
        <w:tc>
          <w:tcPr>
            <w:tcW w:type="dxa" w:w="2520"/>
          </w:tcPr>
          <w:p>
            <w:r>
              <w:rPr>
                <w:rFonts w:ascii="Calibri" w:hAnsi="Calibri"/>
                <w:color w:val="333333"/>
                <w:sz w:val="18"/>
              </w:rPr>
              <w:t>$2.6B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RSU/restricted stock units granted in period</w:t>
            </w:r>
          </w:p>
        </w:tc>
        <w:tc>
          <w:tcPr>
            <w:tcW w:type="dxa" w:w="2520"/>
            <w:shd w:fill="F2F4F8" w:val="clear"/>
          </w:tcPr>
          <w:p>
            <w:r>
              <w:rPr>
                <w:rFonts w:ascii="Calibri" w:hAnsi="Calibri"/>
                <w:color w:val="333333"/>
                <w:sz w:val="18"/>
              </w:rPr>
              <w:t>$18.0M</w:t>
            </w:r>
          </w:p>
        </w:tc>
        <w:tc>
          <w:tcPr>
            <w:tcW w:type="dxa" w:w="2520"/>
            <w:shd w:fill="F2F4F8" w:val="clear"/>
          </w:tcPr>
          <w:p>
            <w:r>
              <w:rPr>
                <w:rFonts w:ascii="Calibri" w:hAnsi="Calibri"/>
                <w:color w:val="333333"/>
                <w:sz w:val="18"/>
              </w:rPr>
              <w:t>$16.0M</w:t>
            </w:r>
          </w:p>
        </w:tc>
        <w:tc>
          <w:tcPr>
            <w:tcW w:type="dxa" w:w="2520"/>
            <w:shd w:fill="F2F4F8" w:val="clear"/>
            <w:shd w:fill="FCE8E6" w:val="clear"/>
          </w:tcPr>
          <w:p>
            <w:r>
              <w:rPr>
                <w:rFonts w:ascii="Calibri" w:hAnsi="Calibri"/>
                <w:color w:val="333333"/>
                <w:sz w:val="18"/>
              </w:rPr>
              <w:t>-11.1%</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17.1%</w:t>
            </w:r>
          </w:p>
        </w:tc>
        <w:tc>
          <w:tcPr>
            <w:tcW w:type="dxa" w:w="2520"/>
          </w:tcPr>
          <w:p>
            <w:r>
              <w:rPr>
                <w:rFonts w:ascii="Calibri" w:hAnsi="Calibri"/>
                <w:color w:val="333333"/>
                <w:sz w:val="18"/>
              </w:rPr>
              <w:t>18.6%</w:t>
            </w:r>
          </w:p>
        </w:tc>
        <w:tc>
          <w:tcPr>
            <w:tcW w:type="dxa" w:w="2520"/>
            <w:shd w:fill="FFF3CD" w:val="clear"/>
          </w:tcPr>
          <w:p>
            <w:r>
              <w:rPr>
                <w:rFonts w:ascii="Calibri" w:hAnsi="Calibri"/>
                <w:color w:val="333333"/>
                <w:sz w:val="18"/>
              </w:rPr>
              <w:t>8.8%</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5.4%</w:t>
            </w:r>
          </w:p>
        </w:tc>
        <w:tc>
          <w:tcPr>
            <w:tcW w:type="dxa" w:w="2520"/>
            <w:shd w:fill="F2F4F8" w:val="clear"/>
          </w:tcPr>
          <w:p>
            <w:r>
              <w:rPr>
                <w:rFonts w:ascii="Calibri" w:hAnsi="Calibri"/>
                <w:color w:val="333333"/>
                <w:sz w:val="18"/>
              </w:rPr>
              <w:t>13.1%</w:t>
            </w:r>
          </w:p>
        </w:tc>
        <w:tc>
          <w:tcPr>
            <w:tcW w:type="dxa" w:w="2520"/>
            <w:shd w:fill="F2F4F8" w:val="clear"/>
            <w:shd w:fill="DCEEF8" w:val="clear"/>
          </w:tcPr>
          <w:p>
            <w:r>
              <w:rPr>
                <w:rFonts w:ascii="Calibri" w:hAnsi="Calibri"/>
                <w:color w:val="333333"/>
                <w:sz w:val="18"/>
              </w:rPr>
              <w:t>141.5%</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22.5%</w:t>
            </w:r>
          </w:p>
        </w:tc>
        <w:tc>
          <w:tcPr>
            <w:tcW w:type="dxa" w:w="2520"/>
          </w:tcPr>
          <w:p>
            <w:r>
              <w:rPr>
                <w:rFonts w:ascii="Calibri" w:hAnsi="Calibri"/>
                <w:color w:val="333333"/>
                <w:sz w:val="18"/>
              </w:rPr>
              <w:t>24.2%</w:t>
            </w:r>
          </w:p>
        </w:tc>
        <w:tc>
          <w:tcPr>
            <w:tcW w:type="dxa" w:w="2520"/>
            <w:shd w:fill="FFF3CD" w:val="clear"/>
          </w:tcPr>
          <w:p>
            <w:r>
              <w:rPr>
                <w:rFonts w:ascii="Calibri" w:hAnsi="Calibri"/>
                <w:color w:val="333333"/>
                <w:sz w:val="18"/>
              </w:rPr>
              <w:t>7.5%</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$24</w:t>
            </w:r>
          </w:p>
        </w:tc>
        <w:tc>
          <w:tcPr>
            <w:tcW w:type="dxa" w:w="2520"/>
            <w:shd w:fill="F2F4F8" w:val="clear"/>
          </w:tcPr>
          <w:p>
            <w:r>
              <w:rPr>
                <w:rFonts w:ascii="Calibri" w:hAnsi="Calibri"/>
                <w:color w:val="333333"/>
                <w:sz w:val="18"/>
              </w:rPr>
              <w:t>$12</w:t>
            </w:r>
          </w:p>
        </w:tc>
        <w:tc>
          <w:tcPr>
            <w:tcW w:type="dxa" w:w="2520"/>
            <w:shd w:fill="F2F4F8" w:val="clear"/>
            <w:shd w:fill="FCE8E6" w:val="clear"/>
          </w:tcPr>
          <w:p>
            <w:r>
              <w:rPr>
                <w:rFonts w:ascii="Calibri" w:hAnsi="Calibri"/>
                <w:color w:val="333333"/>
                <w:sz w:val="18"/>
              </w:rPr>
              <w:t>-49.9%</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$8</w:t>
            </w:r>
          </w:p>
        </w:tc>
        <w:tc>
          <w:tcPr>
            <w:tcW w:type="dxa" w:w="2520"/>
          </w:tcPr>
          <w:p>
            <w:r>
              <w:rPr>
                <w:rFonts w:ascii="Calibri" w:hAnsi="Calibri"/>
                <w:color w:val="333333"/>
                <w:sz w:val="18"/>
              </w:rPr>
              <w:t>$10</w:t>
            </w:r>
          </w:p>
        </w:tc>
        <w:tc>
          <w:tcPr>
            <w:tcW w:type="dxa" w:w="2520"/>
            <w:shd w:fill="DCEEF8" w:val="clear"/>
          </w:tcPr>
          <w:p>
            <w:r>
              <w:rPr>
                <w:rFonts w:ascii="Calibri" w:hAnsi="Calibri"/>
                <w:color w:val="333333"/>
                <w:sz w:val="18"/>
              </w:rPr>
              <w:t>28.5%</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$196.2B</w:t>
            </w:r>
          </w:p>
        </w:tc>
        <w:tc>
          <w:tcPr>
            <w:tcW w:type="dxa" w:w="2520"/>
          </w:tcPr>
          <w:p>
            <w:r>
              <w:rPr>
                <w:rFonts w:ascii="Calibri" w:hAnsi="Calibri"/>
                <w:color w:val="333333"/>
                <w:sz w:val="18"/>
              </w:rPr>
              <w:t>$197.5B</w:t>
            </w:r>
          </w:p>
        </w:tc>
        <w:tc>
          <w:tcPr>
            <w:tcW w:type="dxa" w:w="2520"/>
          </w:tcPr>
          <w:p>
            <w:r>
              <w:rPr>
                <w:rFonts w:ascii="Calibri" w:hAnsi="Calibri"/>
                <w:color w:val="333333"/>
                <w:sz w:val="18"/>
              </w:rPr>
              <w:t>0.7%</w:t>
            </w:r>
          </w:p>
        </w:tc>
      </w:tr>
      <w:tr>
        <w:tc>
          <w:tcPr>
            <w:tcW w:type="dxa" w:w="2520"/>
            <w:shd w:fill="F2F4F8" w:val="clear"/>
          </w:tcPr>
          <w:p>
            <w:r>
              <w:rPr>
                <w:rFonts w:ascii="Calibri" w:hAnsi="Calibri"/>
                <w:color w:val="333333"/>
                <w:sz w:val="18"/>
              </w:rPr>
              <w:t>Total stockholders' equity</w:t>
            </w:r>
          </w:p>
        </w:tc>
        <w:tc>
          <w:tcPr>
            <w:tcW w:type="dxa" w:w="2520"/>
            <w:shd w:fill="F2F4F8" w:val="clear"/>
          </w:tcPr>
          <w:p>
            <w:r>
              <w:rPr>
                <w:rFonts w:ascii="Calibri" w:hAnsi="Calibri"/>
                <w:color w:val="333333"/>
                <w:sz w:val="18"/>
              </w:rPr>
              <w:t>$100.7B</w:t>
            </w:r>
          </w:p>
        </w:tc>
        <w:tc>
          <w:tcPr>
            <w:tcW w:type="dxa" w:w="2520"/>
            <w:shd w:fill="F2F4F8" w:val="clear"/>
          </w:tcPr>
          <w:p>
            <w:r>
              <w:rPr>
                <w:rFonts w:ascii="Calibri" w:hAnsi="Calibri"/>
                <w:color w:val="333333"/>
                <w:sz w:val="18"/>
              </w:rPr>
              <w:t>$109.9B</w:t>
            </w:r>
          </w:p>
        </w:tc>
        <w:tc>
          <w:tcPr>
            <w:tcW w:type="dxa" w:w="2520"/>
            <w:shd w:fill="F2F4F8" w:val="clear"/>
            <w:shd w:fill="FFF3CD" w:val="clear"/>
          </w:tcPr>
          <w:p>
            <w:r>
              <w:rPr>
                <w:rFonts w:ascii="Calibri" w:hAnsi="Calibri"/>
                <w:color w:val="333333"/>
                <w:sz w:val="18"/>
              </w:rPr>
              <w:t>9.1%</w:t>
            </w:r>
          </w:p>
        </w:tc>
      </w:tr>
      <w:tr>
        <w:tc>
          <w:tcPr>
            <w:tcW w:type="dxa" w:w="2520"/>
          </w:tcPr>
          <w:p>
            <w:r>
              <w:rPr>
                <w:rFonts w:ascii="Calibri" w:hAnsi="Calibri"/>
                <w:color w:val="333333"/>
                <w:sz w:val="18"/>
              </w:rPr>
              <w:t>Total current assets</w:t>
            </w:r>
          </w:p>
        </w:tc>
        <w:tc>
          <w:tcPr>
            <w:tcW w:type="dxa" w:w="2520"/>
          </w:tcPr>
          <w:p>
            <w:r>
              <w:rPr>
                <w:rFonts w:ascii="Calibri" w:hAnsi="Calibri"/>
                <w:color w:val="333333"/>
                <w:sz w:val="18"/>
              </w:rPr>
              <w:t>$25.2B</w:t>
            </w:r>
          </w:p>
        </w:tc>
        <w:tc>
          <w:tcPr>
            <w:tcW w:type="dxa" w:w="2520"/>
          </w:tcPr>
          <w:p>
            <w:r>
              <w:rPr>
                <w:rFonts w:ascii="Calibri" w:hAnsi="Calibri"/>
                <w:color w:val="333333"/>
                <w:sz w:val="18"/>
              </w:rPr>
              <w:t>$24.3B</w:t>
            </w:r>
          </w:p>
        </w:tc>
        <w:tc>
          <w:tcPr>
            <w:tcW w:type="dxa" w:w="2520"/>
            <w:shd w:fill="FFF3CD" w:val="clear"/>
          </w:tcPr>
          <w:p>
            <w:r>
              <w:rPr>
                <w:rFonts w:ascii="Calibri" w:hAnsi="Calibri"/>
                <w:color w:val="333333"/>
                <w:sz w:val="18"/>
              </w:rPr>
              <w:t>-3.9%</w:t>
            </w:r>
          </w:p>
        </w:tc>
      </w:tr>
      <w:tr>
        <w:tc>
          <w:tcPr>
            <w:tcW w:type="dxa" w:w="2520"/>
            <w:shd w:fill="F2F4F8" w:val="clear"/>
          </w:tcPr>
          <w:p>
            <w:r>
              <w:rPr>
                <w:rFonts w:ascii="Calibri" w:hAnsi="Calibri"/>
                <w:color w:val="333333"/>
                <w:sz w:val="18"/>
              </w:rPr>
              <w:t>Total current liabilities</w:t>
            </w:r>
          </w:p>
        </w:tc>
        <w:tc>
          <w:tcPr>
            <w:tcW w:type="dxa" w:w="2520"/>
            <w:shd w:fill="F2F4F8" w:val="clear"/>
          </w:tcPr>
          <w:p>
            <w:r>
              <w:rPr>
                <w:rFonts w:ascii="Calibri" w:hAnsi="Calibri"/>
                <w:color w:val="333333"/>
                <w:sz w:val="18"/>
              </w:rPr>
              <w:t>$34.6B</w:t>
            </w:r>
          </w:p>
        </w:tc>
        <w:tc>
          <w:tcPr>
            <w:tcW w:type="dxa" w:w="2520"/>
            <w:shd w:fill="F2F4F8" w:val="clear"/>
          </w:tcPr>
          <w:p>
            <w:r>
              <w:rPr>
                <w:rFonts w:ascii="Calibri" w:hAnsi="Calibri"/>
                <w:color w:val="333333"/>
                <w:sz w:val="18"/>
              </w:rPr>
              <w:t>$34.2B</w:t>
            </w:r>
          </w:p>
        </w:tc>
        <w:tc>
          <w:tcPr>
            <w:tcW w:type="dxa" w:w="2520"/>
            <w:shd w:fill="F2F4F8" w:val="clear"/>
            <w:shd w:fill="FFF3CD" w:val="clear"/>
          </w:tcPr>
          <w:p>
            <w:r>
              <w:rPr>
                <w:rFonts w:ascii="Calibri" w:hAnsi="Calibri"/>
                <w:color w:val="333333"/>
                <w:sz w:val="18"/>
              </w:rPr>
              <w:t>-1.3%</w:t>
            </w:r>
          </w:p>
        </w:tc>
      </w:tr>
      <w:tr>
        <w:tc>
          <w:tcPr>
            <w:tcW w:type="dxa" w:w="2520"/>
          </w:tcPr>
          <w:p>
            <w:r>
              <w:rPr>
                <w:rFonts w:ascii="Calibri" w:hAnsi="Calibri"/>
                <w:color w:val="333333"/>
                <w:sz w:val="18"/>
              </w:rPr>
              <w:t>Cash and cash equivalents</w:t>
            </w:r>
          </w:p>
        </w:tc>
        <w:tc>
          <w:tcPr>
            <w:tcW w:type="dxa" w:w="2520"/>
          </w:tcPr>
          <w:p>
            <w:r>
              <w:rPr>
                <w:rFonts w:ascii="Calibri" w:hAnsi="Calibri"/>
                <w:color w:val="333333"/>
                <w:sz w:val="18"/>
              </w:rPr>
              <w:t>$6.0B</w:t>
            </w:r>
          </w:p>
        </w:tc>
        <w:tc>
          <w:tcPr>
            <w:tcW w:type="dxa" w:w="2520"/>
          </w:tcPr>
          <w:p>
            <w:r>
              <w:rPr>
                <w:rFonts w:ascii="Calibri" w:hAnsi="Calibri"/>
                <w:color w:val="333333"/>
                <w:sz w:val="18"/>
              </w:rPr>
              <w:t>$5.7B</w:t>
            </w:r>
          </w:p>
        </w:tc>
        <w:tc>
          <w:tcPr>
            <w:tcW w:type="dxa" w:w="2520"/>
            <w:shd w:fill="FFF3CD" w:val="clear"/>
          </w:tcPr>
          <w:p>
            <w:r>
              <w:rPr>
                <w:rFonts w:ascii="Calibri" w:hAnsi="Calibri"/>
                <w:color w:val="333333"/>
                <w:sz w:val="18"/>
              </w:rPr>
              <w:t>-5.1%</w:t>
            </w:r>
          </w:p>
        </w:tc>
      </w:tr>
      <w:tr>
        <w:tc>
          <w:tcPr>
            <w:tcW w:type="dxa" w:w="2520"/>
            <w:shd w:fill="F2F4F8" w:val="clear"/>
          </w:tcPr>
          <w:p>
            <w:r>
              <w:rPr>
                <w:rFonts w:ascii="Calibri" w:hAnsi="Calibri"/>
                <w:color w:val="333333"/>
                <w:sz w:val="18"/>
              </w:rPr>
              <w:t>Accounts receivable, net</w:t>
            </w:r>
          </w:p>
        </w:tc>
        <w:tc>
          <w:tcPr>
            <w:tcW w:type="dxa" w:w="2520"/>
            <w:shd w:fill="F2F4F8" w:val="clear"/>
          </w:tcPr>
          <w:p>
            <w:r>
              <w:rPr>
                <w:rFonts w:ascii="Calibri" w:hAnsi="Calibri"/>
                <w:color w:val="333333"/>
                <w:sz w:val="18"/>
              </w:rPr>
              <w:t>$12.7B</w:t>
            </w:r>
          </w:p>
        </w:tc>
        <w:tc>
          <w:tcPr>
            <w:tcW w:type="dxa" w:w="2520"/>
            <w:shd w:fill="F2F4F8" w:val="clear"/>
          </w:tcPr>
          <w:p>
            <w:r>
              <w:rPr>
                <w:rFonts w:ascii="Calibri" w:hAnsi="Calibri"/>
                <w:color w:val="333333"/>
                <w:sz w:val="18"/>
              </w:rPr>
              <w:t>$13.2B</w:t>
            </w:r>
          </w:p>
        </w:tc>
        <w:tc>
          <w:tcPr>
            <w:tcW w:type="dxa" w:w="2520"/>
            <w:shd w:fill="F2F4F8" w:val="clear"/>
            <w:shd w:fill="FFF3CD" w:val="clear"/>
          </w:tcPr>
          <w:p>
            <w:r>
              <w:rPr>
                <w:rFonts w:ascii="Calibri" w:hAnsi="Calibri"/>
                <w:color w:val="333333"/>
                <w:sz w:val="18"/>
              </w:rPr>
              <w:t>3.8%</w:t>
            </w:r>
          </w:p>
        </w:tc>
      </w:tr>
      <w:tr>
        <w:tc>
          <w:tcPr>
            <w:tcW w:type="dxa" w:w="2520"/>
          </w:tcPr>
          <w:p>
            <w:r>
              <w:rPr>
                <w:rFonts w:ascii="Calibri" w:hAnsi="Calibri"/>
                <w:color w:val="333333"/>
                <w:sz w:val="18"/>
              </w:rPr>
              <w:t>Inventory, net</w:t>
            </w:r>
          </w:p>
        </w:tc>
        <w:tc>
          <w:tcPr>
            <w:tcW w:type="dxa" w:w="2520"/>
          </w:tcPr>
          <w:p>
            <w:r>
              <w:rPr>
                <w:rFonts w:ascii="Calibri" w:hAnsi="Calibri"/>
                <w:color w:val="333333"/>
                <w:sz w:val="18"/>
              </w:rPr>
              <w:t>$2.0B</w:t>
            </w:r>
          </w:p>
        </w:tc>
        <w:tc>
          <w:tcPr>
            <w:tcW w:type="dxa" w:w="2520"/>
          </w:tcPr>
          <w:p>
            <w:r>
              <w:rPr>
                <w:rFonts w:ascii="Calibri" w:hAnsi="Calibri"/>
                <w:color w:val="333333"/>
                <w:sz w:val="18"/>
              </w:rPr>
              <w:t>$2.1B</w:t>
            </w:r>
          </w:p>
        </w:tc>
        <w:tc>
          <w:tcPr>
            <w:tcW w:type="dxa" w:w="2520"/>
            <w:shd w:fill="FFF3CD" w:val="clear"/>
          </w:tcPr>
          <w:p>
            <w:r>
              <w:rPr>
                <w:rFonts w:ascii="Calibri" w:hAnsi="Calibri"/>
                <w:color w:val="333333"/>
                <w:sz w:val="18"/>
              </w:rPr>
              <w:t>5.5%</w:t>
            </w:r>
          </w:p>
        </w:tc>
      </w:tr>
      <w:tr>
        <w:tc>
          <w:tcPr>
            <w:tcW w:type="dxa" w:w="2520"/>
            <w:shd w:fill="F2F4F8" w:val="clear"/>
          </w:tcPr>
          <w:p>
            <w:r>
              <w:rPr>
                <w:rFonts w:ascii="Calibri" w:hAnsi="Calibri"/>
                <w:color w:val="333333"/>
                <w:sz w:val="18"/>
              </w:rPr>
              <w:t>Property, plant and equipment, net</w:t>
            </w:r>
          </w:p>
        </w:tc>
        <w:tc>
          <w:tcPr>
            <w:tcW w:type="dxa" w:w="2520"/>
            <w:shd w:fill="F2F4F8" w:val="clear"/>
          </w:tcPr>
          <w:p>
            <w:r>
              <w:rPr>
                <w:rFonts w:ascii="Calibri" w:hAnsi="Calibri"/>
                <w:color w:val="333333"/>
                <w:sz w:val="18"/>
              </w:rPr>
              <w:t>$37.0B</w:t>
            </w:r>
          </w:p>
        </w:tc>
        <w:tc>
          <w:tcPr>
            <w:tcW w:type="dxa" w:w="2520"/>
            <w:shd w:fill="F2F4F8" w:val="clear"/>
          </w:tcPr>
          <w:p>
            <w:r>
              <w:rPr>
                <w:rFonts w:ascii="Calibri" w:hAnsi="Calibri"/>
                <w:color w:val="333333"/>
                <w:sz w:val="18"/>
              </w:rPr>
              <w:t>$41.3B</w:t>
            </w:r>
          </w:p>
        </w:tc>
        <w:tc>
          <w:tcPr>
            <w:tcW w:type="dxa" w:w="2520"/>
            <w:shd w:fill="F2F4F8" w:val="clear"/>
            <w:shd w:fill="DCEEF8" w:val="clear"/>
          </w:tcPr>
          <w:p>
            <w:r>
              <w:rPr>
                <w:rFonts w:ascii="Calibri" w:hAnsi="Calibri"/>
                <w:color w:val="333333"/>
                <w:sz w:val="18"/>
              </w:rPr>
              <w:t>11.4%</w:t>
            </w:r>
          </w:p>
        </w:tc>
      </w:tr>
      <w:tr>
        <w:tc>
          <w:tcPr>
            <w:tcW w:type="dxa" w:w="2520"/>
          </w:tcPr>
          <w:p>
            <w:r>
              <w:rPr>
                <w:rFonts w:ascii="Calibri" w:hAnsi="Calibri"/>
                <w:color w:val="333333"/>
                <w:sz w:val="18"/>
              </w:rPr>
              <w:t>Goodwill</w:t>
            </w:r>
          </w:p>
        </w:tc>
        <w:tc>
          <w:tcPr>
            <w:tcW w:type="dxa" w:w="2520"/>
          </w:tcPr>
          <w:p>
            <w:r>
              <w:rPr>
                <w:rFonts w:ascii="Calibri" w:hAnsi="Calibri"/>
                <w:color w:val="333333"/>
                <w:sz w:val="18"/>
              </w:rPr>
              <w:t>$73.3B</w:t>
            </w:r>
          </w:p>
        </w:tc>
        <w:tc>
          <w:tcPr>
            <w:tcW w:type="dxa" w:w="2520"/>
          </w:tcPr>
          <w:p>
            <w:r>
              <w:rPr>
                <w:rFonts w:ascii="Calibri" w:hAnsi="Calibri"/>
                <w:color w:val="333333"/>
                <w:sz w:val="18"/>
              </w:rPr>
              <w:t>$73.3B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Intangible assets, net (excluding goodwill)</w:t>
            </w:r>
          </w:p>
        </w:tc>
        <w:tc>
          <w:tcPr>
            <w:tcW w:type="dxa" w:w="2520"/>
            <w:shd w:fill="F2F4F8" w:val="clear"/>
          </w:tcPr>
          <w:p>
            <w:r>
              <w:rPr>
                <w:rFonts w:ascii="Calibri" w:hAnsi="Calibri"/>
                <w:color w:val="333333"/>
                <w:sz w:val="18"/>
              </w:rPr>
              <w:t>$10.7B</w:t>
            </w:r>
          </w:p>
        </w:tc>
        <w:tc>
          <w:tcPr>
            <w:tcW w:type="dxa" w:w="2520"/>
            <w:shd w:fill="F2F4F8" w:val="clear"/>
          </w:tcPr>
          <w:p>
            <w:r>
              <w:rPr>
                <w:rFonts w:ascii="Calibri" w:hAnsi="Calibri"/>
                <w:color w:val="333333"/>
                <w:sz w:val="18"/>
              </w:rPr>
              <w:t>$9.3B</w:t>
            </w:r>
          </w:p>
        </w:tc>
        <w:tc>
          <w:tcPr>
            <w:tcW w:type="dxa" w:w="2520"/>
            <w:shd w:fill="F2F4F8" w:val="clear"/>
            <w:shd w:fill="FCE8E6" w:val="clear"/>
          </w:tcPr>
          <w:p>
            <w:r>
              <w:rPr>
                <w:rFonts w:ascii="Calibri" w:hAnsi="Calibri"/>
                <w:color w:val="333333"/>
                <w:sz w:val="18"/>
              </w:rPr>
              <w:t>-13.7%</w:t>
            </w:r>
          </w:p>
        </w:tc>
      </w:tr>
      <w:tr>
        <w:tc>
          <w:tcPr>
            <w:tcW w:type="dxa" w:w="2520"/>
          </w:tcPr>
          <w:p>
            <w:r>
              <w:rPr>
                <w:rFonts w:ascii="Calibri" w:hAnsi="Calibri"/>
                <w:color w:val="333333"/>
                <w:sz w:val="18"/>
              </w:rPr>
              <w:t>Long-term debt, non-current</w:t>
            </w:r>
          </w:p>
        </w:tc>
        <w:tc>
          <w:tcPr>
            <w:tcW w:type="dxa" w:w="2520"/>
          </w:tcPr>
          <w:p>
            <w:r>
              <w:rPr>
                <w:rFonts w:ascii="Calibri" w:hAnsi="Calibri"/>
                <w:color w:val="333333"/>
                <w:sz w:val="18"/>
              </w:rPr>
              <w:t>$39.0B</w:t>
            </w:r>
          </w:p>
        </w:tc>
        <w:tc>
          <w:tcPr>
            <w:tcW w:type="dxa" w:w="2520"/>
          </w:tcPr>
          <w:p>
            <w:r>
              <w:rPr>
                <w:rFonts w:ascii="Calibri" w:hAnsi="Calibri"/>
                <w:color w:val="333333"/>
                <w:sz w:val="18"/>
              </w:rPr>
              <w:t>$35.3B</w:t>
            </w:r>
          </w:p>
        </w:tc>
        <w:tc>
          <w:tcPr>
            <w:tcW w:type="dxa" w:w="2520"/>
            <w:shd w:fill="FFF3CD" w:val="clear"/>
          </w:tcPr>
          <w:p>
            <w:r>
              <w:rPr>
                <w:rFonts w:ascii="Calibri" w:hAnsi="Calibri"/>
                <w:color w:val="333333"/>
                <w:sz w:val="18"/>
              </w:rPr>
              <w:t>-9.4%</w:t>
            </w:r>
          </w:p>
        </w:tc>
      </w:tr>
      <w:tr>
        <w:tc>
          <w:tcPr>
            <w:tcW w:type="dxa" w:w="2520"/>
            <w:shd w:fill="F2F4F8" w:val="clear"/>
          </w:tcPr>
          <w:p>
            <w:r>
              <w:rPr>
                <w:rFonts w:ascii="Calibri" w:hAnsi="Calibri"/>
                <w:color w:val="333333"/>
                <w:sz w:val="18"/>
              </w:rPr>
              <w:t>Short-term debt / current portion of long-term debt</w:t>
            </w:r>
          </w:p>
        </w:tc>
        <w:tc>
          <w:tcPr>
            <w:tcW w:type="dxa" w:w="2520"/>
            <w:shd w:fill="F2F4F8" w:val="clear"/>
          </w:tcPr>
          <w:p>
            <w:r>
              <w:rPr>
                <w:rFonts w:ascii="Calibri" w:hAnsi="Calibri"/>
                <w:color w:val="333333"/>
                <w:sz w:val="18"/>
              </w:rPr>
              <w:t>$6.8B</w:t>
            </w:r>
          </w:p>
        </w:tc>
        <w:tc>
          <w:tcPr>
            <w:tcW w:type="dxa" w:w="2520"/>
            <w:shd w:fill="F2F4F8" w:val="clear"/>
          </w:tcPr>
          <w:p>
            <w:r>
              <w:rPr>
                <w:rFonts w:ascii="Calibri" w:hAnsi="Calibri"/>
                <w:color w:val="333333"/>
                <w:sz w:val="18"/>
              </w:rPr>
              <w:t>$6.7B</w:t>
            </w:r>
          </w:p>
        </w:tc>
        <w:tc>
          <w:tcPr>
            <w:tcW w:type="dxa" w:w="2520"/>
            <w:shd w:fill="F2F4F8" w:val="clear"/>
            <w:shd w:fill="FFF3CD" w:val="clear"/>
          </w:tcPr>
          <w:p>
            <w:r>
              <w:rPr>
                <w:rFonts w:ascii="Calibri" w:hAnsi="Calibri"/>
                <w:color w:val="333333"/>
                <w:sz w:val="18"/>
              </w:rPr>
              <w:t>-2.0%</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$49.7B</w:t>
            </w:r>
          </w:p>
        </w:tc>
        <w:tc>
          <w:tcPr>
            <w:tcW w:type="dxa" w:w="2520"/>
          </w:tcPr>
          <w:p>
            <w:r>
              <w:rPr>
                <w:rFonts w:ascii="Calibri" w:hAnsi="Calibri"/>
                <w:color w:val="333333"/>
                <w:sz w:val="18"/>
              </w:rPr>
              <w:t>$60.4B</w:t>
            </w:r>
          </w:p>
        </w:tc>
        <w:tc>
          <w:tcPr>
            <w:tcW w:type="dxa" w:w="2520"/>
            <w:shd w:fill="DCEEF8" w:val="clear"/>
          </w:tcPr>
          <w:p>
            <w:r>
              <w:rPr>
                <w:rFonts w:ascii="Calibri" w:hAnsi="Calibri"/>
                <w:color w:val="333333"/>
                <w:sz w:val="18"/>
              </w:rPr>
              <w:t>21.5%</w:t>
            </w:r>
          </w:p>
        </w:tc>
      </w:tr>
      <w:tr>
        <w:tc>
          <w:tcPr>
            <w:tcW w:type="dxa" w:w="2520"/>
            <w:shd w:fill="F2F4F8" w:val="clear"/>
          </w:tcPr>
          <w:p>
            <w:r>
              <w:rPr>
                <w:rFonts w:ascii="Calibri" w:hAnsi="Calibri"/>
                <w:color w:val="333333"/>
                <w:sz w:val="18"/>
              </w:rPr>
              <w:t>Total debt (short-term + long-term)</w:t>
            </w:r>
          </w:p>
        </w:tc>
        <w:tc>
          <w:tcPr>
            <w:tcW w:type="dxa" w:w="2520"/>
            <w:shd w:fill="F2F4F8" w:val="clear"/>
          </w:tcPr>
          <w:p>
            <w:r>
              <w:rPr>
                <w:rFonts w:ascii="Calibri" w:hAnsi="Calibri"/>
                <w:color w:val="333333"/>
                <w:sz w:val="18"/>
              </w:rPr>
              <w:t>$45.8B</w:t>
            </w:r>
          </w:p>
        </w:tc>
        <w:tc>
          <w:tcPr>
            <w:tcW w:type="dxa" w:w="2520"/>
            <w:shd w:fill="F2F4F8" w:val="clear"/>
          </w:tcPr>
          <w:p>
            <w:r>
              <w:rPr>
                <w:rFonts w:ascii="Calibri" w:hAnsi="Calibri"/>
                <w:color w:val="333333"/>
                <w:sz w:val="18"/>
              </w:rPr>
              <w:t>$42.0B</w:t>
            </w:r>
          </w:p>
        </w:tc>
        <w:tc>
          <w:tcPr>
            <w:tcW w:type="dxa" w:w="2520"/>
            <w:shd w:fill="F2F4F8" w:val="clear"/>
            <w:shd w:fill="FFF3CD" w:val="clear"/>
          </w:tcPr>
          <w:p>
            <w:r>
              <w:rPr>
                <w:rFonts w:ascii="Calibri" w:hAnsi="Calibri"/>
                <w:color w:val="333333"/>
                <w:sz w:val="18"/>
              </w:rPr>
              <w:t>-8.3%</w:t>
            </w:r>
          </w:p>
        </w:tc>
      </w:tr>
      <w:tr>
        <w:tc>
          <w:tcPr>
            <w:tcW w:type="dxa" w:w="2520"/>
          </w:tcPr>
          <w:p>
            <w:r>
              <w:rPr>
                <w:rFonts w:ascii="Calibri" w:hAnsi="Calibri"/>
                <w:color w:val="333333"/>
                <w:sz w:val="18"/>
              </w:rPr>
              <w:t>Common shares outstanding</w:t>
            </w:r>
          </w:p>
        </w:tc>
        <w:tc>
          <w:tcPr>
            <w:tcW w:type="dxa" w:w="2520"/>
          </w:tcPr>
          <w:p>
            <w:r>
              <w:rPr>
                <w:rFonts w:ascii="Calibri" w:hAnsi="Calibri"/>
                <w:color w:val="333333"/>
                <w:sz w:val="18"/>
              </w:rPr>
              <w:t>1.9B</w:t>
            </w:r>
          </w:p>
        </w:tc>
        <w:tc>
          <w:tcPr>
            <w:tcW w:type="dxa" w:w="2520"/>
          </w:tcPr>
          <w:p>
            <w:r>
              <w:rPr>
                <w:rFonts w:ascii="Calibri" w:hAnsi="Calibri"/>
                <w:color w:val="333333"/>
                <w:sz w:val="18"/>
              </w:rPr>
              <w:t>1.9B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Accounts payable</w:t>
            </w:r>
          </w:p>
        </w:tc>
        <w:tc>
          <w:tcPr>
            <w:tcW w:type="dxa" w:w="2520"/>
            <w:shd w:fill="F2F4F8" w:val="clear"/>
          </w:tcPr>
          <w:p>
            <w:r>
              <w:rPr>
                <w:rFonts w:ascii="Calibri" w:hAnsi="Calibri"/>
                <w:color w:val="333333"/>
                <w:sz w:val="18"/>
              </w:rPr>
              <w:t>$14.8B</w:t>
            </w:r>
          </w:p>
        </w:tc>
        <w:tc>
          <w:tcPr>
            <w:tcW w:type="dxa" w:w="2520"/>
            <w:shd w:fill="F2F4F8" w:val="clear"/>
          </w:tcPr>
          <w:p>
            <w:r>
              <w:rPr>
                <w:rFonts w:ascii="Calibri" w:hAnsi="Calibri"/>
                <w:color w:val="333333"/>
                <w:sz w:val="18"/>
              </w:rPr>
              <w:t>$15.1B</w:t>
            </w:r>
          </w:p>
        </w:tc>
        <w:tc>
          <w:tcPr>
            <w:tcW w:type="dxa" w:w="2520"/>
            <w:shd w:fill="F2F4F8" w:val="clear"/>
            <w:shd w:fill="FFF3CD" w:val="clear"/>
          </w:tcPr>
          <w:p>
            <w:r>
              <w:rPr>
                <w:rFonts w:ascii="Calibri" w:hAnsi="Calibri"/>
                <w:color w:val="333333"/>
                <w:sz w:val="18"/>
              </w:rPr>
              <w:t>1.8%</w:t>
            </w:r>
          </w:p>
        </w:tc>
      </w:tr>
      <w:tr>
        <w:tc>
          <w:tcPr>
            <w:tcW w:type="dxa" w:w="2520"/>
          </w:tcPr>
          <w:p>
            <w:r>
              <w:rPr>
                <w:rFonts w:ascii="Calibri" w:hAnsi="Calibri"/>
                <w:color w:val="333333"/>
                <w:sz w:val="18"/>
              </w:rPr>
              <w:t>Deferred revenue / contract liabilities</w:t>
            </w:r>
          </w:p>
        </w:tc>
        <w:tc>
          <w:tcPr>
            <w:tcW w:type="dxa" w:w="2520"/>
          </w:tcPr>
          <w:p>
            <w:r>
              <w:rPr>
                <w:rFonts w:ascii="Calibri" w:hAnsi="Calibri"/>
                <w:color w:val="333333"/>
                <w:sz w:val="18"/>
              </w:rPr>
              <w:t>$6.7B</w:t>
            </w:r>
          </w:p>
        </w:tc>
        <w:tc>
          <w:tcPr>
            <w:tcW w:type="dxa" w:w="2520"/>
          </w:tcPr>
          <w:p>
            <w:r>
              <w:rPr>
                <w:rFonts w:ascii="Calibri" w:hAnsi="Calibri"/>
                <w:color w:val="333333"/>
                <w:sz w:val="18"/>
              </w:rPr>
              <w:t>$6.2B</w:t>
            </w:r>
          </w:p>
        </w:tc>
        <w:tc>
          <w:tcPr>
            <w:tcW w:type="dxa" w:w="2520"/>
            <w:shd w:fill="FFF3CD" w:val="clear"/>
          </w:tcPr>
          <w:p>
            <w:r>
              <w:rPr>
                <w:rFonts w:ascii="Calibri" w:hAnsi="Calibri"/>
                <w:color w:val="333333"/>
                <w:sz w:val="18"/>
              </w:rPr>
              <w:t>-6.5%</w:t>
            </w:r>
          </w:p>
        </w:tc>
      </w:tr>
      <w:tr>
        <w:tc>
          <w:tcPr>
            <w:tcW w:type="dxa" w:w="2520"/>
            <w:shd w:fill="F2F4F8" w:val="clear"/>
          </w:tcPr>
          <w:p>
            <w:r>
              <w:rPr>
                <w:rFonts w:ascii="Calibri" w:hAnsi="Calibri"/>
                <w:color w:val="333333"/>
                <w:sz w:val="18"/>
              </w:rPr>
              <w:t>Operating lease liabilities</w:t>
            </w:r>
          </w:p>
        </w:tc>
        <w:tc>
          <w:tcPr>
            <w:tcW w:type="dxa" w:w="2520"/>
            <w:shd w:fill="F2F4F8" w:val="clear"/>
          </w:tcPr>
          <w:p>
            <w:r>
              <w:rPr>
                <w:rFonts w:ascii="Calibri" w:hAnsi="Calibri"/>
                <w:color w:val="333333"/>
                <w:sz w:val="18"/>
              </w:rPr>
              <w:t>$744.0M</w:t>
            </w:r>
          </w:p>
        </w:tc>
        <w:tc>
          <w:tcPr>
            <w:tcW w:type="dxa" w:w="2520"/>
            <w:shd w:fill="F2F4F8" w:val="clear"/>
          </w:tcPr>
          <w:p>
            <w:r>
              <w:rPr>
                <w:rFonts w:ascii="Calibri" w:hAnsi="Calibri"/>
                <w:color w:val="333333"/>
                <w:sz w:val="18"/>
              </w:rPr>
              <w:t>$525.0M</w:t>
            </w:r>
          </w:p>
        </w:tc>
        <w:tc>
          <w:tcPr>
            <w:tcW w:type="dxa" w:w="2520"/>
            <w:shd w:fill="F2F4F8" w:val="clear"/>
            <w:shd w:fill="FCE8E6" w:val="clear"/>
          </w:tcPr>
          <w:p>
            <w:r>
              <w:rPr>
                <w:rFonts w:ascii="Calibri" w:hAnsi="Calibri"/>
                <w:color w:val="333333"/>
                <w:sz w:val="18"/>
              </w:rPr>
              <w:t>-29.4%</w:t>
            </w:r>
          </w:p>
        </w:tc>
      </w:tr>
      <w:tr>
        <w:tc>
          <w:tcPr>
            <w:tcW w:type="dxa" w:w="2520"/>
          </w:tcPr>
          <w:p>
            <w:r>
              <w:rPr>
                <w:rFonts w:ascii="Calibri" w:hAnsi="Calibri"/>
                <w:color w:val="333333"/>
                <w:sz w:val="18"/>
              </w:rPr>
              <w:t>Minority / noncontrolling interest</w:t>
            </w:r>
          </w:p>
        </w:tc>
        <w:tc>
          <w:tcPr>
            <w:tcW w:type="dxa" w:w="2520"/>
          </w:tcPr>
          <w:p>
            <w:r>
              <w:rPr>
                <w:rFonts w:ascii="Calibri" w:hAnsi="Calibri"/>
                <w:color w:val="333333"/>
                <w:sz w:val="18"/>
              </w:rPr>
              <w:t>$4.8B</w:t>
            </w:r>
          </w:p>
        </w:tc>
        <w:tc>
          <w:tcPr>
            <w:tcW w:type="dxa" w:w="2520"/>
          </w:tcPr>
          <w:p>
            <w:r>
              <w:rPr>
                <w:rFonts w:ascii="Calibri" w:hAnsi="Calibri"/>
                <w:color w:val="333333"/>
                <w:sz w:val="18"/>
              </w:rPr>
              <w:t>$4.7B</w:t>
            </w:r>
          </w:p>
        </w:tc>
        <w:tc>
          <w:tcPr>
            <w:tcW w:type="dxa" w:w="2520"/>
            <w:shd w:fill="FFF3CD" w:val="clear"/>
          </w:tcPr>
          <w:p>
            <w:r>
              <w:rPr>
                <w:rFonts w:ascii="Calibri" w:hAnsi="Calibri"/>
                <w:color w:val="333333"/>
                <w:sz w:val="18"/>
              </w:rPr>
              <w:t>-1.7%</w:t>
            </w:r>
          </w:p>
        </w:tc>
      </w:tr>
      <w:tr>
        <w:tc>
          <w:tcPr>
            <w:tcW w:type="dxa" w:w="2520"/>
            <w:shd w:fill="F2F4F8" w:val="clear"/>
          </w:tcPr>
          <w:p>
            <w:r>
              <w:rPr>
                <w:rFonts w:ascii="Calibri" w:hAnsi="Calibri"/>
                <w:color w:val="333333"/>
                <w:sz w:val="18"/>
              </w:rPr>
              <w:t>Other current assets</w:t>
            </w:r>
          </w:p>
        </w:tc>
        <w:tc>
          <w:tcPr>
            <w:tcW w:type="dxa" w:w="2520"/>
            <w:shd w:fill="F2F4F8" w:val="clear"/>
          </w:tcPr>
          <w:p>
            <w:r>
              <w:rPr>
                <w:rFonts w:ascii="Calibri" w:hAnsi="Calibri"/>
                <w:color w:val="333333"/>
                <w:sz w:val="18"/>
              </w:rPr>
              <w:t>$2.4B</w:t>
            </w:r>
          </w:p>
        </w:tc>
        <w:tc>
          <w:tcPr>
            <w:tcW w:type="dxa" w:w="2520"/>
            <w:shd w:fill="F2F4F8" w:val="clear"/>
          </w:tcPr>
          <w:p>
            <w:r>
              <w:rPr>
                <w:rFonts w:ascii="Calibri" w:hAnsi="Calibri"/>
                <w:color w:val="333333"/>
                <w:sz w:val="18"/>
              </w:rPr>
              <w:t>$1.2B</w:t>
            </w:r>
          </w:p>
        </w:tc>
        <w:tc>
          <w:tcPr>
            <w:tcW w:type="dxa" w:w="2520"/>
            <w:shd w:fill="F2F4F8" w:val="clear"/>
            <w:shd w:fill="FCE8E6" w:val="clear"/>
          </w:tcPr>
          <w:p>
            <w:r>
              <w:rPr>
                <w:rFonts w:ascii="Calibri" w:hAnsi="Calibri"/>
                <w:color w:val="333333"/>
                <w:sz w:val="18"/>
              </w:rPr>
              <w:t>-51.6%</w:t>
            </w:r>
          </w:p>
        </w:tc>
      </w:tr>
      <w:tr>
        <w:tc>
          <w:tcPr>
            <w:tcW w:type="dxa" w:w="2520"/>
          </w:tcPr>
          <w:p>
            <w:r>
              <w:rPr>
                <w:rFonts w:ascii="Calibri" w:hAnsi="Calibri"/>
                <w:color w:val="333333"/>
                <w:sz w:val="18"/>
              </w:rPr>
              <w:t>Long-term investments</w:t>
            </w:r>
          </w:p>
        </w:tc>
        <w:tc>
          <w:tcPr>
            <w:tcW w:type="dxa" w:w="2520"/>
          </w:tcPr>
          <w:p>
            <w:r>
              <w:rPr>
                <w:rFonts w:ascii="Calibri" w:hAnsi="Calibri"/>
                <w:color w:val="333333"/>
                <w:sz w:val="18"/>
              </w:rPr>
              <w:t>$4.5B</w:t>
            </w:r>
          </w:p>
        </w:tc>
        <w:tc>
          <w:tcPr>
            <w:tcW w:type="dxa" w:w="2520"/>
          </w:tcPr>
          <w:p>
            <w:r>
              <w:rPr>
                <w:rFonts w:ascii="Calibri" w:hAnsi="Calibri"/>
                <w:color w:val="333333"/>
                <w:sz w:val="18"/>
              </w:rPr>
              <w:t>$8.1B</w:t>
            </w:r>
          </w:p>
        </w:tc>
        <w:tc>
          <w:tcPr>
            <w:tcW w:type="dxa" w:w="2520"/>
            <w:shd w:fill="DCEEF8" w:val="clear"/>
          </w:tcPr>
          <w:p>
            <w:r>
              <w:rPr>
                <w:rFonts w:ascii="Calibri" w:hAnsi="Calibri"/>
                <w:color w:val="333333"/>
                <w:sz w:val="18"/>
              </w:rPr>
              <w:t>81.6%</w:t>
            </w:r>
          </w:p>
        </w:tc>
      </w:tr>
      <w:tr>
        <w:tc>
          <w:tcPr>
            <w:tcW w:type="dxa" w:w="2520"/>
            <w:shd w:fill="F2F4F8" w:val="clear"/>
          </w:tcPr>
          <w:p>
            <w:r>
              <w:rPr>
                <w:rFonts w:ascii="Calibri" w:hAnsi="Calibri"/>
                <w:color w:val="333333"/>
                <w:sz w:val="18"/>
              </w:rPr>
              <w:t>Accumulated other comprehensive income/loss</w:t>
            </w:r>
          </w:p>
        </w:tc>
        <w:tc>
          <w:tcPr>
            <w:tcW w:type="dxa" w:w="2520"/>
            <w:shd w:fill="F2F4F8" w:val="clear"/>
          </w:tcPr>
          <w:p>
            <w:r>
              <w:rPr>
                <w:rFonts w:ascii="Calibri" w:hAnsi="Calibri"/>
                <w:color w:val="333333"/>
                <w:sz w:val="18"/>
              </w:rPr>
              <w:t>$-3.7B</w:t>
            </w:r>
          </w:p>
        </w:tc>
        <w:tc>
          <w:tcPr>
            <w:tcW w:type="dxa" w:w="2520"/>
            <w:shd w:fill="F2F4F8" w:val="clear"/>
          </w:tcPr>
          <w:p>
            <w:r>
              <w:rPr>
                <w:rFonts w:ascii="Calibri" w:hAnsi="Calibri"/>
                <w:color w:val="333333"/>
                <w:sz w:val="18"/>
              </w:rPr>
              <w:t>$-2.9B</w:t>
            </w:r>
          </w:p>
        </w:tc>
        <w:tc>
          <w:tcPr>
            <w:tcW w:type="dxa" w:w="2520"/>
            <w:shd w:fill="F2F4F8" w:val="clear"/>
            <w:shd w:fill="DCEEF8" w:val="clear"/>
          </w:tcPr>
          <w:p>
            <w:r>
              <w:rPr>
                <w:rFonts w:ascii="Calibri" w:hAnsi="Calibri"/>
                <w:color w:val="333333"/>
                <w:sz w:val="18"/>
              </w:rPr>
              <w:t>21.2%</w:t>
            </w:r>
          </w:p>
        </w:tc>
      </w:tr>
      <w:tr>
        <w:tc>
          <w:tcPr>
            <w:tcW w:type="dxa" w:w="2520"/>
          </w:tcPr>
          <w:p>
            <w:r>
              <w:rPr>
                <w:rFonts w:ascii="Calibri" w:hAnsi="Calibri"/>
                <w:color w:val="333333"/>
                <w:sz w:val="18"/>
              </w:rPr>
              <w:t>Treasury stock, at cost</w:t>
            </w:r>
          </w:p>
        </w:tc>
        <w:tc>
          <w:tcPr>
            <w:tcW w:type="dxa" w:w="2520"/>
          </w:tcPr>
          <w:p>
            <w:r>
              <w:rPr>
                <w:rFonts w:ascii="Calibri" w:hAnsi="Calibri"/>
                <w:color w:val="333333"/>
                <w:sz w:val="18"/>
              </w:rPr>
              <w:t>$3.9B</w:t>
            </w:r>
          </w:p>
        </w:tc>
        <w:tc>
          <w:tcPr>
            <w:tcW w:type="dxa" w:w="2520"/>
          </w:tcPr>
          <w:p>
            <w:r>
              <w:rPr>
                <w:rFonts w:ascii="Calibri" w:hAnsi="Calibri"/>
                <w:color w:val="333333"/>
                <w:sz w:val="18"/>
              </w:rPr>
              <w:t>$7.4B</w:t>
            </w:r>
          </w:p>
        </w:tc>
        <w:tc>
          <w:tcPr>
            <w:tcW w:type="dxa" w:w="2520"/>
            <w:shd w:fill="DCEEF8" w:val="clear"/>
          </w:tcPr>
          <w:p>
            <w:r>
              <w:rPr>
                <w:rFonts w:ascii="Calibri" w:hAnsi="Calibri"/>
                <w:color w:val="333333"/>
                <w:sz w:val="18"/>
              </w:rPr>
              <w:t>89.9%</w:t>
            </w:r>
          </w:p>
        </w:tc>
      </w:tr>
      <w:tr>
        <w:tc>
          <w:tcPr>
            <w:tcW w:type="dxa" w:w="2520"/>
            <w:shd w:fill="F2F4F8" w:val="clear"/>
          </w:tcPr>
          <w:p>
            <w:r>
              <w:rPr>
                <w:rFonts w:ascii="Calibri" w:hAnsi="Calibri"/>
                <w:color w:val="333333"/>
                <w:sz w:val="18"/>
              </w:rPr>
              <w:t>Common stock par value</w:t>
            </w:r>
          </w:p>
        </w:tc>
        <w:tc>
          <w:tcPr>
            <w:tcW w:type="dxa" w:w="2520"/>
            <w:shd w:fill="F2F4F8" w:val="clear"/>
          </w:tcPr>
          <w:p>
            <w:r>
              <w:rPr>
                <w:rFonts w:ascii="Calibri" w:hAnsi="Calibri"/>
                <w:color w:val="333333"/>
                <w:sz w:val="18"/>
              </w:rPr>
              <w:t>$58.6B</w:t>
            </w:r>
          </w:p>
        </w:tc>
        <w:tc>
          <w:tcPr>
            <w:tcW w:type="dxa" w:w="2520"/>
            <w:shd w:fill="F2F4F8" w:val="clear"/>
          </w:tcPr>
          <w:p>
            <w:r>
              <w:rPr>
                <w:rFonts w:ascii="Calibri" w:hAnsi="Calibri"/>
                <w:color w:val="333333"/>
                <w:sz w:val="18"/>
              </w:rPr>
              <w:t>$59.8B</w:t>
            </w:r>
          </w:p>
        </w:tc>
        <w:tc>
          <w:tcPr>
            <w:tcW w:type="dxa" w:w="2520"/>
            <w:shd w:fill="F2F4F8" w:val="clear"/>
            <w:shd w:fill="FFF3CD" w:val="clear"/>
          </w:tcPr>
          <w:p>
            <w:r>
              <w:rPr>
                <w:rFonts w:ascii="Calibri" w:hAnsi="Calibri"/>
                <w:color w:val="333333"/>
                <w:sz w:val="18"/>
              </w:rPr>
              <w:t>2.1%</w:t>
            </w:r>
          </w:p>
        </w:tc>
      </w:tr>
      <w:tr>
        <w:tc>
          <w:tcPr>
            <w:tcW w:type="dxa" w:w="2520"/>
          </w:tcPr>
          <w:p>
            <w:r>
              <w:rPr>
                <w:rFonts w:ascii="Calibri" w:hAnsi="Calibri"/>
                <w:color w:val="333333"/>
                <w:sz w:val="18"/>
              </w:rPr>
              <w:t>Total liabilities and stockholders' equity</w:t>
            </w:r>
          </w:p>
        </w:tc>
        <w:tc>
          <w:tcPr>
            <w:tcW w:type="dxa" w:w="2520"/>
          </w:tcPr>
          <w:p>
            <w:r>
              <w:rPr>
                <w:rFonts w:ascii="Calibri" w:hAnsi="Calibri"/>
                <w:color w:val="333333"/>
                <w:sz w:val="18"/>
              </w:rPr>
              <w:t>$196.2B</w:t>
            </w:r>
          </w:p>
        </w:tc>
        <w:tc>
          <w:tcPr>
            <w:tcW w:type="dxa" w:w="2520"/>
          </w:tcPr>
          <w:p>
            <w:r>
              <w:rPr>
                <w:rFonts w:ascii="Calibri" w:hAnsi="Calibri"/>
                <w:color w:val="333333"/>
                <w:sz w:val="18"/>
              </w:rPr>
              <w:t>$197.5B</w:t>
            </w:r>
          </w:p>
        </w:tc>
        <w:tc>
          <w:tcPr>
            <w:tcW w:type="dxa" w:w="2520"/>
          </w:tcPr>
          <w:p>
            <w:r>
              <w:rPr>
                <w:rFonts w:ascii="Calibri" w:hAnsi="Calibri"/>
                <w:color w:val="333333"/>
                <w:sz w:val="18"/>
              </w:rPr>
              <w:t>0.7%</w:t>
            </w:r>
          </w:p>
        </w:tc>
      </w:tr>
      <w:tr>
        <w:tc>
          <w:tcPr>
            <w:tcW w:type="dxa" w:w="2520"/>
            <w:shd w:fill="F2F4F8" w:val="clear"/>
          </w:tcPr>
          <w:p>
            <w:r>
              <w:rPr>
                <w:rFonts w:ascii="Calibri" w:hAnsi="Calibri"/>
                <w:color w:val="333333"/>
                <w:sz w:val="18"/>
              </w:rPr>
              <w:t>Preferred stock value</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Right-of-use assets (operating and finance leases)</w:t>
            </w:r>
          </w:p>
        </w:tc>
        <w:tc>
          <w:tcPr>
            <w:tcW w:type="dxa" w:w="2520"/>
          </w:tcPr>
          <w:p>
            <w:r>
              <w:rPr>
                <w:rFonts w:ascii="Calibri" w:hAnsi="Calibri"/>
                <w:color w:val="333333"/>
                <w:sz w:val="18"/>
              </w:rPr>
              <w:t>$3.4B</w:t>
            </w:r>
          </w:p>
        </w:tc>
        <w:tc>
          <w:tcPr>
            <w:tcW w:type="dxa" w:w="2520"/>
          </w:tcPr>
          <w:p>
            <w:r>
              <w:rPr>
                <w:rFonts w:ascii="Calibri" w:hAnsi="Calibri"/>
                <w:color w:val="333333"/>
                <w:sz w:val="18"/>
              </w:rPr>
              <w:t>$3.2B</w:t>
            </w:r>
          </w:p>
        </w:tc>
        <w:tc>
          <w:tcPr>
            <w:tcW w:type="dxa" w:w="2520"/>
            <w:shd w:fill="FFF3CD" w:val="clear"/>
          </w:tcPr>
          <w:p>
            <w:r>
              <w:rPr>
                <w:rFonts w:ascii="Calibri" w:hAnsi="Calibri"/>
                <w:color w:val="333333"/>
                <w:sz w:val="18"/>
              </w:rPr>
              <w:t>-6.1%</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$13.1B</w:t>
            </w:r>
          </w:p>
        </w:tc>
        <w:tc>
          <w:tcPr>
            <w:tcW w:type="dxa" w:w="2520"/>
            <w:shd w:fill="F2F4F8" w:val="clear"/>
          </w:tcPr>
          <w:p>
            <w:r>
              <w:rPr>
                <w:rFonts w:ascii="Calibri" w:hAnsi="Calibri"/>
                <w:color w:val="333333"/>
                <w:sz w:val="18"/>
              </w:rPr>
              <w:t>$10.0B</w:t>
            </w:r>
          </w:p>
        </w:tc>
        <w:tc>
          <w:tcPr>
            <w:tcW w:type="dxa" w:w="2520"/>
            <w:shd w:fill="F2F4F8" w:val="clear"/>
            <w:shd w:fill="FCE8E6" w:val="clear"/>
          </w:tcPr>
          <w:p>
            <w:r>
              <w:rPr>
                <w:rFonts w:ascii="Calibri" w:hAnsi="Calibri"/>
                <w:color w:val="333333"/>
                <w:sz w:val="18"/>
              </w:rPr>
              <w:t>-23.6%</w:t>
            </w:r>
          </w:p>
        </w:tc>
      </w:tr>
      <w:tr>
        <w:tc>
          <w:tcPr>
            <w:tcW w:type="dxa" w:w="2520"/>
          </w:tcPr>
          <w:p>
            <w:r>
              <w:rPr>
                <w:rFonts w:ascii="Calibri" w:hAnsi="Calibri"/>
                <w:color w:val="333333"/>
                <w:sz w:val="18"/>
              </w:rPr>
              <w:t>Other non-current liabilities</w:t>
            </w:r>
          </w:p>
        </w:tc>
        <w:tc>
          <w:tcPr>
            <w:tcW w:type="dxa" w:w="2520"/>
          </w:tcPr>
          <w:p>
            <w:r>
              <w:rPr>
                <w:rFonts w:ascii="Calibri" w:hAnsi="Calibri"/>
                <w:color w:val="333333"/>
                <w:sz w:val="18"/>
              </w:rPr>
              <w:t>$10.9B</w:t>
            </w:r>
          </w:p>
        </w:tc>
        <w:tc>
          <w:tcPr>
            <w:tcW w:type="dxa" w:w="2520"/>
          </w:tcPr>
          <w:p>
            <w:r>
              <w:rPr>
                <w:rFonts w:ascii="Calibri" w:hAnsi="Calibri"/>
                <w:color w:val="333333"/>
                <w:sz w:val="18"/>
              </w:rPr>
              <w:t>$9.9B</w:t>
            </w:r>
          </w:p>
        </w:tc>
        <w:tc>
          <w:tcPr>
            <w:tcW w:type="dxa" w:w="2520"/>
            <w:shd w:fill="FFF3CD" w:val="clear"/>
          </w:tcPr>
          <w:p>
            <w:r>
              <w:rPr>
                <w:rFonts w:ascii="Calibri" w:hAnsi="Calibri"/>
                <w:color w:val="333333"/>
                <w:sz w:val="18"/>
              </w:rPr>
              <w:t>-8.8%</w:t>
            </w:r>
          </w:p>
        </w:tc>
      </w:tr>
      <w:tr>
        <w:tc>
          <w:tcPr>
            <w:tcW w:type="dxa" w:w="2520"/>
            <w:shd w:fill="F2F4F8" w:val="clear"/>
          </w:tcPr>
          <w:p>
            <w:r>
              <w:rPr>
                <w:rFonts w:ascii="Calibri" w:hAnsi="Calibri"/>
                <w:color w:val="333333"/>
                <w:sz w:val="18"/>
              </w:rPr>
              <w:t>Finance / capital lease obligations</w:t>
            </w:r>
          </w:p>
        </w:tc>
        <w:tc>
          <w:tcPr>
            <w:tcW w:type="dxa" w:w="2520"/>
            <w:shd w:fill="F2F4F8" w:val="clear"/>
          </w:tcPr>
          <w:p>
            <w:r>
              <w:rPr>
                <w:rFonts w:ascii="Calibri" w:hAnsi="Calibri"/>
                <w:color w:val="333333"/>
                <w:sz w:val="18"/>
              </w:rPr>
              <w:t>$190.0M</w:t>
            </w:r>
          </w:p>
        </w:tc>
        <w:tc>
          <w:tcPr>
            <w:tcW w:type="dxa" w:w="2520"/>
            <w:shd w:fill="F2F4F8" w:val="clear"/>
          </w:tcPr>
          <w:p>
            <w:r>
              <w:rPr>
                <w:rFonts w:ascii="Calibri" w:hAnsi="Calibri"/>
                <w:color w:val="333333"/>
                <w:sz w:val="18"/>
              </w:rPr>
              <w:t>$162.0M</w:t>
            </w:r>
          </w:p>
        </w:tc>
        <w:tc>
          <w:tcPr>
            <w:tcW w:type="dxa" w:w="2520"/>
            <w:shd w:fill="F2F4F8" w:val="clear"/>
            <w:shd w:fill="FCE8E6" w:val="clear"/>
          </w:tcPr>
          <w:p>
            <w:r>
              <w:rPr>
                <w:rFonts w:ascii="Calibri" w:hAnsi="Calibri"/>
                <w:color w:val="333333"/>
                <w:sz w:val="18"/>
              </w:rPr>
              <w:t>-14.7%</w:t>
            </w:r>
          </w:p>
        </w:tc>
      </w:tr>
      <w:tr>
        <w:tc>
          <w:tcPr>
            <w:tcW w:type="dxa" w:w="2520"/>
          </w:tcPr>
          <w:p>
            <w:r>
              <w:rPr>
                <w:rFonts w:ascii="Calibri" w:hAnsi="Calibri"/>
                <w:color w:val="333333"/>
                <w:sz w:val="18"/>
              </w:rPr>
              <w:t>Contract liabilities (ASC 606 deferred revenue)</w:t>
            </w:r>
          </w:p>
        </w:tc>
        <w:tc>
          <w:tcPr>
            <w:tcW w:type="dxa" w:w="2520"/>
          </w:tcPr>
          <w:p>
            <w:r>
              <w:rPr>
                <w:rFonts w:ascii="Calibri" w:hAnsi="Calibri"/>
                <w:color w:val="333333"/>
                <w:sz w:val="18"/>
              </w:rPr>
              <w:t>$5.6B</w:t>
            </w:r>
          </w:p>
        </w:tc>
        <w:tc>
          <w:tcPr>
            <w:tcW w:type="dxa" w:w="2520"/>
          </w:tcPr>
          <w:p>
            <w:r>
              <w:rPr>
                <w:rFonts w:ascii="Calibri" w:hAnsi="Calibri"/>
                <w:color w:val="333333"/>
                <w:sz w:val="18"/>
              </w:rPr>
              <w:t>$5.7B</w:t>
            </w:r>
          </w:p>
        </w:tc>
        <w:tc>
          <w:tcPr>
            <w:tcW w:type="dxa" w:w="2520"/>
            <w:shd w:fill="FFF3CD" w:val="clear"/>
          </w:tcPr>
          <w:p>
            <w:r>
              <w:rPr>
                <w:rFonts w:ascii="Calibri" w:hAnsi="Calibri"/>
                <w:color w:val="333333"/>
                <w:sz w:val="18"/>
              </w:rPr>
              <w:t>1.8%</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$2.0B</w:t>
            </w:r>
          </w:p>
        </w:tc>
        <w:tc>
          <w:tcPr>
            <w:tcW w:type="dxa" w:w="2520"/>
            <w:shd w:fill="F2F4F8" w:val="clear"/>
          </w:tcPr>
          <w:p>
            <w:r>
              <w:rPr>
                <w:rFonts w:ascii="Calibri" w:hAnsi="Calibri"/>
                <w:color w:val="333333"/>
                <w:sz w:val="18"/>
              </w:rPr>
              <w:t>$1.1B</w:t>
            </w:r>
          </w:p>
        </w:tc>
        <w:tc>
          <w:tcPr>
            <w:tcW w:type="dxa" w:w="2520"/>
            <w:shd w:fill="F2F4F8" w:val="clear"/>
            <w:shd w:fill="FCE8E6" w:val="clear"/>
          </w:tcPr>
          <w:p>
            <w:r>
              <w:rPr>
                <w:rFonts w:ascii="Calibri" w:hAnsi="Calibri"/>
                <w:color w:val="333333"/>
                <w:sz w:val="18"/>
              </w:rPr>
              <w:t>-42.0%</w:t>
            </w:r>
          </w:p>
        </w:tc>
      </w:tr>
      <w:tr>
        <w:tc>
          <w:tcPr>
            <w:tcW w:type="dxa" w:w="2520"/>
          </w:tcPr>
          <w:p>
            <w:r>
              <w:rPr>
                <w:rFonts w:ascii="Calibri" w:hAnsi="Calibri"/>
                <w:color w:val="333333"/>
                <w:sz w:val="18"/>
              </w:rPr>
              <w:t>Debt instrument carrying amount (face value)</w:t>
            </w:r>
          </w:p>
        </w:tc>
        <w:tc>
          <w:tcPr>
            <w:tcW w:type="dxa" w:w="2520"/>
          </w:tcPr>
          <w:p>
            <w:r>
              <w:rPr>
                <w:rFonts w:ascii="Calibri" w:hAnsi="Calibri"/>
                <w:color w:val="333333"/>
                <w:sz w:val="18"/>
              </w:rPr>
              <w:t>$45.1B</w:t>
            </w:r>
          </w:p>
        </w:tc>
        <w:tc>
          <w:tcPr>
            <w:tcW w:type="dxa" w:w="2520"/>
          </w:tcPr>
          <w:p>
            <w:r>
              <w:rPr>
                <w:rFonts w:ascii="Calibri" w:hAnsi="Calibri"/>
                <w:color w:val="333333"/>
                <w:sz w:val="18"/>
              </w:rPr>
              <w:t>$41.3B</w:t>
            </w:r>
          </w:p>
        </w:tc>
        <w:tc>
          <w:tcPr>
            <w:tcW w:type="dxa" w:w="2520"/>
            <w:shd w:fill="FFF3CD" w:val="clear"/>
          </w:tcPr>
          <w:p>
            <w:r>
              <w:rPr>
                <w:rFonts w:ascii="Calibri" w:hAnsi="Calibri"/>
                <w:color w:val="333333"/>
                <w:sz w:val="18"/>
              </w:rPr>
              <w:t>-8.5%</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4.6B</w:t>
            </w:r>
          </w:p>
        </w:tc>
        <w:tc>
          <w:tcPr>
            <w:tcW w:type="dxa" w:w="2520"/>
            <w:shd w:fill="F2F4F8" w:val="clear"/>
          </w:tcPr>
          <w:p>
            <w:r>
              <w:rPr>
                <w:rFonts w:ascii="Calibri" w:hAnsi="Calibri"/>
                <w:color w:val="333333"/>
                <w:sz w:val="18"/>
              </w:rPr>
              <w:t>4.6B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Contract with customer liability (total deferred revenue under ASC 606)</w:t>
            </w:r>
          </w:p>
        </w:tc>
        <w:tc>
          <w:tcPr>
            <w:tcW w:type="dxa" w:w="2520"/>
          </w:tcPr>
          <w:p>
            <w:r>
              <w:rPr>
                <w:rFonts w:ascii="Calibri" w:hAnsi="Calibri"/>
                <w:color w:val="333333"/>
                <w:sz w:val="18"/>
              </w:rPr>
              <w:t>$5.6B</w:t>
            </w:r>
          </w:p>
        </w:tc>
        <w:tc>
          <w:tcPr>
            <w:tcW w:type="dxa" w:w="2520"/>
          </w:tcPr>
          <w:p>
            <w:r>
              <w:rPr>
                <w:rFonts w:ascii="Calibri" w:hAnsi="Calibri"/>
                <w:color w:val="333333"/>
                <w:sz w:val="18"/>
              </w:rPr>
              <w:t>$5.7B</w:t>
            </w:r>
          </w:p>
        </w:tc>
        <w:tc>
          <w:tcPr>
            <w:tcW w:type="dxa" w:w="2520"/>
            <w:shd w:fill="FFF3CD" w:val="clear"/>
          </w:tcPr>
          <w:p>
            <w:r>
              <w:rPr>
                <w:rFonts w:ascii="Calibri" w:hAnsi="Calibri"/>
                <w:color w:val="333333"/>
                <w:sz w:val="18"/>
              </w:rPr>
              <w:t>1.8%</w:t>
            </w:r>
          </w:p>
        </w:tc>
      </w:tr>
      <w:tr>
        <w:tc>
          <w:tcPr>
            <w:tcW w:type="dxa" w:w="2520"/>
            <w:shd w:fill="F2F4F8" w:val="clear"/>
          </w:tcPr>
          <w:p>
            <w:r>
              <w:rPr>
                <w:rFonts w:ascii="Calibri" w:hAnsi="Calibri"/>
                <w:color w:val="333333"/>
                <w:sz w:val="18"/>
              </w:rPr>
              <w:t>Current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-2.6%</w:t>
            </w:r>
          </w:p>
        </w:tc>
      </w:tr>
      <w:tr>
        <w:tc>
          <w:tcPr>
            <w:tcW w:type="dxa" w:w="2520"/>
          </w:tcPr>
          <w:p>
            <w:r>
              <w:rPr>
                <w:rFonts w:ascii="Calibri" w:hAnsi="Calibri"/>
                <w:color w:val="333333"/>
                <w:sz w:val="18"/>
              </w:rPr>
              <w:t>Quick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-3.5%</w:t>
            </w:r>
          </w:p>
        </w:tc>
      </w:tr>
      <w:tr>
        <w:tc>
          <w:tcPr>
            <w:tcW w:type="dxa" w:w="2520"/>
            <w:shd w:fill="F2F4F8" w:val="clear"/>
          </w:tcPr>
          <w:p>
            <w:r>
              <w:rPr>
                <w:rFonts w:ascii="Calibri" w:hAnsi="Calibri"/>
                <w:color w:val="333333"/>
                <w:sz w:val="18"/>
              </w:rPr>
              <w:t>Debt-to-equity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-15.9%</w:t>
            </w:r>
          </w:p>
        </w:tc>
      </w:tr>
      <w:tr>
        <w:tc>
          <w:tcPr>
            <w:tcW w:type="dxa" w:w="2520"/>
          </w:tcPr>
          <w:p>
            <w:r>
              <w:rPr>
                <w:rFonts w:ascii="Calibri" w:hAnsi="Calibri"/>
                <w:color w:val="333333"/>
                <w:sz w:val="18"/>
              </w:rPr>
              <w:t>Debt-to-EBITDA ratio</w:t>
            </w:r>
          </w:p>
        </w:tc>
        <w:tc>
          <w:tcPr>
            <w:tcW w:type="dxa" w:w="2520"/>
          </w:tcPr>
          <w:p>
            <w:r>
              <w:rPr>
                <w:rFonts w:ascii="Calibri" w:hAnsi="Calibri"/>
                <w:color w:val="333333"/>
                <w:sz w:val="18"/>
              </w:rPr>
              <w:t>$2</w:t>
            </w:r>
          </w:p>
        </w:tc>
        <w:tc>
          <w:tcPr>
            <w:tcW w:type="dxa" w:w="2520"/>
          </w:tcPr>
          <w:p>
            <w:r>
              <w:rPr>
                <w:rFonts w:ascii="Calibri" w:hAnsi="Calibri"/>
                <w:color w:val="333333"/>
                <w:sz w:val="18"/>
              </w:rPr>
              <w:t>$2</w:t>
            </w:r>
          </w:p>
        </w:tc>
        <w:tc>
          <w:tcPr>
            <w:tcW w:type="dxa" w:w="2520"/>
            <w:shd w:fill="FCE8E6" w:val="clear"/>
          </w:tcPr>
          <w:p>
            <w:r>
              <w:rPr>
                <w:rFonts w:ascii="Calibri" w:hAnsi="Calibri"/>
                <w:color w:val="333333"/>
                <w:sz w:val="18"/>
              </w:rPr>
              <w:t>-17.4%</w:t>
            </w:r>
          </w:p>
        </w:tc>
      </w:tr>
      <w:tr>
        <w:tc>
          <w:tcPr>
            <w:tcW w:type="dxa" w:w="2520"/>
            <w:shd w:fill="F2F4F8" w:val="clear"/>
          </w:tcPr>
          <w:p>
            <w:r>
              <w:rPr>
                <w:rFonts w:ascii="Calibri" w:hAnsi="Calibri"/>
                <w:color w:val="333333"/>
                <w:sz w:val="18"/>
              </w:rPr>
              <w:t>Tangible book value</w:t>
            </w:r>
          </w:p>
        </w:tc>
        <w:tc>
          <w:tcPr>
            <w:tcW w:type="dxa" w:w="2520"/>
            <w:shd w:fill="F2F4F8" w:val="clear"/>
          </w:tcPr>
          <w:p>
            <w:r>
              <w:rPr>
                <w:rFonts w:ascii="Calibri" w:hAnsi="Calibri"/>
                <w:color w:val="333333"/>
                <w:sz w:val="18"/>
              </w:rPr>
              <w:t>$16.6B</w:t>
            </w:r>
          </w:p>
        </w:tc>
        <w:tc>
          <w:tcPr>
            <w:tcW w:type="dxa" w:w="2520"/>
            <w:shd w:fill="F2F4F8" w:val="clear"/>
          </w:tcPr>
          <w:p>
            <w:r>
              <w:rPr>
                <w:rFonts w:ascii="Calibri" w:hAnsi="Calibri"/>
                <w:color w:val="333333"/>
                <w:sz w:val="18"/>
              </w:rPr>
              <w:t>$27.3B</w:t>
            </w:r>
          </w:p>
        </w:tc>
        <w:tc>
          <w:tcPr>
            <w:tcW w:type="dxa" w:w="2520"/>
            <w:shd w:fill="F2F4F8" w:val="clear"/>
            <w:shd w:fill="DCEEF8" w:val="clear"/>
          </w:tcPr>
          <w:p>
            <w:r>
              <w:rPr>
                <w:rFonts w:ascii="Calibri" w:hAnsi="Calibri"/>
                <w:color w:val="333333"/>
                <w:sz w:val="18"/>
              </w:rPr>
              <w:t>64.2%</w:t>
            </w:r>
          </w:p>
        </w:tc>
      </w:tr>
      <w:tr>
        <w:tc>
          <w:tcPr>
            <w:tcW w:type="dxa" w:w="2520"/>
          </w:tcPr>
          <w:p>
            <w:r>
              <w:rPr>
                <w:rFonts w:ascii="Calibri" w:hAnsi="Calibri"/>
                <w:color w:val="333333"/>
                <w:sz w:val="18"/>
              </w:rPr>
              <w:t>Net debt</w:t>
            </w:r>
          </w:p>
        </w:tc>
        <w:tc>
          <w:tcPr>
            <w:tcW w:type="dxa" w:w="2520"/>
          </w:tcPr>
          <w:p>
            <w:r>
              <w:rPr>
                <w:rFonts w:ascii="Calibri" w:hAnsi="Calibri"/>
                <w:color w:val="333333"/>
                <w:sz w:val="18"/>
              </w:rPr>
              <w:t>$39.8B</w:t>
            </w:r>
          </w:p>
        </w:tc>
        <w:tc>
          <w:tcPr>
            <w:tcW w:type="dxa" w:w="2520"/>
          </w:tcPr>
          <w:p>
            <w:r>
              <w:rPr>
                <w:rFonts w:ascii="Calibri" w:hAnsi="Calibri"/>
                <w:color w:val="333333"/>
                <w:sz w:val="18"/>
              </w:rPr>
              <w:t>$36.3B</w:t>
            </w:r>
          </w:p>
        </w:tc>
        <w:tc>
          <w:tcPr>
            <w:tcW w:type="dxa" w:w="2520"/>
            <w:shd w:fill="FFF3CD" w:val="clear"/>
          </w:tcPr>
          <w:p>
            <w:r>
              <w:rPr>
                <w:rFonts w:ascii="Calibri" w:hAnsi="Calibri"/>
                <w:color w:val="333333"/>
                <w:sz w:val="18"/>
              </w:rPr>
              <w:t>-8.8%</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$53.00</w:t>
            </w:r>
          </w:p>
        </w:tc>
        <w:tc>
          <w:tcPr>
            <w:tcW w:type="dxa" w:w="2520"/>
            <w:shd w:fill="F2F4F8" w:val="clear"/>
          </w:tcPr>
          <w:p>
            <w:r>
              <w:rPr>
                <w:rFonts w:ascii="Calibri" w:hAnsi="Calibri"/>
                <w:color w:val="333333"/>
                <w:sz w:val="18"/>
              </w:rPr>
              <w:t>$57.83</w:t>
            </w:r>
          </w:p>
        </w:tc>
        <w:tc>
          <w:tcPr>
            <w:tcW w:type="dxa" w:w="2520"/>
            <w:shd w:fill="F2F4F8" w:val="clear"/>
            <w:shd w:fill="FFF3CD" w:val="clear"/>
          </w:tcPr>
          <w:p>
            <w:r>
              <w:rPr>
                <w:rFonts w:ascii="Calibri" w:hAnsi="Calibri"/>
                <w:color w:val="333333"/>
                <w:sz w:val="18"/>
              </w:rPr>
              <w:t>9.1%</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$3</w:t>
            </w:r>
          </w:p>
        </w:tc>
        <w:tc>
          <w:tcPr>
            <w:tcW w:type="dxa" w:w="2520"/>
          </w:tcPr>
          <w:p>
            <w:r>
              <w:rPr>
                <w:rFonts w:ascii="Calibri" w:hAnsi="Calibri"/>
                <w:color w:val="333333"/>
                <w:sz w:val="18"/>
              </w:rPr>
              <w:t>$6</w:t>
            </w:r>
          </w:p>
        </w:tc>
        <w:tc>
          <w:tcPr>
            <w:tcW w:type="dxa" w:w="2520"/>
            <w:shd w:fill="DCEEF8" w:val="clear"/>
          </w:tcPr>
          <w:p>
            <w:r>
              <w:rPr>
                <w:rFonts w:ascii="Calibri" w:hAnsi="Calibri"/>
                <w:color w:val="333333"/>
                <w:sz w:val="18"/>
              </w:rPr>
              <w:t>148.2%</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$11</w:t>
            </w:r>
          </w:p>
        </w:tc>
        <w:tc>
          <w:tcPr>
            <w:tcW w:type="dxa" w:w="2520"/>
            <w:shd w:fill="F2F4F8" w:val="clear"/>
            <w:shd w:fill="DCEEF8" w:val="clear"/>
          </w:tcPr>
          <w:p>
            <w:r>
              <w:rPr>
                <w:rFonts w:ascii="Calibri" w:hAnsi="Calibri"/>
                <w:color w:val="333333"/>
                <w:sz w:val="18"/>
              </w:rPr>
              <w:t>128.5%</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shd w:fill="FFF3CD" w:val="clear"/>
          </w:tcPr>
          <w:p>
            <w:r>
              <w:rPr>
                <w:rFonts w:ascii="Calibri" w:hAnsi="Calibri"/>
                <w:color w:val="333333"/>
                <w:sz w:val="18"/>
              </w:rPr>
              <w:t>2.7%</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0.71</w:t>
            </w:r>
          </w:p>
        </w:tc>
        <w:tc>
          <w:tcPr>
            <w:tcW w:type="dxa" w:w="3360"/>
          </w:tcPr>
          <w:p>
            <w:r>
              <w:rPr>
                <w:rFonts w:ascii="Calibri" w:hAnsi="Calibri"/>
                <w:color w:val="333333"/>
                <w:sz w:val="18"/>
              </w:rPr>
              <w:t>Concern</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0.38</w:t>
            </w:r>
          </w:p>
        </w:tc>
        <w:tc>
          <w:tcPr>
            <w:tcW w:type="dxa" w:w="3360"/>
            <w:shd w:fill="F2F4F8" w:val="clear"/>
          </w:tcPr>
          <w:p>
            <w:r>
              <w:rPr>
                <w:rFonts w:ascii="Calibri" w:hAnsi="Calibri"/>
                <w:color w:val="333333"/>
                <w:sz w:val="18"/>
              </w:rPr>
              <w:t>Conservative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1.00</w:t>
            </w:r>
          </w:p>
        </w:tc>
        <w:tc>
          <w:tcPr>
            <w:tcW w:type="dxa" w:w="3360"/>
          </w:tcPr>
          <w:p>
            <w:r>
              <w:rPr>
                <w:rFonts w:ascii="Calibri" w:hAnsi="Calibri"/>
                <w:color w:val="333333"/>
                <w:sz w:val="18"/>
              </w:rPr>
              <w:t>High</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2.9%</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N/A</w:t>
            </w:r>
          </w:p>
        </w:tc>
        <w:tc>
          <w:tcPr>
            <w:tcW w:type="dxa" w:w="2520"/>
          </w:tcPr>
          <w:p>
            <w:r>
              <w:rPr>
                <w:rFonts w:ascii="Calibri" w:hAnsi="Calibri"/>
                <w:color w:val="333333"/>
                <w:sz w:val="18"/>
              </w:rPr>
              <w:t>$18.1B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$-6.9B</w:t>
            </w:r>
          </w:p>
        </w:tc>
        <w:tc>
          <w:tcPr>
            <w:tcW w:type="dxa" w:w="2520"/>
            <w:shd w:fill="F2F4F8" w:val="clear"/>
          </w:tcPr>
          <w:p>
            <w:r>
              <w:rPr>
                <w:rFonts w:ascii="Calibri" w:hAnsi="Calibri"/>
                <w:color w:val="333333"/>
                <w:sz w:val="18"/>
              </w:rPr>
              <w:t>$-8.0B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N/A</w:t>
            </w:r>
          </w:p>
        </w:tc>
        <w:tc>
          <w:tcPr>
            <w:tcW w:type="dxa" w:w="2520"/>
          </w:tcPr>
          <w:p>
            <w:r>
              <w:rPr>
                <w:rFonts w:ascii="Calibri" w:hAnsi="Calibri"/>
                <w:color w:val="333333"/>
                <w:sz w:val="18"/>
              </w:rPr>
              <w:t>$-10.4B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$5.4B</w:t>
            </w:r>
          </w:p>
        </w:tc>
        <w:tc>
          <w:tcPr>
            <w:tcW w:type="dxa" w:w="2520"/>
            <w:shd w:fill="F2F4F8" w:val="clear"/>
          </w:tcPr>
          <w:p>
            <w:r>
              <w:rPr>
                <w:rFonts w:ascii="Calibri" w:hAnsi="Calibri"/>
                <w:color w:val="333333"/>
                <w:sz w:val="18"/>
              </w:rPr>
              <w:t>$8.0B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$5.0B</w:t>
            </w:r>
          </w:p>
        </w:tc>
        <w:tc>
          <w:tcPr>
            <w:tcW w:type="dxa" w:w="2520"/>
          </w:tcPr>
          <w:p>
            <w:r>
              <w:rPr>
                <w:rFonts w:ascii="Calibri" w:hAnsi="Calibri"/>
                <w:color w:val="333333"/>
                <w:sz w:val="18"/>
              </w:rPr>
              <w:t>$5.3B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$3.0B</w:t>
            </w:r>
          </w:p>
        </w:tc>
        <w:tc>
          <w:tcPr>
            <w:tcW w:type="dxa" w:w="2520"/>
          </w:tcPr>
          <w:p>
            <w:r>
              <w:rPr>
                <w:rFonts w:ascii="Calibri" w:hAnsi="Calibri"/>
                <w:color w:val="333333"/>
                <w:sz w:val="18"/>
              </w:rPr>
              <w:t>$3.5B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Proceeds from issuance of debt</w:t>
            </w:r>
          </w:p>
        </w:tc>
        <w:tc>
          <w:tcPr>
            <w:tcW w:type="dxa" w:w="2520"/>
            <w:shd w:fill="F2F4F8" w:val="clear"/>
          </w:tcPr>
          <w:p>
            <w:r>
              <w:rPr>
                <w:rFonts w:ascii="Calibri" w:hAnsi="Calibri"/>
                <w:color w:val="333333"/>
                <w:sz w:val="18"/>
              </w:rPr>
              <w:t>$132.0M</w:t>
            </w:r>
          </w:p>
        </w:tc>
        <w:tc>
          <w:tcPr>
            <w:tcW w:type="dxa" w:w="2520"/>
            <w:shd w:fill="F2F4F8" w:val="clear"/>
          </w:tcPr>
          <w:p>
            <w:r>
              <w:rPr>
                <w:rFonts w:ascii="Calibri" w:hAnsi="Calibri"/>
                <w:color w:val="333333"/>
                <w:sz w:val="18"/>
              </w:rPr>
              <w:t>$1.1B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Repayments of debt</w:t>
            </w:r>
          </w:p>
        </w:tc>
        <w:tc>
          <w:tcPr>
            <w:tcW w:type="dxa" w:w="2520"/>
          </w:tcPr>
          <w:p>
            <w:r>
              <w:rPr>
                <w:rFonts w:ascii="Calibri" w:hAnsi="Calibri"/>
                <w:color w:val="333333"/>
                <w:sz w:val="18"/>
              </w:rPr>
              <w:t>$3.1B</w:t>
            </w:r>
          </w:p>
        </w:tc>
        <w:tc>
          <w:tcPr>
            <w:tcW w:type="dxa" w:w="2520"/>
          </w:tcPr>
          <w:p>
            <w:r>
              <w:rPr>
                <w:rFonts w:ascii="Calibri" w:hAnsi="Calibri"/>
                <w:color w:val="333333"/>
                <w:sz w:val="18"/>
              </w:rPr>
              <w:t>$3.7B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Interest paid (supplemental)</w:t>
            </w:r>
          </w:p>
        </w:tc>
        <w:tc>
          <w:tcPr>
            <w:tcW w:type="dxa" w:w="2520"/>
            <w:shd w:fill="F2F4F8" w:val="clear"/>
          </w:tcPr>
          <w:p>
            <w:r>
              <w:rPr>
                <w:rFonts w:ascii="Calibri" w:hAnsi="Calibri"/>
                <w:color w:val="333333"/>
                <w:sz w:val="18"/>
              </w:rPr>
              <w:t>$2.1B</w:t>
            </w:r>
          </w:p>
        </w:tc>
        <w:tc>
          <w:tcPr>
            <w:tcW w:type="dxa" w:w="2520"/>
            <w:shd w:fill="F2F4F8" w:val="clear"/>
          </w:tcPr>
          <w:p>
            <w:r>
              <w:rPr>
                <w:rFonts w:ascii="Calibri" w:hAnsi="Calibri"/>
                <w:color w:val="333333"/>
                <w:sz w:val="18"/>
              </w:rPr>
              <w:t>$2.0B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Income taxes paid (supplemental)</w:t>
            </w:r>
          </w:p>
        </w:tc>
        <w:tc>
          <w:tcPr>
            <w:tcW w:type="dxa" w:w="2520"/>
          </w:tcPr>
          <w:p>
            <w:r>
              <w:rPr>
                <w:rFonts w:ascii="Calibri" w:hAnsi="Calibri"/>
                <w:color w:val="333333"/>
                <w:sz w:val="18"/>
              </w:rPr>
              <w:t>$4.0B</w:t>
            </w:r>
          </w:p>
        </w:tc>
        <w:tc>
          <w:tcPr>
            <w:tcW w:type="dxa" w:w="2520"/>
          </w:tcPr>
          <w:p>
            <w:r>
              <w:rPr>
                <w:rFonts w:ascii="Calibri" w:hAnsi="Calibri"/>
                <w:color w:val="333333"/>
                <w:sz w:val="18"/>
              </w:rPr>
              <w:t>$1.2B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Stock-based compensation (cash flow adjustment)</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Changes in operating working capital</w:t>
            </w:r>
          </w:p>
        </w:tc>
        <w:tc>
          <w:tcPr>
            <w:tcW w:type="dxa" w:w="2520"/>
          </w:tcPr>
          <w:p>
            <w:r>
              <w:rPr>
                <w:rFonts w:ascii="Calibri" w:hAnsi="Calibri"/>
                <w:color w:val="333333"/>
                <w:sz w:val="18"/>
              </w:rPr>
              <w:t>$156.0M</w:t>
            </w:r>
          </w:p>
        </w:tc>
        <w:tc>
          <w:tcPr>
            <w:tcW w:type="dxa" w:w="2520"/>
          </w:tcPr>
          <w:p>
            <w:r>
              <w:rPr>
                <w:rFonts w:ascii="Calibri" w:hAnsi="Calibri"/>
                <w:color w:val="333333"/>
                <w:sz w:val="18"/>
              </w:rPr>
              <w:t>$237.0M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$-8.1B</w:t>
            </w:r>
          </w:p>
        </w:tc>
        <w:tc>
          <w:tcPr>
            <w:tcW w:type="dxa" w:w="2520"/>
            <w:shd w:fill="F2F4F8" w:val="clear"/>
          </w:tcPr>
          <w:p>
            <w:r>
              <w:rPr>
                <w:rFonts w:ascii="Calibri" w:hAnsi="Calibri"/>
                <w:color w:val="333333"/>
                <w:sz w:val="18"/>
              </w:rPr>
              <w:t>$-303.0M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$-807.0M</w:t>
            </w:r>
          </w:p>
        </w:tc>
        <w:tc>
          <w:tcPr>
            <w:tcW w:type="dxa" w:w="2520"/>
          </w:tcPr>
          <w:p>
            <w:r>
              <w:rPr>
                <w:rFonts w:ascii="Calibri" w:hAnsi="Calibri"/>
                <w:color w:val="333333"/>
                <w:sz w:val="18"/>
              </w:rPr>
              <w:t>$-2.6B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$565.0M</w:t>
            </w:r>
          </w:p>
        </w:tc>
        <w:tc>
          <w:tcPr>
            <w:tcW w:type="dxa" w:w="2520"/>
            <w:shd w:fill="F2F4F8" w:val="clear"/>
          </w:tcPr>
          <w:p>
            <w:r>
              <w:rPr>
                <w:rFonts w:ascii="Calibri" w:hAnsi="Calibri"/>
                <w:color w:val="333333"/>
                <w:sz w:val="18"/>
              </w:rPr>
              <w:t>$283.0M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Change in inventory</w:t>
            </w:r>
          </w:p>
        </w:tc>
        <w:tc>
          <w:tcPr>
            <w:tcW w:type="dxa" w:w="2520"/>
          </w:tcPr>
          <w:p>
            <w:r>
              <w:rPr>
                <w:rFonts w:ascii="Calibri" w:hAnsi="Calibri"/>
                <w:color w:val="333333"/>
                <w:sz w:val="18"/>
              </w:rPr>
              <w:t>$42.0M</w:t>
            </w:r>
          </w:p>
        </w:tc>
        <w:tc>
          <w:tcPr>
            <w:tcW w:type="dxa" w:w="2520"/>
          </w:tcPr>
          <w:p>
            <w:r>
              <w:rPr>
                <w:rFonts w:ascii="Calibri" w:hAnsi="Calibri"/>
                <w:color w:val="333333"/>
                <w:sz w:val="18"/>
              </w:rPr>
              <w:t>$114.0M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Change in accounts payable</w:t>
            </w:r>
          </w:p>
        </w:tc>
        <w:tc>
          <w:tcPr>
            <w:tcW w:type="dxa" w:w="2520"/>
            <w:shd w:fill="F2F4F8" w:val="clear"/>
          </w:tcPr>
          <w:p>
            <w:r>
              <w:rPr>
                <w:rFonts w:ascii="Calibri" w:hAnsi="Calibri"/>
                <w:color w:val="333333"/>
                <w:sz w:val="18"/>
              </w:rPr>
              <w:t>$156.0M</w:t>
            </w:r>
          </w:p>
        </w:tc>
        <w:tc>
          <w:tcPr>
            <w:tcW w:type="dxa" w:w="2520"/>
            <w:shd w:fill="F2F4F8" w:val="clear"/>
          </w:tcPr>
          <w:p>
            <w:r>
              <w:rPr>
                <w:rFonts w:ascii="Calibri" w:hAnsi="Calibri"/>
                <w:color w:val="333333"/>
                <w:sz w:val="18"/>
              </w:rPr>
              <w:t>$237.0M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Amortization of intangible assets</w:t>
            </w:r>
          </w:p>
        </w:tc>
        <w:tc>
          <w:tcPr>
            <w:tcW w:type="dxa" w:w="2520"/>
          </w:tcPr>
          <w:p>
            <w:r>
              <w:rPr>
                <w:rFonts w:ascii="Calibri" w:hAnsi="Calibri"/>
                <w:color w:val="333333"/>
                <w:sz w:val="18"/>
              </w:rPr>
              <w:t>$1.6B</w:t>
            </w:r>
          </w:p>
        </w:tc>
        <w:tc>
          <w:tcPr>
            <w:tcW w:type="dxa" w:w="2520"/>
          </w:tcPr>
          <w:p>
            <w:r>
              <w:rPr>
                <w:rFonts w:ascii="Calibri" w:hAnsi="Calibri"/>
                <w:color w:val="333333"/>
                <w:sz w:val="18"/>
              </w:rPr>
              <w:t>$1.5B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Effect of exchange rate changes on cash</w:t>
            </w:r>
          </w:p>
        </w:tc>
        <w:tc>
          <w:tcPr>
            <w:tcW w:type="dxa" w:w="2520"/>
            <w:shd w:fill="F2F4F8" w:val="clear"/>
          </w:tcPr>
          <w:p>
            <w:r>
              <w:rPr>
                <w:rFonts w:ascii="Calibri" w:hAnsi="Calibri"/>
                <w:color w:val="333333"/>
                <w:sz w:val="18"/>
              </w:rPr>
              <w:t>$-14.0M</w:t>
            </w:r>
          </w:p>
        </w:tc>
        <w:tc>
          <w:tcPr>
            <w:tcW w:type="dxa" w:w="2520"/>
            <w:shd w:fill="F2F4F8" w:val="clear"/>
          </w:tcPr>
          <w:p>
            <w:r>
              <w:rPr>
                <w:rFonts w:ascii="Calibri" w:hAnsi="Calibri"/>
                <w:color w:val="333333"/>
                <w:sz w:val="18"/>
              </w:rPr>
              <w:t>$31.0M</w:t>
            </w:r>
          </w:p>
        </w:tc>
        <w:tc>
          <w:tcPr>
            <w:tcW w:type="dxa" w:w="2520"/>
            <w:shd w:fill="F2F4F8" w:val="clear"/>
            <w:shd w:fill="FCE8E6" w:val="clear"/>
          </w:tcPr>
          <w:p>
            <w:r>
              <w:rPr>
                <w:rFonts w:ascii="Calibri" w:hAnsi="Calibri"/>
                <w:color w:val="333333"/>
                <w:sz w:val="18"/>
              </w:rPr>
              <w:t>-83.9%</w:t>
            </w:r>
          </w:p>
        </w:tc>
      </w:tr>
      <w:tr>
        <w:tc>
          <w:tcPr>
            <w:tcW w:type="dxa" w:w="2520"/>
          </w:tcPr>
          <w:p>
            <w:r>
              <w:rPr>
                <w:rFonts w:ascii="Calibri" w:hAnsi="Calibri"/>
                <w:color w:val="333333"/>
                <w:sz w:val="18"/>
              </w:rPr>
              <w:t>Free cash flow</w:t>
            </w:r>
          </w:p>
        </w:tc>
        <w:tc>
          <w:tcPr>
            <w:tcW w:type="dxa" w:w="2520"/>
          </w:tcPr>
          <w:p>
            <w:r>
              <w:rPr>
                <w:rFonts w:ascii="Calibri" w:hAnsi="Calibri"/>
                <w:color w:val="333333"/>
                <w:sz w:val="18"/>
              </w:rPr>
              <w:t>N/A</w:t>
            </w:r>
          </w:p>
        </w:tc>
        <w:tc>
          <w:tcPr>
            <w:tcW w:type="dxa" w:w="2520"/>
          </w:tcPr>
          <w:p>
            <w:r>
              <w:rPr>
                <w:rFonts w:ascii="Calibri" w:hAnsi="Calibri"/>
                <w:color w:val="333333"/>
                <w:sz w:val="18"/>
              </w:rPr>
              <w:t>$10.1B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FCF-to-revenue ratio</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$11</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Capex-to-revenue ratio</w:t>
            </w:r>
          </w:p>
        </w:tc>
        <w:tc>
          <w:tcPr>
            <w:tcW w:type="dxa" w:w="2520"/>
          </w:tcPr>
          <w:p>
            <w:r>
              <w:rPr>
                <w:rFonts w:ascii="Calibri" w:hAnsi="Calibri"/>
                <w:color w:val="333333"/>
                <w:sz w:val="18"/>
              </w:rPr>
              <w:t>$6</w:t>
            </w:r>
          </w:p>
        </w:tc>
        <w:tc>
          <w:tcPr>
            <w:tcW w:type="dxa" w:w="2520"/>
          </w:tcPr>
          <w:p>
            <w:r>
              <w:rPr>
                <w:rFonts w:ascii="Calibri" w:hAnsi="Calibri"/>
                <w:color w:val="333333"/>
                <w:sz w:val="18"/>
              </w:rPr>
              <w:t>$8</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Capex-to-depreciation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Dividend payout ratio</w:t>
            </w:r>
          </w:p>
        </w:tc>
        <w:tc>
          <w:tcPr>
            <w:tcW w:type="dxa" w:w="2520"/>
          </w:tcPr>
          <w:p>
            <w:r>
              <w:rPr>
                <w:rFonts w:ascii="Calibri" w:hAnsi="Calibri"/>
                <w:color w:val="333333"/>
                <w:sz w:val="18"/>
              </w:rPr>
              <w:t>$27</w:t>
            </w:r>
          </w:p>
        </w:tc>
        <w:tc>
          <w:tcPr>
            <w:tcW w:type="dxa" w:w="2520"/>
          </w:tcPr>
          <w:p>
            <w:r>
              <w:rPr>
                <w:rFonts w:ascii="Calibri" w:hAnsi="Calibri"/>
                <w:color w:val="333333"/>
                <w:sz w:val="18"/>
              </w:rPr>
              <w:t>$15</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$5.30</w:t>
            </w:r>
          </w:p>
        </w:tc>
        <w:tc>
          <w:tcPr>
            <w:tcW w:type="dxa" w:w="2520"/>
            <w:shd w:fill="F2F4F8" w:val="clear"/>
          </w:tcPr>
          <w:p>
            <w:r>
              <w:rPr>
                <w:rFonts w:ascii="Calibri" w:hAnsi="Calibri"/>
                <w:color w:val="333333"/>
                <w:sz w:val="18"/>
              </w:rPr>
              <w:t>N/A</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0.71</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0.65</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0.38</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9.7x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2.25</w:t>
            </w:r>
          </w:p>
        </w:tc>
        <w:tc>
          <w:tcPr>
            <w:tcW w:type="dxa" w:w="2016"/>
            <w:shd w:fill="FFF3CD" w:val="clear"/>
          </w:tcPr>
          <w:p>
            <w:r>
              <w:rPr>
                <w:rFonts w:ascii="Calibri" w:hAnsi="Calibri"/>
                <w:color w:val="333333"/>
                <w:sz w:val="18"/>
              </w:rPr>
              <w:t>Grey Zone</w:t>
            </w:r>
          </w:p>
        </w:tc>
        <w:tc>
          <w:tcPr>
            <w:tcW w:type="dxa" w:w="2016"/>
          </w:tcPr>
          <w:p>
            <w:r>
              <w:rPr>
                <w:rFonts w:ascii="Calibri" w:hAnsi="Calibri"/>
                <w:color w:val="333333"/>
                <w:sz w:val="18"/>
              </w:rPr>
              <w:t>FY2024: 1.0 -&gt; FY2025: 1.1 (stable)</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-3.09</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7.00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7/9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60th percentile among 0 peers (peer median: 3.0x).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1.46</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-0.03</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Ernst &amp; Young, unqualified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0.38</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2.39</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9.69</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11.9%</w:t>
            </w:r>
          </w:p>
        </w:tc>
        <w:tc>
          <w:tcPr>
            <w:tcW w:type="dxa" w:w="3360"/>
          </w:tcPr>
          <w:p>
            <w:r>
              <w:rPr>
                <w:rFonts w:ascii="Calibri" w:hAnsi="Calibri"/>
                <w:color w:val="333333"/>
                <w:sz w:val="18"/>
              </w:rPr>
              <w:t>Below statutory rate -- review required</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GOOGL</w:t>
            </w:r>
          </w:p>
        </w:tc>
        <w:tc>
          <w:tcPr>
            <w:tcW w:type="dxa" w:w="2016"/>
          </w:tcPr>
          <w:p>
            <w:r>
              <w:rPr>
                <w:rFonts w:ascii="Calibri" w:hAnsi="Calibri"/>
                <w:color w:val="333333"/>
                <w:sz w:val="18"/>
              </w:rPr>
              <w:t>Alphabet Inc.</w:t>
            </w:r>
          </w:p>
        </w:tc>
        <w:tc>
          <w:tcPr>
            <w:tcW w:type="dxa" w:w="2016"/>
          </w:tcPr>
          <w:p>
            <w:r>
              <w:rPr>
                <w:rFonts w:ascii="Calibri" w:hAnsi="Calibri"/>
                <w:color w:val="333333"/>
                <w:sz w:val="18"/>
              </w:rPr>
              <w:t>$3.6T</w:t>
            </w:r>
          </w:p>
        </w:tc>
        <w:tc>
          <w:tcPr>
            <w:tcW w:type="dxa" w:w="2016"/>
          </w:tcPr>
          <w:p>
            <w:r>
              <w:rPr>
                <w:rFonts w:ascii="Calibri" w:hAnsi="Calibri"/>
                <w:color w:val="333333"/>
                <w:sz w:val="18"/>
              </w:rPr>
              <w:t>$402.8B</w:t>
            </w:r>
          </w:p>
        </w:tc>
        <w:tc>
          <w:tcPr>
            <w:tcW w:type="dxa" w:w="2016"/>
          </w:tcPr>
          <w:p>
            <w:r>
              <w:rPr>
                <w:rFonts w:ascii="Calibri" w:hAnsi="Calibri"/>
                <w:color w:val="333333"/>
                <w:sz w:val="18"/>
              </w:rPr>
              <w:t>15</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$201.0B</w:t>
            </w:r>
          </w:p>
        </w:tc>
        <w:tc>
          <w:tcPr>
            <w:tcW w:type="dxa" w:w="2016"/>
            <w:shd w:fill="F2F4F8" w:val="clear"/>
          </w:tcPr>
          <w:p>
            <w:r>
              <w:rPr>
                <w:rFonts w:ascii="Calibri" w:hAnsi="Calibri"/>
                <w:color w:val="333333"/>
                <w:sz w:val="18"/>
              </w:rPr>
              <w:t>18</w:t>
            </w:r>
          </w:p>
        </w:tc>
      </w:tr>
      <w:tr>
        <w:tc>
          <w:tcPr>
            <w:tcW w:type="dxa" w:w="2016"/>
          </w:tcPr>
          <w:p>
            <w:r>
              <w:rPr>
                <w:rFonts w:ascii="Calibri" w:hAnsi="Calibri"/>
                <w:color w:val="333333"/>
                <w:sz w:val="18"/>
              </w:rPr>
              <w:t>NFLX</w:t>
            </w:r>
          </w:p>
        </w:tc>
        <w:tc>
          <w:tcPr>
            <w:tcW w:type="dxa" w:w="2016"/>
          </w:tcPr>
          <w:p>
            <w:r>
              <w:rPr>
                <w:rFonts w:ascii="Calibri" w:hAnsi="Calibri"/>
                <w:color w:val="333333"/>
                <w:sz w:val="18"/>
              </w:rPr>
              <w:t>Netflix, Inc.</w:t>
            </w:r>
          </w:p>
        </w:tc>
        <w:tc>
          <w:tcPr>
            <w:tcW w:type="dxa" w:w="2016"/>
          </w:tcPr>
          <w:p>
            <w:r>
              <w:rPr>
                <w:rFonts w:ascii="Calibri" w:hAnsi="Calibri"/>
                <w:color w:val="333333"/>
                <w:sz w:val="18"/>
              </w:rPr>
              <w:t>$418.5B</w:t>
            </w:r>
          </w:p>
        </w:tc>
        <w:tc>
          <w:tcPr>
            <w:tcW w:type="dxa" w:w="2016"/>
          </w:tcPr>
          <w:p>
            <w:r>
              <w:rPr>
                <w:rFonts w:ascii="Calibri" w:hAnsi="Calibri"/>
                <w:color w:val="333333"/>
                <w:sz w:val="18"/>
              </w:rPr>
              <w:t>$45.2B</w:t>
            </w:r>
          </w:p>
        </w:tc>
        <w:tc>
          <w:tcPr>
            <w:tcW w:type="dxa" w:w="2016"/>
          </w:tcPr>
          <w:p>
            <w:r>
              <w:rPr>
                <w:rFonts w:ascii="Calibri" w:hAnsi="Calibri"/>
                <w:color w:val="333333"/>
                <w:sz w:val="18"/>
              </w:rPr>
              <w:t>28</w:t>
            </w:r>
          </w:p>
        </w:tc>
      </w:tr>
      <w:tr>
        <w:tc>
          <w:tcPr>
            <w:tcW w:type="dxa" w:w="2016"/>
            <w:shd w:fill="F2F4F8" w:val="clear"/>
          </w:tcPr>
          <w:p>
            <w:r>
              <w:rPr>
                <w:rFonts w:ascii="Calibri" w:hAnsi="Calibri"/>
                <w:color w:val="333333"/>
                <w:sz w:val="18"/>
              </w:rPr>
              <w:t>CMCSA</w:t>
            </w:r>
          </w:p>
        </w:tc>
        <w:tc>
          <w:tcPr>
            <w:tcW w:type="dxa" w:w="2016"/>
            <w:shd w:fill="F2F4F8" w:val="clear"/>
          </w:tcPr>
          <w:p>
            <w:r>
              <w:rPr>
                <w:rFonts w:ascii="Calibri" w:hAnsi="Calibri"/>
                <w:color w:val="333333"/>
                <w:sz w:val="18"/>
              </w:rPr>
              <w:t>Comcast Corporation</w:t>
            </w:r>
          </w:p>
        </w:tc>
        <w:tc>
          <w:tcPr>
            <w:tcW w:type="dxa" w:w="2016"/>
            <w:shd w:fill="F2F4F8" w:val="clear"/>
          </w:tcPr>
          <w:p>
            <w:r>
              <w:rPr>
                <w:rFonts w:ascii="Calibri" w:hAnsi="Calibri"/>
                <w:color w:val="333333"/>
                <w:sz w:val="18"/>
              </w:rPr>
              <w:t>$101.8B</w:t>
            </w:r>
          </w:p>
        </w:tc>
        <w:tc>
          <w:tcPr>
            <w:tcW w:type="dxa" w:w="2016"/>
            <w:shd w:fill="F2F4F8" w:val="clear"/>
          </w:tcPr>
          <w:p>
            <w:r>
              <w:rPr>
                <w:rFonts w:ascii="Calibri" w:hAnsi="Calibri"/>
                <w:color w:val="333333"/>
                <w:sz w:val="18"/>
              </w:rPr>
              <w:t>$123.7B</w:t>
            </w:r>
          </w:p>
        </w:tc>
        <w:tc>
          <w:tcPr>
            <w:tcW w:type="dxa" w:w="2016"/>
            <w:shd w:fill="F2F4F8" w:val="clear"/>
          </w:tcPr>
          <w:p>
            <w:r>
              <w:rPr>
                <w:rFonts w:ascii="Calibri" w:hAnsi="Calibri"/>
                <w:color w:val="333333"/>
                <w:sz w:val="18"/>
              </w:rPr>
              <w:t>28</w:t>
            </w:r>
          </w:p>
        </w:tc>
      </w:tr>
      <w:tr>
        <w:tc>
          <w:tcPr>
            <w:tcW w:type="dxa" w:w="2016"/>
          </w:tcPr>
          <w:p>
            <w:r>
              <w:rPr>
                <w:rFonts w:ascii="Calibri" w:hAnsi="Calibri"/>
                <w:color w:val="333333"/>
                <w:sz w:val="18"/>
              </w:rPr>
              <w:t>T</w:t>
            </w:r>
          </w:p>
        </w:tc>
        <w:tc>
          <w:tcPr>
            <w:tcW w:type="dxa" w:w="2016"/>
          </w:tcPr>
          <w:p>
            <w:r>
              <w:rPr>
                <w:rFonts w:ascii="Calibri" w:hAnsi="Calibri"/>
                <w:color w:val="333333"/>
                <w:sz w:val="18"/>
              </w:rPr>
              <w:t>AT&amp;T Inc.</w:t>
            </w:r>
          </w:p>
        </w:tc>
        <w:tc>
          <w:tcPr>
            <w:tcW w:type="dxa" w:w="2016"/>
          </w:tcPr>
          <w:p>
            <w:r>
              <w:rPr>
                <w:rFonts w:ascii="Calibri" w:hAnsi="Calibri"/>
                <w:color w:val="333333"/>
                <w:sz w:val="18"/>
              </w:rPr>
              <w:t>$198.3B</w:t>
            </w:r>
          </w:p>
        </w:tc>
        <w:tc>
          <w:tcPr>
            <w:tcW w:type="dxa" w:w="2016"/>
          </w:tcPr>
          <w:p>
            <w:r>
              <w:rPr>
                <w:rFonts w:ascii="Calibri" w:hAnsi="Calibri"/>
                <w:color w:val="333333"/>
                <w:sz w:val="18"/>
              </w:rPr>
              <w:t>$125.6B</w:t>
            </w:r>
          </w:p>
        </w:tc>
        <w:tc>
          <w:tcPr>
            <w:tcW w:type="dxa" w:w="2016"/>
          </w:tcPr>
          <w:p>
            <w:r>
              <w:rPr>
                <w:rFonts w:ascii="Calibri" w:hAnsi="Calibri"/>
                <w:color w:val="333333"/>
                <w:sz w:val="18"/>
              </w:rPr>
              <w:t>44</w:t>
            </w:r>
          </w:p>
        </w:tc>
      </w:tr>
      <w:tr>
        <w:tc>
          <w:tcPr>
            <w:tcW w:type="dxa" w:w="2016"/>
            <w:shd w:fill="F2F4F8" w:val="clear"/>
          </w:tcPr>
          <w:p>
            <w:r>
              <w:rPr>
                <w:rFonts w:ascii="Calibri" w:hAnsi="Calibri"/>
                <w:color w:val="333333"/>
                <w:sz w:val="18"/>
              </w:rPr>
              <w:t>VZ</w:t>
            </w:r>
          </w:p>
        </w:tc>
        <w:tc>
          <w:tcPr>
            <w:tcW w:type="dxa" w:w="2016"/>
            <w:shd w:fill="F2F4F8" w:val="clear"/>
          </w:tcPr>
          <w:p>
            <w:r>
              <w:rPr>
                <w:rFonts w:ascii="Calibri" w:hAnsi="Calibri"/>
                <w:color w:val="333333"/>
                <w:sz w:val="18"/>
              </w:rPr>
              <w:t>Verizon Communications Inc.</w:t>
            </w:r>
          </w:p>
        </w:tc>
        <w:tc>
          <w:tcPr>
            <w:tcW w:type="dxa" w:w="2016"/>
            <w:shd w:fill="F2F4F8" w:val="clear"/>
          </w:tcPr>
          <w:p>
            <w:r>
              <w:rPr>
                <w:rFonts w:ascii="Calibri" w:hAnsi="Calibri"/>
                <w:color w:val="333333"/>
                <w:sz w:val="18"/>
              </w:rPr>
              <w:t>$208.4B</w:t>
            </w:r>
          </w:p>
        </w:tc>
        <w:tc>
          <w:tcPr>
            <w:tcW w:type="dxa" w:w="2016"/>
            <w:shd w:fill="F2F4F8" w:val="clear"/>
          </w:tcPr>
          <w:p>
            <w:r>
              <w:rPr>
                <w:rFonts w:ascii="Calibri" w:hAnsi="Calibri"/>
                <w:color w:val="333333"/>
                <w:sz w:val="18"/>
              </w:rPr>
              <w:t>$138.2B</w:t>
            </w:r>
          </w:p>
        </w:tc>
        <w:tc>
          <w:tcPr>
            <w:tcW w:type="dxa" w:w="2016"/>
            <w:shd w:fill="F2F4F8" w:val="clear"/>
          </w:tcPr>
          <w:p>
            <w:r>
              <w:rPr>
                <w:rFonts w:ascii="Calibri" w:hAnsi="Calibri"/>
                <w:color w:val="333333"/>
                <w:sz w:val="18"/>
              </w:rPr>
              <w:t>41</w:t>
            </w:r>
          </w:p>
        </w:tc>
      </w:tr>
      <w:tr>
        <w:tc>
          <w:tcPr>
            <w:tcW w:type="dxa" w:w="2016"/>
          </w:tcPr>
          <w:p>
            <w:r>
              <w:rPr>
                <w:rFonts w:ascii="Calibri" w:hAnsi="Calibri"/>
                <w:color w:val="333333"/>
                <w:sz w:val="18"/>
              </w:rPr>
              <w:t>TMUS</w:t>
            </w:r>
          </w:p>
        </w:tc>
        <w:tc>
          <w:tcPr>
            <w:tcW w:type="dxa" w:w="2016"/>
          </w:tcPr>
          <w:p>
            <w:r>
              <w:rPr>
                <w:rFonts w:ascii="Calibri" w:hAnsi="Calibri"/>
                <w:color w:val="333333"/>
                <w:sz w:val="18"/>
              </w:rPr>
              <w:t>T-Mobile US, Inc.</w:t>
            </w:r>
          </w:p>
        </w:tc>
        <w:tc>
          <w:tcPr>
            <w:tcW w:type="dxa" w:w="2016"/>
          </w:tcPr>
          <w:p>
            <w:r>
              <w:rPr>
                <w:rFonts w:ascii="Calibri" w:hAnsi="Calibri"/>
                <w:color w:val="333333"/>
                <w:sz w:val="18"/>
              </w:rPr>
              <w:t>$225.3B</w:t>
            </w:r>
          </w:p>
        </w:tc>
        <w:tc>
          <w:tcPr>
            <w:tcW w:type="dxa" w:w="2016"/>
          </w:tcPr>
          <w:p>
            <w:r>
              <w:rPr>
                <w:rFonts w:ascii="Calibri" w:hAnsi="Calibri"/>
                <w:color w:val="333333"/>
                <w:sz w:val="18"/>
              </w:rPr>
              <w:t>$88.3B</w:t>
            </w:r>
          </w:p>
        </w:tc>
        <w:tc>
          <w:tcPr>
            <w:tcW w:type="dxa" w:w="2016"/>
          </w:tcPr>
          <w:p>
            <w:r>
              <w:rPr>
                <w:rFonts w:ascii="Calibri" w:hAnsi="Calibri"/>
                <w:color w:val="333333"/>
                <w:sz w:val="18"/>
              </w:rPr>
              <w:t>42</w:t>
            </w:r>
          </w:p>
        </w:tc>
      </w:tr>
      <w:tr>
        <w:tc>
          <w:tcPr>
            <w:tcW w:type="dxa" w:w="2016"/>
            <w:shd w:fill="F2F4F8" w:val="clear"/>
          </w:tcPr>
          <w:p>
            <w:r>
              <w:rPr>
                <w:rFonts w:ascii="Calibri" w:hAnsi="Calibri"/>
                <w:color w:val="333333"/>
                <w:sz w:val="18"/>
              </w:rPr>
              <w:t>CHTR</w:t>
            </w:r>
          </w:p>
        </w:tc>
        <w:tc>
          <w:tcPr>
            <w:tcW w:type="dxa" w:w="2016"/>
            <w:shd w:fill="F2F4F8" w:val="clear"/>
          </w:tcPr>
          <w:p>
            <w:r>
              <w:rPr>
                <w:rFonts w:ascii="Calibri" w:hAnsi="Calibri"/>
                <w:color w:val="333333"/>
                <w:sz w:val="18"/>
              </w:rPr>
              <w:t>Charter Communications, Inc.</w:t>
            </w:r>
          </w:p>
        </w:tc>
        <w:tc>
          <w:tcPr>
            <w:tcW w:type="dxa" w:w="2016"/>
            <w:shd w:fill="F2F4F8" w:val="clear"/>
          </w:tcPr>
          <w:p>
            <w:r>
              <w:rPr>
                <w:rFonts w:ascii="Calibri" w:hAnsi="Calibri"/>
                <w:color w:val="333333"/>
                <w:sz w:val="18"/>
              </w:rPr>
              <w:t>$27.8B</w:t>
            </w:r>
          </w:p>
        </w:tc>
        <w:tc>
          <w:tcPr>
            <w:tcW w:type="dxa" w:w="2016"/>
            <w:shd w:fill="F2F4F8" w:val="clear"/>
          </w:tcPr>
          <w:p>
            <w:r>
              <w:rPr>
                <w:rFonts w:ascii="Calibri" w:hAnsi="Calibri"/>
                <w:color w:val="333333"/>
                <w:sz w:val="18"/>
              </w:rPr>
              <w:t>$54.8B</w:t>
            </w:r>
          </w:p>
        </w:tc>
        <w:tc>
          <w:tcPr>
            <w:tcW w:type="dxa" w:w="2016"/>
            <w:shd w:fill="F2F4F8" w:val="clear"/>
          </w:tcPr>
          <w:p>
            <w:r>
              <w:rPr>
                <w:rFonts w:ascii="Calibri" w:hAnsi="Calibri"/>
                <w:color w:val="333333"/>
                <w:sz w:val="18"/>
              </w:rPr>
              <w:t>20</w:t>
            </w:r>
          </w:p>
        </w:tc>
      </w:tr>
      <w:tr>
        <w:tc>
          <w:tcPr>
            <w:tcW w:type="dxa" w:w="2016"/>
          </w:tcPr>
          <w:p>
            <w:r>
              <w:rPr>
                <w:rFonts w:ascii="Calibri" w:hAnsi="Calibri"/>
                <w:color w:val="333333"/>
                <w:sz w:val="18"/>
              </w:rPr>
              <w:t>EA</w:t>
            </w:r>
          </w:p>
        </w:tc>
        <w:tc>
          <w:tcPr>
            <w:tcW w:type="dxa" w:w="2016"/>
          </w:tcPr>
          <w:p>
            <w:r>
              <w:rPr>
                <w:rFonts w:ascii="Calibri" w:hAnsi="Calibri"/>
                <w:color w:val="333333"/>
                <w:sz w:val="18"/>
              </w:rPr>
              <w:t>Electronic Arts Inc.</w:t>
            </w:r>
          </w:p>
        </w:tc>
        <w:tc>
          <w:tcPr>
            <w:tcW w:type="dxa" w:w="2016"/>
          </w:tcPr>
          <w:p>
            <w:r>
              <w:rPr>
                <w:rFonts w:ascii="Calibri" w:hAnsi="Calibri"/>
                <w:color w:val="333333"/>
                <w:sz w:val="18"/>
              </w:rPr>
              <w:t>$51.0B</w:t>
            </w:r>
          </w:p>
        </w:tc>
        <w:tc>
          <w:tcPr>
            <w:tcW w:type="dxa" w:w="2016"/>
          </w:tcPr>
          <w:p>
            <w:r>
              <w:rPr>
                <w:rFonts w:ascii="Calibri" w:hAnsi="Calibri"/>
                <w:color w:val="333333"/>
                <w:sz w:val="18"/>
              </w:rPr>
              <w:t>$7.3B</w:t>
            </w:r>
          </w:p>
        </w:tc>
        <w:tc>
          <w:tcPr>
            <w:tcW w:type="dxa" w:w="2016"/>
          </w:tcPr>
          <w:p>
            <w:r>
              <w:rPr>
                <w:rFonts w:ascii="Calibri" w:hAnsi="Calibri"/>
                <w:color w:val="333333"/>
                <w:sz w:val="18"/>
              </w:rPr>
              <w:t>12</w:t>
            </w:r>
          </w:p>
        </w:tc>
      </w:tr>
    </w:tbl>
    <w:p>
      <w:pPr>
        <w:pStyle w:val="DOBody"/>
      </w:pPr>
      <w:r>
        <w:t>Revenue: Ranks at the 44th percentile among 9 peers. Leverage: Ranks at the 60th percentile among 0 peers (peer median: 3.0x).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The board's small size of only two directors, featuring CEO/Chair Bob Iger, concentrates decision-making and amplifies oversight liability, particularly under a potential Caremark claim given the governance checks triggered 6 out of 90 key risk indicators. Iger's $45.8 million compensation, despite a solid 89% say-on-pay vote, could fuel derivative suits alleging misalignment, especially given the CEO/Chair duality and the 1.78-point deduction in the governance scoring for related risks. With only one General Counsel listed among the single executive disclosed, the legal function's bandwidth for managing complex regulatory and proxy disclosure risks across Disney's global operations is a tangible concern for adequate internal controls. The primary D&amp;O exposure here is a shareholder challenge to board process, arguing the compact two-director board failed its duty of candor or oversight amid the company's significant strategic pivots.</w:t>
      </w:r>
    </w:p>
    <w:p>
      <w:pPr>
        <w:pStyle w:val="DOHeading1"/>
      </w:pPr>
      <w:r>
        <w:t>Section 5: Governance &amp; Leadership</w:t>
      </w:r>
    </w:p>
    <w:p>
      <w:pPr>
        <w:pStyle w:val="DOBody"/>
      </w:pPr>
      <w:r>
        <w:rPr>
          <w:rFonts w:ascii="Calibri" w:hAnsi="Calibri"/>
          <w:color w:val="333333"/>
          <w:sz w:val="20"/>
        </w:rPr>
        <w:t>Leadership team is stable with average tenure of 5.0 years. Compensation concerns include: elevated CEO pay ratio (805:1).</w:t>
      </w:r>
      <w:r>
        <w:rPr>
          <w:rFonts w:ascii="Consolas" w:hAnsi="Consolas"/>
          <w:color w:val="666666"/>
          <w:sz w:val="16"/>
        </w:rPr>
        <w:t xml:space="preserve">  [Rule-based synthesis of governance extraction results, 2026-04-03,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Securities Regulation</w:t>
            </w:r>
          </w:p>
        </w:tc>
        <w:tc>
          <w:tcPr>
            <w:tcW w:type="dxa" w:w="1680"/>
          </w:tcPr>
          <w:p>
            <w:r>
              <w:rPr>
                <w:rFonts w:ascii="Calibri" w:hAnsi="Calibri"/>
                <w:color w:val="333333"/>
                <w:sz w:val="18"/>
              </w:rPr>
              <w:t>CLO</w:t>
            </w:r>
          </w:p>
        </w:tc>
        <w:tc>
          <w:tcPr>
            <w:tcW w:type="dxa" w:w="1680"/>
          </w:tcPr>
          <w:p>
            <w:r>
              <w:rPr>
                <w:rFonts w:ascii="Calibri" w:hAnsi="Calibri"/>
                <w:color w:val="333333"/>
                <w:sz w:val="18"/>
              </w:rPr>
              <w:t>5.0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bl>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2026-04-03,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Mr. Robert Alan Iger</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Mr. Josh  D'Amaro</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bl>
    <w:p>
      <w:pPr>
        <w:pStyle w:val="DOBody"/>
        <w:shd w:fill="FFF3CD" w:val="clear"/>
      </w:pPr>
      <w:r>
        <w:rPr>
          <w:b/>
          <w:color w:val="EAB308"/>
          <w:sz w:val="18"/>
        </w:rPr>
        <w:t xml:space="preserve">[ELEVATED] </w:t>
      </w:r>
      <w:r>
        <w:rPr>
          <w:b/>
          <w:sz w:val="20"/>
        </w:rPr>
        <w:t>CEO/Chair Duality</w:t>
      </w:r>
      <w:r>
        <w:rPr>
          <w:color w:val="666666"/>
          <w:sz w:val="16"/>
        </w:rPr>
        <w:t xml:space="preserve"> -- Single individual holds both CEO and Board Chair roles</w:t>
      </w:r>
    </w:p>
    <w:p>
      <w:pPr>
        <w:pStyle w:val="DOCaption"/>
        <w:ind w:left="360"/>
      </w:pPr>
      <w:r>
        <w:rPr>
          <w:i/>
          <w:color w:val="666666"/>
          <w:sz w:val="18"/>
        </w:rPr>
        <w:t>Context: Companies with CEO/Chair duality face 1.8x higher derivative suit filing rates due to governance concentration.</w:t>
      </w:r>
    </w:p>
    <w:p>
      <w:pPr>
        <w:pStyle w:val="DOBody"/>
      </w:pPr>
      <w:r>
        <w:rPr>
          <w:i/>
          <w:color w:val="FFD000"/>
          <w:sz w:val="18"/>
        </w:rPr>
        <w:t>See Meeting Prep: Governance Structure</w:t>
      </w:r>
    </w:p>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Body"/>
      </w:pPr>
      <w:r>
        <w:rPr>
          <w:i/>
          <w:sz w:val="16"/>
        </w:rPr>
        <w:t>D&amp;O Context: CEO/Chair duality reduces board independence in oversight of management, increasing derivative suit risk.</w:t>
      </w:r>
      <w:r>
        <w:rPr>
          <w:b/>
          <w:color w:val="EAB308"/>
          <w:sz w:val="18"/>
        </w:rPr>
        <w:t xml:space="preserve"> [ELEVATED]</w:t>
      </w:r>
    </w:p>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$45.8M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805:1</w:t>
            </w:r>
          </w:p>
        </w:tc>
      </w:tr>
    </w:tbl>
    <w:p>
      <w:pPr>
        <w:pStyle w:val="DOBody"/>
      </w:pPr>
      <w:r>
        <w:t>CEO Pay Ratio (805:1): Extremely high pay ratios increase Section 14A proxy disclosure litigation risk and shareholder proposal activity. Ratios above 500:1 are material governance concerns for D&amp;O underwriting.</w:t>
      </w:r>
      <w:r>
        <w:rPr>
          <w:b/>
          <w:color w:val="EA580C"/>
          <w:sz w:val="18"/>
        </w:rPr>
        <w:t xml:space="preserve"> [HIGH]</w:t>
      </w:r>
    </w:p>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No excise tax gross-ups The Company does not provide excise tax gross-ups for executive officers, This column sets forth all of the compensation for each fiscal year that we could not properly report in any other column of the table, including: • the incremental cost to the Company of perquisites and other personal benefits; • tax reimbursement related to relocation benefits and state tax equali, The Company reviews the nature and cost of the program in relation to the security profile and believes that the cost of security services (e: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77.3%</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22.6%</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JPMORGAN CHASE &amp; CO</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Geode Capital Management,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While Disney currently has no active SCAs, its three pending derivative suits, including *Employees' Retirement System of Rhode Island v. Chapek, et al.*, signal persistent plaintiff focus on its direct-to-consumer pivot and can serve as a precursor to future securities class actions. The company's adjusted SCA filing rate of 2.34% sits below the 3.5% sector average, but its MODERATE defense posture and six open securities lawsuits indicate a steady litigation diet that elevates D&amp;O exposure. The lack of an SEC investigation stage is a positive, yet the derivative cases often presage future SCAs, and any regulatory action would immediately trigger a new class period. Benchmark settlements in the media sector are severe, and with Disney's market cap, even a nuisance SCA settlement could approach nine figures, not counting the defense costs from its six open cases, which already contributed to a 2.46-point deduction in its litigation risk score.</w:t>
      </w:r>
    </w:p>
    <w:p>
      <w:pPr>
        <w:pStyle w:val="DOHeading1"/>
      </w:pPr>
      <w:r>
        <w:t>Section 6: Litigation &amp; Regulatory Exposure</w:t>
      </w:r>
    </w:p>
    <w:p>
      <w:pPr>
        <w:pStyle w:val="DOBody"/>
      </w:pPr>
      <w:r>
        <w:rPr>
          <w:rFonts w:ascii="Calibri" w:hAnsi="Calibri"/>
          <w:color w:val="333333"/>
          <w:sz w:val="20"/>
        </w:rPr>
        <w:t>3 derivative action(s) pending, alleging breach of fiduciary duty by directors and officers.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2 historical matter(s)</w:t>
      </w:r>
    </w:p>
    <w:p>
      <w:pPr>
        <w:pStyle w:val="DOHeading3"/>
      </w:pPr>
      <w:r>
        <w:t>Litigation Timeline</w:t>
      </w:r>
    </w:p>
    <w:p>
      <w:pPr>
        <w:pStyle w:val="DOBody"/>
      </w:pPr>
      <w:r>
        <w:t>Timeline chart not available (no timeline events).</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Walt Disney Company Securities Litigation (2004)</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2004-02-20</w:t>
            </w:r>
          </w:p>
        </w:tc>
        <w:tc>
          <w:tcPr>
            <w:tcW w:type="dxa" w:w="1008"/>
          </w:tcPr>
          <w:p>
            <w:r>
              <w:rPr>
                <w:rFonts w:ascii="Calibri" w:hAnsi="Calibri"/>
                <w:color w:val="333333"/>
                <w:sz w:val="18"/>
              </w:rPr>
              <w:t>DISMISSED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2026-04-03, MEDIUM]</w:t>
            </w:r>
          </w:p>
        </w:tc>
      </w:tr>
      <w:tr>
        <w:tc>
          <w:tcPr>
            <w:tcW w:type="dxa" w:w="1008"/>
            <w:shd w:fill="F2F4F8" w:val="clear"/>
          </w:tcPr>
          <w:p>
            <w:r>
              <w:rPr>
                <w:rFonts w:ascii="Calibri" w:hAnsi="Calibri"/>
                <w:color w:val="333333"/>
                <w:sz w:val="18"/>
              </w:rPr>
              <w:t>In re Walt Disney Company Securities Litigation (2002)</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2002-08-15</w:t>
            </w:r>
          </w:p>
        </w:tc>
        <w:tc>
          <w:tcPr>
            <w:tcW w:type="dxa" w:w="1008"/>
            <w:shd w:fill="F2F4F8" w:val="clear"/>
          </w:tcPr>
          <w:p>
            <w:r>
              <w:rPr>
                <w:rFonts w:ascii="Calibri" w:hAnsi="Calibri"/>
                <w:color w:val="333333"/>
                <w:sz w:val="18"/>
              </w:rPr>
              <w:t>DISMISSED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[Supabase SCA database, 2026-04-03, MEDIUM]</w:t>
            </w:r>
          </w:p>
        </w:tc>
      </w:tr>
    </w:tbl>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2026-04-03,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In re The Walt Disney Co. Derivative</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SIMEONE V. WALT DISNEY COMPANY - Villanova Law Review'</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Delaware Court of Chancery</w:t>
            </w:r>
          </w:p>
        </w:tc>
        <w:tc>
          <w:tcPr>
            <w:tcW w:type="dxa" w:w="2016"/>
          </w:tcPr>
          <w:p>
            <w:r>
              <w:rPr>
                <w:rFonts w:ascii="Calibri" w:hAnsi="Calibri"/>
                <w:color w:val="333333"/>
                <w:sz w:val="18"/>
              </w:rPr>
              <w:t>N/A</w:t>
            </w:r>
          </w:p>
        </w:tc>
      </w:tr>
    </w:tbl>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FTC</w:t>
            </w:r>
          </w:p>
        </w:tc>
        <w:tc>
          <w:tcPr>
            <w:tcW w:type="dxa" w:w="3360"/>
          </w:tcPr>
          <w:p>
            <w:r>
              <w:rPr>
                <w:rFonts w:ascii="Calibri" w:hAnsi="Calibri"/>
                <w:color w:val="333333"/>
                <w:sz w:val="18"/>
              </w:rPr>
              <w:t>penalty</w:t>
            </w:r>
          </w:p>
        </w:tc>
        <w:tc>
          <w:tcPr>
            <w:tcW w:type="dxa" w:w="3360"/>
          </w:tcPr>
          <w:p>
            <w:r>
              <w:rPr>
                <w:rFonts w:ascii="Calibri" w:hAnsi="Calibri"/>
                <w:color w:val="333333"/>
                <w:sz w:val="18"/>
              </w:rPr>
              <w:t>disclosed</w:t>
            </w:r>
          </w:p>
        </w:tc>
      </w:tr>
    </w:tbl>
    <w:p>
      <w:pPr>
        <w:pStyle w:val="DOHeading3"/>
      </w:pPr>
      <w:r>
        <w:t>Industry Claim Patterns</w:t>
      </w:r>
    </w:p>
    <w:p>
      <w:pPr>
        <w:pStyle w:val="DOBody"/>
      </w:pPr>
      <w:r>
        <w:t>No industry-specific claim patterns identified.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2025-11-13</w:t>
            </w:r>
          </w:p>
        </w:tc>
        <w:tc>
          <w:tcPr>
            <w:tcW w:type="dxa" w:w="2016"/>
          </w:tcPr>
          <w:p>
            <w:r>
              <w:rPr>
                <w:rFonts w:ascii="Calibri" w:hAnsi="Calibri"/>
                <w:color w:val="333333"/>
                <w:sz w:val="18"/>
              </w:rPr>
              <w:t>2027-11-13</w:t>
            </w:r>
          </w:p>
        </w:tc>
        <w:tc>
          <w:tcPr>
            <w:tcW w:type="dxa" w:w="2016"/>
          </w:tcPr>
          <w:p>
            <w:r>
              <w:rPr>
                <w:rFonts w:ascii="Calibri" w:hAnsi="Calibri"/>
                <w:color w:val="333333"/>
                <w:sz w:val="18"/>
              </w:rPr>
              <w:t>2027-11-13</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2025-11-13</w:t>
            </w:r>
          </w:p>
        </w:tc>
        <w:tc>
          <w:tcPr>
            <w:tcW w:type="dxa" w:w="2016"/>
            <w:shd w:fill="F2F4F8" w:val="clear"/>
          </w:tcPr>
          <w:p>
            <w:r>
              <w:rPr>
                <w:rFonts w:ascii="Calibri" w:hAnsi="Calibri"/>
                <w:color w:val="333333"/>
                <w:sz w:val="18"/>
              </w:rPr>
              <w:t>2029-11-12</w:t>
            </w:r>
          </w:p>
        </w:tc>
        <w:tc>
          <w:tcPr>
            <w:tcW w:type="dxa" w:w="2016"/>
            <w:shd w:fill="F2F4F8" w:val="clear"/>
          </w:tcPr>
          <w:p>
            <w:r>
              <w:rPr>
                <w:rFonts w:ascii="Calibri" w:hAnsi="Calibri"/>
                <w:color w:val="333333"/>
                <w:sz w:val="18"/>
              </w:rPr>
              <w:t>2029-11-12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2025-11-13</w:t>
            </w:r>
          </w:p>
        </w:tc>
        <w:tc>
          <w:tcPr>
            <w:tcW w:type="dxa" w:w="2016"/>
          </w:tcPr>
          <w:p>
            <w:r>
              <w:rPr>
                <w:rFonts w:ascii="Calibri" w:hAnsi="Calibri"/>
                <w:color w:val="333333"/>
                <w:sz w:val="18"/>
              </w:rPr>
              <w:t>2030-11-12</w:t>
            </w:r>
          </w:p>
        </w:tc>
        <w:tc>
          <w:tcPr>
            <w:tcW w:type="dxa" w:w="2016"/>
          </w:tcPr>
          <w:p>
            <w:r>
              <w:rPr>
                <w:rFonts w:ascii="Calibri" w:hAnsi="Calibri"/>
                <w:color w:val="333333"/>
                <w:sz w:val="18"/>
              </w:rPr>
              <w:t>2030-11-12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2025-11-13</w:t>
            </w:r>
          </w:p>
        </w:tc>
        <w:tc>
          <w:tcPr>
            <w:tcW w:type="dxa" w:w="2016"/>
            <w:shd w:fill="F2F4F8" w:val="clear"/>
          </w:tcPr>
          <w:p>
            <w:r>
              <w:rPr>
                <w:rFonts w:ascii="Calibri" w:hAnsi="Calibri"/>
                <w:color w:val="333333"/>
                <w:sz w:val="18"/>
              </w:rPr>
              <w:t>2030-11-12</w:t>
            </w:r>
          </w:p>
        </w:tc>
        <w:tc>
          <w:tcPr>
            <w:tcW w:type="dxa" w:w="2016"/>
            <w:shd w:fill="F2F4F8" w:val="clear"/>
          </w:tcPr>
          <w:p>
            <w:r>
              <w:rPr>
                <w:rFonts w:ascii="Calibri" w:hAnsi="Calibri"/>
                <w:color w:val="333333"/>
                <w:sz w:val="18"/>
              </w:rPr>
              <w:t>2030-11-12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2025-11-13</w:t>
            </w:r>
          </w:p>
        </w:tc>
        <w:tc>
          <w:tcPr>
            <w:tcW w:type="dxa" w:w="2016"/>
          </w:tcPr>
          <w:p>
            <w:r>
              <w:rPr>
                <w:rFonts w:ascii="Calibri" w:hAnsi="Calibri"/>
                <w:color w:val="333333"/>
                <w:sz w:val="18"/>
              </w:rPr>
              <w:t>2028-11-12</w:t>
            </w:r>
          </w:p>
        </w:tc>
        <w:tc>
          <w:tcPr>
            <w:tcW w:type="dxa" w:w="2016"/>
          </w:tcPr>
          <w:p>
            <w:r>
              <w:rPr>
                <w:rFonts w:ascii="Calibri" w:hAnsi="Calibri"/>
                <w:color w:val="333333"/>
                <w:sz w:val="18"/>
              </w:rPr>
              <w:t>2031-11-12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2025-11-13</w:t>
            </w:r>
          </w:p>
        </w:tc>
        <w:tc>
          <w:tcPr>
            <w:tcW w:type="dxa" w:w="2016"/>
            <w:shd w:fill="F2F4F8" w:val="clear"/>
          </w:tcPr>
          <w:p>
            <w:r>
              <w:rPr>
                <w:rFonts w:ascii="Calibri" w:hAnsi="Calibri"/>
                <w:color w:val="333333"/>
                <w:sz w:val="18"/>
              </w:rPr>
              <w:t>2028-11-12</w:t>
            </w:r>
          </w:p>
        </w:tc>
        <w:tc>
          <w:tcPr>
            <w:tcW w:type="dxa" w:w="2016"/>
            <w:shd w:fill="F2F4F8" w:val="clear"/>
          </w:tcPr>
          <w:p>
            <w:r>
              <w:rPr>
                <w:rFonts w:ascii="Calibri" w:hAnsi="Calibri"/>
                <w:color w:val="333333"/>
                <w:sz w:val="18"/>
              </w:rPr>
              <w:t>2031-11-12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2002-08-15</w:t>
            </w:r>
          </w:p>
        </w:tc>
        <w:tc>
          <w:tcPr>
            <w:tcW w:type="dxa" w:w="2016"/>
          </w:tcPr>
          <w:p>
            <w:r>
              <w:rPr>
                <w:rFonts w:ascii="Calibri" w:hAnsi="Calibri"/>
                <w:color w:val="333333"/>
                <w:sz w:val="18"/>
              </w:rPr>
              <w:t>2003-08-15</w:t>
            </w:r>
          </w:p>
        </w:tc>
        <w:tc>
          <w:tcPr>
            <w:tcW w:type="dxa" w:w="2016"/>
          </w:tcPr>
          <w:p>
            <w:r>
              <w:rPr>
                <w:rFonts w:ascii="Calibri" w:hAnsi="Calibri"/>
                <w:color w:val="333333"/>
                <w:sz w:val="18"/>
              </w:rPr>
              <w:t>2005-08-14</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2002-08-15</w:t>
            </w:r>
          </w:p>
        </w:tc>
        <w:tc>
          <w:tcPr>
            <w:tcW w:type="dxa" w:w="2016"/>
            <w:shd w:fill="F2F4F8" w:val="clear"/>
          </w:tcPr>
          <w:p>
            <w:r>
              <w:rPr>
                <w:rFonts w:ascii="Calibri" w:hAnsi="Calibri"/>
                <w:color w:val="333333"/>
                <w:sz w:val="18"/>
              </w:rPr>
              <w:t>2003-08-15</w:t>
            </w:r>
          </w:p>
        </w:tc>
        <w:tc>
          <w:tcPr>
            <w:tcW w:type="dxa" w:w="2016"/>
            <w:shd w:fill="F2F4F8" w:val="clear"/>
          </w:tcPr>
          <w:p>
            <w:r>
              <w:rPr>
                <w:rFonts w:ascii="Calibri" w:hAnsi="Calibri"/>
                <w:color w:val="333333"/>
                <w:sz w:val="18"/>
              </w:rPr>
              <w:t>2005-08-14</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2002-08-15</w:t>
            </w:r>
          </w:p>
        </w:tc>
        <w:tc>
          <w:tcPr>
            <w:tcW w:type="dxa" w:w="2016"/>
          </w:tcPr>
          <w:p>
            <w:r>
              <w:rPr>
                <w:rFonts w:ascii="Calibri" w:hAnsi="Calibri"/>
                <w:color w:val="333333"/>
                <w:sz w:val="18"/>
              </w:rPr>
              <w:t>2004-08-14</w:t>
            </w:r>
          </w:p>
        </w:tc>
        <w:tc>
          <w:tcPr>
            <w:tcW w:type="dxa" w:w="2016"/>
          </w:tcPr>
          <w:p>
            <w:r>
              <w:rPr>
                <w:rFonts w:ascii="Calibri" w:hAnsi="Calibri"/>
                <w:color w:val="333333"/>
                <w:sz w:val="18"/>
              </w:rPr>
              <w:t>2007-08-14</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PARTIAL</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w:t>
      </w:r>
      <w:r>
        <w:rPr>
          <w:rFonts w:ascii="Consolas" w:hAnsi="Consolas"/>
          <w:color w:val="666666"/>
          <w:sz w:val="16"/>
        </w:rPr>
        <w:t xml:space="preserve">  [DEF 14A; 10-K, 2026-04-03,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 xml:space="preserve">s and expenses may increase in future periods, and if it is </w:t>
            </w:r>
          </w:p>
        </w:tc>
        <w:tc>
          <w:tcPr>
            <w:tcW w:type="dxa" w:w="2520"/>
          </w:tcPr>
          <w:p>
            <w:r>
              <w:rPr>
                <w:rFonts w:ascii="Calibri" w:hAnsi="Calibri"/>
                <w:color w:val="333333"/>
                <w:sz w:val="18"/>
              </w:rPr>
              <w:t>probable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l results, assuming a combination of litigation and settleme</w:t>
            </w:r>
          </w:p>
        </w:tc>
        <w:tc>
          <w:tcPr>
            <w:tcW w:type="dxa" w:w="2520"/>
            <w:shd w:fill="F2F4F8" w:val="clear"/>
          </w:tcPr>
          <w:p>
            <w:r>
              <w:rPr>
                <w:rFonts w:ascii="Calibri" w:hAnsi="Calibri"/>
                <w:color w:val="333333"/>
                <w:sz w:val="18"/>
              </w:rPr>
              <w:t>probable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bl>
    <w:p>
      <w:pPr>
        <w:pStyle w:val="DOBody"/>
      </w:pPr>
      <w:r>
        <w:rPr>
          <w:i/>
          <w:sz w:val="16"/>
        </w:rPr>
        <w:t>D&amp;O Context: 2 probable contingenc(y/ies). ASC 450 probable classification indicates management believes loss is likely. Direct impact on D&amp;O exposure.</w:t>
      </w:r>
      <w:r>
        <w:rPr>
          <w:b/>
          <w:color w:val="EA580C"/>
          <w:sz w:val="18"/>
        </w:rPr>
        <w:t xml:space="preserve"> [HIGH]</w:t>
      </w:r>
    </w:p>
    <w:p>
      <w:pPr>
        <w:pStyle w:val="DOHeading3"/>
      </w:pPr>
      <w:r>
        <w:t>Workforce, Product &amp; Environmental Matters</w:t>
      </w:r>
    </w:p>
    <w:p>
      <w:pPr>
        <w:pStyle w:val="DOBody"/>
      </w:pPr>
      <w:r>
        <w:rPr>
          <w:b/>
          <w:sz w:val="20"/>
        </w:rPr>
        <w:t>Cybersecurity Incidents:</w:t>
      </w:r>
    </w:p>
    <w:p>
      <w:pPr>
        <w:pStyle w:val="DOBody"/>
      </w:pPr>
      <w:r>
        <w:t xml:space="preserve">  - [data_breach] nications and entertainment devices, increased broadband internet speed and penetration, increased availability and speed of mobile data transmission and increasingly sophisticated attempts to obtain unauthorized access to data systems have made the unauthorized digital copying and distribution of our films, television productions and other creative works easier and faster and protection and the enforcement of IP rights more challenging.</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Walt Disney's exceptional 91.0 quality score and WIN tier classification place it in the must-have category with an expected loss ratio range of 3.0-4.3%, indicating a superior risk profile within the MODERATE claim band. The primary risk driver is its extensive history of prior litigation, which deducted 2.46 points and presents a persistent, elevated baseline for securities claims. While the MODERATE claim band is acceptable, the company's active engagement in M&amp;A, a factor that deducted 1.33 points, and its complex governance structure, which deducted 0.73 points, introduce recurring event risk for fiduciary duty claims. Underwrite this as a core, high-quality account, but price with a consistent margin for its litigation-heavy profile and strategic activity, given the total deductions of 9.04 points from a maximum possible score.</w:t>
      </w:r>
    </w:p>
    <w:p>
      <w:pPr>
        <w:pStyle w:val="DOHeading1"/>
      </w:pPr>
      <w:r>
        <w:t>Section 7: Risk Scoring &amp; Synthesis</w:t>
      </w:r>
    </w:p>
    <w:p>
      <w:pPr>
        <w:pStyle w:val="DOBody"/>
      </w:pPr>
      <w:r>
        <w:rPr>
          <w:rFonts w:ascii="Calibri" w:hAnsi="Calibri"/>
          <w:color w:val="333333"/>
          <w:sz w:val="20"/>
        </w:rPr>
        <w:t>Underwriting tier: **WIN** (quality score: 91.0/100). Recommended action: Must-have account, compete aggressively. Expected claim probability band: 3.0-4.3%. Top risk contributors: Prior Litigation (F1: -2.5 pts); Short Interest (F6: -1.8 pts); IPO/SPAC/M&amp;A (F4: -1.3 pts). Claim probability band: MODERATE (3.0%-4.3%).</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91.0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91.0</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9.0</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WIN</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86 - 100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Must-have account, compete aggressively</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3.0-4.3%</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0.5-0.7x</w:t>
            </w:r>
          </w:p>
        </w:tc>
      </w:tr>
    </w:tbl>
    <w:p>
      <w:pPr>
        <w:pStyle w:val="DOBody"/>
      </w:pPr>
      <w:r>
        <w:rPr>
          <w:b/>
        </w:rPr>
        <w:t>Risk Assessment: LOW</w:t>
      </w:r>
      <w:r>
        <w:rPr>
          <w:b/>
          <w:color w:val="2563EB"/>
          <w:sz w:val="18"/>
        </w:rPr>
        <w:t xml:space="preserve"> [LOW]</w:t>
      </w:r>
    </w:p>
    <w:p>
      <w:pPr>
        <w:pStyle w:val="DOHeading3"/>
      </w:pPr>
      <w:r>
        <w:t>D&amp;O Claim Peril Assessment</w:t>
      </w:r>
    </w:p>
    <w:p>
      <w:pPr>
        <w:pStyle w:val="DOBody"/>
      </w:pPr>
      <w:r>
        <w:t>2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0</w:t>
            </w:r>
          </w:p>
        </w:tc>
      </w:tr>
      <w:tr>
        <w:tc>
          <w:tcPr>
            <w:tcW w:type="dxa" w:w="2520"/>
          </w:tcPr>
          <w:p>
            <w:r>
              <w:rPr>
                <w:rFonts w:ascii="Calibri" w:hAnsi="Calibri"/>
                <w:b/>
                <w:color w:val="333333"/>
                <w:sz w:val="18"/>
              </w:rPr>
              <w:t>Fiduciary Breach</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1/3</w:t>
            </w:r>
          </w:p>
        </w:tc>
        <w:tc>
          <w:tcPr>
            <w:tcW w:type="dxa" w:w="2520"/>
          </w:tcPr>
          <w:p>
            <w:r>
              <w:rPr>
                <w:rFonts w:ascii="Calibri" w:hAnsi="Calibri"/>
                <w:color w:val="666666"/>
                <w:sz w:val="18"/>
              </w:rPr>
              <w:t>Verified (value: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MODERATE</w:t>
      </w:r>
      <w:r>
        <w:rPr>
          <w:b/>
          <w:color w:val="2563EB"/>
          <w:sz w:val="18"/>
        </w:rPr>
        <w:t xml:space="preserve"> [MODERATE]</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[MODERATE]</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color w:val="666666"/>
          <w:sz w:val="16"/>
        </w:rPr>
        <w:t xml:space="preserve">  Historical filing rate: 8% | Median severity: $12M</w:t>
      </w:r>
    </w:p>
    <w:p>
      <w:pPr>
        <w:pStyle w:val="DOHeading3"/>
      </w:pPr>
      <w:r>
        <w:t>Fiduciary Breach: MODERATE</w:t>
      </w:r>
      <w:r>
        <w:rPr>
          <w:b/>
          <w:color w:val="2563EB"/>
          <w:sz w:val="18"/>
        </w:rPr>
        <w:t xml:space="preserve"> [MODERATE]</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[MODERATE]</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GOV.BOARD.ceo_chair</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2.5</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0.5</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1.2</w:t>
            </w:r>
          </w:p>
        </w:tc>
        <w:tc>
          <w:tcPr>
            <w:tcW w:type="dxa" w:w="1680"/>
          </w:tcPr>
          <w:p>
            <w:r>
              <w:rPr>
                <w:rFonts w:ascii="Calibri" w:hAnsi="Calibri"/>
                <w:color w:val="333333"/>
                <w:sz w:val="18"/>
              </w:rPr>
              <w:t>10%</w:t>
            </w:r>
          </w:p>
        </w:tc>
        <w:tc>
          <w:tcPr>
            <w:tcW w:type="dxa" w:w="1680"/>
          </w:tcPr>
          <w:p>
            <w:r>
              <w:rPr>
                <w:rFonts w:ascii="Calibri" w:hAnsi="Calibri"/>
                <w:color w:val="333333"/>
                <w:sz w:val="18"/>
              </w:rPr>
              <w:t>Signal-driven scoring: 87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1.3</w:t>
            </w:r>
          </w:p>
        </w:tc>
        <w:tc>
          <w:tcPr>
            <w:tcW w:type="dxa" w:w="1680"/>
            <w:shd w:fill="F2F4F8" w:val="clear"/>
          </w:tcPr>
          <w:p>
            <w:r>
              <w:rPr>
                <w:rFonts w:ascii="Calibri" w:hAnsi="Calibri"/>
                <w:color w:val="333333"/>
                <w:sz w:val="18"/>
              </w:rPr>
              <w:t>13%</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10</w:t>
            </w:r>
          </w:p>
        </w:tc>
        <w:tc>
          <w:tcPr>
            <w:tcW w:type="dxa" w:w="1680"/>
          </w:tcPr>
          <w:p>
            <w:r>
              <w:rPr>
                <w:rFonts w:ascii="Calibri" w:hAnsi="Calibri"/>
                <w:color w:val="333333"/>
                <w:sz w:val="18"/>
              </w:rPr>
              <w:t>0.4</w:t>
            </w:r>
          </w:p>
        </w:tc>
        <w:tc>
          <w:tcPr>
            <w:tcW w:type="dxa" w:w="1680"/>
          </w:tcPr>
          <w:p>
            <w:r>
              <w:rPr>
                <w:rFonts w:ascii="Calibri" w:hAnsi="Calibri"/>
                <w:color w:val="333333"/>
                <w:sz w:val="18"/>
              </w:rPr>
              <w:t>4%</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1.8</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Signal-driven scoring: 28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9</w:t>
            </w:r>
          </w:p>
        </w:tc>
        <w:tc>
          <w:tcPr>
            <w:tcW w:type="dxa" w:w="1680"/>
          </w:tcPr>
          <w:p>
            <w:r>
              <w:rPr>
                <w:rFonts w:ascii="Calibri" w:hAnsi="Calibri"/>
                <w:color w:val="333333"/>
                <w:sz w:val="18"/>
              </w:rPr>
              <w:t>0.5</w:t>
            </w:r>
          </w:p>
        </w:tc>
        <w:tc>
          <w:tcPr>
            <w:tcW w:type="dxa" w:w="1680"/>
          </w:tcPr>
          <w:p>
            <w:r>
              <w:rPr>
                <w:rFonts w:ascii="Calibri" w:hAnsi="Calibri"/>
                <w:color w:val="333333"/>
                <w:sz w:val="18"/>
              </w:rPr>
              <w:t>6%</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0.7</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38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91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2/20 points</w:t>
            </w:r>
          </w:p>
        </w:tc>
        <w:tc>
          <w:tcPr>
            <w:tcW w:type="dxa" w:w="2016"/>
          </w:tcPr>
          <w:p>
            <w:r>
              <w:rPr>
                <w:rFonts w:ascii="Calibri" w:hAnsi="Calibri"/>
                <w:color w:val="333333"/>
                <w:sz w:val="18"/>
              </w:rPr>
              <w:t>Signal-driven scoring: 70 signals, coverage=100%</w:t>
            </w:r>
          </w:p>
        </w:tc>
        <w:tc>
          <w:tcPr>
            <w:tcW w:type="dxa" w:w="2016"/>
          </w:tcPr>
          <w:p>
            <w:r>
              <w:rPr>
                <w:rFonts w:ascii="Calibri" w:hAnsi="Calibri"/>
                <w:color w:val="333333"/>
                <w:sz w:val="18"/>
              </w:rPr>
              <w:t>F1: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1/15 points</w:t>
            </w:r>
          </w:p>
        </w:tc>
        <w:tc>
          <w:tcPr>
            <w:tcW w:type="dxa" w:w="2016"/>
            <w:shd w:fill="F2F4F8" w:val="clear"/>
          </w:tcPr>
          <w:p>
            <w:r>
              <w:rPr>
                <w:rFonts w:ascii="Calibri" w:hAnsi="Calibri"/>
                <w:color w:val="333333"/>
                <w:sz w:val="18"/>
              </w:rPr>
              <w:t>Signal-driven scoring: 30 signals, coverage=100%; Drop contribution modifier: 0.33x (decay + company-specific + disclosure)</w:t>
            </w:r>
          </w:p>
        </w:tc>
        <w:tc>
          <w:tcPr>
            <w:tcW w:type="dxa" w:w="2016"/>
            <w:shd w:fill="F2F4F8" w:val="clear"/>
          </w:tcPr>
          <w:p>
            <w:r>
              <w:rPr>
                <w:rFonts w:ascii="Calibri" w:hAnsi="Calibri"/>
                <w:color w:val="333333"/>
                <w:sz w:val="18"/>
              </w:rPr>
              <w:t>F2: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1/12 points</w:t>
            </w:r>
          </w:p>
        </w:tc>
        <w:tc>
          <w:tcPr>
            <w:tcW w:type="dxa" w:w="2016"/>
          </w:tcPr>
          <w:p>
            <w:r>
              <w:rPr>
                <w:rFonts w:ascii="Calibri" w:hAnsi="Calibri"/>
                <w:color w:val="333333"/>
                <w:sz w:val="18"/>
              </w:rPr>
              <w:t>Signal-driven scoring: 87 signals, coverage=100%</w:t>
            </w:r>
          </w:p>
        </w:tc>
        <w:tc>
          <w:tcPr>
            <w:tcW w:type="dxa" w:w="2016"/>
          </w:tcPr>
          <w:p>
            <w:r>
              <w:rPr>
                <w:rFonts w:ascii="Calibri" w:hAnsi="Calibri"/>
                <w:color w:val="333333"/>
                <w:sz w:val="18"/>
              </w:rPr>
              <w:t>F3: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1/10 points</w:t>
            </w:r>
          </w:p>
        </w:tc>
        <w:tc>
          <w:tcPr>
            <w:tcW w:type="dxa" w:w="2016"/>
            <w:shd w:fill="F2F4F8" w:val="clear"/>
          </w:tcPr>
          <w:p>
            <w:r>
              <w:rPr>
                <w:rFonts w:ascii="Calibri" w:hAnsi="Calibri"/>
                <w:color w:val="333333"/>
                <w:sz w:val="18"/>
              </w:rPr>
              <w:t>Signal-driven scoring: 15 signals, coverage=100%</w:t>
            </w:r>
          </w:p>
        </w:tc>
        <w:tc>
          <w:tcPr>
            <w:tcW w:type="dxa" w:w="2016"/>
            <w:shd w:fill="F2F4F8" w:val="clear"/>
          </w:tcPr>
          <w:p>
            <w:r>
              <w:rPr>
                <w:rFonts w:ascii="Calibri" w:hAnsi="Calibri"/>
                <w:color w:val="333333"/>
                <w:sz w:val="18"/>
              </w:rPr>
              <w:t>F4: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0/10 points</w:t>
            </w:r>
          </w:p>
        </w:tc>
        <w:tc>
          <w:tcPr>
            <w:tcW w:type="dxa" w:w="2016"/>
          </w:tcPr>
          <w:p>
            <w:r>
              <w:rPr>
                <w:rFonts w:ascii="Calibri" w:hAnsi="Calibri"/>
                <w:color w:val="333333"/>
                <w:sz w:val="18"/>
              </w:rPr>
              <w:t>Signal-driven scoring: 28 signals, coverage=100%</w:t>
            </w:r>
          </w:p>
        </w:tc>
        <w:tc>
          <w:tcPr>
            <w:tcW w:type="dxa" w:w="2016"/>
          </w:tcPr>
          <w:p>
            <w:r>
              <w:rPr>
                <w:rFonts w:ascii="Calibri" w:hAnsi="Calibri"/>
                <w:color w:val="333333"/>
                <w:sz w:val="18"/>
              </w:rPr>
              <w:t>F5: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2/8 points</w:t>
            </w:r>
          </w:p>
        </w:tc>
        <w:tc>
          <w:tcPr>
            <w:tcW w:type="dxa" w:w="2016"/>
            <w:shd w:fill="F2F4F8" w:val="clear"/>
          </w:tcPr>
          <w:p>
            <w:r>
              <w:rPr>
                <w:rFonts w:ascii="Calibri" w:hAnsi="Calibri"/>
                <w:color w:val="333333"/>
                <w:sz w:val="18"/>
              </w:rPr>
              <w:t>Signal-driven scoring: 28 signals, coverage=100%</w:t>
            </w:r>
          </w:p>
        </w:tc>
        <w:tc>
          <w:tcPr>
            <w:tcW w:type="dxa" w:w="2016"/>
            <w:shd w:fill="F2F4F8" w:val="clear"/>
          </w:tcPr>
          <w:p>
            <w:r>
              <w:rPr>
                <w:rFonts w:ascii="Calibri" w:hAnsi="Calibri"/>
                <w:color w:val="333333"/>
                <w:sz w:val="18"/>
              </w:rPr>
              <w:t>F6: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0/9 points</w:t>
            </w:r>
          </w:p>
        </w:tc>
        <w:tc>
          <w:tcPr>
            <w:tcW w:type="dxa" w:w="2016"/>
          </w:tcPr>
          <w:p>
            <w:r>
              <w:rPr>
                <w:rFonts w:ascii="Calibri" w:hAnsi="Calibri"/>
                <w:color w:val="333333"/>
                <w:sz w:val="18"/>
              </w:rPr>
              <w:t>Signal-driven scoring: 27 signals, coverage=100%</w:t>
            </w:r>
          </w:p>
        </w:tc>
        <w:tc>
          <w:tcPr>
            <w:tcW w:type="dxa" w:w="2016"/>
          </w:tcPr>
          <w:p>
            <w:r>
              <w:rPr>
                <w:rFonts w:ascii="Calibri" w:hAnsi="Calibri"/>
                <w:color w:val="333333"/>
                <w:sz w:val="18"/>
              </w:rPr>
              <w:t>F7: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38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91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bl>
    <w:p>
      <w:pPr>
        <w:pStyle w:val="DOBody"/>
      </w:pPr>
      <w:r>
        <w:t>Critical: 0, High: 0, Moderate: 0, Low: 9</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0.36363636363636365 points; Issues guidance (philosophy: CONSERVATIVE)</w:t>
            </w:r>
          </w:p>
        </w:tc>
      </w:tr>
    </w:tbl>
    <w:p>
      <w:pPr>
        <w:pStyle w:val="DOHeading3"/>
      </w:pPr>
      <w:r>
        <w:t>Severity Scenarios</w:t>
      </w:r>
    </w:p>
    <w:p>
      <w:pPr>
        <w:pStyle w:val="DOBody"/>
      </w:pPr>
      <w:r>
        <w:t>Analysis based on market cap: $171.3B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$140.5M</w:t>
            </w:r>
          </w:p>
        </w:tc>
        <w:tc>
          <w:tcPr>
            <w:tcW w:type="dxa" w:w="2016"/>
          </w:tcPr>
          <w:p>
            <w:r>
              <w:rPr>
                <w:rFonts w:ascii="Calibri" w:hAnsi="Calibri"/>
                <w:color w:val="333333"/>
                <w:sz w:val="18"/>
              </w:rPr>
              <w:t>$21.1M</w:t>
            </w:r>
          </w:p>
        </w:tc>
        <w:tc>
          <w:tcPr>
            <w:tcW w:type="dxa" w:w="2016"/>
          </w:tcPr>
          <w:p>
            <w:r>
              <w:rPr>
                <w:rFonts w:ascii="Calibri" w:hAnsi="Calibri"/>
                <w:color w:val="333333"/>
                <w:sz w:val="18"/>
              </w:rPr>
              <w:t>$161.6M</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$281.0M</w:t>
            </w:r>
          </w:p>
        </w:tc>
        <w:tc>
          <w:tcPr>
            <w:tcW w:type="dxa" w:w="2016"/>
            <w:shd w:fill="F2F4F8" w:val="clear"/>
          </w:tcPr>
          <w:p>
            <w:r>
              <w:rPr>
                <w:rFonts w:ascii="Calibri" w:hAnsi="Calibri"/>
                <w:color w:val="333333"/>
                <w:sz w:val="18"/>
              </w:rPr>
              <w:t>$56.2M</w:t>
            </w:r>
          </w:p>
        </w:tc>
        <w:tc>
          <w:tcPr>
            <w:tcW w:type="dxa" w:w="2016"/>
            <w:shd w:fill="F2F4F8" w:val="clear"/>
          </w:tcPr>
          <w:p>
            <w:r>
              <w:rPr>
                <w:rFonts w:ascii="Calibri" w:hAnsi="Calibri"/>
                <w:color w:val="333333"/>
                <w:sz w:val="18"/>
              </w:rPr>
              <w:t>$337.2M</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$562.0M</w:t>
            </w:r>
          </w:p>
        </w:tc>
        <w:tc>
          <w:tcPr>
            <w:tcW w:type="dxa" w:w="2016"/>
          </w:tcPr>
          <w:p>
            <w:r>
              <w:rPr>
                <w:rFonts w:ascii="Calibri" w:hAnsi="Calibri"/>
                <w:color w:val="333333"/>
                <w:sz w:val="18"/>
              </w:rPr>
              <w:t>$140.5M</w:t>
            </w:r>
          </w:p>
        </w:tc>
        <w:tc>
          <w:tcPr>
            <w:tcW w:type="dxa" w:w="2016"/>
          </w:tcPr>
          <w:p>
            <w:r>
              <w:rPr>
                <w:rFonts w:ascii="Calibri" w:hAnsi="Calibri"/>
                <w:color w:val="333333"/>
                <w:sz w:val="18"/>
              </w:rPr>
              <w:t>$702.5M</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$1.1B</w:t>
            </w:r>
          </w:p>
        </w:tc>
        <w:tc>
          <w:tcPr>
            <w:tcW w:type="dxa" w:w="2016"/>
            <w:shd w:fill="F2F4F8" w:val="clear"/>
          </w:tcPr>
          <w:p>
            <w:r>
              <w:rPr>
                <w:rFonts w:ascii="Calibri" w:hAnsi="Calibri"/>
                <w:color w:val="333333"/>
                <w:sz w:val="18"/>
              </w:rPr>
              <w:t>$337.2M</w:t>
            </w:r>
          </w:p>
        </w:tc>
        <w:tc>
          <w:tcPr>
            <w:tcW w:type="dxa" w:w="2016"/>
            <w:shd w:fill="F2F4F8" w:val="clear"/>
          </w:tcPr>
          <w:p>
            <w:r>
              <w:rPr>
                <w:rFonts w:ascii="Calibri" w:hAnsi="Calibri"/>
                <w:color w:val="333333"/>
                <w:sz w:val="18"/>
              </w:rPr>
              <w:t>$1.5B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2.5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0.5</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0.33x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1.2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87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1.3</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15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1.8</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28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27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38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91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2.46</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2.46</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2.46</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1.64</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0.33</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0.54</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0.54</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1.21</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1.21</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1.21</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1.33</w:t>
            </w:r>
          </w:p>
        </w:tc>
      </w:tr>
      <w:tr>
        <w:tc>
          <w:tcPr>
            <w:tcW w:type="dxa" w:w="3360"/>
          </w:tcPr>
          <w:p>
            <w:r>
              <w:rPr>
                <w:rFonts w:ascii="Calibri" w:hAnsi="Calibri"/>
                <w:color w:val="333333"/>
                <w:sz w:val="18"/>
              </w:rPr>
              <w:t>F4</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1.33</w:t>
            </w:r>
          </w:p>
        </w:tc>
      </w:tr>
      <w:tr>
        <w:tc>
          <w:tcPr>
            <w:tcW w:type="dxa" w:w="3360"/>
          </w:tcPr>
          <w:p>
            <w:r>
              <w:rPr>
                <w:rFonts w:ascii="Calibri" w:hAnsi="Calibri"/>
                <w:color w:val="333333"/>
                <w:sz w:val="18"/>
              </w:rPr>
              <w:t>F4</w:t>
            </w:r>
          </w:p>
        </w:tc>
        <w:tc>
          <w:tcPr>
            <w:tcW w:type="dxa" w:w="3360"/>
          </w:tcPr>
          <w:p>
            <w:r>
              <w:rPr>
                <w:rFonts w:ascii="Calibri" w:hAnsi="Calibri"/>
                <w:color w:val="333333"/>
                <w:sz w:val="18"/>
              </w:rPr>
              <w:t>capped</w:t>
            </w:r>
          </w:p>
        </w:tc>
        <w:tc>
          <w:tcPr>
            <w:tcW w:type="dxa" w:w="3360"/>
          </w:tcPr>
          <w:p>
            <w:r>
              <w:rPr>
                <w:rFonts w:ascii="Calibri" w:hAnsi="Calibri"/>
                <w:color w:val="333333"/>
                <w:sz w:val="18"/>
              </w:rPr>
              <w:t>1.33</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0.36</w:t>
            </w:r>
          </w:p>
        </w:tc>
      </w:tr>
      <w:tr>
        <w:tc>
          <w:tcPr>
            <w:tcW w:type="dxa" w:w="3360"/>
          </w:tcPr>
          <w:p>
            <w:r>
              <w:rPr>
                <w:rFonts w:ascii="Calibri" w:hAnsi="Calibri"/>
                <w:color w:val="333333"/>
                <w:sz w:val="18"/>
              </w:rPr>
              <w:t>F5</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0.36</w:t>
            </w:r>
          </w:p>
        </w:tc>
      </w:tr>
      <w:tr>
        <w:tc>
          <w:tcPr>
            <w:tcW w:type="dxa" w:w="3360"/>
          </w:tcPr>
          <w:p>
            <w:r>
              <w:rPr>
                <w:rFonts w:ascii="Calibri" w:hAnsi="Calibri"/>
                <w:color w:val="333333"/>
                <w:sz w:val="18"/>
              </w:rPr>
              <w:t>F5</w:t>
            </w:r>
          </w:p>
        </w:tc>
        <w:tc>
          <w:tcPr>
            <w:tcW w:type="dxa" w:w="3360"/>
          </w:tcPr>
          <w:p>
            <w:r>
              <w:rPr>
                <w:rFonts w:ascii="Calibri" w:hAnsi="Calibri"/>
                <w:color w:val="333333"/>
                <w:sz w:val="18"/>
              </w:rPr>
              <w:t>capped</w:t>
            </w:r>
          </w:p>
        </w:tc>
        <w:tc>
          <w:tcPr>
            <w:tcW w:type="dxa" w:w="3360"/>
          </w:tcPr>
          <w:p>
            <w:r>
              <w:rPr>
                <w:rFonts w:ascii="Calibri" w:hAnsi="Calibri"/>
                <w:color w:val="333333"/>
                <w:sz w:val="18"/>
              </w:rPr>
              <w:t>0.36</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1.78</w:t>
            </w:r>
          </w:p>
        </w:tc>
      </w:tr>
      <w:tr>
        <w:tc>
          <w:tcPr>
            <w:tcW w:type="dxa" w:w="3360"/>
          </w:tcPr>
          <w:p>
            <w:r>
              <w:rPr>
                <w:rFonts w:ascii="Calibri" w:hAnsi="Calibri"/>
                <w:color w:val="333333"/>
                <w:sz w:val="18"/>
              </w:rPr>
              <w:t>F6</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1.78</w:t>
            </w:r>
          </w:p>
        </w:tc>
      </w:tr>
      <w:tr>
        <w:tc>
          <w:tcPr>
            <w:tcW w:type="dxa" w:w="3360"/>
          </w:tcPr>
          <w:p>
            <w:r>
              <w:rPr>
                <w:rFonts w:ascii="Calibri" w:hAnsi="Calibri"/>
                <w:color w:val="333333"/>
                <w:sz w:val="18"/>
              </w:rPr>
              <w:t>F6</w:t>
            </w:r>
          </w:p>
        </w:tc>
        <w:tc>
          <w:tcPr>
            <w:tcW w:type="dxa" w:w="3360"/>
          </w:tcPr>
          <w:p>
            <w:r>
              <w:rPr>
                <w:rFonts w:ascii="Calibri" w:hAnsi="Calibri"/>
                <w:color w:val="333333"/>
                <w:sz w:val="18"/>
              </w:rPr>
              <w:t>capped</w:t>
            </w:r>
          </w:p>
        </w:tc>
        <w:tc>
          <w:tcPr>
            <w:tcW w:type="dxa" w:w="3360"/>
          </w:tcPr>
          <w:p>
            <w:r>
              <w:rPr>
                <w:rFonts w:ascii="Calibri" w:hAnsi="Calibri"/>
                <w:color w:val="333333"/>
                <w:sz w:val="18"/>
              </w:rPr>
              <w:t>1.78</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0.50</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0.50</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0.50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0.73</w:t>
            </w:r>
          </w:p>
        </w:tc>
      </w:tr>
      <w:tr>
        <w:tc>
          <w:tcPr>
            <w:tcW w:type="dxa" w:w="3360"/>
          </w:tcPr>
          <w:p>
            <w:r>
              <w:rPr>
                <w:rFonts w:ascii="Calibri" w:hAnsi="Calibri"/>
                <w:color w:val="333333"/>
                <w:sz w:val="18"/>
              </w:rPr>
              <w:t>F9</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0.73</w:t>
            </w:r>
          </w:p>
        </w:tc>
      </w:tr>
      <w:tr>
        <w:tc>
          <w:tcPr>
            <w:tcW w:type="dxa" w:w="3360"/>
          </w:tcPr>
          <w:p>
            <w:r>
              <w:rPr>
                <w:rFonts w:ascii="Calibri" w:hAnsi="Calibri"/>
                <w:color w:val="333333"/>
                <w:sz w:val="18"/>
              </w:rPr>
              <w:t>F9</w:t>
            </w:r>
          </w:p>
        </w:tc>
        <w:tc>
          <w:tcPr>
            <w:tcW w:type="dxa" w:w="3360"/>
          </w:tcPr>
          <w:p>
            <w:r>
              <w:rPr>
                <w:rFonts w:ascii="Calibri" w:hAnsi="Calibri"/>
                <w:color w:val="333333"/>
                <w:sz w:val="18"/>
              </w:rPr>
              <w:t>capped</w:t>
            </w:r>
          </w:p>
        </w:tc>
        <w:tc>
          <w:tcPr>
            <w:tcW w:type="dxa" w:w="3360"/>
          </w:tcPr>
          <w:p>
            <w:r>
              <w:rPr>
                <w:rFonts w:ascii="Calibri" w:hAnsi="Calibri"/>
                <w:color w:val="333333"/>
                <w:sz w:val="18"/>
              </w:rPr>
              <w:t>0.73</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0.12</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0.12</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0.12</w:t>
            </w:r>
          </w:p>
        </w:tc>
      </w:tr>
    </w:tbl>
    <w:p>
      <w:pPr>
        <w:pStyle w:val="DOHeading3"/>
      </w:pPr>
      <w:r>
        <w:t>Pattern Detection Results</w:t>
      </w:r>
    </w:p>
    <w:p>
      <w:pPr>
        <w:pStyle w:val="DOBody"/>
      </w:pPr>
      <w:r>
        <w:t>No composite patterns detected.</w:t>
      </w:r>
    </w:p>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87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0.33x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27 signals, coverage=100%; 1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38 signals, coverage=100%; F10: Signal-driven scoring: 91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15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3.0% - 4.3%</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3.5%</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 xml:space="preserve">Industry base rate: 3.5%. Tier WIN (0-2%): Below base rate. Strong risk profile </w:t>
            </w:r>
          </w:p>
        </w:tc>
      </w:tr>
    </w:tbl>
    <w:p>
      <w:pPr>
        <w:pStyle w:val="DOBody"/>
      </w:pPr>
      <w:r>
        <w:rPr>
          <w:b/>
        </w:rPr>
        <w:t>Claim probability: MODERATE</w:t>
      </w:r>
      <w:r>
        <w:rPr>
          <w:b/>
          <w:color w:val="EAB308"/>
          <w:sz w:val="18"/>
        </w:rPr>
        <w:t xml:space="preserve"> [ELEVATED]</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$281.0M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21.85, 'prior_fog': None, 'fog_change': None, 'current_flesch': 16.17, 'prior_flesch': None, 'classification': 'CURRENT_ONLY', 'evidence': 'Current Fog Index: 21.9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CCBC" w:val="clear"/>
          </w:tcPr>
          <w:p>
            <w:r>
              <w:rPr>
                <w:rFonts w:ascii="Calibri" w:hAnsi="Calibri"/>
                <w:b/>
                <w:color w:val="333333"/>
                <w:sz w:val="18"/>
              </w:rPr>
              <w:t>SIGNIFICANT</w:t>
            </w:r>
          </w:p>
        </w:tc>
      </w:tr>
    </w:tbl>
    <w:p>
      <w:pPr>
        <w:pStyle w:val="DOBody"/>
      </w:pPr>
      <w:r>
        <w:rPr>
          <w:color w:val="666666"/>
          <w:sz w:val="16"/>
        </w:rPr>
        <w:t>Shareholders: 42 triggered checks. Key: Litigation History Profile: 2 (elevated vs benchmark of 0)</w:t>
      </w:r>
    </w:p>
    <w:p>
      <w:pPr>
        <w:pStyle w:val="DOBody"/>
      </w:pPr>
      <w:r>
        <w:rPr>
          <w:color w:val="666666"/>
          <w:sz w:val="16"/>
        </w:rPr>
        <w:t>Regulators: 9 triggered checks. Key: VIE/SPE Off-Balance-Sheet Structures: Boolean check: VIE/SPE structures present</w:t>
      </w:r>
    </w:p>
    <w:p>
      <w:pPr>
        <w:pStyle w:val="DOBody"/>
      </w:pPr>
      <w:r>
        <w:rPr>
          <w:color w:val="666666"/>
          <w:sz w:val="16"/>
        </w:rPr>
        <w:t>Creditors: 4 triggered checks. Key: Goodwill/Intangible as % of Equity: 66.71 (elevated vs benchmark of 50)</w:t>
      </w:r>
    </w:p>
    <w:p>
      <w:pPr>
        <w:pStyle w:val="DOBody"/>
      </w:pPr>
      <w:r>
        <w:rPr>
          <w:color w:val="666666"/>
          <w:sz w:val="16"/>
        </w:rPr>
        <w:t>Government: 5 triggered checks. Key: Key Partnerships: 2 (elevated vs benchmark of 1)</w:t>
      </w:r>
    </w:p>
    <w:p>
      <w:pPr>
        <w:pStyle w:val="DOHeading3"/>
      </w:pPr>
      <w:r>
        <w:t>Bear Cases</w:t>
      </w:r>
    </w:p>
    <w:p>
      <w:pPr>
        <w:pStyle w:val="DOHeading3"/>
      </w:pPr>
      <w:r>
        <w:t>Bear Case: A Disclosure</w:t>
      </w:r>
    </w:p>
    <w:p>
      <w:pPr>
        <w:pStyle w:val="DOBody"/>
      </w:pPr>
      <w:r>
        <w:rPr>
          <w:b/>
        </w:rPr>
        <w:t>Walt Disney Co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[BIZ.DEPEND.distribution] Product Concentration (Source: distribution_channels_count)</w:t>
      </w:r>
    </w:p>
    <w:p>
      <w:pPr>
        <w:pStyle w:val="DOBody"/>
      </w:pPr>
      <w:r>
        <w:rPr>
          <w:sz w:val="16"/>
        </w:rPr>
        <w:t>4. [BIZ.EVENT.ipo_exposure] IPO/Offering Exposure Window (Source: event_ipo_exposure_score)</w:t>
      </w:r>
    </w:p>
    <w:p>
      <w:pPr>
        <w:pStyle w:val="DOBody"/>
      </w:pPr>
      <w:r>
        <w:rPr>
          <w:sz w:val="16"/>
        </w:rPr>
        <w:t>5. [BIZ.OPS.subsidiary_structure] Subsidiary Jurisdiction Structure (Source: subsidiary_structure)</w:t>
      </w:r>
    </w:p>
    <w:p>
      <w:pPr>
        <w:pStyle w:val="DOBody"/>
      </w:pPr>
      <w:r>
        <w:rPr>
          <w:sz w:val="16"/>
        </w:rPr>
        <w:t>6. [BIZ.OPS.workforce] Workforce Distribution (Source: workforce_distribution)</w:t>
      </w:r>
    </w:p>
    <w:p>
      <w:pPr>
        <w:pStyle w:val="DOBody"/>
      </w:pPr>
      <w:r>
        <w:rPr>
          <w:sz w:val="16"/>
        </w:rPr>
        <w:t>7. [FIN.LIQ.efficiency] Liquidity Efficiency (Source: xbrl_cash_ratio)</w:t>
      </w:r>
    </w:p>
    <w:p>
      <w:pPr>
        <w:pStyle w:val="DOBody"/>
      </w:pPr>
      <w:r>
        <w:rPr>
          <w:sz w:val="16"/>
        </w:rPr>
        <w:t>8. [FIN.LIQ.trend] Liquidity Trend (Source: xbrl_current_ratio)</w:t>
      </w:r>
    </w:p>
    <w:p>
      <w:pPr>
        <w:pStyle w:val="DOBody"/>
      </w:pPr>
      <w:r>
        <w:rPr>
          <w:sz w:val="16"/>
        </w:rPr>
        <w:t>9. [FIN.CAP.buyback_capacity] Buyback Authorization Capacity (Source: xbrl_buyback_remaining_pct)</w:t>
      </w:r>
    </w:p>
    <w:p>
      <w:pPr>
        <w:pStyle w:val="DOBody"/>
      </w:pPr>
      <w:r>
        <w:rPr>
          <w:sz w:val="16"/>
        </w:rPr>
        <w:t>10. [FIN.FORENSIC.channel_stuffing] Channel Stuffing Indicators (Source: forensic_channel_stuffing)</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[REQUIRED] </w:t>
      </w:r>
      <w:r>
        <w:rPr>
          <w:sz w:val="16"/>
        </w:rPr>
        <w:t>BIZ.SIZE.growth_trajectory (Public Company Tenure): Required data not available from filings</w:t>
      </w:r>
    </w:p>
    <w:p>
      <w:pPr>
        <w:pStyle w:val="DOBody"/>
      </w:pPr>
      <w:r>
        <w:rPr>
          <w:b/>
          <w:sz w:val="16"/>
        </w:rPr>
        <w:t xml:space="preserve">  [REQUIRED] </w:t>
      </w:r>
      <w:r>
        <w:rPr>
          <w:sz w:val="16"/>
        </w:rPr>
        <w:t>BIZ.SIZE.public_tenure (Revenue Growth YoY): Required data not available from filings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CTX.GOV.lifecycle (Board Independence in Lifecycle Context): Required context dimensions ['lifecycle_stage'] not available</w:t>
      </w:r>
    </w:p>
    <w:p>
      <w:pPr>
        <w:pStyle w:val="DOBody"/>
      </w:pPr>
      <w:r>
        <w:rPr>
          <w:b/>
          <w:sz w:val="16"/>
        </w:rPr>
        <w:t xml:space="preserve">  [EVALUATIVE] </w:t>
      </w:r>
      <w:r>
        <w:rPr>
          <w:sz w:val="16"/>
        </w:rPr>
        <w:t>CTX.FIN.growth_lifecycle (Revenue Growth in Lifecycle Context): Required context dimensions ['lifecycle_stage'] not available</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[EVALUATIVE] </w:t>
      </w:r>
      <w:r>
        <w:rPr>
          <w:sz w:val="16"/>
        </w:rPr>
        <w:t>EXEC.AGGREGATE.board_risk (Board Aggregate Risk Score): Data mapping not configured for this check</w:t>
      </w:r>
    </w:p>
    <w:p>
      <w:pPr>
        <w:pStyle w:val="DOBody"/>
      </w:pPr>
      <w:r>
        <w:rPr>
          <w:b/>
          <w:sz w:val="16"/>
        </w:rPr>
        <w:t xml:space="preserve">  [EVALUATIVE] </w:t>
      </w:r>
      <w:r>
        <w:rPr>
          <w:sz w:val="16"/>
        </w:rPr>
        <w:t>EXEC.AGGREGATE.highest_risk_individual (Highest Individual Risk Score Exceeds Threshold): Data mapping not configured for this check</w:t>
      </w:r>
    </w:p>
    <w:p>
      <w:pPr>
        <w:pStyle w:val="DOBody"/>
      </w:pPr>
      <w:r>
        <w:rPr>
          <w:b/>
          <w:sz w:val="16"/>
        </w:rPr>
        <w:t xml:space="preserve">  [EVALUATIVE] </w:t>
      </w:r>
      <w:r>
        <w:rPr>
          <w:sz w:val="16"/>
        </w:rPr>
        <w:t>EXEC.TENURE.ceo_new (CEO Tenure Less Than 2 Years): Data mapping not configured for this check</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GOV.EXEC.ceo_profile (CEO Profile):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GOV.EXEC.founder (Founder Status): Required data not available from filings</w:t>
      </w:r>
    </w:p>
    <w:p>
      <w:pPr>
        <w:pStyle w:val="DOBody"/>
      </w:pPr>
      <w:r>
        <w:rPr>
          <w:b/>
          <w:sz w:val="16"/>
        </w:rPr>
        <w:t xml:space="preserve">  [EVALUATIVE] </w:t>
      </w:r>
      <w:r>
        <w:rPr>
          <w:sz w:val="16"/>
        </w:rPr>
        <w:t>GOV.EXEC.key_person (Key Person Risk):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FIN.COMP.unvested_cost (Unvested SBC Pipeline):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FIN.FORENSIC.deferred_tax_growth (Deferred Tax Liability Growth):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FIN.TAX.deferred_tax_gap (Deferred Tax Asset Gap):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STOCK.INSIDER.notable_activity (Notable Activity):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12 | Evaluative checks: 109</w:t>
      </w:r>
    </w:p>
    <w:p>
      <w:pPr>
        <w:pStyle w:val="DOBody"/>
      </w:pPr>
      <w:r>
        <w:rPr>
          <w:b/>
        </w:rPr>
        <w:t>Total: 121 checks data-unavailable out of 576 total checks (79%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UTILIZATION_MGMT_SCRUTINY</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PUBLIC_OUTRAGE_IMPACT</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GUIDANCE_CHANGE_POST_CRISIS</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VAERS_DATA_MONITORING</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VACCINE_SAFETY_OVERSIGHT_BOARD</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PEDIATRIC_SAFETY_DISCLOSURE_GAP</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bl>
    <w:p>
      <w:pPr>
        <w:pStyle w:val="DOHeading3"/>
      </w:pPr>
      <w:r>
        <w:t>Discovery Findings</w:t>
      </w:r>
    </w:p>
    <w:p>
      <w:pPr>
        <w:pStyle w:val="DOBody"/>
      </w:pPr>
      <w:r>
        <w:t>No new discoveries from this run.</w:t>
      </w:r>
    </w:p>
    <w:p>
      <w:pPr>
        <w:pStyle w:val="DOHeading3"/>
      </w:pPr>
      <w:r>
        <w:t>Feedback for DIS</w:t>
      </w:r>
    </w:p>
    <w:p>
      <w:pPr>
        <w:pStyle w:val="DOBody"/>
      </w:pPr>
      <w:r>
        <w:t>No pending feedback for DIS.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Walt Disney Co (DIS)</w:t>
    </w:r>
    <w:r>
      <w:rPr>
        <w:color w:val="999999"/>
        <w:sz w:val="16"/>
      </w:rPr>
      <w:t xml:space="preserve">  |  Generated: 2026-04-03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