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600200" cy="16002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00200" cy="1600200"/>
                    </a:xfrm>
                    <a:prstGeom prst="rect"/>
                  </pic:spPr>
                </pic:pic>
              </a:graphicData>
            </a:graphic>
          </wp:inline>
        </w:drawing>
      </w:r>
    </w:p>
    <w:p>
      <w:pPr>
        <w:pStyle w:val="DOHeading1"/>
      </w:pPr>
      <w:r>
        <w:t>Angry Dolphin -- D&amp;O Underwriting Worksheet</w:t>
      </w:r>
    </w:p>
    <w:p>
      <w:pPr>
        <w:pStyle w:val="DOHeading2"/>
      </w:pPr>
      <w:r>
        <w:t>INTEL CORP (INTC)</w:t>
      </w:r>
    </w:p>
    <w:p>
      <w:pPr>
        <w:pStyle w:val="DOBody"/>
      </w:pPr>
      <w:r>
        <w:rPr>
          <w:color w:val="666666"/>
          <w:sz w:val="20"/>
        </w:rPr>
        <w:t>Generated: April 02, 2026</w:t>
      </w:r>
    </w:p>
    <w:p>
      <w:r>
        <w:fldChar w:fldCharType="begin"/>
        <w:instrText xml:space="preserve"> TOC \o "1-3" \h \z \u </w:instrText>
        <w:fldChar w:fldCharType="separate"/>
      </w:r>
      <w:r>
        <w:rPr>
          <w:color w:val="999999"/>
          <w:sz w:val="18"/>
        </w:rPr>
        <w:t>[Table of Contents -- Update in Word]</w:t>
      </w:r>
      <w:r>
        <w:fldChar w:fldCharType="end"/>
      </w:r>
    </w:p>
    <w:p>
      <w:pPr>
        <w:spacing w:before="120" w:after="40"/>
        <w:pBdr>
          <w:bottom w:val="single" w:sz="6" w:space="1" w:color="FFD000"/>
        </w:pBdr>
      </w:pPr>
    </w:p>
    <w:p>
      <w:pPr>
        <w:pStyle w:val="DOBody"/>
        <w:spacing w:before="40" w:after="120"/>
      </w:pPr>
      <w:r>
        <w:rPr>
          <w:color w:val="333333"/>
          <w:sz w:val="20"/>
        </w:rPr>
        <w:t>**Underwriting Thesis for Intel Corporation:** Intel's D&amp;O risk profile is bifurcated, earning a "WIN" tier (87.8 composite score) that demands aggressive competition, yet is tempered by an ELEVATED claim band of 6.65%-9.5%. The high score is anchored by a clean SEC enforcement record, an audit opinion with no material weaknesses, and stable leadership with zero C-suite departures in 18 months. However, forensic synthesis reveals a persistent pattern of disclosure-related governance friction, accounting for the top three underwriting deductions: "Prior Litigation" (2.4 pts), "Restatement/Audit Issues" (2.1 pts), and "Guidance Misses" (2 pts). These 63 prior litigation signals and 81 audit issue signals, per filing narratives, indicate an inherent operational risk percentile of 3.7, translating to a higher-than-baseline litigation probability. The 241bn market cap and 85,100 employees create a deep-pocketed target for shareholder plaintiffs, particularly following stock price volatility. Cross-sectionally, Intel’s "Short Interest" deduction (2.2 pts) contrasts with the positive note of it being below 5% of float, revealing nuanced market skepticism amidst its financial stability (safe Altman Z-Score). The underwriting action—"Must-have account, compete aggressively"—is justified by Intel’s fundamental resilience and lack of financial distress, but policy structure must incorporate pricing for its chronic disclosure litigation tail.</w:t>
      </w:r>
    </w:p>
    <w:p>
      <w:pPr>
        <w:pStyle w:val="DOHeading1"/>
      </w:pPr>
      <w:r>
        <w:t>Executive Summary</w:t>
      </w:r>
    </w:p>
    <w:p>
      <w:pPr>
        <w:pStyle w:val="DOHeading2"/>
      </w:pPr>
      <w:r>
        <w:t>Underwriting Thesis</w:t>
      </w:r>
    </w:p>
    <w:p>
      <w:pPr>
        <w:pStyle w:val="DOBody"/>
      </w:pPr>
      <w:r>
        <w:rPr>
          <w:color w:val="1A1446"/>
        </w:rPr>
        <w:t>INTEL CORP is a $241.2B (Decile 1 of 10) mega-cap technology company scoring 88/100 (WIN tier). The primary risk driver is Prior Litigation, driving elevated risk in this area. Signal-driven scoring: 63 signals, coverage=100%. At a 7-10% claim probability (3.7% adjusted rate, 0.7x the Technology sector baseline of 5.0%), this account requires primary or low-excess participation.</w:t>
      </w:r>
    </w:p>
    <w:p>
      <w:pPr>
        <w:pStyle w:val="DOHeading3"/>
      </w:pPr>
      <w:r>
        <w:t>Company Snapshot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Attribute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Company</w:t>
            </w:r>
          </w:p>
        </w:tc>
        <w:tc>
          <w:tcPr>
            <w:tcW w:type="dxa" w:w="3360"/>
          </w:tcPr>
          <w:p>
            <w:r>
              <w:rPr>
                <w:rFonts w:ascii="Calibri" w:hAnsi="Calibri"/>
                <w:color w:val="333333"/>
                <w:sz w:val="18"/>
              </w:rPr>
              <w:t>INTEL CORP</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INTC</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Nasdaq</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Technology</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Industry</w:t>
            </w:r>
          </w:p>
        </w:tc>
        <w:tc>
          <w:tcPr>
            <w:tcW w:type="dxa" w:w="3360"/>
          </w:tcPr>
          <w:p>
            <w:r>
              <w:rPr>
                <w:rFonts w:ascii="Calibri" w:hAnsi="Calibri"/>
                <w:color w:val="333333"/>
                <w:sz w:val="18"/>
              </w:rPr>
              <w:t>Semiconductors</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Market Cap</w:t>
            </w:r>
          </w:p>
        </w:tc>
        <w:tc>
          <w:tcPr>
            <w:tcW w:type="dxa" w:w="3360"/>
            <w:shd w:fill="F2F4F8" w:val="clear"/>
          </w:tcPr>
          <w:p>
            <w:r>
              <w:rPr>
                <w:rFonts w:ascii="Calibri" w:hAnsi="Calibri"/>
                <w:color w:val="333333"/>
                <w:sz w:val="18"/>
              </w:rPr>
              <w:t>$241.2B  [Decile 1 (largest ~400 accounts)]  (Ranks at the 22nd percentile among 9 peers)</w:t>
            </w:r>
          </w:p>
        </w:tc>
        <w:tc>
          <w:tcPr>
            <w:tcW w:type="dxa" w:w="3360"/>
            <w:shd w:fill="F2F4F8" w:val="clear"/>
          </w:tcPr>
          <w:p>
            <w:r>
              <w:rPr>
                <w:rFonts w:ascii="Calibri" w:hAnsi="Calibri"/>
                <w:color w:val="333333"/>
                <w:sz w:val="18"/>
              </w:rPr>
              <w:t>[yfinance, filed 2026-04-02, MEDIUM confidence]</w:t>
            </w:r>
          </w:p>
        </w:tc>
      </w:tr>
      <w:tr>
        <w:tc>
          <w:tcPr>
            <w:tcW w:type="dxa" w:w="3360"/>
          </w:tcPr>
          <w:p>
            <w:r>
              <w:rPr>
                <w:rFonts w:ascii="Calibri" w:hAnsi="Calibri"/>
                <w:color w:val="333333"/>
                <w:sz w:val="18"/>
              </w:rPr>
              <w:t>Revenue</w:t>
            </w:r>
          </w:p>
        </w:tc>
        <w:tc>
          <w:tcPr>
            <w:tcW w:type="dxa" w:w="3360"/>
          </w:tcPr>
          <w:p>
            <w:r>
              <w:rPr>
                <w:rFonts w:ascii="Calibri" w:hAnsi="Calibri"/>
                <w:color w:val="333333"/>
                <w:sz w:val="18"/>
              </w:rPr>
              <w:t>$52.9B</w:t>
            </w:r>
          </w:p>
        </w:tc>
        <w:tc>
          <w:tcPr>
            <w:tcW w:type="dxa" w:w="3360"/>
          </w:tcPr>
          <w:p>
            <w:r>
              <w:rPr>
                <w:rFonts w:ascii="Calibri" w:hAnsi="Calibri"/>
                <w:color w:val="333333"/>
                <w:sz w:val="18"/>
              </w:rPr>
              <w:t>[10-K 2025-12-27 CIK50863 accn:0000050863-26-000011, filed 2025-12-27, HIGH confidence]</w:t>
            </w:r>
          </w:p>
        </w:tc>
      </w:tr>
      <w:tr>
        <w:tc>
          <w:tcPr>
            <w:tcW w:type="dxa" w:w="3360"/>
            <w:shd w:fill="F2F4F8" w:val="clear"/>
          </w:tcPr>
          <w:p>
            <w:r>
              <w:rPr>
                <w:rFonts w:ascii="Calibri" w:hAnsi="Calibri"/>
                <w:color w:val="333333"/>
                <w:sz w:val="18"/>
              </w:rPr>
              <w:t>Employees</w:t>
            </w:r>
          </w:p>
        </w:tc>
        <w:tc>
          <w:tcPr>
            <w:tcW w:type="dxa" w:w="3360"/>
            <w:shd w:fill="F2F4F8" w:val="clear"/>
          </w:tcPr>
          <w:p>
            <w:r>
              <w:rPr>
                <w:rFonts w:ascii="Calibri" w:hAnsi="Calibri"/>
                <w:color w:val="333333"/>
                <w:sz w:val="18"/>
              </w:rPr>
              <w:t>85,100</w:t>
            </w:r>
          </w:p>
        </w:tc>
        <w:tc>
          <w:tcPr>
            <w:tcW w:type="dxa" w:w="3360"/>
            <w:shd w:fill="F2F4F8" w:val="clear"/>
          </w:tcPr>
          <w:p>
            <w:r>
              <w:rPr>
                <w:rFonts w:ascii="Calibri" w:hAnsi="Calibri"/>
                <w:color w:val="333333"/>
                <w:sz w:val="18"/>
              </w:rPr>
              <w:t>[yfinance, filed 2026-04-02, MEDIUM confidence]</w:t>
            </w:r>
          </w:p>
        </w:tc>
      </w:tr>
      <w:tr>
        <w:tc>
          <w:tcPr>
            <w:tcW w:type="dxa" w:w="3360"/>
          </w:tcPr>
          <w:p>
            <w:r>
              <w:rPr>
                <w:rFonts w:ascii="Calibri" w:hAnsi="Calibri"/>
                <w:color w:val="333333"/>
                <w:sz w:val="18"/>
              </w:rPr>
              <w:t>SIC</w:t>
            </w:r>
          </w:p>
        </w:tc>
        <w:tc>
          <w:tcPr>
            <w:tcW w:type="dxa" w:w="3360"/>
          </w:tcPr>
          <w:p>
            <w:r>
              <w:rPr>
                <w:rFonts w:ascii="Calibri" w:hAnsi="Calibri"/>
                <w:color w:val="333333"/>
                <w:sz w:val="18"/>
              </w:rPr>
              <w:t>3674 -- Semiconductors &amp; Related Devices</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GICS</w:t>
            </w:r>
          </w:p>
        </w:tc>
        <w:tc>
          <w:tcPr>
            <w:tcW w:type="dxa" w:w="3360"/>
            <w:shd w:fill="F2F4F8" w:val="clear"/>
          </w:tcPr>
          <w:p>
            <w:r>
              <w:rPr>
                <w:rFonts w:ascii="Calibri" w:hAnsi="Calibri"/>
                <w:color w:val="333333"/>
                <w:sz w:val="18"/>
              </w:rPr>
              <w:t>45301020</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NAICS</w:t>
            </w:r>
          </w:p>
        </w:tc>
        <w:tc>
          <w:tcPr>
            <w:tcW w:type="dxa" w:w="3360"/>
          </w:tcPr>
          <w:p>
            <w:r>
              <w:rPr>
                <w:rFonts w:ascii="Calibri" w:hAnsi="Calibri"/>
                <w:color w:val="333333"/>
                <w:sz w:val="18"/>
              </w:rPr>
              <w:t>334413</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FPI Status</w:t>
            </w:r>
          </w:p>
        </w:tc>
        <w:tc>
          <w:tcPr>
            <w:tcW w:type="dxa" w:w="3360"/>
            <w:shd w:fill="F2F4F8" w:val="clear"/>
          </w:tcPr>
          <w:p>
            <w:r>
              <w:rPr>
                <w:rFonts w:ascii="Calibri" w:hAnsi="Calibri"/>
                <w:color w:val="333333"/>
                <w:sz w:val="18"/>
              </w:rPr>
              <w:t>No</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Fiscal Year End</w:t>
            </w:r>
          </w:p>
        </w:tc>
        <w:tc>
          <w:tcPr>
            <w:tcW w:type="dxa" w:w="3360"/>
          </w:tcPr>
          <w:p>
            <w:r>
              <w:rPr>
                <w:rFonts w:ascii="Calibri" w:hAnsi="Calibri"/>
                <w:color w:val="333333"/>
                <w:sz w:val="18"/>
              </w:rPr>
              <w:t>12-27</w:t>
            </w:r>
          </w:p>
        </w:tc>
        <w:tc>
          <w:tcPr>
            <w:tcW w:type="dxa" w:w="3360"/>
          </w:tcPr>
          <w:p>
            <w:r>
              <w:rPr>
                <w:rFonts w:ascii="Calibri" w:hAnsi="Calibri"/>
                <w:color w:val="333333"/>
                <w:sz w:val="18"/>
              </w:rPr>
            </w:r>
          </w:p>
        </w:tc>
      </w:tr>
    </w:tbl>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Tier</w:t>
            </w:r>
          </w:p>
        </w:tc>
        <w:tc>
          <w:tcPr>
            <w:tcW w:type="dxa" w:w="5040"/>
          </w:tcPr>
          <w:p>
            <w:r>
              <w:rPr>
                <w:rFonts w:ascii="Calibri" w:hAnsi="Calibri"/>
                <w:color w:val="333333"/>
                <w:sz w:val="18"/>
              </w:rPr>
              <w:t>WIN</w:t>
            </w:r>
          </w:p>
        </w:tc>
      </w:tr>
      <w:tr>
        <w:tc>
          <w:tcPr>
            <w:tcW w:type="dxa" w:w="5040"/>
            <w:shd w:fill="F2F4F8" w:val="clear"/>
          </w:tcPr>
          <w:p>
            <w:r>
              <w:rPr>
                <w:rFonts w:ascii="Calibri" w:hAnsi="Calibri"/>
                <w:color w:val="333333"/>
                <w:sz w:val="18"/>
              </w:rPr>
              <w:t>Composite Score</w:t>
            </w:r>
          </w:p>
        </w:tc>
        <w:tc>
          <w:tcPr>
            <w:tcW w:type="dxa" w:w="5040"/>
            <w:shd w:fill="F2F4F8" w:val="clear"/>
          </w:tcPr>
          <w:p>
            <w:r>
              <w:rPr>
                <w:rFonts w:ascii="Calibri" w:hAnsi="Calibri"/>
                <w:color w:val="333333"/>
                <w:sz w:val="18"/>
              </w:rPr>
              <w:t>87.8/100</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87.8/100</w:t>
            </w:r>
          </w:p>
        </w:tc>
      </w:tr>
      <w:tr>
        <w:tc>
          <w:tcPr>
            <w:tcW w:type="dxa" w:w="5040"/>
            <w:shd w:fill="F2F4F8" w:val="clear"/>
          </w:tcPr>
          <w:p>
            <w:r>
              <w:rPr>
                <w:rFonts w:ascii="Calibri" w:hAnsi="Calibri"/>
                <w:color w:val="333333"/>
                <w:sz w:val="18"/>
              </w:rPr>
              <w:t>Factor Breakdown</w:t>
            </w:r>
          </w:p>
        </w:tc>
        <w:tc>
          <w:tcPr>
            <w:tcW w:type="dxa" w:w="5040"/>
            <w:shd w:fill="F2F4F8" w:val="clear"/>
          </w:tcPr>
          <w:p>
            <w:r>
              <w:rPr>
                <w:rFonts w:ascii="Calibri" w:hAnsi="Calibri"/>
                <w:color w:val="333333"/>
                <w:sz w:val="18"/>
              </w:rPr>
              <w:t>F1: 2.4, F2: 0.6, F3: 2.1, F4: 1.0, F5: 2.0, F6: 2.2, F7: 0.5, F8: 0.7, F9: 0.5, F10: 0.1</w:t>
            </w:r>
          </w:p>
        </w:tc>
      </w:tr>
      <w:tr>
        <w:tc>
          <w:tcPr>
            <w:tcW w:type="dxa" w:w="5040"/>
          </w:tcPr>
          <w:p>
            <w:r>
              <w:rPr>
                <w:rFonts w:ascii="Calibri" w:hAnsi="Calibri"/>
                <w:color w:val="333333"/>
                <w:sz w:val="18"/>
              </w:rPr>
              <w:t>Position</w:t>
            </w:r>
          </w:p>
        </w:tc>
        <w:tc>
          <w:tcPr>
            <w:tcW w:type="dxa" w:w="5040"/>
          </w:tcPr>
          <w:p>
            <w:r>
              <w:rPr>
                <w:rFonts w:ascii="Calibri" w:hAnsi="Calibri"/>
                <w:color w:val="333333"/>
                <w:sz w:val="18"/>
              </w:rPr>
              <w:t>87.8 falls in WIN range (86-100)</w:t>
            </w:r>
          </w:p>
        </w:tc>
      </w:tr>
      <w:tr>
        <w:tc>
          <w:tcPr>
            <w:tcW w:type="dxa" w:w="5040"/>
            <w:shd w:fill="F2F4F8" w:val="clear"/>
          </w:tcPr>
          <w:p>
            <w:r>
              <w:rPr>
                <w:rFonts w:ascii="Calibri" w:hAnsi="Calibri"/>
                <w:color w:val="333333"/>
                <w:sz w:val="18"/>
              </w:rPr>
              <w:t>Appetite</w:t>
            </w:r>
          </w:p>
        </w:tc>
        <w:tc>
          <w:tcPr>
            <w:tcW w:type="dxa" w:w="5040"/>
            <w:shd w:fill="F2F4F8" w:val="clear"/>
          </w:tcPr>
          <w:p>
            <w:r>
              <w:rPr>
                <w:rFonts w:ascii="Calibri" w:hAnsi="Calibri"/>
                <w:color w:val="333333"/>
                <w:sz w:val="18"/>
              </w:rPr>
              <w:t>Must-have account, compete aggressively</w:t>
            </w:r>
          </w:p>
        </w:tc>
      </w:tr>
    </w:tbl>
    <w:p>
      <w:pPr>
        <w:pStyle w:val="DOBody"/>
      </w:pPr>
      <w:r>
        <w:t>Classification: WIN</w:t>
      </w:r>
      <w:r>
        <w:rPr>
          <w:b/>
          <w:color w:val="2563EB"/>
          <w:sz w:val="18"/>
        </w:rPr>
        <w:t xml:space="preserve"> [MODERATE]</w:t>
      </w:r>
    </w:p>
    <w:p>
      <w:pPr>
        <w:pStyle w:val="DOHeading3"/>
      </w:pPr>
      <w:r>
        <w:t>Inherent Risk Baseline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MEGA  [Decile 1 (largest ~400 accounts)]</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Technology (Base rate: 5.0%)</w:t>
            </w:r>
          </w:p>
        </w:tc>
      </w:tr>
      <w:tr>
        <w:tc>
          <w:tcPr>
            <w:tcW w:type="dxa" w:w="5040"/>
          </w:tcPr>
          <w:p>
            <w:r>
              <w:rPr>
                <w:rFonts w:ascii="Calibri" w:hAnsi="Calibri"/>
                <w:color w:val="333333"/>
                <w:sz w:val="18"/>
              </w:rPr>
              <w:t>Size Adjustment</w:t>
            </w:r>
          </w:p>
        </w:tc>
        <w:tc>
          <w:tcPr>
            <w:tcW w:type="dxa" w:w="5040"/>
          </w:tcPr>
          <w:p>
            <w:r>
              <w:rPr>
                <w:rFonts w:ascii="Calibri" w:hAnsi="Calibri"/>
                <w:color w:val="333333"/>
                <w:sz w:val="18"/>
              </w:rPr>
              <w:t>1.56x (MEGA cap multiplier) -&gt; 7.8%</w:t>
            </w:r>
          </w:p>
        </w:tc>
      </w:tr>
      <w:tr>
        <w:tc>
          <w:tcPr>
            <w:tcW w:type="dxa" w:w="5040"/>
            <w:shd w:fill="F2F4F8" w:val="clear"/>
          </w:tcPr>
          <w:p>
            <w:r>
              <w:rPr>
                <w:rFonts w:ascii="Calibri" w:hAnsi="Calibri"/>
                <w:color w:val="333333"/>
                <w:sz w:val="18"/>
              </w:rPr>
              <w:t>Score Adjustment</w:t>
            </w:r>
          </w:p>
        </w:tc>
        <w:tc>
          <w:tcPr>
            <w:tcW w:type="dxa" w:w="5040"/>
            <w:shd w:fill="F2F4F8" w:val="clear"/>
          </w:tcPr>
          <w:p>
            <w:r>
              <w:rPr>
                <w:rFonts w:ascii="Calibri" w:hAnsi="Calibri"/>
                <w:color w:val="333333"/>
                <w:sz w:val="18"/>
              </w:rPr>
              <w:t>0.47x (quality score multiplier) -&gt; 3.7%</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Severity Percentile</w:t>
            </w:r>
          </w:p>
        </w:tc>
        <w:tc>
          <w:tcPr>
            <w:tcW w:type="dxa" w:w="5040"/>
            <w:shd w:fill="1A1446" w:val="clear"/>
          </w:tcPr>
          <w:p>
            <w:r>
              <w:rPr>
                <w:rFonts w:ascii="Calibri" w:hAnsi="Calibri"/>
                <w:b/>
                <w:color w:val="FFFFFF"/>
                <w:sz w:val="18"/>
              </w:rPr>
              <w:t>Settlement Estimate</w:t>
            </w:r>
          </w:p>
        </w:tc>
      </w:tr>
      <w:tr>
        <w:tc>
          <w:tcPr>
            <w:tcW w:type="dxa" w:w="5040"/>
          </w:tcPr>
          <w:p>
            <w:r>
              <w:rPr>
                <w:rFonts w:ascii="Calibri" w:hAnsi="Calibri"/>
                <w:color w:val="333333"/>
                <w:sz w:val="18"/>
              </w:rPr>
              <w:t>25th (favorable)</w:t>
            </w:r>
          </w:p>
        </w:tc>
        <w:tc>
          <w:tcPr>
            <w:tcW w:type="dxa" w:w="5040"/>
          </w:tcPr>
          <w:p>
            <w:r>
              <w:rPr>
                <w:rFonts w:ascii="Calibri" w:hAnsi="Calibri"/>
                <w:color w:val="333333"/>
                <w:sz w:val="18"/>
              </w:rPr>
              <w:t>$25.0M</w:t>
            </w:r>
          </w:p>
        </w:tc>
      </w:tr>
      <w:tr>
        <w:tc>
          <w:tcPr>
            <w:tcW w:type="dxa" w:w="5040"/>
            <w:shd w:fill="F2F4F8" w:val="clear"/>
          </w:tcPr>
          <w:p>
            <w:r>
              <w:rPr>
                <w:rFonts w:ascii="Calibri" w:hAnsi="Calibri"/>
                <w:color w:val="333333"/>
                <w:sz w:val="18"/>
              </w:rPr>
              <w:t>50th (median)</w:t>
            </w:r>
          </w:p>
        </w:tc>
        <w:tc>
          <w:tcPr>
            <w:tcW w:type="dxa" w:w="5040"/>
            <w:shd w:fill="F2F4F8" w:val="clear"/>
          </w:tcPr>
          <w:p>
            <w:r>
              <w:rPr>
                <w:rFonts w:ascii="Calibri" w:hAnsi="Calibri"/>
                <w:color w:val="333333"/>
                <w:sz w:val="18"/>
              </w:rPr>
              <w:t>$75.0M</w:t>
            </w:r>
          </w:p>
        </w:tc>
      </w:tr>
      <w:tr>
        <w:tc>
          <w:tcPr>
            <w:tcW w:type="dxa" w:w="5040"/>
          </w:tcPr>
          <w:p>
            <w:r>
              <w:rPr>
                <w:rFonts w:ascii="Calibri" w:hAnsi="Calibri"/>
                <w:color w:val="333333"/>
                <w:sz w:val="18"/>
              </w:rPr>
              <w:t>75th (adverse)</w:t>
            </w:r>
          </w:p>
        </w:tc>
        <w:tc>
          <w:tcPr>
            <w:tcW w:type="dxa" w:w="5040"/>
          </w:tcPr>
          <w:p>
            <w:r>
              <w:rPr>
                <w:rFonts w:ascii="Calibri" w:hAnsi="Calibri"/>
                <w:color w:val="333333"/>
                <w:sz w:val="18"/>
              </w:rPr>
              <w:t>$112.5M</w:t>
            </w:r>
          </w:p>
        </w:tc>
      </w:tr>
      <w:tr>
        <w:tc>
          <w:tcPr>
            <w:tcW w:type="dxa" w:w="5040"/>
            <w:shd w:fill="F2F4F8" w:val="clear"/>
          </w:tcPr>
          <w:p>
            <w:r>
              <w:rPr>
                <w:rFonts w:ascii="Calibri" w:hAnsi="Calibri"/>
                <w:color w:val="333333"/>
                <w:sz w:val="18"/>
              </w:rPr>
              <w:t>95th (catastrophic)</w:t>
            </w:r>
          </w:p>
        </w:tc>
        <w:tc>
          <w:tcPr>
            <w:tcW w:type="dxa" w:w="5040"/>
            <w:shd w:fill="F2F4F8" w:val="clear"/>
          </w:tcPr>
          <w:p>
            <w:r>
              <w:rPr>
                <w:rFonts w:ascii="Calibri" w:hAnsi="Calibri"/>
                <w:color w:val="333333"/>
                <w:sz w:val="18"/>
              </w:rPr>
              <w:t>$150.0M</w:t>
            </w:r>
          </w:p>
        </w:tc>
      </w:tr>
    </w:tbl>
    <w:p>
      <w:pPr>
        <w:pStyle w:val="DOBody"/>
      </w:pPr>
      <w:r>
        <w:t>At a 3.7% adjusted claim rate, the company faces 0.7x its sector baseline of 5.0% for Technology companies. This rate reflects the MEGA cap multiplier (1.56x) combined with the quality score multiplier (0.47x from WIN tier classification).</w:t>
      </w:r>
    </w:p>
    <w:p>
      <w:pPr>
        <w:pStyle w:val="DOCaption"/>
      </w:pPr>
      <w:r>
        <w:t>Note: NEEDS CALIBRATION</w:t>
      </w:r>
    </w:p>
    <w:p>
      <w:pPr>
        <w:pStyle w:val="DOHeading3"/>
      </w:pPr>
      <w:r>
        <w:t>Underwriting Headwinds</w:t>
      </w:r>
    </w:p>
    <w:p>
      <w:pPr>
        <w:pStyle w:val="DOBody"/>
      </w:pPr>
      <w:r>
        <w:rPr>
          <w:b/>
        </w:rPr>
        <w:t>1. Structural Complexity &amp; Litigation History</w:t>
      </w:r>
      <w:r>
        <w:rPr>
          <w:b/>
          <w:color w:val="EA580C"/>
          <w:sz w:val="18"/>
        </w:rPr>
        <w:t xml:space="preserve"> [HIGH]</w:t>
      </w:r>
    </w:p>
    <w:p>
      <w:pPr>
        <w:pStyle w:val="DOBody"/>
      </w:pPr>
      <w:r>
        <w:t>Goodwill at 12.6% of total assets reflects an acquisition-driven strategy where integration risk and impairment charges are common SCA triggers. (see Litigation)</w:t>
      </w:r>
    </w:p>
    <w:p>
      <w:pPr>
        <w:pStyle w:val="DOBody"/>
      </w:pPr>
      <w:r>
        <w:rPr>
          <w:b/>
        </w:rPr>
        <w:t>2. Audit &amp; Accounting Risk Factors</w:t>
      </w:r>
      <w:r>
        <w:rPr>
          <w:b/>
          <w:color w:val="EA580C"/>
          <w:sz w:val="18"/>
        </w:rPr>
        <w:t xml:space="preserve"> [HIGH]</w:t>
      </w:r>
    </w:p>
    <w:p>
      <w:pPr>
        <w:pStyle w:val="DOBody"/>
      </w:pPr>
      <w:r>
        <w:t>Intel Corp. has audit-related risk factors that warrant underwriting attention. Beneish M-Score of -2.63 with 0/8 component flags triggered. (see Financial Health)</w:t>
      </w:r>
    </w:p>
    <w:p>
      <w:pPr>
        <w:pStyle w:val="DOBody"/>
      </w:pPr>
      <w:r>
        <w:rPr>
          <w:b/>
        </w:rPr>
        <w:t>3. Earnings Guidance Track Record</w:t>
      </w:r>
      <w:r>
        <w:rPr>
          <w:b/>
          <w:color w:val="EA580C"/>
          <w:sz w:val="18"/>
        </w:rPr>
        <w:t xml:space="preserve"> [HIGH]</w:t>
      </w:r>
    </w:p>
    <w:p>
      <w:pPr>
        <w:pStyle w:val="DOBody"/>
      </w:pPr>
      <w:r>
        <w:t>Intel Corp. has missed earnings guidance in 6 quarters, with management credibility score at 70%. At $241.2B market cap with an estimated DDL of $11.1B, guidance misses generate large absolute loss figures that attract institutional lead plaintiffs. (see Market &amp; Trading)</w:t>
      </w:r>
    </w:p>
    <w:p>
      <w:pPr>
        <w:pStyle w:val="DOBody"/>
      </w:pPr>
      <w:r>
        <w:rPr>
          <w:b/>
        </w:rPr>
        <w:t>4. Stock Price Decline</w:t>
      </w:r>
      <w:r>
        <w:rPr>
          <w:b/>
          <w:color w:val="EAB308"/>
          <w:sz w:val="18"/>
        </w:rPr>
        <w:t xml:space="preserve"> [ELEVATED]</w:t>
      </w:r>
    </w:p>
    <w:p>
      <w:pPr>
        <w:pStyle w:val="DOBody"/>
      </w:pPr>
      <w:r>
        <w:t>Intel Corp.'s stock has undergone a -12% dip of -12.0% from $54.60 to $48.03 over 252 trading days. This creates an estimated Disclosure Dollar Loss (DDL) of $11.1B, among the largest potential DDL exposures in the market. (see Market &amp; Trading)</w:t>
      </w:r>
    </w:p>
    <w:p>
      <w:pPr>
        <w:pStyle w:val="DOBody"/>
      </w:pPr>
      <w:r>
        <w:rPr>
          <w:b/>
        </w:rPr>
        <w:t>5. Transaction-Related Exposure</w:t>
      </w:r>
      <w:r>
        <w:rPr>
          <w:b/>
          <w:color w:val="EAB308"/>
          <w:sz w:val="18"/>
        </w:rPr>
        <w:t xml:space="preserve"> [ELEVATED]</w:t>
      </w:r>
    </w:p>
    <w:p>
      <w:pPr>
        <w:pStyle w:val="DOBody"/>
      </w:pPr>
      <w:r>
        <w:t>Intel Corp. has transaction-related risk factors. Goodwill at 12.6% of total assets reflects acquisition activity. Failed acquisitions are among the most common SCA triggers. At $241.2B market cap, transaction claims carry both Section 10(b) exposure (misleading disclosures) and Section 14(a) exposure (deficient proxy statements).</w:t>
      </w:r>
    </w:p>
    <w:p>
      <w:pPr>
        <w:pStyle w:val="DOHeading3"/>
      </w:pPr>
      <w:r>
        <w:t>Risk Mitigants</w:t>
      </w:r>
    </w:p>
    <w:p>
      <w:pPr>
        <w:pStyle w:val="DOBody"/>
      </w:pPr>
      <w:r>
        <w:rPr>
          <w:b/>
        </w:rPr>
        <w:t>1. Clean Regulatory Record</w:t>
      </w:r>
    </w:p>
    <w:p>
      <w:pPr>
        <w:pStyle w:val="DOBody"/>
      </w:pPr>
      <w:r>
        <w:t>Intel Corp. has no active SEC enforcement pipeline activity, open investigations, or pending Wells Notices. A clean regulatory record for Intel Corp. eliminates the highest-severity D&amp;O claim catalyst and supports favorable underwriting consideration. (see Litigation)</w:t>
      </w:r>
    </w:p>
    <w:p>
      <w:pPr>
        <w:pStyle w:val="DOBody"/>
      </w:pPr>
      <w:r>
        <w:rPr>
          <w:b/>
        </w:rPr>
        <w:t>2. Clean Audit &amp; Accounting History</w:t>
      </w:r>
    </w:p>
    <w:p>
      <w:pPr>
        <w:pStyle w:val="DOBody"/>
      </w:pPr>
      <w:r>
        <w:t>Intel Corp. maintains a clean audit opinion with no material weaknesses, restatements, or going concern qualifications. However, goodwill at 12.6% of total assets requires ongoing impairment testing -- clean audit history does not eliminate future impairment risk. (see Financial Health)</w:t>
      </w:r>
    </w:p>
    <w:p>
      <w:pPr>
        <w:pStyle w:val="DOBody"/>
      </w:pPr>
      <w:r>
        <w:rPr>
          <w:b/>
        </w:rPr>
        <w:t>3. Sound Financial Position</w:t>
      </w:r>
    </w:p>
    <w:p>
      <w:pPr>
        <w:pStyle w:val="DOBody"/>
      </w:pPr>
      <w:r>
        <w:t>No financial distress indicators present (Altman Z-Score of 2.05, D/E of 0.41, current ratio of 1.3x, interest coverage of -11.8x). Altman Z of 2.05 is in the gray zone but other indicators do not suggest imminent distress. (see Financial Health)</w:t>
      </w:r>
    </w:p>
    <w:p>
      <w:pPr>
        <w:pStyle w:val="DOBody"/>
      </w:pPr>
      <w:r>
        <w:rPr>
          <w:b/>
        </w:rPr>
        <w:t>4. Stable Executive Leadership</w:t>
      </w:r>
    </w:p>
    <w:p>
      <w:pPr>
        <w:pStyle w:val="DOBody"/>
      </w:pPr>
      <w:r>
        <w:t>C-suite leadership is stable with no recent departures. (see Governance)</w:t>
      </w:r>
    </w:p>
    <w:p>
      <w:pPr>
        <w:pStyle w:val="DOBody"/>
      </w:pPr>
      <w:r>
        <w:rPr>
          <w:b/>
        </w:rPr>
        <w:t>5. Low Short Interest</w:t>
      </w:r>
    </w:p>
    <w:p>
      <w:pPr>
        <w:pStyle w:val="DOBody"/>
      </w:pPr>
      <w:r>
        <w:t>Short interest is low at 2.3% of float, indicating institutional investors are not positioning against the stock. Short interest at 2.3% is within normal range, suggesting no concentrated bearish positioning against Intel Corp.. (see Market &amp; Trading)</w:t>
      </w:r>
    </w:p>
    <w:p>
      <w:pPr>
        <w:pStyle w:val="DOHeading3"/>
      </w:pPr>
      <w:r>
        <w:t>Claim Probability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Band</w:t>
            </w:r>
          </w:p>
        </w:tc>
        <w:tc>
          <w:tcPr>
            <w:tcW w:type="dxa" w:w="5040"/>
          </w:tcPr>
          <w:p>
            <w:r>
              <w:rPr>
                <w:rFonts w:ascii="Calibri" w:hAnsi="Calibri"/>
                <w:color w:val="333333"/>
                <w:sz w:val="18"/>
              </w:rPr>
              <w:t>ELEVATED</w:t>
            </w:r>
          </w:p>
        </w:tc>
      </w:tr>
      <w:tr>
        <w:tc>
          <w:tcPr>
            <w:tcW w:type="dxa" w:w="5040"/>
            <w:shd w:fill="F2F4F8" w:val="clear"/>
          </w:tcPr>
          <w:p>
            <w:r>
              <w:rPr>
                <w:rFonts w:ascii="Calibri" w:hAnsi="Calibri"/>
                <w:color w:val="333333"/>
                <w:sz w:val="18"/>
              </w:rPr>
              <w:t>Company Rate</w:t>
            </w:r>
          </w:p>
        </w:tc>
        <w:tc>
          <w:tcPr>
            <w:tcW w:type="dxa" w:w="5040"/>
            <w:shd w:fill="F2F4F8" w:val="clear"/>
          </w:tcPr>
          <w:p>
            <w:r>
              <w:rPr>
                <w:rFonts w:ascii="Calibri" w:hAnsi="Calibri"/>
                <w:color w:val="333333"/>
                <w:sz w:val="18"/>
              </w:rPr>
              <w:t>6.7% - 9.5%</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5.0%</w:t>
            </w:r>
          </w:p>
        </w:tc>
      </w:tr>
      <w:tr>
        <w:tc>
          <w:tcPr>
            <w:tcW w:type="dxa" w:w="5040"/>
            <w:shd w:fill="F2F4F8" w:val="clear"/>
          </w:tcPr>
          <w:p>
            <w:r>
              <w:rPr>
                <w:rFonts w:ascii="Calibri" w:hAnsi="Calibri"/>
                <w:color w:val="333333"/>
                <w:sz w:val="18"/>
              </w:rPr>
              <w:t>Severity Favorable</w:t>
            </w:r>
          </w:p>
        </w:tc>
        <w:tc>
          <w:tcPr>
            <w:tcW w:type="dxa" w:w="5040"/>
            <w:shd w:fill="F2F4F8" w:val="clear"/>
          </w:tcPr>
          <w:p>
            <w:r>
              <w:rPr>
                <w:rFonts w:ascii="Calibri" w:hAnsi="Calibri"/>
                <w:color w:val="333333"/>
                <w:sz w:val="18"/>
              </w:rPr>
              <w:t>$2.6B</w:t>
            </w:r>
          </w:p>
        </w:tc>
      </w:tr>
      <w:tr>
        <w:tc>
          <w:tcPr>
            <w:tcW w:type="dxa" w:w="5040"/>
          </w:tcPr>
          <w:p>
            <w:r>
              <w:rPr>
                <w:rFonts w:ascii="Calibri" w:hAnsi="Calibri"/>
                <w:color w:val="333333"/>
                <w:sz w:val="18"/>
              </w:rPr>
              <w:t>Severity Median</w:t>
            </w:r>
          </w:p>
        </w:tc>
        <w:tc>
          <w:tcPr>
            <w:tcW w:type="dxa" w:w="5040"/>
          </w:tcPr>
          <w:p>
            <w:r>
              <w:rPr>
                <w:rFonts w:ascii="Calibri" w:hAnsi="Calibri"/>
                <w:color w:val="333333"/>
                <w:sz w:val="18"/>
              </w:rPr>
              <w:t>$5.4B</w:t>
            </w:r>
          </w:p>
        </w:tc>
      </w:tr>
      <w:tr>
        <w:tc>
          <w:tcPr>
            <w:tcW w:type="dxa" w:w="5040"/>
            <w:shd w:fill="F2F4F8" w:val="clear"/>
          </w:tcPr>
          <w:p>
            <w:r>
              <w:rPr>
                <w:rFonts w:ascii="Calibri" w:hAnsi="Calibri"/>
                <w:color w:val="333333"/>
                <w:sz w:val="18"/>
              </w:rPr>
              <w:t>Severity Adverse</w:t>
            </w:r>
          </w:p>
        </w:tc>
        <w:tc>
          <w:tcPr>
            <w:tcW w:type="dxa" w:w="5040"/>
            <w:shd w:fill="F2F4F8" w:val="clear"/>
          </w:tcPr>
          <w:p>
            <w:r>
              <w:rPr>
                <w:rFonts w:ascii="Calibri" w:hAnsi="Calibri"/>
                <w:color w:val="333333"/>
                <w:sz w:val="18"/>
              </w:rPr>
              <w:t>$11.3B</w:t>
            </w:r>
          </w:p>
        </w:tc>
      </w:tr>
      <w:tr>
        <w:tc>
          <w:tcPr>
            <w:tcW w:type="dxa" w:w="5040"/>
          </w:tcPr>
          <w:p>
            <w:r>
              <w:rPr>
                <w:rFonts w:ascii="Calibri" w:hAnsi="Calibri"/>
                <w:color w:val="333333"/>
                <w:sz w:val="18"/>
              </w:rPr>
              <w:t>Severity Catastrophic</w:t>
            </w:r>
          </w:p>
        </w:tc>
        <w:tc>
          <w:tcPr>
            <w:tcW w:type="dxa" w:w="5040"/>
          </w:tcPr>
          <w:p>
            <w:r>
              <w:rPr>
                <w:rFonts w:ascii="Calibri" w:hAnsi="Calibri"/>
                <w:color w:val="333333"/>
                <w:sz w:val="18"/>
              </w:rPr>
              <w:t>$23.6B</w:t>
            </w:r>
          </w:p>
        </w:tc>
      </w:tr>
    </w:tbl>
    <w:p>
      <w:pPr>
        <w:pStyle w:val="DOBody"/>
      </w:pPr>
      <w:r>
        <w:t>Probability Band: ELEVATED</w:t>
      </w:r>
      <w:r>
        <w:rPr>
          <w:b/>
          <w:color w:val="EA580C"/>
          <w:sz w:val="18"/>
        </w:rPr>
        <w:t xml:space="preserve"> [HIGH]</w:t>
      </w:r>
    </w:p>
    <w:p>
      <w:pPr>
        <w:pStyle w:val="DOBody"/>
      </w:pPr>
      <w:r>
        <w:t>The 7-10% probability band represents approximately 2x the Technology sector base rate of 5.0%. Accounts in WIN tier historically produce claims at elevated frequency. Industry base rate: 5.0%. Tier WIN (0-2%): Below base rate. Strong risk profile reduces claim probability below industry average. NEEDS CALIBRATION: Probability estimates are indicative and require actuarial validation per SECT7-11. Enhanced frequency: 9.00% base x 0.96 hazard x 1.10 signal = 9.50%.</w:t>
      </w:r>
    </w:p>
    <w:p>
      <w:pPr>
        <w:pStyle w:val="DOHeading3"/>
      </w:pPr>
      <w:r>
        <w:t>Tower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Position</w:t>
            </w:r>
          </w:p>
        </w:tc>
        <w:tc>
          <w:tcPr>
            <w:tcW w:type="dxa" w:w="5040"/>
          </w:tcPr>
          <w:p>
            <w:r>
              <w:rPr>
                <w:rFonts w:ascii="Calibri" w:hAnsi="Calibri"/>
                <w:color w:val="333333"/>
                <w:sz w:val="18"/>
              </w:rPr>
              <w:t>Primary</w:t>
            </w:r>
          </w:p>
        </w:tc>
      </w:tr>
      <w:tr>
        <w:tc>
          <w:tcPr>
            <w:tcW w:type="dxa" w:w="5040"/>
            <w:shd w:fill="F2F4F8" w:val="clear"/>
          </w:tcPr>
          <w:p>
            <w:r>
              <w:rPr>
                <w:rFonts w:ascii="Calibri" w:hAnsi="Calibri"/>
                <w:color w:val="333333"/>
                <w:sz w:val="18"/>
              </w:rPr>
              <w:t>Min Attachment</w:t>
            </w:r>
          </w:p>
        </w:tc>
        <w:tc>
          <w:tcPr>
            <w:tcW w:type="dxa" w:w="5040"/>
            <w:shd w:fill="F2F4F8" w:val="clear"/>
          </w:tcPr>
          <w:p>
            <w:r>
              <w:rPr>
                <w:rFonts w:ascii="Calibri" w:hAnsi="Calibri"/>
                <w:color w:val="333333"/>
                <w:sz w:val="18"/>
              </w:rPr>
              <w:t>$4539.4M (based on 50th percentile settlement)</w:t>
            </w:r>
          </w:p>
        </w:tc>
      </w:tr>
      <w:tr>
        <w:tc>
          <w:tcPr>
            <w:tcW w:type="dxa" w:w="5040"/>
          </w:tcPr>
          <w:p>
            <w:r>
              <w:rPr>
                <w:rFonts w:ascii="Calibri" w:hAnsi="Calibri"/>
                <w:color w:val="333333"/>
                <w:sz w:val="18"/>
              </w:rPr>
              <w:t>Side A/DIC</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Layer</w:t>
            </w:r>
          </w:p>
        </w:tc>
        <w:tc>
          <w:tcPr>
            <w:tcW w:type="dxa" w:w="3360"/>
            <w:shd w:fill="1A1446" w:val="clear"/>
          </w:tcPr>
          <w:p>
            <w:r>
              <w:rPr>
                <w:rFonts w:ascii="Calibri" w:hAnsi="Calibri"/>
                <w:b/>
                <w:color w:val="FFFFFF"/>
                <w:sz w:val="18"/>
              </w:rPr>
              <w:t>Risk Assessment</w:t>
            </w:r>
          </w:p>
        </w:tc>
        <w:tc>
          <w:tcPr>
            <w:tcW w:type="dxa" w:w="3360"/>
            <w:shd w:fill="1A1446" w:val="clear"/>
          </w:tcPr>
          <w:p>
            <w:r>
              <w:rPr>
                <w:rFonts w:ascii="Calibri" w:hAnsi="Calibri"/>
                <w:b/>
                <w:color w:val="FFFFFF"/>
                <w:sz w:val="18"/>
              </w:rPr>
              <w:t>Premium Guidance</w:t>
            </w:r>
          </w:p>
        </w:tc>
      </w:tr>
      <w:tr>
        <w:tc>
          <w:tcPr>
            <w:tcW w:type="dxa" w:w="3360"/>
          </w:tcPr>
          <w:p>
            <w:r>
              <w:rPr>
                <w:rFonts w:ascii="Calibri" w:hAnsi="Calibri"/>
                <w:color w:val="333333"/>
                <w:sz w:val="18"/>
              </w:rPr>
              <w:t>PRIMARY</w:t>
            </w:r>
          </w:p>
        </w:tc>
        <w:tc>
          <w:tcPr>
            <w:tcW w:type="dxa" w:w="3360"/>
          </w:tcPr>
          <w:p>
            <w:r>
              <w:rPr>
                <w:rFonts w:ascii="Calibri" w:hAnsi="Calibri"/>
                <w:color w:val="333333"/>
                <w:sz w:val="18"/>
              </w:rPr>
              <w:t>Primary layer carries 57% of expected loss exposure. Highest frequency of attachment; most likely to be eroded in any claim scenario.</w:t>
            </w:r>
          </w:p>
        </w:tc>
        <w:tc>
          <w:tcPr>
            <w:tcW w:type="dxa" w:w="3360"/>
          </w:tcPr>
          <w:p>
            <w:r>
              <w:rPr>
                <w:rFonts w:ascii="Calibri" w:hAnsi="Calibri"/>
                <w:color w:val="333333"/>
                <w:sz w:val="18"/>
              </w:rPr>
              <w:t>Full rate, slight discount for WIN</w:t>
            </w:r>
          </w:p>
        </w:tc>
      </w:tr>
      <w:tr>
        <w:tc>
          <w:tcPr>
            <w:tcW w:type="dxa" w:w="3360"/>
            <w:shd w:fill="F2F4F8" w:val="clear"/>
          </w:tcPr>
          <w:p>
            <w:r>
              <w:rPr>
                <w:rFonts w:ascii="Calibri" w:hAnsi="Calibri"/>
                <w:color w:val="333333"/>
                <w:sz w:val="18"/>
              </w:rPr>
              <w:t>LOW_EXCESS</w:t>
            </w:r>
          </w:p>
        </w:tc>
        <w:tc>
          <w:tcPr>
            <w:tcW w:type="dxa" w:w="3360"/>
            <w:shd w:fill="F2F4F8" w:val="clear"/>
          </w:tcPr>
          <w:p>
            <w:r>
              <w:rPr>
                <w:rFonts w:ascii="Calibri" w:hAnsi="Calibri"/>
                <w:color w:val="333333"/>
                <w:sz w:val="18"/>
              </w:rPr>
              <w:t>Low excess layer carries 18% of expected loss exposure. Attaches after primary exhaustion; moderate frequency in adverse scenarios.</w:t>
            </w:r>
          </w:p>
        </w:tc>
        <w:tc>
          <w:tcPr>
            <w:tcW w:type="dxa" w:w="3360"/>
            <w:shd w:fill="F2F4F8" w:val="clear"/>
          </w:tcPr>
          <w:p>
            <w:r>
              <w:rPr>
                <w:rFonts w:ascii="Calibri" w:hAnsi="Calibri"/>
                <w:color w:val="333333"/>
                <w:sz w:val="18"/>
              </w:rPr>
              <w:t>Market rate</w:t>
            </w:r>
          </w:p>
        </w:tc>
      </w:tr>
      <w:tr>
        <w:tc>
          <w:tcPr>
            <w:tcW w:type="dxa" w:w="3360"/>
          </w:tcPr>
          <w:p>
            <w:r>
              <w:rPr>
                <w:rFonts w:ascii="Calibri" w:hAnsi="Calibri"/>
                <w:color w:val="333333"/>
                <w:sz w:val="18"/>
              </w:rPr>
              <w:t>MID_EXCESS</w:t>
            </w:r>
          </w:p>
        </w:tc>
        <w:tc>
          <w:tcPr>
            <w:tcW w:type="dxa" w:w="3360"/>
          </w:tcPr>
          <w:p>
            <w:r>
              <w:rPr>
                <w:rFonts w:ascii="Calibri" w:hAnsi="Calibri"/>
                <w:color w:val="333333"/>
                <w:sz w:val="18"/>
              </w:rPr>
              <w:t>Mid excess layer carries 13% of expected loss exposure. Attaches in adverse scenarios; lower frequency but higher severity when reached.</w:t>
            </w:r>
          </w:p>
        </w:tc>
        <w:tc>
          <w:tcPr>
            <w:tcW w:type="dxa" w:w="3360"/>
          </w:tcPr>
          <w:p>
            <w:r>
              <w:rPr>
                <w:rFonts w:ascii="Calibri" w:hAnsi="Calibri"/>
                <w:color w:val="333333"/>
                <w:sz w:val="18"/>
              </w:rPr>
              <w:t>Market to 1.3x</w:t>
            </w:r>
          </w:p>
        </w:tc>
      </w:tr>
      <w:tr>
        <w:tc>
          <w:tcPr>
            <w:tcW w:type="dxa" w:w="3360"/>
            <w:shd w:fill="F2F4F8" w:val="clear"/>
          </w:tcPr>
          <w:p>
            <w:r>
              <w:rPr>
                <w:rFonts w:ascii="Calibri" w:hAnsi="Calibri"/>
                <w:color w:val="333333"/>
                <w:sz w:val="18"/>
              </w:rPr>
              <w:t>HIGH_EXCESS</w:t>
            </w:r>
          </w:p>
        </w:tc>
        <w:tc>
          <w:tcPr>
            <w:tcW w:type="dxa" w:w="3360"/>
            <w:shd w:fill="F2F4F8" w:val="clear"/>
          </w:tcPr>
          <w:p>
            <w:r>
              <w:rPr>
                <w:rFonts w:ascii="Calibri" w:hAnsi="Calibri"/>
                <w:color w:val="333333"/>
                <w:sz w:val="18"/>
              </w:rPr>
              <w:t>High excess layer carries 11% of expected loss exposure. Attaches only in catastrophic scenarios; lowest frequency, highest severity.</w:t>
            </w:r>
          </w:p>
        </w:tc>
        <w:tc>
          <w:tcPr>
            <w:tcW w:type="dxa" w:w="3360"/>
            <w:shd w:fill="F2F4F8" w:val="clear"/>
          </w:tcPr>
          <w:p>
            <w:r>
              <w:rPr>
                <w:rFonts w:ascii="Calibri" w:hAnsi="Calibri"/>
                <w:color w:val="333333"/>
                <w:sz w:val="18"/>
              </w:rPr>
              <w:t>1.3-2x with attachment</w:t>
            </w:r>
          </w:p>
        </w:tc>
      </w:tr>
      <w:tr>
        <w:tc>
          <w:tcPr>
            <w:tcW w:type="dxa" w:w="3360"/>
          </w:tcPr>
          <w:p>
            <w:r>
              <w:rPr>
                <w:rFonts w:ascii="Calibri" w:hAnsi="Calibri"/>
                <w:color w:val="333333"/>
                <w:sz w:val="18"/>
              </w:rPr>
              <w:t>DECLINE</w:t>
            </w:r>
          </w:p>
        </w:tc>
        <w:tc>
          <w:tcPr>
            <w:tcW w:type="dxa" w:w="3360"/>
          </w:tcPr>
          <w:p>
            <w:r>
              <w:rPr>
                <w:rFonts w:ascii="Calibri" w:hAnsi="Calibri"/>
                <w:color w:val="333333"/>
                <w:sz w:val="18"/>
              </w:rPr>
              <w:t>WALK+ with compounding factors</w:t>
            </w:r>
          </w:p>
        </w:tc>
        <w:tc>
          <w:tcPr>
            <w:tcW w:type="dxa" w:w="3360"/>
          </w:tcPr>
          <w:p>
            <w:r>
              <w:rPr>
                <w:rFonts w:ascii="Calibri" w:hAnsi="Calibri"/>
                <w:color w:val="333333"/>
                <w:sz w:val="18"/>
              </w:rPr>
              <w:t>N/A</w:t>
            </w:r>
          </w:p>
        </w:tc>
      </w:tr>
    </w:tbl>
    <w:p>
      <w:pPr>
        <w:pStyle w:val="DOHeading3"/>
      </w:pPr>
      <w:r>
        <w:t>Market Context</w:t>
      </w:r>
    </w:p>
    <w:p>
      <w:pPr>
        <w:pStyle w:val="DOBody"/>
      </w:pPr>
      <w:r>
        <w:t>No market pricing data available.</w:t>
      </w:r>
    </w:p>
    <w:p>
      <w:pPr>
        <w:spacing w:before="120" w:after="40"/>
        <w:pBdr>
          <w:bottom w:val="single" w:sz="6" w:space="1" w:color="FFD000"/>
        </w:pBdr>
      </w:pPr>
    </w:p>
    <w:p>
      <w:pPr>
        <w:pStyle w:val="DOBody"/>
        <w:spacing w:before="40" w:after="120"/>
      </w:pPr>
      <w:r>
        <w:rPr>
          <w:color w:val="333333"/>
          <w:sz w:val="20"/>
        </w:rPr>
        <w:t>Company Overview</w:t>
        <w:br/>
        <w:t>Intel Corporation, a $241 billion market cap Mega-cap technology firm, has been publicly traded for 46 years, a period over which it built its position designing CPUs for the majority of the world's PCs and servers. With a global workforce of 85,100, its current strategic pivot into operating its own capital-intensive semiconductor foundry directly challenges TSMC and Samsung, creating a high-stakes board-level bet.</w:t>
        <w:br/>
        <w:br/>
        <w:t>Revenue Model</w:t>
        <w:br/>
        <w:t>Revenue flows from three segments: Client Computing Group (CCG) for PCs, Data Center and AI (DCAI) for servers, and the new Intel Foundry for external manufacturing services. The model hinges on multi-billion-dollar R&amp;D and capex cycles to maintain technical leadership; if its process node technology falls behind peers, both product and foundry revenue engines stall, directly threatening shareholder value. Client revenue is cyclical, while data center and foundry aim for longer-term contracts, with success in the latter being critical to the company's stated turnaround.</w:t>
        <w:br/>
        <w:br/>
        <w:t>D&amp;O Risk Profile</w:t>
        <w:br/>
        <w:t>The core D&amp;O story is the execution risk of the foundry strategy, which places immense pressure on the board of this Large Accelerated Filer to deliver a turnaround against entrenched competitors. This strategic pivot occurs alongside persistent litigation exposures: employment claims from its 85,100-strong global workforce and intense intellectual property battles endemic to semiconductor design, as indicated by its IP_LITIGATION_RISK classification. Shareholder suits are likely to allege strategic missteps if the foundry initiative fails to achieve promised scale and profitability, potentially triggering securities litigation against officers and directors.</w:t>
      </w:r>
    </w:p>
    <w:p>
      <w:pPr>
        <w:pStyle w:val="DOHeading1"/>
      </w:pPr>
      <w:r>
        <w:t>Section 2: Company Profile</w:t>
      </w:r>
    </w:p>
    <w:p>
      <w:pPr>
        <w:pStyle w:val="DOBody"/>
      </w:pPr>
      <w:r>
        <w:rPr>
          <w:rFonts w:ascii="Calibri" w:hAnsi="Calibri"/>
          <w:color w:val="333333"/>
          <w:sz w:val="20"/>
        </w:rPr>
        <w:t>INTEL CORP operates in the Semiconductors industry. The company has 85,100 employees and $241.2B market cap. Key D&amp;O exposure factors include: Employment Litigation Risk, Ip Litigation Risk.</w:t>
      </w:r>
      <w:r>
        <w:rPr>
          <w:rFonts w:ascii="Consolas" w:hAnsi="Consolas"/>
          <w:color w:val="666666"/>
          <w:sz w:val="16"/>
        </w:rPr>
        <w:t xml:space="preserve">  [derived:section_summary, 2026-04-02, LOW]</w:t>
      </w:r>
    </w:p>
    <w:p>
      <w:pPr>
        <w:pStyle w:val="DOHeading2"/>
      </w:pPr>
      <w:r>
        <w:t>Company Identity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Field</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Legal Name</w:t>
            </w:r>
          </w:p>
        </w:tc>
        <w:tc>
          <w:tcPr>
            <w:tcW w:type="dxa" w:w="3360"/>
          </w:tcPr>
          <w:p>
            <w:r>
              <w:rPr>
                <w:rFonts w:ascii="Calibri" w:hAnsi="Calibri"/>
                <w:color w:val="333333"/>
                <w:sz w:val="18"/>
              </w:rPr>
              <w:t>INTEL CORP</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INTC</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CIK</w:t>
            </w:r>
          </w:p>
        </w:tc>
        <w:tc>
          <w:tcPr>
            <w:tcW w:type="dxa" w:w="3360"/>
          </w:tcPr>
          <w:p>
            <w:r>
              <w:rPr>
                <w:rFonts w:ascii="Calibri" w:hAnsi="Calibri"/>
                <w:color w:val="333333"/>
                <w:sz w:val="18"/>
              </w:rPr>
              <w:t>50863</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Technology</w:t>
            </w:r>
          </w:p>
        </w:tc>
        <w:tc>
          <w:tcPr>
            <w:tcW w:type="dxa" w:w="3360"/>
            <w:shd w:fill="F2F4F8" w:val="clear"/>
          </w:tcPr>
          <w:p>
            <w:r>
              <w:rPr>
                <w:rFonts w:ascii="Calibri" w:hAnsi="Calibri"/>
                <w:color w:val="333333"/>
                <w:sz w:val="18"/>
              </w:rPr>
              <w:t>[SEC EDGAR submissions, filed 2026-04-02, HIGH confidence]</w:t>
            </w:r>
          </w:p>
        </w:tc>
      </w:tr>
      <w:tr>
        <w:tc>
          <w:tcPr>
            <w:tcW w:type="dxa" w:w="3360"/>
          </w:tcPr>
          <w:p>
            <w:r>
              <w:rPr>
                <w:rFonts w:ascii="Calibri" w:hAnsi="Calibri"/>
                <w:color w:val="333333"/>
                <w:sz w:val="18"/>
              </w:rPr>
              <w:t>SIC Code</w:t>
            </w:r>
          </w:p>
        </w:tc>
        <w:tc>
          <w:tcPr>
            <w:tcW w:type="dxa" w:w="3360"/>
          </w:tcPr>
          <w:p>
            <w:r>
              <w:rPr>
                <w:rFonts w:ascii="Calibri" w:hAnsi="Calibri"/>
                <w:color w:val="333333"/>
                <w:sz w:val="18"/>
              </w:rPr>
              <w:t>3674</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SIC Description</w:t>
            </w:r>
          </w:p>
        </w:tc>
        <w:tc>
          <w:tcPr>
            <w:tcW w:type="dxa" w:w="3360"/>
            <w:shd w:fill="F2F4F8" w:val="clear"/>
          </w:tcPr>
          <w:p>
            <w:r>
              <w:rPr>
                <w:rFonts w:ascii="Calibri" w:hAnsi="Calibri"/>
                <w:color w:val="333333"/>
                <w:sz w:val="18"/>
              </w:rPr>
              <w:t>Semiconductors &amp; Related Devices</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GICS Code</w:t>
            </w:r>
          </w:p>
        </w:tc>
        <w:tc>
          <w:tcPr>
            <w:tcW w:type="dxa" w:w="3360"/>
          </w:tcPr>
          <w:p>
            <w:r>
              <w:rPr>
                <w:rFonts w:ascii="Calibri" w:hAnsi="Calibri"/>
                <w:color w:val="333333"/>
                <w:sz w:val="18"/>
              </w:rPr>
              <w:t>45301020</w:t>
            </w:r>
          </w:p>
        </w:tc>
        <w:tc>
          <w:tcPr>
            <w:tcW w:type="dxa" w:w="3360"/>
          </w:tcPr>
          <w:p>
            <w:r>
              <w:rPr>
                <w:rFonts w:ascii="Calibri" w:hAnsi="Calibri"/>
                <w:color w:val="333333"/>
                <w:sz w:val="18"/>
              </w:rPr>
              <w:t>[SIC-&gt;GICS mapping (SIC 3674), filed 2026-04-02, MEDIUM confidence]</w:t>
            </w:r>
          </w:p>
        </w:tc>
      </w:tr>
      <w:tr>
        <w:tc>
          <w:tcPr>
            <w:tcW w:type="dxa" w:w="3360"/>
            <w:shd w:fill="F2F4F8" w:val="clear"/>
          </w:tcPr>
          <w:p>
            <w:r>
              <w:rPr>
                <w:rFonts w:ascii="Calibri" w:hAnsi="Calibri"/>
                <w:color w:val="333333"/>
                <w:sz w:val="18"/>
              </w:rPr>
              <w:t>NAICS Code</w:t>
            </w:r>
          </w:p>
        </w:tc>
        <w:tc>
          <w:tcPr>
            <w:tcW w:type="dxa" w:w="3360"/>
            <w:shd w:fill="F2F4F8" w:val="clear"/>
          </w:tcPr>
          <w:p>
            <w:r>
              <w:rPr>
                <w:rFonts w:ascii="Calibri" w:hAnsi="Calibri"/>
                <w:color w:val="333333"/>
                <w:sz w:val="18"/>
              </w:rPr>
              <w:t>334413</w:t>
            </w:r>
          </w:p>
        </w:tc>
        <w:tc>
          <w:tcPr>
            <w:tcW w:type="dxa" w:w="3360"/>
            <w:shd w:fill="F2F4F8" w:val="clear"/>
          </w:tcPr>
          <w:p>
            <w:r>
              <w:rPr>
                <w:rFonts w:ascii="Calibri" w:hAnsi="Calibri"/>
                <w:color w:val="333333"/>
                <w:sz w:val="18"/>
              </w:rPr>
              <w:t>[SIC-&gt;NAICS crosswalk (SIC 3674), filed 2026-04-02, MEDIUM confidence]</w:t>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Nasdaq</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State of Incorporation</w:t>
            </w:r>
          </w:p>
        </w:tc>
        <w:tc>
          <w:tcPr>
            <w:tcW w:type="dxa" w:w="3360"/>
            <w:shd w:fill="F2F4F8" w:val="clear"/>
          </w:tcPr>
          <w:p>
            <w:r>
              <w:rPr>
                <w:rFonts w:ascii="Calibri" w:hAnsi="Calibri"/>
                <w:color w:val="333333"/>
                <w:sz w:val="18"/>
              </w:rPr>
              <w:t>DE</w:t>
            </w:r>
          </w:p>
        </w:tc>
        <w:tc>
          <w:tcPr>
            <w:tcW w:type="dxa" w:w="3360"/>
            <w:shd w:fill="F2F4F8" w:val="clear"/>
          </w:tcPr>
          <w:p>
            <w:r>
              <w:rPr>
                <w:rFonts w:ascii="Calibri" w:hAnsi="Calibri"/>
                <w:color w:val="333333"/>
                <w:sz w:val="18"/>
              </w:rPr>
              <w:t>[SEC EDGAR submissions, filed 2026-04-02, HIGH confidence]</w:t>
            </w:r>
          </w:p>
        </w:tc>
      </w:tr>
      <w:tr>
        <w:tc>
          <w:tcPr>
            <w:tcW w:type="dxa" w:w="3360"/>
          </w:tcPr>
          <w:p>
            <w:r>
              <w:rPr>
                <w:rFonts w:ascii="Calibri" w:hAnsi="Calibri"/>
                <w:color w:val="333333"/>
                <w:sz w:val="18"/>
              </w:rPr>
              <w:t>FPI Status</w:t>
            </w:r>
          </w:p>
        </w:tc>
        <w:tc>
          <w:tcPr>
            <w:tcW w:type="dxa" w:w="3360"/>
          </w:tcPr>
          <w:p>
            <w:r>
              <w:rPr>
                <w:rFonts w:ascii="Calibri" w:hAnsi="Calibri"/>
                <w:color w:val="333333"/>
                <w:sz w:val="18"/>
              </w:rPr>
              <w:t>No</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Fiscal Year End</w:t>
            </w:r>
          </w:p>
        </w:tc>
        <w:tc>
          <w:tcPr>
            <w:tcW w:type="dxa" w:w="3360"/>
            <w:shd w:fill="F2F4F8" w:val="clear"/>
          </w:tcPr>
          <w:p>
            <w:r>
              <w:rPr>
                <w:rFonts w:ascii="Calibri" w:hAnsi="Calibri"/>
                <w:color w:val="333333"/>
                <w:sz w:val="18"/>
              </w:rPr>
              <w:t>12-27</w:t>
            </w:r>
          </w:p>
        </w:tc>
        <w:tc>
          <w:tcPr>
            <w:tcW w:type="dxa" w:w="3360"/>
            <w:shd w:fill="F2F4F8" w:val="clear"/>
          </w:tcPr>
          <w:p>
            <w:r>
              <w:rPr>
                <w:rFonts w:ascii="Calibri" w:hAnsi="Calibri"/>
                <w:color w:val="333333"/>
                <w:sz w:val="18"/>
              </w:rPr>
              <w:t>[SEC EDGAR submissions, filed 2026-04-02, HIGH confidence]</w:t>
            </w:r>
          </w:p>
        </w:tc>
      </w:tr>
    </w:tbl>
    <w:p>
      <w:pPr>
        <w:pStyle w:val="DOHeading2"/>
      </w:pPr>
      <w:r>
        <w:t>Business Description</w:t>
      </w:r>
    </w:p>
    <w:p>
      <w:pPr>
        <w:pStyle w:val="DOBody"/>
      </w:pPr>
      <w:r>
        <w:rPr>
          <w:rFonts w:ascii="Calibri" w:hAnsi="Calibri"/>
          <w:color w:val="333333"/>
          <w:sz w:val="20"/>
        </w:rPr>
        <w:t>Intel Corporation designs, develops, manufactures, markets, sells, and services computing and related end products and services in the United States, Ireland, Israel, and internationally. It operates through three segments: CCG, DCAI, and Intel Foundry. The company offers client computing group products, including client and commercial CPUs, discrete client GPUs, edge computing, and connectivity products; data center and AI products, such as server CPUs, discrete GPUs, and networking products; and semiconductors comprising wafer fabrication, substrates, and other related products and services. It also provides driving assistance and self-driving solutions; and develops and manufactures multi-beam mask writing tools. The company sells its products through sales organizations, distributors, resellers, retailers, and OEM partners. It serves original equipment manufacturers, original design manufacturers, cloud service providers, and other manufacturers and service providers. Intel Corporation has a strategic collaboration with Infosys Limited to develop a multi-layer AI fabric that unifies infrastructure, models, data, applications, and workflows into a composable and agent-ready ecosystem. The company was incorporated in 1968 and is headquartered in Santa Clara, California.</w:t>
      </w:r>
      <w:r>
        <w:rPr>
          <w:rFonts w:ascii="Consolas" w:hAnsi="Consolas"/>
          <w:color w:val="666666"/>
          <w:sz w:val="16"/>
        </w:rPr>
        <w:t xml:space="preserve">  [yfinance, filed 2026-04-02, MEDIUM confidence]</w:t>
      </w:r>
    </w:p>
    <w:p>
      <w:pPr>
        <w:pStyle w:val="DOHeading2"/>
      </w:pPr>
      <w:r>
        <w:t>Subsidiaries</w:t>
      </w:r>
    </w:p>
    <w:p>
      <w:pPr>
        <w:pStyle w:val="DOBody"/>
      </w:pPr>
      <w:r>
        <w:t>Subsidiary data not available.</w:t>
      </w:r>
    </w:p>
    <w:p>
      <w:pPr>
        <w:pStyle w:val="DOHeading2"/>
      </w:pPr>
      <w:r>
        <w:t>Business Model Profile</w:t>
      </w:r>
    </w:p>
    <w:p>
      <w:pPr>
        <w:pStyle w:val="DOHeading2"/>
      </w:pPr>
      <w:r>
        <w:t>Operational Complexity</w:t>
      </w:r>
    </w:p>
    <w:p>
      <w:pPr>
        <w:pStyle w:val="DOBody"/>
      </w:pPr>
      <w:r>
        <w:rPr>
          <w:b/>
        </w:rPr>
        <w:t>Complexity Score: 85100/20 -- HIGH</w:t>
      </w:r>
      <w:r>
        <w:rPr>
          <w:b/>
          <w:color w:val="EA580C"/>
          <w:sz w:val="18"/>
        </w:rPr>
        <w:t xml:space="preserve"> [HIGH]</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Jurisdictions</w:t>
            </w:r>
          </w:p>
        </w:tc>
        <w:tc>
          <w:tcPr>
            <w:tcW w:type="dxa" w:w="5040"/>
          </w:tcPr>
          <w:p>
            <w:r>
              <w:rPr>
                <w:rFonts w:ascii="Calibri" w:hAnsi="Calibri"/>
                <w:color w:val="333333"/>
                <w:sz w:val="18"/>
              </w:rPr>
              <w:t>0 (0 high-regulatory)</w:t>
            </w:r>
          </w:p>
        </w:tc>
      </w:tr>
      <w:tr>
        <w:tc>
          <w:tcPr>
            <w:tcW w:type="dxa" w:w="5040"/>
            <w:shd w:fill="F2F4F8" w:val="clear"/>
          </w:tcPr>
          <w:p>
            <w:r>
              <w:rPr>
                <w:rFonts w:ascii="Calibri" w:hAnsi="Calibri"/>
                <w:color w:val="333333"/>
                <w:sz w:val="18"/>
              </w:rPr>
              <w:t>Workforce</w:t>
            </w:r>
          </w:p>
        </w:tc>
        <w:tc>
          <w:tcPr>
            <w:tcW w:type="dxa" w:w="5040"/>
            <w:shd w:fill="F2F4F8" w:val="clear"/>
          </w:tcPr>
          <w:p>
            <w:r>
              <w:rPr>
                <w:rFonts w:ascii="Calibri" w:hAnsi="Calibri"/>
                <w:color w:val="333333"/>
                <w:sz w:val="18"/>
              </w:rPr>
              <w:t>85,100</w:t>
            </w:r>
          </w:p>
        </w:tc>
      </w:tr>
      <w:tr>
        <w:tc>
          <w:tcPr>
            <w:tcW w:type="dxa" w:w="5040"/>
          </w:tcPr>
          <w:p>
            <w:r>
              <w:rPr>
                <w:rFonts w:ascii="Calibri" w:hAnsi="Calibri"/>
                <w:color w:val="333333"/>
                <w:sz w:val="18"/>
              </w:rPr>
              <w:t>Segments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Geographic Concentration</w:t>
            </w:r>
          </w:p>
        </w:tc>
        <w:tc>
          <w:tcPr>
            <w:tcW w:type="dxa" w:w="5040"/>
            <w:shd w:fill="F2F4F8" w:val="clear"/>
          </w:tcPr>
          <w:p>
            <w:r>
              <w:rPr>
                <w:rFonts w:ascii="Calibri" w:hAnsi="Calibri"/>
                <w:color w:val="333333"/>
                <w:sz w:val="18"/>
              </w:rPr>
              <w:t>0/100</w:t>
            </w:r>
          </w:p>
        </w:tc>
      </w:tr>
      <w:tr>
        <w:tc>
          <w:tcPr>
            <w:tcW w:type="dxa" w:w="5040"/>
          </w:tcPr>
          <w:p>
            <w:r>
              <w:rPr>
                <w:rFonts w:ascii="Calibri" w:hAnsi="Calibri"/>
                <w:color w:val="333333"/>
                <w:sz w:val="18"/>
              </w:rPr>
              <w:t>Supply Chain</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Overall Resilience</w:t>
            </w:r>
          </w:p>
        </w:tc>
        <w:tc>
          <w:tcPr>
            <w:tcW w:type="dxa" w:w="5040"/>
            <w:shd w:fill="F2F4F8" w:val="clear"/>
          </w:tcPr>
          <w:p>
            <w:r>
              <w:rPr>
                <w:rFonts w:ascii="Calibri" w:hAnsi="Calibri"/>
                <w:color w:val="333333"/>
                <w:sz w:val="18"/>
              </w:rPr>
              <w:t>ADEQUATE</w:t>
            </w:r>
          </w:p>
        </w:tc>
      </w:tr>
    </w:tbl>
    <w:p>
      <w:pPr>
        <w:pStyle w:val="DOCaption"/>
      </w:pPr>
      <w:r>
        <w:t>Structural Indicators: [ ] VIE / SPE  |  [ ] Dual-Class  |  [ ] Holding Depth  |  [ ] OBS Exposure</w:t>
      </w:r>
    </w:p>
    <w:p>
      <w:pPr>
        <w:pStyle w:val="DOHeading2"/>
      </w:pPr>
      <w:r>
        <w:t>Corporate Events &amp; Transaction Risk</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Event Type</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M&amp;A Activity</w:t>
            </w:r>
          </w:p>
        </w:tc>
        <w:tc>
          <w:tcPr>
            <w:tcW w:type="dxa" w:w="5040"/>
          </w:tcPr>
          <w:p>
            <w:r>
              <w:rPr>
                <w:rFonts w:ascii="Calibri" w:hAnsi="Calibri"/>
                <w:color w:val="333333"/>
                <w:sz w:val="18"/>
              </w:rPr>
              <w:t>MODERATE (Score: 2/4) | 1 acquisition year | Goodwill growth: 677.2% | Acq/Rev: 0.2%</w:t>
            </w:r>
          </w:p>
        </w:tc>
      </w:tr>
      <w:tr>
        <w:tc>
          <w:tcPr>
            <w:tcW w:type="dxa" w:w="5040"/>
            <w:shd w:fill="F2F4F8" w:val="clear"/>
          </w:tcPr>
          <w:p>
            <w:r>
              <w:rPr>
                <w:rFonts w:ascii="Calibri" w:hAnsi="Calibri"/>
                <w:color w:val="333333"/>
                <w:sz w:val="18"/>
              </w:rPr>
              <w:t>IPO / Offering Exposure</w:t>
            </w:r>
          </w:p>
        </w:tc>
        <w:tc>
          <w:tcPr>
            <w:tcW w:type="dxa" w:w="5040"/>
            <w:shd w:fill="F2F4F8" w:val="clear"/>
          </w:tcPr>
          <w:p>
            <w:r>
              <w:rPr>
                <w:rFonts w:ascii="Calibri" w:hAnsi="Calibri"/>
                <w:color w:val="333333"/>
                <w:sz w:val="18"/>
              </w:rPr>
              <w:t>LOW - 46 years public</w:t>
            </w:r>
          </w:p>
        </w:tc>
      </w:tr>
    </w:tbl>
    <w:p>
      <w:pPr>
        <w:pStyle w:val="DOBody"/>
      </w:pPr>
      <w:r>
        <w:rPr>
          <w:b/>
        </w:rPr>
        <w:t>Business Changes:</w:t>
      </w:r>
    </w:p>
    <w:p>
      <w:pPr>
        <w:pStyle w:val="DOBody"/>
      </w:pPr>
      <w:r>
        <w:t xml:space="preserve">  - 21 current event filings (8-K), most recent 2026-03-03</w:t>
      </w:r>
    </w:p>
    <w:p>
      <w:pPr>
        <w:pStyle w:val="DOHeading3"/>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Quality Score</w:t>
            </w:r>
          </w:p>
        </w:tc>
        <w:tc>
          <w:tcPr>
            <w:tcW w:type="dxa" w:w="2016"/>
            <w:shd w:fill="1A1446" w:val="clear"/>
          </w:tcPr>
          <w:p>
            <w:r>
              <w:rPr>
                <w:rFonts w:ascii="Calibri" w:hAnsi="Calibri"/>
                <w:b/>
                <w:color w:val="FFFFFF"/>
                <w:sz w:val="18"/>
              </w:rPr>
              <w:t>Similarity</w:t>
            </w:r>
          </w:p>
        </w:tc>
      </w:tr>
      <w:tr>
        <w:tc>
          <w:tcPr>
            <w:tcW w:type="dxa" w:w="2016"/>
          </w:tcPr>
          <w:p>
            <w:r>
              <w:rPr>
                <w:rFonts w:ascii="Calibri" w:hAnsi="Calibri"/>
                <w:color w:val="333333"/>
                <w:sz w:val="18"/>
              </w:rPr>
              <w:t>MSFT</w:t>
            </w:r>
          </w:p>
        </w:tc>
        <w:tc>
          <w:tcPr>
            <w:tcW w:type="dxa" w:w="2016"/>
          </w:tcPr>
          <w:p>
            <w:r>
              <w:rPr>
                <w:rFonts w:ascii="Calibri" w:hAnsi="Calibri"/>
                <w:color w:val="333333"/>
                <w:sz w:val="18"/>
              </w:rPr>
              <w:t>Microsoft Corporation</w:t>
            </w:r>
          </w:p>
        </w:tc>
        <w:tc>
          <w:tcPr>
            <w:tcW w:type="dxa" w:w="2016"/>
          </w:tcPr>
          <w:p>
            <w:r>
              <w:rPr>
                <w:rFonts w:ascii="Calibri" w:hAnsi="Calibri"/>
                <w:color w:val="333333"/>
                <w:sz w:val="18"/>
              </w:rPr>
              <w:t>$2.8T</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14%</w:t>
            </w:r>
          </w:p>
        </w:tc>
      </w:tr>
      <w:tr>
        <w:tc>
          <w:tcPr>
            <w:tcW w:type="dxa" w:w="2016"/>
            <w:shd w:fill="F2F4F8" w:val="clear"/>
          </w:tcPr>
          <w:p>
            <w:r>
              <w:rPr>
                <w:rFonts w:ascii="Calibri" w:hAnsi="Calibri"/>
                <w:color w:val="333333"/>
                <w:sz w:val="18"/>
              </w:rPr>
              <w:t>GOOGL</w:t>
            </w:r>
          </w:p>
        </w:tc>
        <w:tc>
          <w:tcPr>
            <w:tcW w:type="dxa" w:w="2016"/>
            <w:shd w:fill="F2F4F8" w:val="clear"/>
          </w:tcPr>
          <w:p>
            <w:r>
              <w:rPr>
                <w:rFonts w:ascii="Calibri" w:hAnsi="Calibri"/>
                <w:color w:val="333333"/>
                <w:sz w:val="18"/>
              </w:rPr>
              <w:t>Alphabet Inc.</w:t>
            </w:r>
          </w:p>
        </w:tc>
        <w:tc>
          <w:tcPr>
            <w:tcW w:type="dxa" w:w="2016"/>
            <w:shd w:fill="F2F4F8" w:val="clear"/>
          </w:tcPr>
          <w:p>
            <w:r>
              <w:rPr>
                <w:rFonts w:ascii="Calibri" w:hAnsi="Calibri"/>
                <w:color w:val="333333"/>
                <w:sz w:val="18"/>
              </w:rPr>
              <w:t>$3.6T</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4%</w:t>
            </w:r>
          </w:p>
        </w:tc>
      </w:tr>
      <w:tr>
        <w:tc>
          <w:tcPr>
            <w:tcW w:type="dxa" w:w="2016"/>
          </w:tcPr>
          <w:p>
            <w:r>
              <w:rPr>
                <w:rFonts w:ascii="Calibri" w:hAnsi="Calibri"/>
                <w:color w:val="333333"/>
                <w:sz w:val="18"/>
              </w:rPr>
              <w:t>AMZN</w:t>
            </w:r>
          </w:p>
        </w:tc>
        <w:tc>
          <w:tcPr>
            <w:tcW w:type="dxa" w:w="2016"/>
          </w:tcPr>
          <w:p>
            <w:r>
              <w:rPr>
                <w:rFonts w:ascii="Calibri" w:hAnsi="Calibri"/>
                <w:color w:val="333333"/>
                <w:sz w:val="18"/>
              </w:rPr>
              <w:t>Amazon.com, Inc.</w:t>
            </w:r>
          </w:p>
        </w:tc>
        <w:tc>
          <w:tcPr>
            <w:tcW w:type="dxa" w:w="2016"/>
          </w:tcPr>
          <w:p>
            <w:r>
              <w:rPr>
                <w:rFonts w:ascii="Calibri" w:hAnsi="Calibri"/>
                <w:color w:val="333333"/>
                <w:sz w:val="18"/>
              </w:rPr>
              <w:t>$2.3T</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3%</w:t>
            </w:r>
          </w:p>
        </w:tc>
      </w:tr>
      <w:tr>
        <w:tc>
          <w:tcPr>
            <w:tcW w:type="dxa" w:w="2016"/>
            <w:shd w:fill="F2F4F8" w:val="clear"/>
          </w:tcPr>
          <w:p>
            <w:r>
              <w:rPr>
                <w:rFonts w:ascii="Calibri" w:hAnsi="Calibri"/>
                <w:color w:val="333333"/>
                <w:sz w:val="18"/>
              </w:rPr>
              <w:t>META</w:t>
            </w:r>
          </w:p>
        </w:tc>
        <w:tc>
          <w:tcPr>
            <w:tcW w:type="dxa" w:w="2016"/>
            <w:shd w:fill="F2F4F8" w:val="clear"/>
          </w:tcPr>
          <w:p>
            <w:r>
              <w:rPr>
                <w:rFonts w:ascii="Calibri" w:hAnsi="Calibri"/>
                <w:color w:val="333333"/>
                <w:sz w:val="18"/>
              </w:rPr>
              <w:t>Meta Platforms, Inc.</w:t>
            </w:r>
          </w:p>
        </w:tc>
        <w:tc>
          <w:tcPr>
            <w:tcW w:type="dxa" w:w="2016"/>
            <w:shd w:fill="F2F4F8" w:val="clear"/>
          </w:tcPr>
          <w:p>
            <w:r>
              <w:rPr>
                <w:rFonts w:ascii="Calibri" w:hAnsi="Calibri"/>
                <w:color w:val="333333"/>
                <w:sz w:val="18"/>
              </w:rPr>
              <w:t>$1.5T</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5%</w:t>
            </w:r>
          </w:p>
        </w:tc>
      </w:tr>
      <w:tr>
        <w:tc>
          <w:tcPr>
            <w:tcW w:type="dxa" w:w="2016"/>
          </w:tcPr>
          <w:p>
            <w:r>
              <w:rPr>
                <w:rFonts w:ascii="Calibri" w:hAnsi="Calibri"/>
                <w:color w:val="333333"/>
                <w:sz w:val="18"/>
              </w:rPr>
              <w:t>NVDA</w:t>
            </w:r>
          </w:p>
        </w:tc>
        <w:tc>
          <w:tcPr>
            <w:tcW w:type="dxa" w:w="2016"/>
          </w:tcPr>
          <w:p>
            <w:r>
              <w:rPr>
                <w:rFonts w:ascii="Calibri" w:hAnsi="Calibri"/>
                <w:color w:val="333333"/>
                <w:sz w:val="18"/>
              </w:rPr>
              <w:t>NVIDIA Corporation</w:t>
            </w:r>
          </w:p>
        </w:tc>
        <w:tc>
          <w:tcPr>
            <w:tcW w:type="dxa" w:w="2016"/>
          </w:tcPr>
          <w:p>
            <w:r>
              <w:rPr>
                <w:rFonts w:ascii="Calibri" w:hAnsi="Calibri"/>
                <w:color w:val="333333"/>
                <w:sz w:val="18"/>
              </w:rPr>
              <w:t>$4.3T</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27%</w:t>
            </w:r>
          </w:p>
        </w:tc>
      </w:tr>
      <w:tr>
        <w:tc>
          <w:tcPr>
            <w:tcW w:type="dxa" w:w="2016"/>
            <w:shd w:fill="F2F4F8" w:val="clear"/>
          </w:tcPr>
          <w:p>
            <w:r>
              <w:rPr>
                <w:rFonts w:ascii="Calibri" w:hAnsi="Calibri"/>
                <w:color w:val="333333"/>
                <w:sz w:val="18"/>
              </w:rPr>
              <w:t>CRM</w:t>
            </w:r>
          </w:p>
        </w:tc>
        <w:tc>
          <w:tcPr>
            <w:tcW w:type="dxa" w:w="2016"/>
            <w:shd w:fill="F2F4F8" w:val="clear"/>
          </w:tcPr>
          <w:p>
            <w:r>
              <w:rPr>
                <w:rFonts w:ascii="Calibri" w:hAnsi="Calibri"/>
                <w:color w:val="333333"/>
                <w:sz w:val="18"/>
              </w:rPr>
              <w:t>Salesforce, Inc.</w:t>
            </w:r>
          </w:p>
        </w:tc>
        <w:tc>
          <w:tcPr>
            <w:tcW w:type="dxa" w:w="2016"/>
            <w:shd w:fill="F2F4F8" w:val="clear"/>
          </w:tcPr>
          <w:p>
            <w:r>
              <w:rPr>
                <w:rFonts w:ascii="Calibri" w:hAnsi="Calibri"/>
                <w:color w:val="333333"/>
                <w:sz w:val="18"/>
              </w:rPr>
              <w:t>$175.4B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34%</w:t>
            </w:r>
          </w:p>
        </w:tc>
      </w:tr>
      <w:tr>
        <w:tc>
          <w:tcPr>
            <w:tcW w:type="dxa" w:w="2016"/>
          </w:tcPr>
          <w:p>
            <w:r>
              <w:rPr>
                <w:rFonts w:ascii="Calibri" w:hAnsi="Calibri"/>
                <w:color w:val="333333"/>
                <w:sz w:val="18"/>
              </w:rPr>
              <w:t>ADBE</w:t>
            </w:r>
          </w:p>
        </w:tc>
        <w:tc>
          <w:tcPr>
            <w:tcW w:type="dxa" w:w="2016"/>
          </w:tcPr>
          <w:p>
            <w:r>
              <w:rPr>
                <w:rFonts w:ascii="Calibri" w:hAnsi="Calibri"/>
                <w:color w:val="333333"/>
                <w:sz w:val="18"/>
              </w:rPr>
              <w:t>Adobe Inc.</w:t>
            </w:r>
          </w:p>
        </w:tc>
        <w:tc>
          <w:tcPr>
            <w:tcW w:type="dxa" w:w="2016"/>
          </w:tcPr>
          <w:p>
            <w:r>
              <w:rPr>
                <w:rFonts w:ascii="Calibri" w:hAnsi="Calibri"/>
                <w:color w:val="333333"/>
                <w:sz w:val="18"/>
              </w:rPr>
              <w:t>$99.0B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18%</w:t>
            </w:r>
          </w:p>
        </w:tc>
      </w:tr>
      <w:tr>
        <w:tc>
          <w:tcPr>
            <w:tcW w:type="dxa" w:w="2016"/>
            <w:shd w:fill="F2F4F8" w:val="clear"/>
          </w:tcPr>
          <w:p>
            <w:r>
              <w:rPr>
                <w:rFonts w:ascii="Calibri" w:hAnsi="Calibri"/>
                <w:color w:val="333333"/>
                <w:sz w:val="18"/>
              </w:rPr>
              <w:t>ORCL</w:t>
            </w:r>
          </w:p>
        </w:tc>
        <w:tc>
          <w:tcPr>
            <w:tcW w:type="dxa" w:w="2016"/>
            <w:shd w:fill="F2F4F8" w:val="clear"/>
          </w:tcPr>
          <w:p>
            <w:r>
              <w:rPr>
                <w:rFonts w:ascii="Calibri" w:hAnsi="Calibri"/>
                <w:color w:val="333333"/>
                <w:sz w:val="18"/>
              </w:rPr>
              <w:t>Oracle Corporation</w:t>
            </w:r>
          </w:p>
        </w:tc>
        <w:tc>
          <w:tcPr>
            <w:tcW w:type="dxa" w:w="2016"/>
            <w:shd w:fill="F2F4F8" w:val="clear"/>
          </w:tcPr>
          <w:p>
            <w:r>
              <w:rPr>
                <w:rFonts w:ascii="Calibri" w:hAnsi="Calibri"/>
                <w:color w:val="333333"/>
                <w:sz w:val="18"/>
              </w:rPr>
              <w:t>$421.0B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30%</w:t>
            </w:r>
          </w:p>
        </w:tc>
      </w:tr>
      <w:tr>
        <w:tc>
          <w:tcPr>
            <w:tcW w:type="dxa" w:w="2016"/>
          </w:tcPr>
          <w:p>
            <w:r>
              <w:rPr>
                <w:rFonts w:ascii="Calibri" w:hAnsi="Calibri"/>
                <w:color w:val="333333"/>
                <w:sz w:val="18"/>
              </w:rPr>
              <w:t>CSCO</w:t>
            </w:r>
          </w:p>
        </w:tc>
        <w:tc>
          <w:tcPr>
            <w:tcW w:type="dxa" w:w="2016"/>
          </w:tcPr>
          <w:p>
            <w:r>
              <w:rPr>
                <w:rFonts w:ascii="Calibri" w:hAnsi="Calibri"/>
                <w:color w:val="333333"/>
                <w:sz w:val="18"/>
              </w:rPr>
              <w:t>Cisco Systems, Inc.</w:t>
            </w:r>
          </w:p>
        </w:tc>
        <w:tc>
          <w:tcPr>
            <w:tcW w:type="dxa" w:w="2016"/>
          </w:tcPr>
          <w:p>
            <w:r>
              <w:rPr>
                <w:rFonts w:ascii="Calibri" w:hAnsi="Calibri"/>
                <w:color w:val="333333"/>
                <w:sz w:val="18"/>
              </w:rPr>
              <w:t>$312.2B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43%</w:t>
            </w:r>
          </w:p>
        </w:tc>
      </w:tr>
    </w:tbl>
    <w:p>
      <w:pPr>
        <w:pStyle w:val="DOBody"/>
      </w:pPr>
      <w:r>
        <w:rPr>
          <w:rFonts w:ascii="Calibri" w:hAnsi="Calibri"/>
          <w:color w:val="333333"/>
          <w:sz w:val="20"/>
        </w:rPr>
        <w:t>The peer group of 9 companies shares the same industry classification (SIC 3674). INTEL CORP ranks at the 22nd percentile among 9 peers by market capitalization.</w:t>
      </w:r>
    </w:p>
    <w:p>
      <w:pPr>
        <w:pStyle w:val="DOHeading2"/>
      </w:pPr>
      <w:r>
        <w:t>Revenue Segments</w:t>
      </w:r>
    </w:p>
    <w:p>
      <w:pPr>
        <w:pStyle w:val="DOBody"/>
      </w:pPr>
      <w:r>
        <w:t>Revenue segment data not available.</w:t>
      </w:r>
    </w:p>
    <w:p>
      <w:pPr>
        <w:pStyle w:val="DOHeading2"/>
      </w:pPr>
      <w:r>
        <w:t>Geographic Footprint</w:t>
      </w:r>
    </w:p>
    <w:p>
      <w:pPr>
        <w:pStyle w:val="DOBody"/>
      </w:pPr>
      <w:r>
        <w:t>Geographic footprint data not available.</w:t>
      </w:r>
    </w:p>
    <w:p>
      <w:pPr>
        <w:pStyle w:val="DOHeading2"/>
      </w:pPr>
      <w:r>
        <w:t>Customer &amp; Supplier Concentration</w:t>
      </w:r>
    </w:p>
    <w:p>
      <w:pPr>
        <w:pStyle w:val="DOBody"/>
      </w:pPr>
      <w:r>
        <w:t>Concentration data not available from filings.</w:t>
      </w:r>
    </w:p>
    <w:p>
      <w:pPr>
        <w:pStyle w:val="DOHeading2"/>
      </w:pPr>
      <w:r>
        <w:t>D&amp;O Exposure Factors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Exposure Type</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Coverage Part</w:t>
            </w:r>
          </w:p>
        </w:tc>
      </w:tr>
      <w:tr>
        <w:tc>
          <w:tcPr>
            <w:tcW w:type="dxa" w:w="2520"/>
          </w:tcPr>
          <w:p>
            <w:r>
              <w:rPr>
                <w:rFonts w:ascii="Calibri" w:hAnsi="Calibri"/>
                <w:color w:val="333333"/>
                <w:sz w:val="18"/>
              </w:rPr>
              <w:t>Securities Litigation</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Shareholder class actions, SEC enforcement</w:t>
            </w:r>
          </w:p>
        </w:tc>
        <w:tc>
          <w:tcPr>
            <w:tcW w:type="dxa" w:w="2520"/>
          </w:tcPr>
          <w:p>
            <w:r>
              <w:rPr>
                <w:rFonts w:ascii="Calibri" w:hAnsi="Calibri"/>
                <w:color w:val="333333"/>
                <w:sz w:val="18"/>
              </w:rPr>
              <w:t>Side A/B/C</w:t>
            </w:r>
          </w:p>
        </w:tc>
      </w:tr>
      <w:tr>
        <w:tc>
          <w:tcPr>
            <w:tcW w:type="dxa" w:w="2520"/>
            <w:shd w:fill="F2F4F8" w:val="clear"/>
          </w:tcPr>
          <w:p>
            <w:r>
              <w:rPr>
                <w:rFonts w:ascii="Calibri" w:hAnsi="Calibri"/>
                <w:color w:val="333333"/>
                <w:sz w:val="18"/>
              </w:rPr>
              <w:t>Derivative Actions</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Breach of fiduciary duty, waste claims</w:t>
            </w:r>
          </w:p>
        </w:tc>
        <w:tc>
          <w:tcPr>
            <w:tcW w:type="dxa" w:w="2520"/>
            <w:shd w:fill="F2F4F8" w:val="clear"/>
          </w:tcPr>
          <w:p>
            <w:r>
              <w:rPr>
                <w:rFonts w:ascii="Calibri" w:hAnsi="Calibri"/>
                <w:color w:val="333333"/>
                <w:sz w:val="18"/>
              </w:rPr>
              <w:t>Side A/B</w:t>
            </w:r>
          </w:p>
        </w:tc>
      </w:tr>
      <w:tr>
        <w:tc>
          <w:tcPr>
            <w:tcW w:type="dxa" w:w="2520"/>
          </w:tcPr>
          <w:p>
            <w:r>
              <w:rPr>
                <w:rFonts w:ascii="Calibri" w:hAnsi="Calibri"/>
                <w:color w:val="333333"/>
                <w:sz w:val="18"/>
              </w:rPr>
              <w:t>Employment Practices</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Discrimination, harassment, wrongful termination</w:t>
            </w:r>
          </w:p>
        </w:tc>
        <w:tc>
          <w:tcPr>
            <w:tcW w:type="dxa" w:w="2520"/>
          </w:tcPr>
          <w:p>
            <w:r>
              <w:rPr>
                <w:rFonts w:ascii="Calibri" w:hAnsi="Calibri"/>
                <w:color w:val="333333"/>
                <w:sz w:val="18"/>
              </w:rPr>
              <w:t>Side B/C (EPLI)</w:t>
            </w:r>
          </w:p>
        </w:tc>
      </w:tr>
      <w:tr>
        <w:tc>
          <w:tcPr>
            <w:tcW w:type="dxa" w:w="2520"/>
            <w:shd w:fill="F2F4F8" w:val="clear"/>
          </w:tcPr>
          <w:p>
            <w:r>
              <w:rPr>
                <w:rFonts w:ascii="Calibri" w:hAnsi="Calibri"/>
                <w:color w:val="333333"/>
                <w:sz w:val="18"/>
              </w:rPr>
              <w:t>Regulatory/Government</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DOJ, SEC, FTC, state AG investigations</w:t>
            </w:r>
          </w:p>
        </w:tc>
        <w:tc>
          <w:tcPr>
            <w:tcW w:type="dxa" w:w="2520"/>
            <w:shd w:fill="F2F4F8" w:val="clear"/>
          </w:tcPr>
          <w:p>
            <w:r>
              <w:rPr>
                <w:rFonts w:ascii="Calibri" w:hAnsi="Calibri"/>
                <w:color w:val="333333"/>
                <w:sz w:val="18"/>
              </w:rPr>
              <w:t>Side A (primarily)</w:t>
            </w:r>
          </w:p>
        </w:tc>
      </w:tr>
      <w:tr>
        <w:tc>
          <w:tcPr>
            <w:tcW w:type="dxa" w:w="2520"/>
          </w:tcPr>
          <w:p>
            <w:r>
              <w:rPr>
                <w:rFonts w:ascii="Calibri" w:hAnsi="Calibri"/>
                <w:color w:val="333333"/>
                <w:sz w:val="18"/>
              </w:rPr>
              <w:t>Fiduciary (ERISA)</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401(k) plan mismanagement, fee litigation</w:t>
            </w:r>
          </w:p>
        </w:tc>
        <w:tc>
          <w:tcPr>
            <w:tcW w:type="dxa" w:w="2520"/>
          </w:tcPr>
          <w:p>
            <w:r>
              <w:rPr>
                <w:rFonts w:ascii="Calibri" w:hAnsi="Calibri"/>
                <w:color w:val="333333"/>
                <w:sz w:val="18"/>
              </w:rPr>
              <w:t>Fiduciary Liability</w:t>
            </w:r>
          </w:p>
        </w:tc>
      </w:tr>
    </w:tbl>
    <w:p>
      <w:pPr>
        <w:pStyle w:val="DOCaption"/>
      </w:pPr>
      <w:r>
        <w:t>Standard D&amp;O exposure categories shown. See individual analysis sections for company-specific risk levels.</w:t>
      </w:r>
    </w:p>
    <w:p>
      <w:pPr>
        <w:pStyle w:val="DOHeading2"/>
      </w:pPr>
      <w:r>
        <w:t>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MEGA</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TECH (TECH)</w:t>
            </w:r>
          </w:p>
        </w:tc>
      </w:tr>
      <w:tr>
        <w:tc>
          <w:tcPr>
            <w:tcW w:type="dxa" w:w="5040"/>
          </w:tcPr>
          <w:p>
            <w:r>
              <w:rPr>
                <w:rFonts w:ascii="Calibri" w:hAnsi="Calibri"/>
                <w:color w:val="333333"/>
                <w:sz w:val="18"/>
              </w:rPr>
              <w:t>Years Public</w:t>
            </w:r>
          </w:p>
        </w:tc>
        <w:tc>
          <w:tcPr>
            <w:tcW w:type="dxa" w:w="5040"/>
          </w:tcPr>
          <w:p>
            <w:r>
              <w:rPr>
                <w:rFonts w:ascii="Calibri" w:hAnsi="Calibri"/>
                <w:color w:val="333333"/>
                <w:sz w:val="18"/>
              </w:rPr>
              <w:t>46</w:t>
            </w:r>
          </w:p>
        </w:tc>
      </w:tr>
      <w:tr>
        <w:tc>
          <w:tcPr>
            <w:tcW w:type="dxa" w:w="5040"/>
            <w:shd w:fill="F2F4F8" w:val="clear"/>
          </w:tcPr>
          <w:p>
            <w:r>
              <w:rPr>
                <w:rFonts w:ascii="Calibri" w:hAnsi="Calibri"/>
                <w:color w:val="333333"/>
                <w:sz w:val="18"/>
              </w:rPr>
              <w:t>Base Filing Rate</w:t>
            </w:r>
          </w:p>
        </w:tc>
        <w:tc>
          <w:tcPr>
            <w:tcW w:type="dxa" w:w="5040"/>
            <w:shd w:fill="F2F4F8" w:val="clear"/>
          </w:tcPr>
          <w:p>
            <w:r>
              <w:rPr>
                <w:rFonts w:ascii="Calibri" w:hAnsi="Calibri"/>
                <w:color w:val="333333"/>
                <w:sz w:val="18"/>
              </w:rPr>
              <w:t>9.0%</w:t>
            </w:r>
          </w:p>
        </w:tc>
      </w:tr>
      <w:tr>
        <w:tc>
          <w:tcPr>
            <w:tcW w:type="dxa" w:w="5040"/>
          </w:tcPr>
          <w:p>
            <w:r>
              <w:rPr>
                <w:rFonts w:ascii="Calibri" w:hAnsi="Calibri"/>
                <w:color w:val="333333"/>
                <w:sz w:val="18"/>
              </w:rPr>
              <w:t>Severity Band</w:t>
            </w:r>
          </w:p>
        </w:tc>
        <w:tc>
          <w:tcPr>
            <w:tcW w:type="dxa" w:w="5040"/>
          </w:tcPr>
          <w:p>
            <w:r>
              <w:rPr>
                <w:rFonts w:ascii="Calibri" w:hAnsi="Calibri"/>
                <w:color w:val="333333"/>
                <w:sz w:val="18"/>
              </w:rPr>
              <w:t>$150.0M -- $500.0M</w:t>
            </w:r>
          </w:p>
        </w:tc>
      </w:tr>
      <w:tr>
        <w:tc>
          <w:tcPr>
            <w:tcW w:type="dxa" w:w="5040"/>
            <w:shd w:fill="F2F4F8" w:val="clear"/>
          </w:tcPr>
          <w:p>
            <w:r>
              <w:rPr>
                <w:rFonts w:ascii="Calibri" w:hAnsi="Calibri"/>
                <w:color w:val="333333"/>
                <w:sz w:val="18"/>
              </w:rPr>
              <w:t>DDL Exposure Base</w:t>
            </w:r>
          </w:p>
        </w:tc>
        <w:tc>
          <w:tcPr>
            <w:tcW w:type="dxa" w:w="5040"/>
            <w:shd w:fill="F2F4F8" w:val="clear"/>
          </w:tcPr>
          <w:p>
            <w:r>
              <w:rPr>
                <w:rFonts w:ascii="Calibri" w:hAnsi="Calibri"/>
                <w:color w:val="333333"/>
                <w:sz w:val="18"/>
              </w:rPr>
              <w:t>$36.2B</w:t>
            </w:r>
          </w:p>
        </w:tc>
      </w:tr>
      <w:tr>
        <w:tc>
          <w:tcPr>
            <w:tcW w:type="dxa" w:w="5040"/>
          </w:tcPr>
          <w:p>
            <w:r>
              <w:rPr>
                <w:rFonts w:ascii="Calibri" w:hAnsi="Calibri"/>
                <w:color w:val="333333"/>
                <w:sz w:val="18"/>
              </w:rPr>
              <w:t>IPO Multiplier</w:t>
            </w:r>
          </w:p>
        </w:tc>
        <w:tc>
          <w:tcPr>
            <w:tcW w:type="dxa" w:w="5040"/>
          </w:tcPr>
          <w:p>
            <w:r>
              <w:rPr>
                <w:rFonts w:ascii="Calibri" w:hAnsi="Calibri"/>
                <w:color w:val="333333"/>
                <w:sz w:val="18"/>
              </w:rPr>
              <w:t>1.00x</w:t>
            </w:r>
          </w:p>
        </w:tc>
      </w:tr>
      <w:tr>
        <w:tc>
          <w:tcPr>
            <w:tcW w:type="dxa" w:w="5040"/>
            <w:shd w:fill="F2F4F8" w:val="clear"/>
          </w:tcPr>
          <w:p>
            <w:r>
              <w:rPr>
                <w:rFonts w:ascii="Calibri" w:hAnsi="Calibri"/>
                <w:color w:val="333333"/>
                <w:sz w:val="18"/>
              </w:rPr>
              <w:t>Cap Filing Multiplier</w:t>
            </w:r>
          </w:p>
        </w:tc>
        <w:tc>
          <w:tcPr>
            <w:tcW w:type="dxa" w:w="5040"/>
            <w:shd w:fill="F2F4F8" w:val="clear"/>
          </w:tcPr>
          <w:p>
            <w:r>
              <w:rPr>
                <w:rFonts w:ascii="Calibri" w:hAnsi="Calibri"/>
                <w:color w:val="333333"/>
                <w:sz w:val="18"/>
              </w:rPr>
              <w:t>1.80x</w:t>
            </w:r>
          </w:p>
        </w:tc>
      </w:tr>
    </w:tbl>
    <w:p>
      <w:pPr>
        <w:pStyle w:val="DOHeading2"/>
      </w:pPr>
      <w:r>
        <w:t>Hazard Profile (Inherent Exposure Score)</w:t>
      </w:r>
    </w:p>
    <w:p>
      <w:pPr>
        <w:pStyle w:val="DOBody"/>
      </w:pPr>
      <w:r>
        <w:rPr>
          <w:b/>
        </w:rPr>
        <w:t>IES: 46/100 (MODERATE) | Multiplier: 0.96x | Data Coverage: 67%</w:t>
      </w:r>
      <w:r>
        <w:rPr>
          <w:b/>
          <w:color w:val="2563EB"/>
          <w:sz w:val="18"/>
        </w:rPr>
        <w:t xml:space="preserve"> [MODERATE]</w:t>
      </w:r>
    </w:p>
    <w:p>
      <w:pPr>
        <w:pStyle w:val="DOHeading3"/>
      </w:pPr>
      <w:r>
        <w:t>Top Risk Dimensions (Elevated+)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Dimension</w:t>
            </w:r>
          </w:p>
        </w:tc>
        <w:tc>
          <w:tcPr>
            <w:tcW w:type="dxa" w:w="2520"/>
            <w:shd w:fill="1A1446" w:val="clear"/>
          </w:tcPr>
          <w:p>
            <w:r>
              <w:rPr>
                <w:rFonts w:ascii="Calibri" w:hAnsi="Calibri"/>
                <w:b/>
                <w:color w:val="FFFFFF"/>
                <w:sz w:val="18"/>
              </w:rPr>
              <w:t>Score</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Evidence</w:t>
            </w:r>
          </w:p>
        </w:tc>
      </w:tr>
      <w:tr>
        <w:tc>
          <w:tcPr>
            <w:tcW w:type="dxa" w:w="2520"/>
          </w:tcPr>
          <w:p>
            <w:r>
              <w:rPr>
                <w:rFonts w:ascii="Calibri" w:hAnsi="Calibri"/>
                <w:color w:val="333333"/>
                <w:sz w:val="18"/>
              </w:rPr>
              <w:t>Board Independence</w:t>
            </w:r>
          </w:p>
        </w:tc>
        <w:tc>
          <w:tcPr>
            <w:tcW w:type="dxa" w:w="2520"/>
          </w:tcPr>
          <w:p>
            <w:r>
              <w:rPr>
                <w:rFonts w:ascii="Calibri" w:hAnsi="Calibri"/>
                <w:color w:val="333333"/>
                <w:sz w:val="18"/>
              </w:rPr>
              <w:t>100</w:t>
            </w:r>
          </w:p>
        </w:tc>
        <w:tc>
          <w:tcPr>
            <w:tcW w:type="dxa" w:w="2520"/>
          </w:tcPr>
          <w:p>
            <w:r>
              <w:rPr>
                <w:rFonts w:ascii="Calibri" w:hAnsi="Calibri"/>
                <w:color w:val="333333"/>
                <w:sz w:val="18"/>
              </w:rPr>
              <w:t>CRITICAL</w:t>
            </w:r>
          </w:p>
        </w:tc>
        <w:tc>
          <w:tcPr>
            <w:tcW w:type="dxa" w:w="2520"/>
          </w:tcPr>
          <w:p>
            <w:r>
              <w:rPr>
                <w:rFonts w:ascii="Calibri" w:hAnsi="Calibri"/>
                <w:color w:val="333333"/>
                <w:sz w:val="18"/>
              </w:rPr>
              <w:t>Proxy: independence score 0.0; Estimated from related indicators.</w:t>
            </w:r>
          </w:p>
        </w:tc>
      </w:tr>
      <w:tr>
        <w:tc>
          <w:tcPr>
            <w:tcW w:type="dxa" w:w="2520"/>
            <w:shd w:fill="F2F4F8" w:val="clear"/>
          </w:tcPr>
          <w:p>
            <w:r>
              <w:rPr>
                <w:rFonts w:ascii="Calibri" w:hAnsi="Calibri"/>
                <w:color w:val="333333"/>
                <w:sz w:val="18"/>
              </w:rPr>
              <w:t>Capital Intensity</w:t>
            </w:r>
          </w:p>
        </w:tc>
        <w:tc>
          <w:tcPr>
            <w:tcW w:type="dxa" w:w="2520"/>
            <w:shd w:fill="F2F4F8" w:val="clear"/>
          </w:tcPr>
          <w:p>
            <w:r>
              <w:rPr>
                <w:rFonts w:ascii="Calibri" w:hAnsi="Calibri"/>
                <w:color w:val="333333"/>
                <w:sz w:val="18"/>
              </w:rPr>
              <w:t>83</w:t>
            </w:r>
          </w:p>
        </w:tc>
        <w:tc>
          <w:tcPr>
            <w:tcW w:type="dxa" w:w="2520"/>
            <w:shd w:fill="F2F4F8" w:val="clear"/>
          </w:tcPr>
          <w:p>
            <w:r>
              <w:rPr>
                <w:rFonts w:ascii="Calibri" w:hAnsi="Calibri"/>
                <w:color w:val="333333"/>
                <w:sz w:val="18"/>
              </w:rPr>
              <w:t>CRITICAL</w:t>
            </w:r>
          </w:p>
        </w:tc>
        <w:tc>
          <w:tcPr>
            <w:tcW w:type="dxa" w:w="2520"/>
            <w:shd w:fill="F2F4F8" w:val="clear"/>
          </w:tcPr>
          <w:p>
            <w:r>
              <w:rPr>
                <w:rFonts w:ascii="Calibri" w:hAnsi="Calibri"/>
                <w:color w:val="333333"/>
                <w:sz w:val="18"/>
              </w:rPr>
              <w:t>CapEx/Revenue 27.7% (HIGH); PP&amp;E/Assets 49.9% (MODERATE)</w:t>
            </w:r>
          </w:p>
        </w:tc>
      </w:tr>
      <w:tr>
        <w:tc>
          <w:tcPr>
            <w:tcW w:type="dxa" w:w="2520"/>
          </w:tcPr>
          <w:p>
            <w:r>
              <w:rPr>
                <w:rFonts w:ascii="Calibri" w:hAnsi="Calibri"/>
                <w:color w:val="333333"/>
                <w:sz w:val="18"/>
              </w:rPr>
              <w:t>Cash Flow vs Earnings Divergence</w:t>
            </w:r>
          </w:p>
        </w:tc>
        <w:tc>
          <w:tcPr>
            <w:tcW w:type="dxa" w:w="2520"/>
          </w:tcPr>
          <w:p>
            <w:r>
              <w:rPr>
                <w:rFonts w:ascii="Calibri" w:hAnsi="Calibri"/>
                <w:color w:val="333333"/>
                <w:sz w:val="18"/>
              </w:rPr>
              <w:t>83</w:t>
            </w:r>
          </w:p>
        </w:tc>
        <w:tc>
          <w:tcPr>
            <w:tcW w:type="dxa" w:w="2520"/>
          </w:tcPr>
          <w:p>
            <w:r>
              <w:rPr>
                <w:rFonts w:ascii="Calibri" w:hAnsi="Calibri"/>
                <w:color w:val="333333"/>
                <w:sz w:val="18"/>
              </w:rPr>
              <w:t>CRITICAL</w:t>
            </w:r>
          </w:p>
        </w:tc>
        <w:tc>
          <w:tcPr>
            <w:tcW w:type="dxa" w:w="2520"/>
          </w:tcPr>
          <w:p>
            <w:r>
              <w:rPr>
                <w:rFonts w:ascii="Calibri" w:hAnsi="Calibri"/>
                <w:color w:val="333333"/>
                <w:sz w:val="18"/>
              </w:rPr>
              <w:t>OCF/NI ratio -36.32 -- significant divergence</w:t>
            </w:r>
          </w:p>
        </w:tc>
      </w:tr>
      <w:tr>
        <w:tc>
          <w:tcPr>
            <w:tcW w:type="dxa" w:w="2520"/>
            <w:shd w:fill="F2F4F8" w:val="clear"/>
          </w:tcPr>
          <w:p>
            <w:r>
              <w:rPr>
                <w:rFonts w:ascii="Calibri" w:hAnsi="Calibri"/>
                <w:color w:val="333333"/>
                <w:sz w:val="18"/>
              </w:rPr>
              <w:t>Industry Regulatory Spotlight</w:t>
            </w:r>
          </w:p>
        </w:tc>
        <w:tc>
          <w:tcPr>
            <w:tcW w:type="dxa" w:w="2520"/>
            <w:shd w:fill="F2F4F8" w:val="clear"/>
          </w:tcPr>
          <w:p>
            <w:r>
              <w:rPr>
                <w:rFonts w:ascii="Calibri" w:hAnsi="Calibri"/>
                <w:color w:val="333333"/>
                <w:sz w:val="18"/>
              </w:rPr>
              <w:t>83</w:t>
            </w:r>
          </w:p>
        </w:tc>
        <w:tc>
          <w:tcPr>
            <w:tcW w:type="dxa" w:w="2520"/>
            <w:shd w:fill="F2F4F8" w:val="clear"/>
          </w:tcPr>
          <w:p>
            <w:r>
              <w:rPr>
                <w:rFonts w:ascii="Calibri" w:hAnsi="Calibri"/>
                <w:color w:val="333333"/>
                <w:sz w:val="18"/>
              </w:rPr>
              <w:t>CRITICAL</w:t>
            </w:r>
          </w:p>
        </w:tc>
        <w:tc>
          <w:tcPr>
            <w:tcW w:type="dxa" w:w="2520"/>
            <w:shd w:fill="F2F4F8" w:val="clear"/>
          </w:tcPr>
          <w:p>
            <w:r>
              <w:rPr>
                <w:rFonts w:ascii="Calibri" w:hAnsi="Calibri"/>
                <w:color w:val="333333"/>
                <w:sz w:val="18"/>
              </w:rPr>
              <w:t>Sector 'TECH' regulatory spotlight level: 2.5/3.0</w:t>
            </w:r>
          </w:p>
        </w:tc>
      </w:tr>
      <w:tr>
        <w:tc>
          <w:tcPr>
            <w:tcW w:type="dxa" w:w="2520"/>
          </w:tcPr>
          <w:p>
            <w:r>
              <w:rPr>
                <w:rFonts w:ascii="Calibri" w:hAnsi="Calibri"/>
                <w:color w:val="333333"/>
                <w:sz w:val="18"/>
              </w:rPr>
              <w:t>Industry Sector Risk Tier</w:t>
            </w:r>
          </w:p>
        </w:tc>
        <w:tc>
          <w:tcPr>
            <w:tcW w:type="dxa" w:w="2520"/>
          </w:tcPr>
          <w:p>
            <w:r>
              <w:rPr>
                <w:rFonts w:ascii="Calibri" w:hAnsi="Calibri"/>
                <w:color w:val="333333"/>
                <w:sz w:val="18"/>
              </w:rPr>
              <w:t>70</w:t>
            </w:r>
          </w:p>
        </w:tc>
        <w:tc>
          <w:tcPr>
            <w:tcW w:type="dxa" w:w="2520"/>
          </w:tcPr>
          <w:p>
            <w:r>
              <w:rPr>
                <w:rFonts w:ascii="Calibri" w:hAnsi="Calibri"/>
                <w:color w:val="333333"/>
                <w:sz w:val="18"/>
              </w:rPr>
              <w:t>HIGH</w:t>
            </w:r>
          </w:p>
        </w:tc>
        <w:tc>
          <w:tcPr>
            <w:tcW w:type="dxa" w:w="2520"/>
          </w:tcPr>
          <w:p>
            <w:r>
              <w:rPr>
                <w:rFonts w:ascii="Calibri" w:hAnsi="Calibri"/>
                <w:color w:val="333333"/>
                <w:sz w:val="18"/>
              </w:rPr>
              <w:t>Sector 'TECH' maps to risk score 7.0/10.0</w:t>
            </w:r>
          </w:p>
        </w:tc>
      </w:tr>
      <w:tr>
        <w:tc>
          <w:tcPr>
            <w:tcW w:type="dxa" w:w="2520"/>
            <w:shd w:fill="F2F4F8" w:val="clear"/>
          </w:tcPr>
          <w:p>
            <w:r>
              <w:rPr>
                <w:rFonts w:ascii="Calibri" w:hAnsi="Calibri"/>
                <w:color w:val="333333"/>
                <w:sz w:val="18"/>
              </w:rPr>
              <w:t>Dual-Class Structure</w:t>
            </w:r>
          </w:p>
        </w:tc>
        <w:tc>
          <w:tcPr>
            <w:tcW w:type="dxa" w:w="2520"/>
            <w:shd w:fill="F2F4F8" w:val="clear"/>
          </w:tcPr>
          <w:p>
            <w:r>
              <w:rPr>
                <w:rFonts w:ascii="Calibri" w:hAnsi="Calibri"/>
                <w:color w:val="333333"/>
                <w:sz w:val="18"/>
              </w:rPr>
              <w:t>67</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Dual-class structure present</w:t>
            </w:r>
          </w:p>
        </w:tc>
      </w:tr>
      <w:tr>
        <w:tc>
          <w:tcPr>
            <w:tcW w:type="dxa" w:w="2520"/>
          </w:tcPr>
          <w:p>
            <w:r>
              <w:rPr>
                <w:rFonts w:ascii="Calibri" w:hAnsi="Calibri"/>
                <w:color w:val="333333"/>
                <w:sz w:val="18"/>
              </w:rPr>
              <w:t>Industry Expertise Match</w:t>
            </w:r>
          </w:p>
        </w:tc>
        <w:tc>
          <w:tcPr>
            <w:tcW w:type="dxa" w:w="2520"/>
          </w:tcPr>
          <w:p>
            <w:r>
              <w:rPr>
                <w:rFonts w:ascii="Calibri" w:hAnsi="Calibri"/>
                <w:color w:val="333333"/>
                <w:sz w:val="18"/>
              </w:rPr>
              <w:t>67</w:t>
            </w:r>
          </w:p>
        </w:tc>
        <w:tc>
          <w:tcPr>
            <w:tcW w:type="dxa" w:w="2520"/>
          </w:tcPr>
          <w:p>
            <w:r>
              <w:rPr>
                <w:rFonts w:ascii="Calibri" w:hAnsi="Calibri"/>
                <w:color w:val="333333"/>
                <w:sz w:val="18"/>
              </w:rPr>
              <w:t>HIGH</w:t>
            </w:r>
          </w:p>
        </w:tc>
        <w:tc>
          <w:tcPr>
            <w:tcW w:type="dxa" w:w="2520"/>
          </w:tcPr>
          <w:p>
            <w:r>
              <w:rPr>
                <w:rFonts w:ascii="Calibri" w:hAnsi="Calibri"/>
                <w:color w:val="333333"/>
                <w:sz w:val="18"/>
              </w:rPr>
              <w:t>No executives with explicit TECH background in bios</w:t>
            </w:r>
          </w:p>
        </w:tc>
      </w:tr>
      <w:tr>
        <w:tc>
          <w:tcPr>
            <w:tcW w:type="dxa" w:w="2520"/>
            <w:shd w:fill="F2F4F8" w:val="clear"/>
          </w:tcPr>
          <w:p>
            <w:r>
              <w:rPr>
                <w:rFonts w:ascii="Calibri" w:hAnsi="Calibri"/>
                <w:color w:val="333333"/>
                <w:sz w:val="18"/>
              </w:rPr>
              <w:t>Combined CEO / Board Chair</w:t>
            </w:r>
          </w:p>
        </w:tc>
        <w:tc>
          <w:tcPr>
            <w:tcW w:type="dxa" w:w="2520"/>
            <w:shd w:fill="F2F4F8" w:val="clear"/>
          </w:tcPr>
          <w:p>
            <w:r>
              <w:rPr>
                <w:rFonts w:ascii="Calibri" w:hAnsi="Calibri"/>
                <w:color w:val="333333"/>
                <w:sz w:val="18"/>
              </w:rPr>
              <w:t>67</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CEO and Chair roles combined -- concentrated authority</w:t>
            </w:r>
          </w:p>
        </w:tc>
      </w:tr>
      <w:tr>
        <w:tc>
          <w:tcPr>
            <w:tcW w:type="dxa" w:w="2520"/>
          </w:tcPr>
          <w:p>
            <w:r>
              <w:rPr>
                <w:rFonts w:ascii="Calibri" w:hAnsi="Calibri"/>
                <w:color w:val="333333"/>
                <w:sz w:val="18"/>
              </w:rPr>
              <w:t>Industry Litigation Wave</w:t>
            </w:r>
          </w:p>
        </w:tc>
        <w:tc>
          <w:tcPr>
            <w:tcW w:type="dxa" w:w="2520"/>
          </w:tcPr>
          <w:p>
            <w:r>
              <w:rPr>
                <w:rFonts w:ascii="Calibri" w:hAnsi="Calibri"/>
                <w:color w:val="333333"/>
                <w:sz w:val="18"/>
              </w:rPr>
              <w:t>67</w:t>
            </w:r>
          </w:p>
        </w:tc>
        <w:tc>
          <w:tcPr>
            <w:tcW w:type="dxa" w:w="2520"/>
          </w:tcPr>
          <w:p>
            <w:r>
              <w:rPr>
                <w:rFonts w:ascii="Calibri" w:hAnsi="Calibri"/>
                <w:color w:val="333333"/>
                <w:sz w:val="18"/>
              </w:rPr>
              <w:t>HIGH</w:t>
            </w:r>
          </w:p>
        </w:tc>
        <w:tc>
          <w:tcPr>
            <w:tcW w:type="dxa" w:w="2520"/>
          </w:tcPr>
          <w:p>
            <w:r>
              <w:rPr>
                <w:rFonts w:ascii="Calibri" w:hAnsi="Calibri"/>
                <w:color w:val="333333"/>
                <w:sz w:val="18"/>
              </w:rPr>
              <w:t>Sector 'TECH' litigation wave level: 2.0/3.0</w:t>
            </w:r>
          </w:p>
        </w:tc>
      </w:tr>
      <w:tr>
        <w:tc>
          <w:tcPr>
            <w:tcW w:type="dxa" w:w="2520"/>
            <w:shd w:fill="F2F4F8" w:val="clear"/>
          </w:tcPr>
          <w:p>
            <w:r>
              <w:rPr>
                <w:rFonts w:ascii="Calibri" w:hAnsi="Calibri"/>
                <w:color w:val="333333"/>
                <w:sz w:val="18"/>
              </w:rPr>
              <w:t>Business Model Complexity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Regulatory Intensity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Sector 'TECH' regulatory intensity: 2.5/5.0</w:t>
            </w:r>
          </w:p>
        </w:tc>
      </w:tr>
      <w:tr>
        <w:tc>
          <w:tcPr>
            <w:tcW w:type="dxa" w:w="2520"/>
            <w:shd w:fill="F2F4F8" w:val="clear"/>
          </w:tcPr>
          <w:p>
            <w:r>
              <w:rPr>
                <w:rFonts w:ascii="Calibri" w:hAnsi="Calibri"/>
                <w:color w:val="333333"/>
                <w:sz w:val="18"/>
              </w:rPr>
              <w:t>Geographic Complexity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Customer &amp; Supplier Concentration</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Technology Platform Dependency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IP Dependency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Scale Experience Mismatch</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Founder-Led vs Professional Management</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Key Person Dependency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Management Turnover</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Off-Balance Sheet Arrangements</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Related Party Transactions</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Capital Markets Activity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Audit Committee Quality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Committee quality score 0.0/10 (weak); Estimated from related indicators.</w:t>
            </w:r>
          </w:p>
        </w:tc>
      </w:tr>
      <w:tr>
        <w:tc>
          <w:tcPr>
            <w:tcW w:type="dxa" w:w="2520"/>
            <w:shd w:fill="F2F4F8" w:val="clear"/>
          </w:tcPr>
          <w:p>
            <w:r>
              <w:rPr>
                <w:rFonts w:ascii="Calibri" w:hAnsi="Calibri"/>
                <w:color w:val="333333"/>
                <w:sz w:val="18"/>
              </w:rPr>
              <w:t>Shareholder Rights</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Compensation Structure</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Clawback policy in place; CEO pay ratio 812:1 (elevated)</w:t>
            </w:r>
          </w:p>
        </w:tc>
      </w:tr>
      <w:tr>
        <w:tc>
          <w:tcPr>
            <w:tcW w:type="dxa" w:w="2520"/>
            <w:shd w:fill="F2F4F8" w:val="clear"/>
          </w:tcPr>
          <w:p>
            <w:r>
              <w:rPr>
                <w:rFonts w:ascii="Calibri" w:hAnsi="Calibri"/>
                <w:color w:val="333333"/>
                <w:sz w:val="18"/>
              </w:rPr>
              <w:t>Method of Going Public</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Market Cycle Position</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Market cycle scored at config default (moderate -- apply system-wide); Estimated from related indicators.</w:t>
            </w:r>
          </w:p>
        </w:tc>
      </w:tr>
      <w:tr>
        <w:tc>
          <w:tcPr>
            <w:tcW w:type="dxa" w:w="2520"/>
            <w:shd w:fill="F2F4F8" w:val="clear"/>
          </w:tcPr>
          <w:p>
            <w:r>
              <w:rPr>
                <w:rFonts w:ascii="Calibri" w:hAnsi="Calibri"/>
                <w:color w:val="333333"/>
                <w:sz w:val="18"/>
              </w:rPr>
              <w:t>Political &amp; Policy Environment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Political/policy environment at config default (moderate); Estimated from related indicators.</w:t>
            </w:r>
          </w:p>
        </w:tc>
      </w:tr>
      <w:tr>
        <w:tc>
          <w:tcPr>
            <w:tcW w:type="dxa" w:w="2520"/>
          </w:tcPr>
          <w:p>
            <w:r>
              <w:rPr>
                <w:rFonts w:ascii="Calibri" w:hAnsi="Calibri"/>
                <w:color w:val="333333"/>
                <w:sz w:val="18"/>
              </w:rPr>
              <w:t>Interest Rate Environment</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Interest rate environment at config default; Estimated from related indicators.</w:t>
            </w:r>
          </w:p>
        </w:tc>
      </w:tr>
      <w:tr>
        <w:tc>
          <w:tcPr>
            <w:tcW w:type="dxa" w:w="2520"/>
            <w:shd w:fill="F2F4F8" w:val="clear"/>
          </w:tcPr>
          <w:p>
            <w:r>
              <w:rPr>
                <w:rFonts w:ascii="Calibri" w:hAnsi="Calibri"/>
                <w:color w:val="333333"/>
                <w:sz w:val="18"/>
              </w:rPr>
              <w:t>Plaintiff Attorney Activity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Plaintiff attorney activity at moderate baseline (no specific data); Estimated from related indicators.</w:t>
            </w:r>
          </w:p>
        </w:tc>
      </w:tr>
      <w:tr>
        <w:tc>
          <w:tcPr>
            <w:tcW w:type="dxa" w:w="2520"/>
          </w:tcPr>
          <w:p>
            <w:r>
              <w:rPr>
                <w:rFonts w:ascii="Calibri" w:hAnsi="Calibri"/>
                <w:color w:val="333333"/>
                <w:sz w:val="18"/>
              </w:rPr>
              <w:t>Geopolitical Risk</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Cybersecurity Governance</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Crypto / Digital Asset Exposure</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Social Media / Public Persona Risk</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bl>
    <w:p>
      <w:pPr>
        <w:pStyle w:val="DOHeading3"/>
      </w:pPr>
      <w:r>
        <w:t>Interaction Effects</w:t>
      </w:r>
    </w:p>
    <w:p>
      <w:pPr>
        <w:pStyle w:val="DOBody"/>
      </w:pPr>
      <w:r>
        <w:rPr>
          <w:b/>
        </w:rPr>
        <w:t>Elevated Co-occurrence (1.13x): 9 dimensions scoring above 60% threshold</w:t>
      </w:r>
    </w:p>
    <w:p>
      <w:pPr>
        <w:pStyle w:val="DOBody"/>
      </w:pPr>
      <w:r>
        <w:rPr>
          <w:b/>
        </w:rPr>
        <w:t>Category Concentration (H1) (1.05x): 3 elevated dimensions in category H1</w:t>
      </w:r>
    </w:p>
    <w:p>
      <w:pPr>
        <w:pStyle w:val="DOHeading3"/>
      </w:pPr>
      <w:r>
        <w:t>All Hazard Dimensions (55 dimensions)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Dimension</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Exposure</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Board Independence</w:t>
            </w:r>
          </w:p>
        </w:tc>
        <w:tc>
          <w:tcPr>
            <w:tcW w:type="dxa" w:w="2016"/>
          </w:tcPr>
          <w:p>
            <w:r>
              <w:rPr>
                <w:rFonts w:ascii="Calibri" w:hAnsi="Calibri"/>
                <w:color w:val="333333"/>
                <w:sz w:val="18"/>
              </w:rPr>
              <w:t>100</w:t>
            </w:r>
          </w:p>
        </w:tc>
        <w:tc>
          <w:tcPr>
            <w:tcW w:type="dxa" w:w="2016"/>
          </w:tcPr>
          <w:p>
            <w:r>
              <w:rPr>
                <w:rFonts w:ascii="Calibri" w:hAnsi="Calibri"/>
                <w:color w:val="333333"/>
                <w:sz w:val="18"/>
              </w:rPr>
              <w:t>CRITICAL</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Proxy: independence score 0.0</w:t>
            </w:r>
          </w:p>
        </w:tc>
      </w:tr>
      <w:tr>
        <w:tc>
          <w:tcPr>
            <w:tcW w:type="dxa" w:w="2016"/>
            <w:shd w:fill="F2F4F8" w:val="clear"/>
          </w:tcPr>
          <w:p>
            <w:r>
              <w:rPr>
                <w:rFonts w:ascii="Calibri" w:hAnsi="Calibri"/>
                <w:color w:val="333333"/>
                <w:sz w:val="18"/>
              </w:rPr>
              <w:t>Capital Intensity</w:t>
            </w:r>
          </w:p>
        </w:tc>
        <w:tc>
          <w:tcPr>
            <w:tcW w:type="dxa" w:w="2016"/>
            <w:shd w:fill="F2F4F8" w:val="clear"/>
          </w:tcPr>
          <w:p>
            <w:r>
              <w:rPr>
                <w:rFonts w:ascii="Calibri" w:hAnsi="Calibri"/>
                <w:color w:val="333333"/>
                <w:sz w:val="18"/>
              </w:rPr>
              <w:t>83</w:t>
            </w:r>
          </w:p>
        </w:tc>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CapEx/Revenue 27.7% (HIGH)</w:t>
            </w:r>
          </w:p>
        </w:tc>
      </w:tr>
      <w:tr>
        <w:tc>
          <w:tcPr>
            <w:tcW w:type="dxa" w:w="2016"/>
          </w:tcPr>
          <w:p>
            <w:r>
              <w:rPr>
                <w:rFonts w:ascii="Calibri" w:hAnsi="Calibri"/>
                <w:color w:val="333333"/>
                <w:sz w:val="18"/>
              </w:rPr>
              <w:t>Cash Flow vs Earnings Divergence</w:t>
            </w:r>
          </w:p>
        </w:tc>
        <w:tc>
          <w:tcPr>
            <w:tcW w:type="dxa" w:w="2016"/>
          </w:tcPr>
          <w:p>
            <w:r>
              <w:rPr>
                <w:rFonts w:ascii="Calibri" w:hAnsi="Calibri"/>
                <w:color w:val="333333"/>
                <w:sz w:val="18"/>
              </w:rPr>
              <w:t>83</w:t>
            </w:r>
          </w:p>
        </w:tc>
        <w:tc>
          <w:tcPr>
            <w:tcW w:type="dxa" w:w="2016"/>
          </w:tcPr>
          <w:p>
            <w:r>
              <w:rPr>
                <w:rFonts w:ascii="Calibri" w:hAnsi="Calibri"/>
                <w:color w:val="333333"/>
                <w:sz w:val="18"/>
              </w:rPr>
              <w:t>CRITICAL</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OCF/NI ratio -36.32 -- significant divergence</w:t>
            </w:r>
          </w:p>
        </w:tc>
      </w:tr>
      <w:tr>
        <w:tc>
          <w:tcPr>
            <w:tcW w:type="dxa" w:w="2016"/>
            <w:shd w:fill="F2F4F8" w:val="clear"/>
          </w:tcPr>
          <w:p>
            <w:r>
              <w:rPr>
                <w:rFonts w:ascii="Calibri" w:hAnsi="Calibri"/>
                <w:color w:val="333333"/>
                <w:sz w:val="18"/>
              </w:rPr>
              <w:t>Industry Regulatory Spotlight</w:t>
            </w:r>
          </w:p>
        </w:tc>
        <w:tc>
          <w:tcPr>
            <w:tcW w:type="dxa" w:w="2016"/>
            <w:shd w:fill="F2F4F8" w:val="clear"/>
          </w:tcPr>
          <w:p>
            <w:r>
              <w:rPr>
                <w:rFonts w:ascii="Calibri" w:hAnsi="Calibri"/>
                <w:color w:val="333333"/>
                <w:sz w:val="18"/>
              </w:rPr>
              <w:t>83</w:t>
            </w:r>
          </w:p>
        </w:tc>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Sector 'TECH' regulatory spotlight level: 2.5/3.0</w:t>
            </w:r>
          </w:p>
        </w:tc>
      </w:tr>
      <w:tr>
        <w:tc>
          <w:tcPr>
            <w:tcW w:type="dxa" w:w="2016"/>
          </w:tcPr>
          <w:p>
            <w:r>
              <w:rPr>
                <w:rFonts w:ascii="Calibri" w:hAnsi="Calibri"/>
                <w:color w:val="333333"/>
                <w:sz w:val="18"/>
              </w:rPr>
              <w:t>Industry Sector Risk Tier</w:t>
            </w:r>
          </w:p>
        </w:tc>
        <w:tc>
          <w:tcPr>
            <w:tcW w:type="dxa" w:w="2016"/>
          </w:tcPr>
          <w:p>
            <w:r>
              <w:rPr>
                <w:rFonts w:ascii="Calibri" w:hAnsi="Calibri"/>
                <w:color w:val="333333"/>
                <w:sz w:val="18"/>
              </w:rPr>
              <w:t>70</w:t>
            </w:r>
          </w:p>
        </w:tc>
        <w:tc>
          <w:tcPr>
            <w:tcW w:type="dxa" w:w="2016"/>
          </w:tcPr>
          <w:p>
            <w:r>
              <w:rPr>
                <w:rFonts w:ascii="Calibri" w:hAnsi="Calibri"/>
                <w:color w:val="333333"/>
                <w:sz w:val="18"/>
              </w:rPr>
              <w:t>HIGH</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Sector 'TECH' maps to risk score 7.0/10.0</w:t>
            </w:r>
          </w:p>
        </w:tc>
      </w:tr>
      <w:tr>
        <w:tc>
          <w:tcPr>
            <w:tcW w:type="dxa" w:w="2016"/>
            <w:shd w:fill="F2F4F8" w:val="clear"/>
          </w:tcPr>
          <w:p>
            <w:r>
              <w:rPr>
                <w:rFonts w:ascii="Calibri" w:hAnsi="Calibri"/>
                <w:color w:val="333333"/>
                <w:sz w:val="18"/>
              </w:rPr>
              <w:t>Dual-Class Structure</w:t>
            </w:r>
          </w:p>
        </w:tc>
        <w:tc>
          <w:tcPr>
            <w:tcW w:type="dxa" w:w="2016"/>
            <w:shd w:fill="F2F4F8" w:val="clear"/>
          </w:tcPr>
          <w:p>
            <w:r>
              <w:rPr>
                <w:rFonts w:ascii="Calibri" w:hAnsi="Calibri"/>
                <w:color w:val="333333"/>
                <w:sz w:val="18"/>
              </w:rPr>
              <w:t>67</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Dual-class structure present</w:t>
            </w:r>
          </w:p>
        </w:tc>
      </w:tr>
      <w:tr>
        <w:tc>
          <w:tcPr>
            <w:tcW w:type="dxa" w:w="2016"/>
          </w:tcPr>
          <w:p>
            <w:r>
              <w:rPr>
                <w:rFonts w:ascii="Calibri" w:hAnsi="Calibri"/>
                <w:color w:val="333333"/>
                <w:sz w:val="18"/>
              </w:rPr>
              <w:t>Industry Expertise Match</w:t>
            </w:r>
          </w:p>
        </w:tc>
        <w:tc>
          <w:tcPr>
            <w:tcW w:type="dxa" w:w="2016"/>
          </w:tcPr>
          <w:p>
            <w:r>
              <w:rPr>
                <w:rFonts w:ascii="Calibri" w:hAnsi="Calibri"/>
                <w:color w:val="333333"/>
                <w:sz w:val="18"/>
              </w:rPr>
              <w:t>67</w:t>
            </w:r>
          </w:p>
        </w:tc>
        <w:tc>
          <w:tcPr>
            <w:tcW w:type="dxa" w:w="2016"/>
          </w:tcPr>
          <w:p>
            <w:r>
              <w:rPr>
                <w:rFonts w:ascii="Calibri" w:hAnsi="Calibri"/>
                <w:color w:val="333333"/>
                <w:sz w:val="18"/>
              </w:rPr>
              <w:t>HIGH</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executives with explicit TECH background in bios</w:t>
            </w:r>
          </w:p>
        </w:tc>
      </w:tr>
      <w:tr>
        <w:tc>
          <w:tcPr>
            <w:tcW w:type="dxa" w:w="2016"/>
            <w:shd w:fill="F2F4F8" w:val="clear"/>
          </w:tcPr>
          <w:p>
            <w:r>
              <w:rPr>
                <w:rFonts w:ascii="Calibri" w:hAnsi="Calibri"/>
                <w:color w:val="333333"/>
                <w:sz w:val="18"/>
              </w:rPr>
              <w:t>Combined CEO / Board Chair</w:t>
            </w:r>
          </w:p>
        </w:tc>
        <w:tc>
          <w:tcPr>
            <w:tcW w:type="dxa" w:w="2016"/>
            <w:shd w:fill="F2F4F8" w:val="clear"/>
          </w:tcPr>
          <w:p>
            <w:r>
              <w:rPr>
                <w:rFonts w:ascii="Calibri" w:hAnsi="Calibri"/>
                <w:color w:val="333333"/>
                <w:sz w:val="18"/>
              </w:rPr>
              <w:t>67</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CEO and Chair roles combined -- concentrated authority</w:t>
            </w:r>
          </w:p>
        </w:tc>
      </w:tr>
      <w:tr>
        <w:tc>
          <w:tcPr>
            <w:tcW w:type="dxa" w:w="2016"/>
          </w:tcPr>
          <w:p>
            <w:r>
              <w:rPr>
                <w:rFonts w:ascii="Calibri" w:hAnsi="Calibri"/>
                <w:color w:val="333333"/>
                <w:sz w:val="18"/>
              </w:rPr>
              <w:t>Industry Litigation Wave</w:t>
            </w:r>
          </w:p>
        </w:tc>
        <w:tc>
          <w:tcPr>
            <w:tcW w:type="dxa" w:w="2016"/>
          </w:tcPr>
          <w:p>
            <w:r>
              <w:rPr>
                <w:rFonts w:ascii="Calibri" w:hAnsi="Calibri"/>
                <w:color w:val="333333"/>
                <w:sz w:val="18"/>
              </w:rPr>
              <w:t>67</w:t>
            </w:r>
          </w:p>
        </w:tc>
        <w:tc>
          <w:tcPr>
            <w:tcW w:type="dxa" w:w="2016"/>
          </w:tcPr>
          <w:p>
            <w:r>
              <w:rPr>
                <w:rFonts w:ascii="Calibri" w:hAnsi="Calibri"/>
                <w:color w:val="333333"/>
                <w:sz w:val="18"/>
              </w:rPr>
              <w:t>HIGH</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Sector 'TECH' litigation wave level: 2.0/3.0</w:t>
            </w:r>
          </w:p>
        </w:tc>
      </w:tr>
      <w:tr>
        <w:tc>
          <w:tcPr>
            <w:tcW w:type="dxa" w:w="2016"/>
            <w:shd w:fill="F2F4F8" w:val="clear"/>
          </w:tcPr>
          <w:p>
            <w:r>
              <w:rPr>
                <w:rFonts w:ascii="Calibri" w:hAnsi="Calibri"/>
                <w:color w:val="333333"/>
                <w:sz w:val="18"/>
              </w:rPr>
              <w:t>Business Model Complexity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Regulatory Intensity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Sector 'TECH' regulatory intensity: 2.5/5.0</w:t>
            </w:r>
          </w:p>
        </w:tc>
      </w:tr>
      <w:tr>
        <w:tc>
          <w:tcPr>
            <w:tcW w:type="dxa" w:w="2016"/>
            <w:shd w:fill="F2F4F8" w:val="clear"/>
          </w:tcPr>
          <w:p>
            <w:r>
              <w:rPr>
                <w:rFonts w:ascii="Calibri" w:hAnsi="Calibri"/>
                <w:color w:val="333333"/>
                <w:sz w:val="18"/>
              </w:rPr>
              <w:t>Geographic Complexity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Customer &amp; Supplier Concentration</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Technology Platform Dependency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IP Dependency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Scale Experience Mismatch</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Founder-Led vs Professional Management</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Key Person Dependency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Management Turnover</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Off-Balance Sheet Arrangements</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Related Party Transactions</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Capital Markets Activity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Audit Committee Quality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Committee quality score 0.0/10 (weak)</w:t>
            </w:r>
          </w:p>
        </w:tc>
      </w:tr>
      <w:tr>
        <w:tc>
          <w:tcPr>
            <w:tcW w:type="dxa" w:w="2016"/>
            <w:shd w:fill="F2F4F8" w:val="clear"/>
          </w:tcPr>
          <w:p>
            <w:r>
              <w:rPr>
                <w:rFonts w:ascii="Calibri" w:hAnsi="Calibri"/>
                <w:color w:val="333333"/>
                <w:sz w:val="18"/>
              </w:rPr>
              <w:t>Shareholder Rights</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Compensation Structure</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Clawback policy in place</w:t>
            </w:r>
          </w:p>
        </w:tc>
      </w:tr>
      <w:tr>
        <w:tc>
          <w:tcPr>
            <w:tcW w:type="dxa" w:w="2016"/>
            <w:shd w:fill="F2F4F8" w:val="clear"/>
          </w:tcPr>
          <w:p>
            <w:r>
              <w:rPr>
                <w:rFonts w:ascii="Calibri" w:hAnsi="Calibri"/>
                <w:color w:val="333333"/>
                <w:sz w:val="18"/>
              </w:rPr>
              <w:t>Method of Going Public</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Market Cycle Position</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Market cycle scored at config default (moderate -- apply system-wide)</w:t>
            </w:r>
          </w:p>
        </w:tc>
      </w:tr>
      <w:tr>
        <w:tc>
          <w:tcPr>
            <w:tcW w:type="dxa" w:w="2016"/>
            <w:shd w:fill="F2F4F8" w:val="clear"/>
          </w:tcPr>
          <w:p>
            <w:r>
              <w:rPr>
                <w:rFonts w:ascii="Calibri" w:hAnsi="Calibri"/>
                <w:color w:val="333333"/>
                <w:sz w:val="18"/>
              </w:rPr>
              <w:t>Political &amp; Policy Environment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Political/policy environment at config default (moderate)</w:t>
            </w:r>
          </w:p>
        </w:tc>
      </w:tr>
      <w:tr>
        <w:tc>
          <w:tcPr>
            <w:tcW w:type="dxa" w:w="2016"/>
          </w:tcPr>
          <w:p>
            <w:r>
              <w:rPr>
                <w:rFonts w:ascii="Calibri" w:hAnsi="Calibri"/>
                <w:color w:val="333333"/>
                <w:sz w:val="18"/>
              </w:rPr>
              <w:t>Interest Rate Environment</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Interest rate environment at config default</w:t>
            </w:r>
          </w:p>
        </w:tc>
      </w:tr>
      <w:tr>
        <w:tc>
          <w:tcPr>
            <w:tcW w:type="dxa" w:w="2016"/>
            <w:shd w:fill="F2F4F8" w:val="clear"/>
          </w:tcPr>
          <w:p>
            <w:r>
              <w:rPr>
                <w:rFonts w:ascii="Calibri" w:hAnsi="Calibri"/>
                <w:color w:val="333333"/>
                <w:sz w:val="18"/>
              </w:rPr>
              <w:t>Plaintiff Attorney Activity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Plaintiff attorney activity at moderate baseline (no specific data)</w:t>
            </w:r>
          </w:p>
        </w:tc>
      </w:tr>
      <w:tr>
        <w:tc>
          <w:tcPr>
            <w:tcW w:type="dxa" w:w="2016"/>
          </w:tcPr>
          <w:p>
            <w:r>
              <w:rPr>
                <w:rFonts w:ascii="Calibri" w:hAnsi="Calibri"/>
                <w:color w:val="333333"/>
                <w:sz w:val="18"/>
              </w:rPr>
              <w:t>Geopolitical Risk</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Cybersecurity Governance</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Crypto / Digital Asset Exposure</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Social Media / Public Persona Risk</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Leverage &amp; Capital Structure</w:t>
            </w:r>
          </w:p>
        </w:tc>
        <w:tc>
          <w:tcPr>
            <w:tcW w:type="dxa" w:w="2016"/>
          </w:tcPr>
          <w:p>
            <w:r>
              <w:rPr>
                <w:rFonts w:ascii="Calibri" w:hAnsi="Calibri"/>
                <w:color w:val="333333"/>
                <w:sz w:val="18"/>
              </w:rPr>
              <w:t>40</w:t>
            </w:r>
          </w:p>
        </w:tc>
        <w:tc>
          <w:tcPr>
            <w:tcW w:type="dxa" w:w="2016"/>
          </w:tcPr>
          <w:p>
            <w:r>
              <w:rPr>
                <w:rFonts w:ascii="Calibri" w:hAnsi="Calibri"/>
                <w:color w:val="333333"/>
                <w:sz w:val="18"/>
              </w:rPr>
              <w:t>MODERATE</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Debt/Equity 0.41 (LOW)</w:t>
            </w:r>
          </w:p>
        </w:tc>
      </w:tr>
      <w:tr>
        <w:tc>
          <w:tcPr>
            <w:tcW w:type="dxa" w:w="2016"/>
            <w:shd w:fill="F2F4F8" w:val="clear"/>
          </w:tcPr>
          <w:p>
            <w:r>
              <w:rPr>
                <w:rFonts w:ascii="Calibri" w:hAnsi="Calibri"/>
                <w:color w:val="333333"/>
                <w:sz w:val="18"/>
              </w:rPr>
              <w:t>Management Public Company Experience</w:t>
            </w:r>
          </w:p>
        </w:tc>
        <w:tc>
          <w:tcPr>
            <w:tcW w:type="dxa" w:w="2016"/>
            <w:shd w:fill="F2F4F8" w:val="clear"/>
          </w:tcPr>
          <w:p>
            <w:r>
              <w:rPr>
                <w:rFonts w:ascii="Calibri" w:hAnsi="Calibri"/>
                <w:color w:val="333333"/>
                <w:sz w:val="18"/>
              </w:rPr>
              <w:t>30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CFO tenure 1.0y (short)</w:t>
            </w:r>
          </w:p>
        </w:tc>
      </w:tr>
      <w:tr>
        <w:tc>
          <w:tcPr>
            <w:tcW w:type="dxa" w:w="2016"/>
          </w:tcPr>
          <w:p>
            <w:r>
              <w:rPr>
                <w:rFonts w:ascii="Calibri" w:hAnsi="Calibri"/>
                <w:color w:val="333333"/>
                <w:sz w:val="18"/>
              </w:rPr>
              <w:t>Earnings Quality Characteristics</w:t>
            </w:r>
          </w:p>
        </w:tc>
        <w:tc>
          <w:tcPr>
            <w:tcW w:type="dxa" w:w="2016"/>
          </w:tcPr>
          <w:p>
            <w:r>
              <w:rPr>
                <w:rFonts w:ascii="Calibri" w:hAnsi="Calibri"/>
                <w:color w:val="333333"/>
                <w:sz w:val="18"/>
              </w:rPr>
              <w:t>30</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Beneish M-Score -2.63 -- safe zone</w:t>
            </w:r>
          </w:p>
        </w:tc>
      </w:tr>
      <w:tr>
        <w:tc>
          <w:tcPr>
            <w:tcW w:type="dxa" w:w="2016"/>
            <w:shd w:fill="F2F4F8" w:val="clear"/>
          </w:tcPr>
          <w:p>
            <w:r>
              <w:rPr>
                <w:rFonts w:ascii="Calibri" w:hAnsi="Calibri"/>
                <w:color w:val="333333"/>
                <w:sz w:val="18"/>
              </w:rPr>
              <w:t>State of Incorporation</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Incorporated in DE (standard D&amp;O protections)</w:t>
            </w:r>
          </w:p>
        </w:tc>
      </w:tr>
      <w:tr>
        <w:tc>
          <w:tcPr>
            <w:tcW w:type="dxa" w:w="2016"/>
          </w:tcPr>
          <w:p>
            <w:r>
              <w:rPr>
                <w:rFonts w:ascii="Calibri" w:hAnsi="Calibri"/>
                <w:color w:val="333333"/>
                <w:sz w:val="18"/>
              </w:rPr>
              <w:t>Workforce &amp; Labor Model</w:t>
            </w:r>
          </w:p>
        </w:tc>
        <w:tc>
          <w:tcPr>
            <w:tcW w:type="dxa" w:w="2016"/>
          </w:tcPr>
          <w:p>
            <w:r>
              <w:rPr>
                <w:rFonts w:ascii="Calibri" w:hAnsi="Calibri"/>
                <w:color w:val="333333"/>
                <w:sz w:val="18"/>
              </w:rPr>
              <w:t>25</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Large workforce (85,100 employees) -- labor risk surface</w:t>
            </w:r>
          </w:p>
        </w:tc>
      </w:tr>
      <w:tr>
        <w:tc>
          <w:tcPr>
            <w:tcW w:type="dxa" w:w="2016"/>
            <w:shd w:fill="F2F4F8" w:val="clear"/>
          </w:tcPr>
          <w:p>
            <w:r>
              <w:rPr>
                <w:rFonts w:ascii="Calibri" w:hAnsi="Calibri"/>
                <w:color w:val="333333"/>
                <w:sz w:val="18"/>
              </w:rPr>
              <w:t>M&amp;A Activity</w:t>
            </w:r>
          </w:p>
        </w:tc>
        <w:tc>
          <w:tcPr>
            <w:tcW w:type="dxa" w:w="2016"/>
            <w:shd w:fill="F2F4F8" w:val="clear"/>
          </w:tcPr>
          <w:p>
            <w:r>
              <w:rPr>
                <w:rFonts w:ascii="Calibri" w:hAnsi="Calibri"/>
                <w:color w:val="333333"/>
                <w:sz w:val="18"/>
              </w:rPr>
              <w:t>20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Goodwill 11.3% of assets (MODERATE)</w:t>
            </w:r>
          </w:p>
        </w:tc>
      </w:tr>
      <w:tr>
        <w:tc>
          <w:tcPr>
            <w:tcW w:type="dxa" w:w="2016"/>
          </w:tcPr>
          <w:p>
            <w:r>
              <w:rPr>
                <w:rFonts w:ascii="Calibri" w:hAnsi="Calibri"/>
                <w:color w:val="333333"/>
                <w:sz w:val="18"/>
              </w:rPr>
              <w:t>Non-GAAP Reliance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non-GAAP reliance indicators found</w:t>
            </w:r>
          </w:p>
        </w:tc>
      </w:tr>
      <w:tr>
        <w:tc>
          <w:tcPr>
            <w:tcW w:type="dxa" w:w="2016"/>
            <w:shd w:fill="F2F4F8" w:val="clear"/>
          </w:tcPr>
          <w:p>
            <w:r>
              <w:rPr>
                <w:rFonts w:ascii="Calibri" w:hAnsi="Calibri"/>
                <w:color w:val="333333"/>
                <w:sz w:val="18"/>
              </w:rPr>
              <w:t>Goodwill-Heavy Balance Sheet</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Goodwill 11.3% of assets (LOW)</w:t>
            </w:r>
          </w:p>
        </w:tc>
      </w:tr>
      <w:tr>
        <w:tc>
          <w:tcPr>
            <w:tcW w:type="dxa" w:w="2016"/>
          </w:tcPr>
          <w:p>
            <w:r>
              <w:rPr>
                <w:rFonts w:ascii="Calibri" w:hAnsi="Calibri"/>
                <w:color w:val="333333"/>
                <w:sz w:val="18"/>
              </w:rPr>
              <w:t>AI Adoption &amp; Governance</w:t>
            </w:r>
          </w:p>
        </w:tc>
        <w:tc>
          <w:tcPr>
            <w:tcW w:type="dxa" w:w="2016"/>
          </w:tcPr>
          <w:p>
            <w:r>
              <w:rPr>
                <w:rFonts w:ascii="Calibri" w:hAnsi="Calibri"/>
                <w:color w:val="333333"/>
                <w:sz w:val="18"/>
              </w:rPr>
              <w:t>12</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AI risk score 0/100 (LOW)</w:t>
            </w:r>
          </w:p>
        </w:tc>
      </w:tr>
      <w:tr>
        <w:tc>
          <w:tcPr>
            <w:tcW w:type="dxa" w:w="2016"/>
            <w:shd w:fill="F2F4F8" w:val="clear"/>
          </w:tcPr>
          <w:p>
            <w:r>
              <w:rPr>
                <w:rFonts w:ascii="Calibri" w:hAnsi="Calibri"/>
                <w:color w:val="333333"/>
                <w:sz w:val="18"/>
              </w:rPr>
              <w:t>Speed of Growth</w:t>
            </w:r>
          </w:p>
        </w:tc>
        <w:tc>
          <w:tcPr>
            <w:tcW w:type="dxa" w:w="2016"/>
            <w:shd w:fill="F2F4F8" w:val="clear"/>
          </w:tcPr>
          <w:p>
            <w:r>
              <w:rPr>
                <w:rFonts w:ascii="Calibri" w:hAnsi="Calibri"/>
                <w:color w:val="333333"/>
                <w:sz w:val="18"/>
              </w:rPr>
              <w:t>10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Revenue growth -0.5% (STABLE)</w:t>
            </w:r>
          </w:p>
        </w:tc>
      </w:tr>
      <w:tr>
        <w:tc>
          <w:tcPr>
            <w:tcW w:type="dxa" w:w="2016"/>
          </w:tcPr>
          <w:p>
            <w:r>
              <w:rPr>
                <w:rFonts w:ascii="Calibri" w:hAnsi="Calibri"/>
                <w:color w:val="333333"/>
                <w:sz w:val="18"/>
              </w:rPr>
              <w:t>Revenue Model Manipulation Surface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Board Governance Experience &amp; Quality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Tone at the Top</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Estimated from related indicators.</w:t>
            </w:r>
          </w:p>
        </w:tc>
      </w:tr>
      <w:tr>
        <w:tc>
          <w:tcPr>
            <w:tcW w:type="dxa" w:w="2016"/>
            <w:shd w:fill="F2F4F8" w:val="clear"/>
          </w:tcPr>
          <w:p>
            <w:r>
              <w:rPr>
                <w:rFonts w:ascii="Calibri" w:hAnsi="Calibri"/>
                <w:color w:val="333333"/>
                <w:sz w:val="18"/>
              </w:rPr>
              <w:t>Pre-Revenue / Cash Burn</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Revenue-generating company with positive cash flow profile</w:t>
            </w:r>
          </w:p>
        </w:tc>
      </w:tr>
      <w:tr>
        <w:tc>
          <w:tcPr>
            <w:tcW w:type="dxa" w:w="2016"/>
          </w:tcPr>
          <w:p>
            <w:r>
              <w:rPr>
                <w:rFonts w:ascii="Calibri" w:hAnsi="Calibri"/>
                <w:color w:val="333333"/>
                <w:sz w:val="18"/>
              </w:rPr>
              <w:t>Anti-Takeover Provisions</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Estimated from related indicators.</w:t>
            </w:r>
          </w:p>
        </w:tc>
      </w:tr>
      <w:tr>
        <w:tc>
          <w:tcPr>
            <w:tcW w:type="dxa" w:w="2016"/>
            <w:shd w:fill="F2F4F8" w:val="clear"/>
          </w:tcPr>
          <w:p>
            <w:r>
              <w:rPr>
                <w:rFonts w:ascii="Calibri" w:hAnsi="Calibri"/>
                <w:color w:val="333333"/>
                <w:sz w:val="18"/>
              </w:rPr>
              <w:t>Compliance Infrastructure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No material weaknesses or going concern issues identified</w:t>
            </w:r>
          </w:p>
        </w:tc>
      </w:tr>
      <w:tr>
        <w:tc>
          <w:tcPr>
            <w:tcW w:type="dxa" w:w="2016"/>
          </w:tcPr>
          <w:p>
            <w:r>
              <w:rPr>
                <w:rFonts w:ascii="Calibri" w:hAnsi="Calibri"/>
                <w:color w:val="333333"/>
                <w:sz w:val="18"/>
              </w:rPr>
              <w:t>IPO Recency</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IPO 46 years ago (MINIMAL -- mature public company)</w:t>
            </w:r>
          </w:p>
        </w:tc>
      </w:tr>
      <w:tr>
        <w:tc>
          <w:tcPr>
            <w:tcW w:type="dxa" w:w="2016"/>
            <w:shd w:fill="F2F4F8" w:val="clear"/>
          </w:tcPr>
          <w:p>
            <w:r>
              <w:rPr>
                <w:rFonts w:ascii="Calibri" w:hAnsi="Calibri"/>
                <w:color w:val="333333"/>
                <w:sz w:val="18"/>
              </w:rPr>
              <w:t>Exchange &amp; Index Membership</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Listed on Nasdaq (major exchange -- standard oversight)</w:t>
            </w:r>
          </w:p>
        </w:tc>
      </w:tr>
      <w:tr>
        <w:tc>
          <w:tcPr>
            <w:tcW w:type="dxa" w:w="2016"/>
          </w:tcPr>
          <w:p>
            <w:r>
              <w:rPr>
                <w:rFonts w:ascii="Calibri" w:hAnsi="Calibri"/>
                <w:color w:val="333333"/>
                <w:sz w:val="18"/>
              </w:rPr>
              <w:t>FPI / ADR Status</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Domestic issuer (standard SEC reporting)</w:t>
            </w:r>
          </w:p>
        </w:tc>
      </w:tr>
      <w:tr>
        <w:tc>
          <w:tcPr>
            <w:tcW w:type="dxa" w:w="2016"/>
            <w:shd w:fill="F2F4F8" w:val="clear"/>
          </w:tcPr>
          <w:p>
            <w:r>
              <w:rPr>
                <w:rFonts w:ascii="Calibri" w:hAnsi="Calibri"/>
                <w:color w:val="333333"/>
                <w:sz w:val="18"/>
              </w:rPr>
              <w:t>Seasoning &amp; Track Record</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46 years as public company (established)</w:t>
            </w:r>
          </w:p>
        </w:tc>
      </w:tr>
      <w:tr>
        <w:tc>
          <w:tcPr>
            <w:tcW w:type="dxa" w:w="2016"/>
          </w:tcPr>
          <w:p>
            <w:r>
              <w:rPr>
                <w:rFonts w:ascii="Calibri" w:hAnsi="Calibri"/>
                <w:color w:val="333333"/>
                <w:sz w:val="18"/>
              </w:rPr>
              <w:t>ESG / Climate Exposure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ESG/climate exposure indicators found</w:t>
            </w:r>
          </w:p>
        </w:tc>
      </w:tr>
    </w:tbl>
    <w:p>
      <w:pPr>
        <w:pStyle w:val="DOHeading3"/>
      </w:pPr>
      <w:r>
        <w:t>Category Summary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Category</w:t>
            </w:r>
          </w:p>
        </w:tc>
        <w:tc>
          <w:tcPr>
            <w:tcW w:type="dxa" w:w="1680"/>
            <w:shd w:fill="1A1446" w:val="clear"/>
          </w:tcPr>
          <w:p>
            <w:r>
              <w:rPr>
                <w:rFonts w:ascii="Calibri" w:hAnsi="Calibri"/>
                <w:b/>
                <w:color w:val="FFFFFF"/>
                <w:sz w:val="18"/>
              </w:rPr>
              <w:t>Weight</w:t>
            </w:r>
          </w:p>
        </w:tc>
        <w:tc>
          <w:tcPr>
            <w:tcW w:type="dxa" w:w="1680"/>
            <w:shd w:fill="1A1446" w:val="clear"/>
          </w:tcPr>
          <w:p>
            <w:r>
              <w:rPr>
                <w:rFonts w:ascii="Calibri" w:hAnsi="Calibri"/>
                <w:b/>
                <w:color w:val="FFFFFF"/>
                <w:sz w:val="18"/>
              </w:rPr>
              <w:t>Score</w:t>
            </w:r>
          </w:p>
        </w:tc>
        <w:tc>
          <w:tcPr>
            <w:tcW w:type="dxa" w:w="1680"/>
            <w:shd w:fill="1A1446" w:val="clear"/>
          </w:tcPr>
          <w:p>
            <w:r>
              <w:rPr>
                <w:rFonts w:ascii="Calibri" w:hAnsi="Calibri"/>
                <w:b/>
                <w:color w:val="FFFFFF"/>
                <w:sz w:val="18"/>
              </w:rPr>
              <w:t>Weighted</w:t>
            </w:r>
          </w:p>
        </w:tc>
        <w:tc>
          <w:tcPr>
            <w:tcW w:type="dxa" w:w="1680"/>
            <w:shd w:fill="1A1446" w:val="clear"/>
          </w:tcPr>
          <w:p>
            <w:r>
              <w:rPr>
                <w:rFonts w:ascii="Calibri" w:hAnsi="Calibri"/>
                <w:b/>
                <w:color w:val="FFFFFF"/>
                <w:sz w:val="18"/>
              </w:rPr>
              <w:t>Dims Scored</w:t>
            </w:r>
          </w:p>
        </w:tc>
        <w:tc>
          <w:tcPr>
            <w:tcW w:type="dxa" w:w="1680"/>
            <w:shd w:fill="1A1446" w:val="clear"/>
          </w:tcPr>
          <w:p>
            <w:r>
              <w:rPr>
                <w:rFonts w:ascii="Calibri" w:hAnsi="Calibri"/>
                <w:b/>
                <w:color w:val="FFFFFF"/>
                <w:sz w:val="18"/>
              </w:rPr>
              <w:t>Coverage</w:t>
            </w:r>
          </w:p>
        </w:tc>
      </w:tr>
      <w:tr>
        <w:tc>
          <w:tcPr>
            <w:tcW w:type="dxa" w:w="1680"/>
          </w:tcPr>
          <w:p>
            <w:r>
              <w:rPr>
                <w:rFonts w:ascii="Calibri" w:hAnsi="Calibri"/>
                <w:color w:val="333333"/>
                <w:sz w:val="18"/>
              </w:rPr>
              <w:t>Business &amp; Operating Model</w:t>
            </w:r>
          </w:p>
        </w:tc>
        <w:tc>
          <w:tcPr>
            <w:tcW w:type="dxa" w:w="1680"/>
          </w:tcPr>
          <w:p>
            <w:r>
              <w:rPr>
                <w:rFonts w:ascii="Calibri" w:hAnsi="Calibri"/>
                <w:color w:val="333333"/>
                <w:sz w:val="18"/>
              </w:rPr>
              <w:t>32.5%</w:t>
            </w:r>
          </w:p>
        </w:tc>
        <w:tc>
          <w:tcPr>
            <w:tcW w:type="dxa" w:w="1680"/>
          </w:tcPr>
          <w:p>
            <w:r>
              <w:rPr>
                <w:rFonts w:ascii="Calibri" w:hAnsi="Calibri"/>
                <w:color w:val="333333"/>
                <w:sz w:val="18"/>
              </w:rPr>
              <w:t>43.6</w:t>
            </w:r>
          </w:p>
        </w:tc>
        <w:tc>
          <w:tcPr>
            <w:tcW w:type="dxa" w:w="1680"/>
          </w:tcPr>
          <w:p>
            <w:r>
              <w:rPr>
                <w:rFonts w:ascii="Calibri" w:hAnsi="Calibri"/>
                <w:color w:val="333333"/>
                <w:sz w:val="18"/>
              </w:rPr>
              <w:t>14.2</w:t>
            </w:r>
          </w:p>
        </w:tc>
        <w:tc>
          <w:tcPr>
            <w:tcW w:type="dxa" w:w="1680"/>
          </w:tcPr>
          <w:p>
            <w:r>
              <w:rPr>
                <w:rFonts w:ascii="Calibri" w:hAnsi="Calibri"/>
                <w:color w:val="333333"/>
                <w:sz w:val="18"/>
              </w:rPr>
              <w:t>8/13</w:t>
            </w:r>
          </w:p>
        </w:tc>
        <w:tc>
          <w:tcPr>
            <w:tcW w:type="dxa" w:w="1680"/>
          </w:tcPr>
          <w:p>
            <w:r>
              <w:rPr>
                <w:rFonts w:ascii="Calibri" w:hAnsi="Calibri"/>
                <w:color w:val="333333"/>
                <w:sz w:val="18"/>
              </w:rPr>
              <w:t>62%</w:t>
            </w:r>
          </w:p>
        </w:tc>
      </w:tr>
      <w:tr>
        <w:tc>
          <w:tcPr>
            <w:tcW w:type="dxa" w:w="1680"/>
            <w:shd w:fill="F2F4F8" w:val="clear"/>
          </w:tcPr>
          <w:p>
            <w:r>
              <w:rPr>
                <w:rFonts w:ascii="Calibri" w:hAnsi="Calibri"/>
                <w:color w:val="333333"/>
                <w:sz w:val="18"/>
              </w:rPr>
              <w:t>People &amp; Management</w:t>
            </w:r>
          </w:p>
        </w:tc>
        <w:tc>
          <w:tcPr>
            <w:tcW w:type="dxa" w:w="1680"/>
            <w:shd w:fill="F2F4F8" w:val="clear"/>
          </w:tcPr>
          <w:p>
            <w:r>
              <w:rPr>
                <w:rFonts w:ascii="Calibri" w:hAnsi="Calibri"/>
                <w:color w:val="333333"/>
                <w:sz w:val="18"/>
              </w:rPr>
              <w:t>15.0%</w:t>
            </w:r>
          </w:p>
        </w:tc>
        <w:tc>
          <w:tcPr>
            <w:tcW w:type="dxa" w:w="1680"/>
            <w:shd w:fill="F2F4F8" w:val="clear"/>
          </w:tcPr>
          <w:p>
            <w:r>
              <w:rPr>
                <w:rFonts w:ascii="Calibri" w:hAnsi="Calibri"/>
                <w:color w:val="333333"/>
                <w:sz w:val="18"/>
              </w:rPr>
              <w:t>37.1</w:t>
            </w:r>
          </w:p>
        </w:tc>
        <w:tc>
          <w:tcPr>
            <w:tcW w:type="dxa" w:w="1680"/>
            <w:shd w:fill="F2F4F8" w:val="clear"/>
          </w:tcPr>
          <w:p>
            <w:r>
              <w:rPr>
                <w:rFonts w:ascii="Calibri" w:hAnsi="Calibri"/>
                <w:color w:val="333333"/>
                <w:sz w:val="18"/>
              </w:rPr>
              <w:t>5.6</w:t>
            </w:r>
          </w:p>
        </w:tc>
        <w:tc>
          <w:tcPr>
            <w:tcW w:type="dxa" w:w="1680"/>
            <w:shd w:fill="F2F4F8" w:val="clear"/>
          </w:tcPr>
          <w:p>
            <w:r>
              <w:rPr>
                <w:rFonts w:ascii="Calibri" w:hAnsi="Calibri"/>
                <w:color w:val="333333"/>
                <w:sz w:val="18"/>
              </w:rPr>
              <w:t>4/8</w:t>
            </w:r>
          </w:p>
        </w:tc>
        <w:tc>
          <w:tcPr>
            <w:tcW w:type="dxa" w:w="1680"/>
            <w:shd w:fill="F2F4F8" w:val="clear"/>
          </w:tcPr>
          <w:p>
            <w:r>
              <w:rPr>
                <w:rFonts w:ascii="Calibri" w:hAnsi="Calibri"/>
                <w:color w:val="333333"/>
                <w:sz w:val="18"/>
              </w:rPr>
              <w:t>50%</w:t>
            </w:r>
          </w:p>
        </w:tc>
      </w:tr>
      <w:tr>
        <w:tc>
          <w:tcPr>
            <w:tcW w:type="dxa" w:w="1680"/>
          </w:tcPr>
          <w:p>
            <w:r>
              <w:rPr>
                <w:rFonts w:ascii="Calibri" w:hAnsi="Calibri"/>
                <w:color w:val="333333"/>
                <w:sz w:val="18"/>
              </w:rPr>
              <w:t>Financial Structure</w:t>
            </w:r>
          </w:p>
        </w:tc>
        <w:tc>
          <w:tcPr>
            <w:tcW w:type="dxa" w:w="1680"/>
          </w:tcPr>
          <w:p>
            <w:r>
              <w:rPr>
                <w:rFonts w:ascii="Calibri" w:hAnsi="Calibri"/>
                <w:color w:val="333333"/>
                <w:sz w:val="18"/>
              </w:rPr>
              <w:t>15.0%</w:t>
            </w:r>
          </w:p>
        </w:tc>
        <w:tc>
          <w:tcPr>
            <w:tcW w:type="dxa" w:w="1680"/>
          </w:tcPr>
          <w:p>
            <w:r>
              <w:rPr>
                <w:rFonts w:ascii="Calibri" w:hAnsi="Calibri"/>
                <w:color w:val="333333"/>
                <w:sz w:val="18"/>
              </w:rPr>
              <w:t>40.0</w:t>
            </w:r>
          </w:p>
        </w:tc>
        <w:tc>
          <w:tcPr>
            <w:tcW w:type="dxa" w:w="1680"/>
          </w:tcPr>
          <w:p>
            <w:r>
              <w:rPr>
                <w:rFonts w:ascii="Calibri" w:hAnsi="Calibri"/>
                <w:color w:val="333333"/>
                <w:sz w:val="18"/>
              </w:rPr>
              <w:t>6.0</w:t>
            </w:r>
          </w:p>
        </w:tc>
        <w:tc>
          <w:tcPr>
            <w:tcW w:type="dxa" w:w="1680"/>
          </w:tcPr>
          <w:p>
            <w:r>
              <w:rPr>
                <w:rFonts w:ascii="Calibri" w:hAnsi="Calibri"/>
                <w:color w:val="333333"/>
                <w:sz w:val="18"/>
              </w:rPr>
              <w:t>5/8</w:t>
            </w:r>
          </w:p>
        </w:tc>
        <w:tc>
          <w:tcPr>
            <w:tcW w:type="dxa" w:w="1680"/>
          </w:tcPr>
          <w:p>
            <w:r>
              <w:rPr>
                <w:rFonts w:ascii="Calibri" w:hAnsi="Calibri"/>
                <w:color w:val="333333"/>
                <w:sz w:val="18"/>
              </w:rPr>
              <w:t>62%</w:t>
            </w:r>
          </w:p>
        </w:tc>
      </w:tr>
      <w:tr>
        <w:tc>
          <w:tcPr>
            <w:tcW w:type="dxa" w:w="1680"/>
            <w:shd w:fill="F2F4F8" w:val="clear"/>
          </w:tcPr>
          <w:p>
            <w:r>
              <w:rPr>
                <w:rFonts w:ascii="Calibri" w:hAnsi="Calibri"/>
                <w:color w:val="333333"/>
                <w:sz w:val="18"/>
              </w:rPr>
              <w:t>Governance Structure</w:t>
            </w:r>
          </w:p>
        </w:tc>
        <w:tc>
          <w:tcPr>
            <w:tcW w:type="dxa" w:w="1680"/>
            <w:shd w:fill="F2F4F8" w:val="clear"/>
          </w:tcPr>
          <w:p>
            <w:r>
              <w:rPr>
                <w:rFonts w:ascii="Calibri" w:hAnsi="Calibri"/>
                <w:color w:val="333333"/>
                <w:sz w:val="18"/>
              </w:rPr>
              <w:t>7.5%</w:t>
            </w:r>
          </w:p>
        </w:tc>
        <w:tc>
          <w:tcPr>
            <w:tcW w:type="dxa" w:w="1680"/>
            <w:shd w:fill="F2F4F8" w:val="clear"/>
          </w:tcPr>
          <w:p>
            <w:r>
              <w:rPr>
                <w:rFonts w:ascii="Calibri" w:hAnsi="Calibri"/>
                <w:color w:val="333333"/>
                <w:sz w:val="18"/>
              </w:rPr>
              <w:t>42.7</w:t>
            </w:r>
          </w:p>
        </w:tc>
        <w:tc>
          <w:tcPr>
            <w:tcW w:type="dxa" w:w="1680"/>
            <w:shd w:fill="F2F4F8" w:val="clear"/>
          </w:tcPr>
          <w:p>
            <w:r>
              <w:rPr>
                <w:rFonts w:ascii="Calibri" w:hAnsi="Calibri"/>
                <w:color w:val="333333"/>
                <w:sz w:val="18"/>
              </w:rPr>
              <w:t>3.2</w:t>
            </w:r>
          </w:p>
        </w:tc>
        <w:tc>
          <w:tcPr>
            <w:tcW w:type="dxa" w:w="1680"/>
            <w:shd w:fill="F2F4F8" w:val="clear"/>
          </w:tcPr>
          <w:p>
            <w:r>
              <w:rPr>
                <w:rFonts w:ascii="Calibri" w:hAnsi="Calibri"/>
                <w:color w:val="333333"/>
                <w:sz w:val="18"/>
              </w:rPr>
              <w:t>7/8</w:t>
            </w:r>
          </w:p>
        </w:tc>
        <w:tc>
          <w:tcPr>
            <w:tcW w:type="dxa" w:w="1680"/>
            <w:shd w:fill="F2F4F8" w:val="clear"/>
          </w:tcPr>
          <w:p>
            <w:r>
              <w:rPr>
                <w:rFonts w:ascii="Calibri" w:hAnsi="Calibri"/>
                <w:color w:val="333333"/>
                <w:sz w:val="18"/>
              </w:rPr>
              <w:t>88%</w:t>
            </w:r>
          </w:p>
        </w:tc>
      </w:tr>
      <w:tr>
        <w:tc>
          <w:tcPr>
            <w:tcW w:type="dxa" w:w="1680"/>
          </w:tcPr>
          <w:p>
            <w:r>
              <w:rPr>
                <w:rFonts w:ascii="Calibri" w:hAnsi="Calibri"/>
                <w:color w:val="333333"/>
                <w:sz w:val="18"/>
              </w:rPr>
              <w:t>Public Company Maturity</w:t>
            </w:r>
          </w:p>
        </w:tc>
        <w:tc>
          <w:tcPr>
            <w:tcW w:type="dxa" w:w="1680"/>
          </w:tcPr>
          <w:p>
            <w:r>
              <w:rPr>
                <w:rFonts w:ascii="Calibri" w:hAnsi="Calibri"/>
                <w:color w:val="333333"/>
                <w:sz w:val="18"/>
              </w:rPr>
              <w:t>10.0%</w:t>
            </w:r>
          </w:p>
        </w:tc>
        <w:tc>
          <w:tcPr>
            <w:tcW w:type="dxa" w:w="1680"/>
          </w:tcPr>
          <w:p>
            <w:r>
              <w:rPr>
                <w:rFonts w:ascii="Calibri" w:hAnsi="Calibri"/>
                <w:color w:val="333333"/>
                <w:sz w:val="18"/>
              </w:rPr>
              <w:t>10.0</w:t>
            </w:r>
          </w:p>
        </w:tc>
        <w:tc>
          <w:tcPr>
            <w:tcW w:type="dxa" w:w="1680"/>
          </w:tcPr>
          <w:p>
            <w:r>
              <w:rPr>
                <w:rFonts w:ascii="Calibri" w:hAnsi="Calibri"/>
                <w:color w:val="333333"/>
                <w:sz w:val="18"/>
              </w:rPr>
              <w:t>1.0</w:t>
            </w:r>
          </w:p>
        </w:tc>
        <w:tc>
          <w:tcPr>
            <w:tcW w:type="dxa" w:w="1680"/>
          </w:tcPr>
          <w:p>
            <w:r>
              <w:rPr>
                <w:rFonts w:ascii="Calibri" w:hAnsi="Calibri"/>
                <w:color w:val="333333"/>
                <w:sz w:val="18"/>
              </w:rPr>
              <w:t>4/5</w:t>
            </w:r>
          </w:p>
        </w:tc>
        <w:tc>
          <w:tcPr>
            <w:tcW w:type="dxa" w:w="1680"/>
          </w:tcPr>
          <w:p>
            <w:r>
              <w:rPr>
                <w:rFonts w:ascii="Calibri" w:hAnsi="Calibri"/>
                <w:color w:val="333333"/>
                <w:sz w:val="18"/>
              </w:rPr>
              <w:t>80%</w:t>
            </w:r>
          </w:p>
        </w:tc>
      </w:tr>
      <w:tr>
        <w:tc>
          <w:tcPr>
            <w:tcW w:type="dxa" w:w="1680"/>
            <w:shd w:fill="F2F4F8" w:val="clear"/>
          </w:tcPr>
          <w:p>
            <w:r>
              <w:rPr>
                <w:rFonts w:ascii="Calibri" w:hAnsi="Calibri"/>
                <w:color w:val="333333"/>
                <w:sz w:val="18"/>
              </w:rPr>
              <w:t>External Environment</w:t>
            </w:r>
          </w:p>
        </w:tc>
        <w:tc>
          <w:tcPr>
            <w:tcW w:type="dxa" w:w="1680"/>
            <w:shd w:fill="F2F4F8" w:val="clear"/>
          </w:tcPr>
          <w:p>
            <w:r>
              <w:rPr>
                <w:rFonts w:ascii="Calibri" w:hAnsi="Calibri"/>
                <w:color w:val="333333"/>
                <w:sz w:val="18"/>
              </w:rPr>
              <w:t>10.0%</w:t>
            </w:r>
          </w:p>
        </w:tc>
        <w:tc>
          <w:tcPr>
            <w:tcW w:type="dxa" w:w="1680"/>
            <w:shd w:fill="F2F4F8" w:val="clear"/>
          </w:tcPr>
          <w:p>
            <w:r>
              <w:rPr>
                <w:rFonts w:ascii="Calibri" w:hAnsi="Calibri"/>
                <w:color w:val="333333"/>
                <w:sz w:val="18"/>
              </w:rPr>
              <w:t>57.1</w:t>
            </w:r>
          </w:p>
        </w:tc>
        <w:tc>
          <w:tcPr>
            <w:tcW w:type="dxa" w:w="1680"/>
            <w:shd w:fill="F2F4F8" w:val="clear"/>
          </w:tcPr>
          <w:p>
            <w:r>
              <w:rPr>
                <w:rFonts w:ascii="Calibri" w:hAnsi="Calibri"/>
                <w:color w:val="333333"/>
                <w:sz w:val="18"/>
              </w:rPr>
              <w:t>5.7</w:t>
            </w:r>
          </w:p>
        </w:tc>
        <w:tc>
          <w:tcPr>
            <w:tcW w:type="dxa" w:w="1680"/>
            <w:shd w:fill="F2F4F8" w:val="clear"/>
          </w:tcPr>
          <w:p>
            <w:r>
              <w:rPr>
                <w:rFonts w:ascii="Calibri" w:hAnsi="Calibri"/>
                <w:color w:val="333333"/>
                <w:sz w:val="18"/>
              </w:rPr>
              <w:t>6/7</w:t>
            </w:r>
          </w:p>
        </w:tc>
        <w:tc>
          <w:tcPr>
            <w:tcW w:type="dxa" w:w="1680"/>
            <w:shd w:fill="F2F4F8" w:val="clear"/>
          </w:tcPr>
          <w:p>
            <w:r>
              <w:rPr>
                <w:rFonts w:ascii="Calibri" w:hAnsi="Calibri"/>
                <w:color w:val="333333"/>
                <w:sz w:val="18"/>
              </w:rPr>
              <w:t>86%</w:t>
            </w:r>
          </w:p>
        </w:tc>
      </w:tr>
      <w:tr>
        <w:tc>
          <w:tcPr>
            <w:tcW w:type="dxa" w:w="1680"/>
          </w:tcPr>
          <w:p>
            <w:r>
              <w:rPr>
                <w:rFonts w:ascii="Calibri" w:hAnsi="Calibri"/>
                <w:color w:val="333333"/>
                <w:sz w:val="18"/>
              </w:rPr>
              <w:t>Emerging / Modern Hazards</w:t>
            </w:r>
          </w:p>
        </w:tc>
        <w:tc>
          <w:tcPr>
            <w:tcW w:type="dxa" w:w="1680"/>
          </w:tcPr>
          <w:p>
            <w:r>
              <w:rPr>
                <w:rFonts w:ascii="Calibri" w:hAnsi="Calibri"/>
                <w:color w:val="333333"/>
                <w:sz w:val="18"/>
              </w:rPr>
              <w:t>10.0%</w:t>
            </w:r>
          </w:p>
        </w:tc>
        <w:tc>
          <w:tcPr>
            <w:tcW w:type="dxa" w:w="1680"/>
          </w:tcPr>
          <w:p>
            <w:r>
              <w:rPr>
                <w:rFonts w:ascii="Calibri" w:hAnsi="Calibri"/>
                <w:color w:val="333333"/>
                <w:sz w:val="18"/>
              </w:rPr>
              <w:t>31.2</w:t>
            </w:r>
          </w:p>
        </w:tc>
        <w:tc>
          <w:tcPr>
            <w:tcW w:type="dxa" w:w="1680"/>
          </w:tcPr>
          <w:p>
            <w:r>
              <w:rPr>
                <w:rFonts w:ascii="Calibri" w:hAnsi="Calibri"/>
                <w:color w:val="333333"/>
                <w:sz w:val="18"/>
              </w:rPr>
              <w:t>3.1</w:t>
            </w:r>
          </w:p>
        </w:tc>
        <w:tc>
          <w:tcPr>
            <w:tcW w:type="dxa" w:w="1680"/>
          </w:tcPr>
          <w:p>
            <w:r>
              <w:rPr>
                <w:rFonts w:ascii="Calibri" w:hAnsi="Calibri"/>
                <w:color w:val="333333"/>
                <w:sz w:val="18"/>
              </w:rPr>
              <w:t>3/6</w:t>
            </w:r>
          </w:p>
        </w:tc>
        <w:tc>
          <w:tcPr>
            <w:tcW w:type="dxa" w:w="1680"/>
          </w:tcPr>
          <w:p>
            <w:r>
              <w:rPr>
                <w:rFonts w:ascii="Calibri" w:hAnsi="Calibri"/>
                <w:color w:val="333333"/>
                <w:sz w:val="18"/>
              </w:rPr>
              <w:t>50%</w:t>
            </w:r>
          </w:p>
        </w:tc>
      </w:tr>
    </w:tbl>
    <w:p>
      <w:pPr>
        <w:pStyle w:val="DOHeading2"/>
      </w:pPr>
      <w:r>
        <w:t>Risk Factors (D&amp;O-Relevant)</w:t>
      </w:r>
    </w:p>
    <w:p>
      <w:pPr>
        <w:pStyle w:val="DOBody"/>
      </w:pPr>
      <w:r>
        <w:t>No D&amp;O-relevant risk factors identified.</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Intel's stock cratered 26.06% on August 2, 2024, on an earnings release, a single-day drop that alone satisfies the *Dura Pharmaceuticals* loss causation pleading threshold for a stock-drop lawsuit. Despite trading 12.03% below its 52-week high of $54.60, the stock remains 171.8% above its 52-week low of $17.67, indicating extreme volatility and a shareholder base with dramatically different cost bases that can fuel plaintiff classes. Insider activity shows net selling of 981,000 shares, all executed without the cover of 10b5-1 plans, which strengthens a plaintiff's *Tellabs* argument for scienter by showing discretionary sales after a material drop. The absence of planned 10b5-1 trades means every sale is discretionary and immediately scrutinizable for suspicious timing post-disclosure. This combination—a catastrophic, disclosure-driven 26.06% price drop followed by unfiltered insider selling—creates a near-textbook securities class action setup for an earnings-related suit. The real underwriting catch is that the 12.03% decline from the high appears modest only because the low was so catastrophically deep; plaintiff's counsel will argue the August 2 drop permanently impaired the recovery narrative. My pricing accounts for the heightened risk of litigation linking that specific earnings miss to the 981,000 shares of executive stock sales executed without 10b5-1 plans.</w:t>
      </w:r>
    </w:p>
    <w:p>
      <w:pPr>
        <w:pStyle w:val="DOHeading1"/>
      </w:pPr>
      <w:r>
        <w:t>Section 4: Market &amp; Trading Analysis</w:t>
      </w:r>
    </w:p>
    <w:p>
      <w:pPr>
        <w:pStyle w:val="DOBody"/>
      </w:pPr>
      <w:r>
        <w:rPr>
          <w:rFonts w:ascii="Calibri" w:hAnsi="Calibri"/>
          <w:color w:val="333333"/>
          <w:sz w:val="20"/>
        </w:rPr>
        <w:t>The stock trades 12.0% below its 52-week high ($55), within normal trading variance. Worst single-day decline: 26.1% on 2024-08-02 triggered by earnings_release. Short interest of 2.3% of float is low (6-month trend: STABLE).</w:t>
      </w:r>
    </w:p>
    <w:p>
      <w:pPr>
        <w:pStyle w:val="DOHeading2"/>
      </w:pPr>
      <w:r>
        <w:t>Stock Performance</w:t>
      </w:r>
    </w:p>
    <w:p>
      <w:r>
        <w:drawing>
          <wp:inline xmlns:a="http://schemas.openxmlformats.org/drawingml/2006/main" xmlns:pic="http://schemas.openxmlformats.org/drawingml/2006/picture">
            <wp:extent cx="5943600" cy="3901686"/>
            <wp:docPr id="2" name="Picture 2"/>
            <wp:cNvGraphicFramePr>
              <a:graphicFrameLocks noChangeAspect="1"/>
            </wp:cNvGraphicFramePr>
            <a:graphic>
              <a:graphicData uri="http://schemas.openxmlformats.org/drawingml/2006/picture">
                <pic:pic>
                  <pic:nvPicPr>
                    <pic:cNvPr id="0" name="stock_1y.png"/>
                    <pic:cNvPicPr/>
                  </pic:nvPicPr>
                  <pic:blipFill>
                    <a:blip r:embed="rId12"/>
                    <a:stretch>
                      <a:fillRect/>
                    </a:stretch>
                  </pic:blipFill>
                  <pic:spPr>
                    <a:xfrm>
                      <a:off x="0" y="0"/>
                      <a:ext cx="5943600" cy="3901686"/>
                    </a:xfrm>
                    <a:prstGeom prst="rect"/>
                  </pic:spPr>
                </pic:pic>
              </a:graphicData>
            </a:graphic>
          </wp:inline>
        </w:drawing>
      </w:r>
    </w:p>
    <w:p>
      <w:pPr>
        <w:pStyle w:val="DOCaption"/>
      </w:pPr>
      <w:r>
        <w:t>1-Year Performance (Indexed to 100). Red triangles mark single-day drops &gt;= 8%. Orange bands mark multi-day declines &gt;= 15%.</w:t>
      </w:r>
    </w:p>
    <w:p>
      <w:r>
        <w:drawing>
          <wp:inline xmlns:a="http://schemas.openxmlformats.org/drawingml/2006/main" xmlns:pic="http://schemas.openxmlformats.org/drawingml/2006/picture">
            <wp:extent cx="5943600" cy="3901686"/>
            <wp:docPr id="3" name="Picture 3"/>
            <wp:cNvGraphicFramePr>
              <a:graphicFrameLocks noChangeAspect="1"/>
            </wp:cNvGraphicFramePr>
            <a:graphic>
              <a:graphicData uri="http://schemas.openxmlformats.org/drawingml/2006/picture">
                <pic:pic>
                  <pic:nvPicPr>
                    <pic:cNvPr id="0" name="stock_5y.png"/>
                    <pic:cNvPicPr/>
                  </pic:nvPicPr>
                  <pic:blipFill>
                    <a:blip r:embed="rId13"/>
                    <a:stretch>
                      <a:fillRect/>
                    </a:stretch>
                  </pic:blipFill>
                  <pic:spPr>
                    <a:xfrm>
                      <a:off x="0" y="0"/>
                      <a:ext cx="5943600" cy="3901686"/>
                    </a:xfrm>
                    <a:prstGeom prst="rect"/>
                  </pic:spPr>
                </pic:pic>
              </a:graphicData>
            </a:graphic>
          </wp:inline>
        </w:drawing>
      </w:r>
    </w:p>
    <w:p>
      <w:pPr>
        <w:pStyle w:val="DOCaption"/>
      </w:pPr>
      <w:r>
        <w:t>5-Year Performance (Indexed to 100)</w:t>
      </w:r>
    </w:p>
    <w:p>
      <w:r>
        <w:drawing>
          <wp:inline xmlns:a="http://schemas.openxmlformats.org/drawingml/2006/main" xmlns:pic="http://schemas.openxmlformats.org/drawingml/2006/picture">
            <wp:extent cx="5943600" cy="3535216"/>
            <wp:docPr id="4" name="Picture 4"/>
            <wp:cNvGraphicFramePr>
              <a:graphicFrameLocks noChangeAspect="1"/>
            </wp:cNvGraphicFramePr>
            <a:graphic>
              <a:graphicData uri="http://schemas.openxmlformats.org/drawingml/2006/picture">
                <pic:pic>
                  <pic:nvPicPr>
                    <pic:cNvPr id="0" name="drop_analysis_1y.png"/>
                    <pic:cNvPicPr/>
                  </pic:nvPicPr>
                  <pic:blipFill>
                    <a:blip r:embed="rId14"/>
                    <a:stretch>
                      <a:fillRect/>
                    </a:stretch>
                  </pic:blipFill>
                  <pic:spPr>
                    <a:xfrm>
                      <a:off x="0" y="0"/>
                      <a:ext cx="5943600" cy="3535216"/>
                    </a:xfrm>
                    <a:prstGeom prst="rect"/>
                  </pic:spPr>
                </pic:pic>
              </a:graphicData>
            </a:graphic>
          </wp:inline>
        </w:drawing>
      </w:r>
    </w:p>
    <w:p>
      <w:pPr>
        <w:pStyle w:val="DOCaption"/>
      </w:pPr>
      <w:r>
        <w:t>Drop Event Analysis (12 Months)</w:t>
      </w:r>
    </w:p>
    <w:p>
      <w:r>
        <w:drawing>
          <wp:inline xmlns:a="http://schemas.openxmlformats.org/drawingml/2006/main" xmlns:pic="http://schemas.openxmlformats.org/drawingml/2006/picture">
            <wp:extent cx="5943600" cy="3618753"/>
            <wp:docPr id="5" name="Picture 5"/>
            <wp:cNvGraphicFramePr>
              <a:graphicFrameLocks noChangeAspect="1"/>
            </wp:cNvGraphicFramePr>
            <a:graphic>
              <a:graphicData uri="http://schemas.openxmlformats.org/drawingml/2006/picture">
                <pic:pic>
                  <pic:nvPicPr>
                    <pic:cNvPr id="0" name="drop_analysis_5y.png"/>
                    <pic:cNvPicPr/>
                  </pic:nvPicPr>
                  <pic:blipFill>
                    <a:blip r:embed="rId15"/>
                    <a:stretch>
                      <a:fillRect/>
                    </a:stretch>
                  </pic:blipFill>
                  <pic:spPr>
                    <a:xfrm>
                      <a:off x="0" y="0"/>
                      <a:ext cx="5943600" cy="3618753"/>
                    </a:xfrm>
                    <a:prstGeom prst="rect"/>
                  </pic:spPr>
                </pic:pic>
              </a:graphicData>
            </a:graphic>
          </wp:inline>
        </w:drawing>
      </w:r>
    </w:p>
    <w:p>
      <w:pPr>
        <w:pStyle w:val="DOCaption"/>
      </w:pPr>
      <w:r>
        <w:t>Drop Event Analysis (5 Years)</w:t>
      </w:r>
    </w:p>
    <w:p>
      <w:r>
        <w:drawing>
          <wp:inline xmlns:a="http://schemas.openxmlformats.org/drawingml/2006/main" xmlns:pic="http://schemas.openxmlformats.org/drawingml/2006/picture">
            <wp:extent cx="5943600" cy="3194685"/>
            <wp:docPr id="6" name="Picture 6"/>
            <wp:cNvGraphicFramePr>
              <a:graphicFrameLocks noChangeAspect="1"/>
            </wp:cNvGraphicFramePr>
            <a:graphic>
              <a:graphicData uri="http://schemas.openxmlformats.org/drawingml/2006/picture">
                <pic:pic>
                  <pic:nvPicPr>
                    <pic:cNvPr id="0" name="drop_scatter_1y.png"/>
                    <pic:cNvPicPr/>
                  </pic:nvPicPr>
                  <pic:blipFill>
                    <a:blip r:embed="rId16"/>
                    <a:stretch>
                      <a:fillRect/>
                    </a:stretch>
                  </pic:blipFill>
                  <pic:spPr>
                    <a:xfrm>
                      <a:off x="0" y="0"/>
                      <a:ext cx="5943600" cy="3194685"/>
                    </a:xfrm>
                    <a:prstGeom prst="rect"/>
                  </pic:spPr>
                </pic:pic>
              </a:graphicData>
            </a:graphic>
          </wp:inline>
        </w:drawing>
      </w:r>
    </w:p>
    <w:p>
      <w:pPr>
        <w:pStyle w:val="DOCaption"/>
      </w:pPr>
      <w:r>
        <w:t>Drop Events: Company vs Sector (12 Months)</w:t>
      </w:r>
    </w:p>
    <w:p>
      <w:r>
        <w:drawing>
          <wp:inline xmlns:a="http://schemas.openxmlformats.org/drawingml/2006/main" xmlns:pic="http://schemas.openxmlformats.org/drawingml/2006/picture">
            <wp:extent cx="5943600" cy="2363862"/>
            <wp:docPr id="7" name="Picture 7"/>
            <wp:cNvGraphicFramePr>
              <a:graphicFrameLocks noChangeAspect="1"/>
            </wp:cNvGraphicFramePr>
            <a:graphic>
              <a:graphicData uri="http://schemas.openxmlformats.org/drawingml/2006/picture">
                <pic:pic>
                  <pic:nvPicPr>
                    <pic:cNvPr id="0" name="drawdown_1y.png"/>
                    <pic:cNvPicPr/>
                  </pic:nvPicPr>
                  <pic:blipFill>
                    <a:blip r:embed="rId17"/>
                    <a:stretch>
                      <a:fillRect/>
                    </a:stretch>
                  </pic:blipFill>
                  <pic:spPr>
                    <a:xfrm>
                      <a:off x="0" y="0"/>
                      <a:ext cx="5943600" cy="2363862"/>
                    </a:xfrm>
                    <a:prstGeom prst="rect"/>
                  </pic:spPr>
                </pic:pic>
              </a:graphicData>
            </a:graphic>
          </wp:inline>
        </w:drawing>
      </w:r>
    </w:p>
    <w:p>
      <w:pPr>
        <w:pStyle w:val="DOCaption"/>
      </w:pPr>
      <w:r>
        <w:t>Drawdown Analysis (12 Months)</w:t>
      </w:r>
    </w:p>
    <w:p>
      <w:r>
        <w:drawing>
          <wp:inline xmlns:a="http://schemas.openxmlformats.org/drawingml/2006/main" xmlns:pic="http://schemas.openxmlformats.org/drawingml/2006/picture">
            <wp:extent cx="5943600" cy="2428159"/>
            <wp:docPr id="8" name="Picture 8"/>
            <wp:cNvGraphicFramePr>
              <a:graphicFrameLocks noChangeAspect="1"/>
            </wp:cNvGraphicFramePr>
            <a:graphic>
              <a:graphicData uri="http://schemas.openxmlformats.org/drawingml/2006/picture">
                <pic:pic>
                  <pic:nvPicPr>
                    <pic:cNvPr id="0" name="drawdown_5y.png"/>
                    <pic:cNvPicPr/>
                  </pic:nvPicPr>
                  <pic:blipFill>
                    <a:blip r:embed="rId18"/>
                    <a:stretch>
                      <a:fillRect/>
                    </a:stretch>
                  </pic:blipFill>
                  <pic:spPr>
                    <a:xfrm>
                      <a:off x="0" y="0"/>
                      <a:ext cx="5943600" cy="2428159"/>
                    </a:xfrm>
                    <a:prstGeom prst="rect"/>
                  </pic:spPr>
                </pic:pic>
              </a:graphicData>
            </a:graphic>
          </wp:inline>
        </w:drawing>
      </w:r>
    </w:p>
    <w:p>
      <w:pPr>
        <w:pStyle w:val="DOCaption"/>
      </w:pPr>
      <w:r>
        <w:t>Drawdown Analysis (5 Years)</w:t>
      </w:r>
    </w:p>
    <w:p>
      <w:r>
        <w:drawing>
          <wp:inline xmlns:a="http://schemas.openxmlformats.org/drawingml/2006/main" xmlns:pic="http://schemas.openxmlformats.org/drawingml/2006/picture">
            <wp:extent cx="5943600" cy="4383842"/>
            <wp:docPr id="9" name="Picture 9"/>
            <wp:cNvGraphicFramePr>
              <a:graphicFrameLocks noChangeAspect="1"/>
            </wp:cNvGraphicFramePr>
            <a:graphic>
              <a:graphicData uri="http://schemas.openxmlformats.org/drawingml/2006/picture">
                <pic:pic>
                  <pic:nvPicPr>
                    <pic:cNvPr id="0" name="volatility_1y.png"/>
                    <pic:cNvPicPr/>
                  </pic:nvPicPr>
                  <pic:blipFill>
                    <a:blip r:embed="rId19"/>
                    <a:stretch>
                      <a:fillRect/>
                    </a:stretch>
                  </pic:blipFill>
                  <pic:spPr>
                    <a:xfrm>
                      <a:off x="0" y="0"/>
                      <a:ext cx="5943600" cy="4383842"/>
                    </a:xfrm>
                    <a:prstGeom prst="rect"/>
                  </pic:spPr>
                </pic:pic>
              </a:graphicData>
            </a:graphic>
          </wp:inline>
        </w:drawing>
      </w:r>
    </w:p>
    <w:p>
      <w:pPr>
        <w:pStyle w:val="DOCaption"/>
      </w:pPr>
      <w:r>
        <w:t>Volatility &amp; Beta Analysis (12 Months)</w:t>
      </w:r>
    </w:p>
    <w:p>
      <w:r>
        <w:drawing>
          <wp:inline xmlns:a="http://schemas.openxmlformats.org/drawingml/2006/main" xmlns:pic="http://schemas.openxmlformats.org/drawingml/2006/picture">
            <wp:extent cx="5943600" cy="3043276"/>
            <wp:docPr id="10" name="Picture 10"/>
            <wp:cNvGraphicFramePr>
              <a:graphicFrameLocks noChangeAspect="1"/>
            </wp:cNvGraphicFramePr>
            <a:graphic>
              <a:graphicData uri="http://schemas.openxmlformats.org/drawingml/2006/picture">
                <pic:pic>
                  <pic:nvPicPr>
                    <pic:cNvPr id="0" name="relative_1y.png"/>
                    <pic:cNvPicPr/>
                  </pic:nvPicPr>
                  <pic:blipFill>
                    <a:blip r:embed="rId20"/>
                    <a:stretch>
                      <a:fillRect/>
                    </a:stretch>
                  </pic:blipFill>
                  <pic:spPr>
                    <a:xfrm>
                      <a:off x="0" y="0"/>
                      <a:ext cx="5943600" cy="3043276"/>
                    </a:xfrm>
                    <a:prstGeom prst="rect"/>
                  </pic:spPr>
                </pic:pic>
              </a:graphicData>
            </a:graphic>
          </wp:inline>
        </w:drawing>
      </w:r>
    </w:p>
    <w:p>
      <w:pPr>
        <w:pStyle w:val="DOCaption"/>
      </w:pPr>
      <w:r>
        <w:t>Relative Performance (12 Months)</w:t>
      </w:r>
    </w:p>
    <w:p>
      <w:r>
        <w:drawing>
          <wp:inline xmlns:a="http://schemas.openxmlformats.org/drawingml/2006/main" xmlns:pic="http://schemas.openxmlformats.org/drawingml/2006/picture">
            <wp:extent cx="5943600" cy="3043276"/>
            <wp:docPr id="11" name="Picture 11"/>
            <wp:cNvGraphicFramePr>
              <a:graphicFrameLocks noChangeAspect="1"/>
            </wp:cNvGraphicFramePr>
            <a:graphic>
              <a:graphicData uri="http://schemas.openxmlformats.org/drawingml/2006/picture">
                <pic:pic>
                  <pic:nvPicPr>
                    <pic:cNvPr id="0" name="relative_5y.png"/>
                    <pic:cNvPicPr/>
                  </pic:nvPicPr>
                  <pic:blipFill>
                    <a:blip r:embed="rId21"/>
                    <a:stretch>
                      <a:fillRect/>
                    </a:stretch>
                  </pic:blipFill>
                  <pic:spPr>
                    <a:xfrm>
                      <a:off x="0" y="0"/>
                      <a:ext cx="5943600" cy="3043276"/>
                    </a:xfrm>
                    <a:prstGeom prst="rect"/>
                  </pic:spPr>
                </pic:pic>
              </a:graphicData>
            </a:graphic>
          </wp:inline>
        </w:drawing>
      </w:r>
    </w:p>
    <w:p>
      <w:pPr>
        <w:pStyle w:val="DOCaption"/>
      </w:pPr>
      <w:r>
        <w:t>Relative Performance (5 Years)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Price</w:t>
            </w:r>
          </w:p>
        </w:tc>
        <w:tc>
          <w:tcPr>
            <w:tcW w:type="dxa" w:w="5040"/>
          </w:tcPr>
          <w:p>
            <w:r>
              <w:rPr>
                <w:rFonts w:ascii="Calibri" w:hAnsi="Calibri"/>
                <w:color w:val="333333"/>
                <w:sz w:val="18"/>
              </w:rPr>
              <w:t>$48.03</w:t>
            </w:r>
          </w:p>
        </w:tc>
      </w:tr>
      <w:tr>
        <w:tc>
          <w:tcPr>
            <w:tcW w:type="dxa" w:w="5040"/>
            <w:shd w:fill="F2F4F8" w:val="clear"/>
          </w:tcPr>
          <w:p>
            <w:r>
              <w:rPr>
                <w:rFonts w:ascii="Calibri" w:hAnsi="Calibri"/>
                <w:color w:val="333333"/>
                <w:sz w:val="18"/>
              </w:rPr>
              <w:t>52-Week High</w:t>
            </w:r>
          </w:p>
        </w:tc>
        <w:tc>
          <w:tcPr>
            <w:tcW w:type="dxa" w:w="5040"/>
            <w:shd w:fill="F2F4F8" w:val="clear"/>
          </w:tcPr>
          <w:p>
            <w:r>
              <w:rPr>
                <w:rFonts w:ascii="Calibri" w:hAnsi="Calibri"/>
                <w:color w:val="333333"/>
                <w:sz w:val="18"/>
              </w:rPr>
              <w:t>$54.60</w:t>
            </w:r>
          </w:p>
        </w:tc>
      </w:tr>
      <w:tr>
        <w:tc>
          <w:tcPr>
            <w:tcW w:type="dxa" w:w="5040"/>
          </w:tcPr>
          <w:p>
            <w:r>
              <w:rPr>
                <w:rFonts w:ascii="Calibri" w:hAnsi="Calibri"/>
                <w:color w:val="333333"/>
                <w:sz w:val="18"/>
              </w:rPr>
              <w:t>52-Week Low</w:t>
            </w:r>
          </w:p>
        </w:tc>
        <w:tc>
          <w:tcPr>
            <w:tcW w:type="dxa" w:w="5040"/>
          </w:tcPr>
          <w:p>
            <w:r>
              <w:rPr>
                <w:rFonts w:ascii="Calibri" w:hAnsi="Calibri"/>
                <w:color w:val="333333"/>
                <w:sz w:val="18"/>
              </w:rPr>
              <w:t>$17.67</w:t>
            </w:r>
          </w:p>
        </w:tc>
      </w:tr>
      <w:tr>
        <w:tc>
          <w:tcPr>
            <w:tcW w:type="dxa" w:w="5040"/>
            <w:shd w:fill="F2F4F8" w:val="clear"/>
          </w:tcPr>
          <w:p>
            <w:r>
              <w:rPr>
                <w:rFonts w:ascii="Calibri" w:hAnsi="Calibri"/>
                <w:color w:val="333333"/>
                <w:sz w:val="18"/>
              </w:rPr>
              <w:t>1-Year Return</w:t>
            </w:r>
          </w:p>
        </w:tc>
        <w:tc>
          <w:tcPr>
            <w:tcW w:type="dxa" w:w="5040"/>
            <w:shd w:fill="F2F4F8" w:val="clear"/>
          </w:tcPr>
          <w:p>
            <w:r>
              <w:rPr>
                <w:rFonts w:ascii="Calibri" w:hAnsi="Calibri"/>
                <w:color w:val="333333"/>
                <w:sz w:val="18"/>
              </w:rPr>
              <w:t>118.5%</w:t>
            </w:r>
          </w:p>
        </w:tc>
      </w:tr>
      <w:tr>
        <w:tc>
          <w:tcPr>
            <w:tcW w:type="dxa" w:w="5040"/>
          </w:tcPr>
          <w:p>
            <w:r>
              <w:rPr>
                <w:rFonts w:ascii="Calibri" w:hAnsi="Calibri"/>
                <w:color w:val="333333"/>
                <w:sz w:val="18"/>
              </w:rPr>
              <w:t>Max Drawdown (1Y)</w:t>
            </w:r>
          </w:p>
        </w:tc>
        <w:tc>
          <w:tcPr>
            <w:tcW w:type="dxa" w:w="5040"/>
          </w:tcPr>
          <w:p>
            <w:r>
              <w:rPr>
                <w:rFonts w:ascii="Calibri" w:hAnsi="Calibri"/>
                <w:color w:val="333333"/>
                <w:sz w:val="18"/>
              </w:rPr>
              <w:t>-24.2%</w:t>
            </w:r>
          </w:p>
        </w:tc>
      </w:tr>
      <w:tr>
        <w:tc>
          <w:tcPr>
            <w:tcW w:type="dxa" w:w="5040"/>
            <w:shd w:fill="F2F4F8" w:val="clear"/>
          </w:tcPr>
          <w:p>
            <w:r>
              <w:rPr>
                <w:rFonts w:ascii="Calibri" w:hAnsi="Calibri"/>
                <w:color w:val="333333"/>
                <w:sz w:val="18"/>
              </w:rPr>
              <w:t>90-Day Volatility</w:t>
            </w:r>
          </w:p>
        </w:tc>
        <w:tc>
          <w:tcPr>
            <w:tcW w:type="dxa" w:w="5040"/>
            <w:shd w:fill="F2F4F8" w:val="clear"/>
          </w:tcPr>
          <w:p>
            <w:r>
              <w:rPr>
                <w:rFonts w:ascii="Calibri" w:hAnsi="Calibri"/>
                <w:color w:val="333333"/>
                <w:sz w:val="18"/>
              </w:rPr>
              <w:t>73.0% (Ranks at the 0th percentile among 0 peers (peer median: 2.5%))</w:t>
            </w:r>
          </w:p>
        </w:tc>
      </w:tr>
      <w:tr>
        <w:tc>
          <w:tcPr>
            <w:tcW w:type="dxa" w:w="5040"/>
          </w:tcPr>
          <w:p>
            <w:r>
              <w:rPr>
                <w:rFonts w:ascii="Calibri" w:hAnsi="Calibri"/>
                <w:color w:val="333333"/>
                <w:sz w:val="18"/>
              </w:rPr>
              <w:t>Beta (vs S&amp;P 500)</w:t>
            </w:r>
          </w:p>
        </w:tc>
        <w:tc>
          <w:tcPr>
            <w:tcW w:type="dxa" w:w="5040"/>
          </w:tcPr>
          <w:p>
            <w:r>
              <w:rPr>
                <w:rFonts w:ascii="Calibri" w:hAnsi="Calibri"/>
                <w:color w:val="333333"/>
                <w:sz w:val="18"/>
              </w:rPr>
              <w:t>1.38</w:t>
            </w:r>
          </w:p>
        </w:tc>
      </w:tr>
    </w:tbl>
    <w:p>
      <w:pPr>
        <w:pStyle w:val="DOBody"/>
      </w:pPr>
      <w:r>
        <w:t>57 significant stock decline events detected in the 1Y period: 33 critical (&gt;10%), 24 notable (5-10%). 57 were company-specific, 2 were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2026-01-23 to 2026-01-26 (4d)</w:t>
            </w:r>
          </w:p>
        </w:tc>
        <w:tc>
          <w:tcPr>
            <w:tcW w:type="dxa" w:w="1440"/>
            <w:shd w:fill="FCE8E6" w:val="clear"/>
          </w:tcPr>
          <w:p>
            <w:r>
              <w:rPr>
                <w:rFonts w:ascii="Calibri" w:hAnsi="Calibri"/>
                <w:color w:val="333333"/>
                <w:sz w:val="18"/>
              </w:rPr>
              <w:t>-21.8%</w:t>
            </w:r>
          </w:p>
        </w:tc>
        <w:tc>
          <w:tcPr>
            <w:tcW w:type="dxa" w:w="1440"/>
            <w:shd w:fill="FCE8E6" w:val="clear"/>
          </w:tcPr>
          <w:p>
            <w:r>
              <w:rPr>
                <w:rFonts w:ascii="Calibri" w:hAnsi="Calibri"/>
                <w:color w:val="333333"/>
                <w:sz w:val="18"/>
              </w:rPr>
              <w:t>78%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2026-01-23 (2d)</w:t>
            </w:r>
          </w:p>
        </w:tc>
        <w:tc>
          <w:tcPr>
            <w:tcW w:type="dxa" w:w="1440"/>
            <w:shd w:fill="F2F4F8" w:val="clear"/>
            <w:shd w:fill="FCE8E6" w:val="clear"/>
          </w:tcPr>
          <w:p>
            <w:r>
              <w:rPr>
                <w:rFonts w:ascii="Calibri" w:hAnsi="Calibri"/>
                <w:color w:val="333333"/>
                <w:sz w:val="18"/>
              </w:rPr>
              <w:t>-21.8%</w:t>
            </w:r>
          </w:p>
        </w:tc>
        <w:tc>
          <w:tcPr>
            <w:tcW w:type="dxa" w:w="1440"/>
            <w:shd w:fill="F2F4F8" w:val="clear"/>
            <w:shd w:fill="FCE8E6" w:val="clear"/>
          </w:tcPr>
          <w:p>
            <w:r>
              <w:rPr>
                <w:rFonts w:ascii="Calibri" w:hAnsi="Calibri"/>
                <w:color w:val="333333"/>
                <w:sz w:val="18"/>
              </w:rPr>
              <w:t>77%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2026-01-23 (2d)</w:t>
            </w:r>
          </w:p>
        </w:tc>
        <w:tc>
          <w:tcPr>
            <w:tcW w:type="dxa" w:w="1440"/>
            <w:shd w:fill="FCE8E6" w:val="clear"/>
          </w:tcPr>
          <w:p>
            <w:r>
              <w:rPr>
                <w:rFonts w:ascii="Calibri" w:hAnsi="Calibri"/>
                <w:color w:val="333333"/>
                <w:sz w:val="18"/>
              </w:rPr>
              <w:t>-16.9%</w:t>
            </w:r>
          </w:p>
        </w:tc>
        <w:tc>
          <w:tcPr>
            <w:tcW w:type="dxa" w:w="1440"/>
            <w:shd w:fill="FCE8E6" w:val="clear"/>
          </w:tcPr>
          <w:p>
            <w:r>
              <w:rPr>
                <w:rFonts w:ascii="Calibri" w:hAnsi="Calibri"/>
                <w:color w:val="333333"/>
                <w:sz w:val="18"/>
              </w:rPr>
              <w:t>77%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FF3CD" w:val="clear"/>
          </w:tcPr>
          <w:p>
            <w:r>
              <w:rPr>
                <w:rFonts w:ascii="Calibri" w:hAnsi="Calibri"/>
                <w:color w:val="333333"/>
                <w:sz w:val="18"/>
              </w:rPr>
              <w:t>2026-03-26</w:t>
            </w:r>
          </w:p>
        </w:tc>
        <w:tc>
          <w:tcPr>
            <w:tcW w:type="dxa" w:w="1440"/>
            <w:shd w:fill="F2F4F8" w:val="clear"/>
            <w:shd w:fill="FFF3CD" w:val="clear"/>
          </w:tcPr>
          <w:p>
            <w:r>
              <w:rPr>
                <w:rFonts w:ascii="Calibri" w:hAnsi="Calibri"/>
                <w:color w:val="333333"/>
                <w:sz w:val="18"/>
              </w:rPr>
              <w:t>-6.5%</w:t>
            </w:r>
          </w:p>
        </w:tc>
        <w:tc>
          <w:tcPr>
            <w:tcW w:type="dxa" w:w="1440"/>
            <w:shd w:fill="F2F4F8" w:val="clear"/>
            <w:shd w:fill="FFF3CD" w:val="clear"/>
          </w:tcPr>
          <w:p>
            <w:r>
              <w:rPr>
                <w:rFonts w:ascii="Calibri" w:hAnsi="Calibri"/>
                <w:color w:val="333333"/>
                <w:sz w:val="18"/>
              </w:rPr>
              <w:t>97%</w:t>
            </w:r>
          </w:p>
        </w:tc>
        <w:tc>
          <w:tcPr>
            <w:tcW w:type="dxa" w:w="1440"/>
            <w:shd w:fill="F2F4F8" w:val="clear"/>
            <w:shd w:fill="FFF3CD" w:val="clear"/>
          </w:tcPr>
          <w:p>
            <w:r>
              <w:rPr>
                <w:rFonts w:ascii="Calibri" w:hAnsi="Calibri"/>
                <w:color w:val="333333"/>
                <w:sz w:val="18"/>
              </w:rPr>
              <w:t>4 days</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w:t>
            </w:r>
          </w:p>
        </w:tc>
      </w:tr>
      <w:tr>
        <w:tc>
          <w:tcPr>
            <w:tcW w:type="dxa" w:w="1440"/>
            <w:shd w:fill="FFF3CD" w:val="clear"/>
          </w:tcPr>
          <w:p>
            <w:r>
              <w:rPr>
                <w:rFonts w:ascii="Calibri" w:hAnsi="Calibri"/>
                <w:color w:val="333333"/>
                <w:sz w:val="18"/>
              </w:rPr>
              <w:t>2026-03-12</w:t>
            </w:r>
          </w:p>
        </w:tc>
        <w:tc>
          <w:tcPr>
            <w:tcW w:type="dxa" w:w="1440"/>
            <w:shd w:fill="FFF3CD" w:val="clear"/>
          </w:tcPr>
          <w:p>
            <w:r>
              <w:rPr>
                <w:rFonts w:ascii="Calibri" w:hAnsi="Calibri"/>
                <w:color w:val="333333"/>
                <w:sz w:val="18"/>
              </w:rPr>
              <w:t>-5.7%</w:t>
            </w:r>
          </w:p>
        </w:tc>
        <w:tc>
          <w:tcPr>
            <w:tcW w:type="dxa" w:w="1440"/>
            <w:shd w:fill="FFF3CD" w:val="clear"/>
          </w:tcPr>
          <w:p>
            <w:r>
              <w:rPr>
                <w:rFonts w:ascii="Calibri" w:hAnsi="Calibri"/>
                <w:color w:val="333333"/>
                <w:sz w:val="18"/>
              </w:rPr>
              <w:t>92%</w:t>
            </w:r>
          </w:p>
        </w:tc>
        <w:tc>
          <w:tcPr>
            <w:tcW w:type="dxa" w:w="1440"/>
            <w:shd w:fill="FFF3CD" w:val="clear"/>
          </w:tcPr>
          <w:p>
            <w:r>
              <w:rPr>
                <w:rFonts w:ascii="Calibri" w:hAnsi="Calibri"/>
                <w:color w:val="333333"/>
                <w:sz w:val="18"/>
              </w:rPr>
              <w:t>14 days</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w:t>
            </w:r>
          </w:p>
        </w:tc>
      </w:tr>
      <w:tr>
        <w:tc>
          <w:tcPr>
            <w:tcW w:type="dxa" w:w="1440"/>
            <w:shd w:fill="F2F4F8" w:val="clear"/>
            <w:shd w:fill="FFF3CD" w:val="clear"/>
          </w:tcPr>
          <w:p>
            <w:r>
              <w:rPr>
                <w:rFonts w:ascii="Calibri" w:hAnsi="Calibri"/>
                <w:color w:val="333333"/>
                <w:sz w:val="18"/>
              </w:rPr>
              <w:t>2026-02-10</w:t>
            </w:r>
          </w:p>
        </w:tc>
        <w:tc>
          <w:tcPr>
            <w:tcW w:type="dxa" w:w="1440"/>
            <w:shd w:fill="F2F4F8" w:val="clear"/>
            <w:shd w:fill="FFF3CD" w:val="clear"/>
          </w:tcPr>
          <w:p>
            <w:r>
              <w:rPr>
                <w:rFonts w:ascii="Calibri" w:hAnsi="Calibri"/>
                <w:color w:val="333333"/>
                <w:sz w:val="18"/>
              </w:rPr>
              <w:t>-6.2%</w:t>
            </w:r>
          </w:p>
        </w:tc>
        <w:tc>
          <w:tcPr>
            <w:tcW w:type="dxa" w:w="1440"/>
            <w:shd w:fill="F2F4F8" w:val="clear"/>
            <w:shd w:fill="FFF3CD" w:val="clear"/>
          </w:tcPr>
          <w:p>
            <w:r>
              <w:rPr>
                <w:rFonts w:ascii="Calibri" w:hAnsi="Calibri"/>
                <w:color w:val="333333"/>
                <w:sz w:val="18"/>
              </w:rPr>
              <w:t>82%</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w:t>
            </w:r>
          </w:p>
        </w:tc>
      </w:tr>
      <w:tr>
        <w:tc>
          <w:tcPr>
            <w:tcW w:type="dxa" w:w="1440"/>
          </w:tcPr>
          <w:p>
            <w:r>
              <w:rPr>
                <w:rFonts w:ascii="Calibri" w:hAnsi="Calibri"/>
                <w:color w:val="333333"/>
                <w:sz w:val="18"/>
              </w:rPr>
              <w:t>2026-03-03 (2d)</w:t>
            </w:r>
          </w:p>
        </w:tc>
        <w:tc>
          <w:tcPr>
            <w:tcW w:type="dxa" w:w="1440"/>
          </w:tcPr>
          <w:p>
            <w:r>
              <w:rPr>
                <w:rFonts w:ascii="Calibri" w:hAnsi="Calibri"/>
                <w:color w:val="333333"/>
                <w:sz w:val="18"/>
              </w:rPr>
              <w:t>-4.6%</w:t>
            </w:r>
          </w:p>
        </w:tc>
        <w:tc>
          <w:tcPr>
            <w:tcW w:type="dxa" w:w="1440"/>
          </w:tcPr>
          <w:p>
            <w:r>
              <w:rPr>
                <w:rFonts w:ascii="Calibri" w:hAnsi="Calibri"/>
                <w:color w:val="333333"/>
                <w:sz w:val="18"/>
              </w:rPr>
              <w:t>89%</w:t>
            </w:r>
          </w:p>
        </w:tc>
        <w:tc>
          <w:tcPr>
            <w:tcW w:type="dxa" w:w="1440"/>
          </w:tcPr>
          <w:p>
            <w:r>
              <w:rPr>
                <w:rFonts w:ascii="Calibri" w:hAnsi="Calibri"/>
                <w:color w:val="333333"/>
                <w:sz w:val="18"/>
              </w:rPr>
              <w:t>Not recovered</w:t>
            </w:r>
          </w:p>
        </w:tc>
        <w:tc>
          <w:tcPr>
            <w:tcW w:type="dxa" w:w="1440"/>
          </w:tcPr>
          <w:p>
            <w:r>
              <w:rPr>
                <w:rFonts w:ascii="Calibri" w:hAnsi="Calibri"/>
                <w:color w:val="333333"/>
                <w:sz w:val="18"/>
              </w:rPr>
              <w:t>8-K Filing</w:t>
            </w:r>
          </w:p>
        </w:tc>
        <w:tc>
          <w:tcPr>
            <w:tcW w:type="dxa" w:w="1440"/>
          </w:tcPr>
          <w:p>
            <w:r>
              <w:rPr>
                <w:rFonts w:ascii="Calibri" w:hAnsi="Calibri"/>
                <w:color w:val="333333"/>
                <w:sz w:val="18"/>
              </w:rPr>
              <w:t>Company-Specific</w:t>
            </w:r>
          </w:p>
        </w:tc>
        <w:tc>
          <w:tcPr>
            <w:tcW w:type="dxa" w:w="1440"/>
          </w:tcPr>
          <w:p>
            <w:r>
              <w:rPr>
                <w:rFonts w:ascii="Calibri" w:hAnsi="Calibri"/>
                <w:color w:val="333333"/>
                <w:sz w:val="18"/>
              </w:rPr>
              <w:t>https://www.sec.gov/cgi-bin/browse-edgar?action...</w:t>
            </w:r>
          </w:p>
        </w:tc>
      </w:tr>
      <w:tr>
        <w:tc>
          <w:tcPr>
            <w:tcW w:type="dxa" w:w="1440"/>
            <w:shd w:fill="F2F4F8" w:val="clear"/>
            <w:shd w:fill="FFF3CD" w:val="clear"/>
          </w:tcPr>
          <w:p>
            <w:r>
              <w:rPr>
                <w:rFonts w:ascii="Calibri" w:hAnsi="Calibri"/>
                <w:color w:val="333333"/>
                <w:sz w:val="18"/>
              </w:rPr>
              <w:t>2026-03-20</w:t>
            </w:r>
          </w:p>
        </w:tc>
        <w:tc>
          <w:tcPr>
            <w:tcW w:type="dxa" w:w="1440"/>
            <w:shd w:fill="F2F4F8" w:val="clear"/>
            <w:shd w:fill="FFF3CD" w:val="clear"/>
          </w:tcPr>
          <w:p>
            <w:r>
              <w:rPr>
                <w:rFonts w:ascii="Calibri" w:hAnsi="Calibri"/>
                <w:color w:val="333333"/>
                <w:sz w:val="18"/>
              </w:rPr>
              <w:t>-5.0%</w:t>
            </w:r>
          </w:p>
        </w:tc>
        <w:tc>
          <w:tcPr>
            <w:tcW w:type="dxa" w:w="1440"/>
            <w:shd w:fill="F2F4F8" w:val="clear"/>
            <w:shd w:fill="FFF3CD" w:val="clear"/>
          </w:tcPr>
          <w:p>
            <w:r>
              <w:rPr>
                <w:rFonts w:ascii="Calibri" w:hAnsi="Calibri"/>
                <w:color w:val="333333"/>
                <w:sz w:val="18"/>
              </w:rPr>
              <w:t>95%</w:t>
            </w:r>
          </w:p>
        </w:tc>
        <w:tc>
          <w:tcPr>
            <w:tcW w:type="dxa" w:w="1440"/>
            <w:shd w:fill="F2F4F8" w:val="clear"/>
            <w:shd w:fill="FFF3CD" w:val="clear"/>
          </w:tcPr>
          <w:p>
            <w:r>
              <w:rPr>
                <w:rFonts w:ascii="Calibri" w:hAnsi="Calibri"/>
                <w:color w:val="333333"/>
                <w:sz w:val="18"/>
              </w:rPr>
              <w:t>3 days</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w:t>
            </w:r>
          </w:p>
        </w:tc>
      </w:tr>
      <w:tr>
        <w:tc>
          <w:tcPr>
            <w:tcW w:type="dxa" w:w="1440"/>
            <w:shd w:fill="FFF3CD" w:val="clear"/>
          </w:tcPr>
          <w:p>
            <w:r>
              <w:rPr>
                <w:rFonts w:ascii="Calibri" w:hAnsi="Calibri"/>
                <w:color w:val="333333"/>
                <w:sz w:val="18"/>
              </w:rPr>
              <w:t>2025-12-04</w:t>
            </w:r>
          </w:p>
        </w:tc>
        <w:tc>
          <w:tcPr>
            <w:tcW w:type="dxa" w:w="1440"/>
            <w:shd w:fill="FFF3CD" w:val="clear"/>
          </w:tcPr>
          <w:p>
            <w:r>
              <w:rPr>
                <w:rFonts w:ascii="Calibri" w:hAnsi="Calibri"/>
                <w:color w:val="333333"/>
                <w:sz w:val="18"/>
              </w:rPr>
              <w:t>-7.5%</w:t>
            </w:r>
          </w:p>
        </w:tc>
        <w:tc>
          <w:tcPr>
            <w:tcW w:type="dxa" w:w="1440"/>
            <w:shd w:fill="FFF3CD" w:val="clear"/>
          </w:tcPr>
          <w:p>
            <w:r>
              <w:rPr>
                <w:rFonts w:ascii="Calibri" w:hAnsi="Calibri"/>
                <w:color w:val="333333"/>
                <w:sz w:val="18"/>
              </w:rPr>
              <w:t>63%</w:t>
            </w:r>
          </w:p>
        </w:tc>
        <w:tc>
          <w:tcPr>
            <w:tcW w:type="dxa" w:w="1440"/>
            <w:shd w:fill="FFF3CD" w:val="clear"/>
          </w:tcPr>
          <w:p>
            <w:r>
              <w:rPr>
                <w:rFonts w:ascii="Calibri" w:hAnsi="Calibri"/>
                <w:color w:val="333333"/>
                <w:sz w:val="18"/>
              </w:rPr>
              <w:t>24 days</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2025-07-25</w:t>
            </w:r>
          </w:p>
        </w:tc>
        <w:tc>
          <w:tcPr>
            <w:tcW w:type="dxa" w:w="1440"/>
            <w:shd w:fill="F2F4F8" w:val="clear"/>
            <w:shd w:fill="FCE8E6" w:val="clear"/>
          </w:tcPr>
          <w:p>
            <w:r>
              <w:rPr>
                <w:rFonts w:ascii="Calibri" w:hAnsi="Calibri"/>
                <w:color w:val="333333"/>
                <w:sz w:val="18"/>
              </w:rPr>
              <w:t>-11.9%</w:t>
            </w:r>
          </w:p>
        </w:tc>
        <w:tc>
          <w:tcPr>
            <w:tcW w:type="dxa" w:w="1440"/>
            <w:shd w:fill="F2F4F8" w:val="clear"/>
            <w:shd w:fill="FCE8E6" w:val="clear"/>
          </w:tcPr>
          <w:p>
            <w:r>
              <w:rPr>
                <w:rFonts w:ascii="Calibri" w:hAnsi="Calibri"/>
                <w:color w:val="333333"/>
                <w:sz w:val="18"/>
              </w:rPr>
              <w:t>38%</w:t>
            </w:r>
          </w:p>
        </w:tc>
        <w:tc>
          <w:tcPr>
            <w:tcW w:type="dxa" w:w="1440"/>
            <w:shd w:fill="F2F4F8" w:val="clear"/>
            <w:shd w:fill="FCE8E6" w:val="clear"/>
          </w:tcPr>
          <w:p>
            <w:r>
              <w:rPr>
                <w:rFonts w:ascii="Calibri" w:hAnsi="Calibri"/>
                <w:color w:val="333333"/>
                <w:sz w:val="18"/>
              </w:rPr>
              <w:t>14 days</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2025-04-04 to 2025-04-08 (5d)</w:t>
            </w:r>
          </w:p>
        </w:tc>
        <w:tc>
          <w:tcPr>
            <w:tcW w:type="dxa" w:w="1440"/>
            <w:shd w:fill="FCE8E6" w:val="clear"/>
          </w:tcPr>
          <w:p>
            <w:r>
              <w:rPr>
                <w:rFonts w:ascii="Calibri" w:hAnsi="Calibri"/>
                <w:color w:val="333333"/>
                <w:sz w:val="18"/>
              </w:rPr>
              <w:t>-19.2%</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23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2024-08-01 to 2024-09-04 (35d)</w:t>
            </w:r>
          </w:p>
        </w:tc>
        <w:tc>
          <w:tcPr>
            <w:tcW w:type="dxa" w:w="1440"/>
            <w:shd w:fill="F2F4F8" w:val="clear"/>
            <w:shd w:fill="FCE8E6" w:val="clear"/>
          </w:tcPr>
          <w:p>
            <w:r>
              <w:rPr>
                <w:rFonts w:ascii="Calibri" w:hAnsi="Calibri"/>
                <w:color w:val="333333"/>
                <w:sz w:val="18"/>
              </w:rPr>
              <w:t>-45.2%</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2024-08-12 (20d)</w:t>
            </w:r>
          </w:p>
        </w:tc>
        <w:tc>
          <w:tcPr>
            <w:tcW w:type="dxa" w:w="1440"/>
            <w:shd w:fill="FCE8E6" w:val="clear"/>
          </w:tcPr>
          <w:p>
            <w:r>
              <w:rPr>
                <w:rFonts w:ascii="Calibri" w:hAnsi="Calibri"/>
                <w:color w:val="333333"/>
                <w:sz w:val="18"/>
              </w:rPr>
              <w:t>-43.5%</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2024-08-14 (20d)</w:t>
            </w:r>
          </w:p>
        </w:tc>
        <w:tc>
          <w:tcPr>
            <w:tcW w:type="dxa" w:w="1440"/>
            <w:shd w:fill="F2F4F8" w:val="clear"/>
            <w:shd w:fill="FCE8E6" w:val="clear"/>
          </w:tcPr>
          <w:p>
            <w:r>
              <w:rPr>
                <w:rFonts w:ascii="Calibri" w:hAnsi="Calibri"/>
                <w:color w:val="333333"/>
                <w:sz w:val="18"/>
              </w:rPr>
              <w:t>-41.8%</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2024-08-09 (20d)</w:t>
            </w:r>
          </w:p>
        </w:tc>
        <w:tc>
          <w:tcPr>
            <w:tcW w:type="dxa" w:w="1440"/>
            <w:shd w:fill="FCE8E6" w:val="clear"/>
          </w:tcPr>
          <w:p>
            <w:r>
              <w:rPr>
                <w:rFonts w:ascii="Calibri" w:hAnsi="Calibri"/>
                <w:color w:val="333333"/>
                <w:sz w:val="18"/>
              </w:rPr>
              <w:t>-42.5%</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2024-08-06 (20d)</w:t>
            </w:r>
          </w:p>
        </w:tc>
        <w:tc>
          <w:tcPr>
            <w:tcW w:type="dxa" w:w="1440"/>
            <w:shd w:fill="F2F4F8" w:val="clear"/>
            <w:shd w:fill="FCE8E6" w:val="clear"/>
          </w:tcPr>
          <w:p>
            <w:r>
              <w:rPr>
                <w:rFonts w:ascii="Calibri" w:hAnsi="Calibri"/>
                <w:color w:val="333333"/>
                <w:sz w:val="18"/>
              </w:rPr>
              <w:t>-42.7%</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2024-08-15 (20d)</w:t>
            </w:r>
          </w:p>
        </w:tc>
        <w:tc>
          <w:tcPr>
            <w:tcW w:type="dxa" w:w="1440"/>
            <w:shd w:fill="FCE8E6" w:val="clear"/>
          </w:tcPr>
          <w:p>
            <w:r>
              <w:rPr>
                <w:rFonts w:ascii="Calibri" w:hAnsi="Calibri"/>
                <w:color w:val="333333"/>
                <w:sz w:val="18"/>
              </w:rPr>
              <w:t>-40.3%</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2024-08-13 (20d)</w:t>
            </w:r>
          </w:p>
        </w:tc>
        <w:tc>
          <w:tcPr>
            <w:tcW w:type="dxa" w:w="1440"/>
            <w:shd w:fill="F2F4F8" w:val="clear"/>
            <w:shd w:fill="FCE8E6" w:val="clear"/>
          </w:tcPr>
          <w:p>
            <w:r>
              <w:rPr>
                <w:rFonts w:ascii="Calibri" w:hAnsi="Calibri"/>
                <w:color w:val="333333"/>
                <w:sz w:val="18"/>
              </w:rPr>
              <w:t>-40.0%</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2024-08-05 (20d)</w:t>
            </w:r>
          </w:p>
        </w:tc>
        <w:tc>
          <w:tcPr>
            <w:tcW w:type="dxa" w:w="1440"/>
            <w:shd w:fill="FCE8E6" w:val="clear"/>
          </w:tcPr>
          <w:p>
            <w:r>
              <w:rPr>
                <w:rFonts w:ascii="Calibri" w:hAnsi="Calibri"/>
                <w:color w:val="333333"/>
                <w:sz w:val="18"/>
              </w:rPr>
              <w:t>-40.8%</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2024-08-28 (20d)</w:t>
            </w:r>
          </w:p>
        </w:tc>
        <w:tc>
          <w:tcPr>
            <w:tcW w:type="dxa" w:w="1440"/>
            <w:shd w:fill="F2F4F8" w:val="clear"/>
            <w:shd w:fill="FCE8E6" w:val="clear"/>
          </w:tcPr>
          <w:p>
            <w:r>
              <w:rPr>
                <w:rFonts w:ascii="Calibri" w:hAnsi="Calibri"/>
                <w:color w:val="333333"/>
                <w:sz w:val="18"/>
              </w:rPr>
              <w:t>-35.8%</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2024-08-08 (20d)</w:t>
            </w:r>
          </w:p>
        </w:tc>
        <w:tc>
          <w:tcPr>
            <w:tcW w:type="dxa" w:w="1440"/>
            <w:shd w:fill="FCE8E6" w:val="clear"/>
          </w:tcPr>
          <w:p>
            <w:r>
              <w:rPr>
                <w:rFonts w:ascii="Calibri" w:hAnsi="Calibri"/>
                <w:color w:val="333333"/>
                <w:sz w:val="18"/>
              </w:rPr>
              <w:t>-38.5%</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2024-08-20 (20d)</w:t>
            </w:r>
          </w:p>
        </w:tc>
        <w:tc>
          <w:tcPr>
            <w:tcW w:type="dxa" w:w="1440"/>
            <w:shd w:fill="F2F4F8" w:val="clear"/>
            <w:shd w:fill="FCE8E6" w:val="clear"/>
          </w:tcPr>
          <w:p>
            <w:r>
              <w:rPr>
                <w:rFonts w:ascii="Calibri" w:hAnsi="Calibri"/>
                <w:color w:val="333333"/>
                <w:sz w:val="18"/>
              </w:rPr>
              <w:t>-35.9%</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2024-08-16 (20d)</w:t>
            </w:r>
          </w:p>
        </w:tc>
        <w:tc>
          <w:tcPr>
            <w:tcW w:type="dxa" w:w="1440"/>
            <w:shd w:fill="FCE8E6" w:val="clear"/>
          </w:tcPr>
          <w:p>
            <w:r>
              <w:rPr>
                <w:rFonts w:ascii="Calibri" w:hAnsi="Calibri"/>
                <w:color w:val="333333"/>
                <w:sz w:val="18"/>
              </w:rPr>
              <w:t>-36.3%</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2024-08-22 (20d)</w:t>
            </w:r>
          </w:p>
        </w:tc>
        <w:tc>
          <w:tcPr>
            <w:tcW w:type="dxa" w:w="1440"/>
            <w:shd w:fill="F2F4F8" w:val="clear"/>
            <w:shd w:fill="FCE8E6" w:val="clear"/>
          </w:tcPr>
          <w:p>
            <w:r>
              <w:rPr>
                <w:rFonts w:ascii="Calibri" w:hAnsi="Calibri"/>
                <w:color w:val="333333"/>
                <w:sz w:val="18"/>
              </w:rPr>
              <w:t>-35.0%</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2024-08-26 (20d)</w:t>
            </w:r>
          </w:p>
        </w:tc>
        <w:tc>
          <w:tcPr>
            <w:tcW w:type="dxa" w:w="1440"/>
            <w:shd w:fill="FCE8E6" w:val="clear"/>
          </w:tcPr>
          <w:p>
            <w:r>
              <w:rPr>
                <w:rFonts w:ascii="Calibri" w:hAnsi="Calibri"/>
                <w:color w:val="333333"/>
                <w:sz w:val="18"/>
              </w:rPr>
              <w:t>-34.3%</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2024-08-19 (20d)</w:t>
            </w:r>
          </w:p>
        </w:tc>
        <w:tc>
          <w:tcPr>
            <w:tcW w:type="dxa" w:w="1440"/>
            <w:shd w:fill="F2F4F8" w:val="clear"/>
            <w:shd w:fill="FCE8E6" w:val="clear"/>
          </w:tcPr>
          <w:p>
            <w:r>
              <w:rPr>
                <w:rFonts w:ascii="Calibri" w:hAnsi="Calibri"/>
                <w:color w:val="333333"/>
                <w:sz w:val="18"/>
              </w:rPr>
              <w:t>-35.1%</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2024-08-23 (20d)</w:t>
            </w:r>
          </w:p>
        </w:tc>
        <w:tc>
          <w:tcPr>
            <w:tcW w:type="dxa" w:w="1440"/>
            <w:shd w:fill="FCE8E6" w:val="clear"/>
          </w:tcPr>
          <w:p>
            <w:r>
              <w:rPr>
                <w:rFonts w:ascii="Calibri" w:hAnsi="Calibri"/>
                <w:color w:val="333333"/>
                <w:sz w:val="18"/>
              </w:rPr>
              <w:t>-34.1%</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FF3CD" w:val="clear"/>
          </w:tcPr>
          <w:p>
            <w:r>
              <w:rPr>
                <w:rFonts w:ascii="Calibri" w:hAnsi="Calibri"/>
                <w:color w:val="333333"/>
                <w:sz w:val="18"/>
              </w:rPr>
              <w:t>2025-11-04</w:t>
            </w:r>
          </w:p>
        </w:tc>
        <w:tc>
          <w:tcPr>
            <w:tcW w:type="dxa" w:w="1440"/>
            <w:shd w:fill="F2F4F8" w:val="clear"/>
            <w:shd w:fill="FFF3CD" w:val="clear"/>
          </w:tcPr>
          <w:p>
            <w:r>
              <w:rPr>
                <w:rFonts w:ascii="Calibri" w:hAnsi="Calibri"/>
                <w:color w:val="333333"/>
                <w:sz w:val="18"/>
              </w:rPr>
              <w:t>-6.2%</w:t>
            </w:r>
          </w:p>
        </w:tc>
        <w:tc>
          <w:tcPr>
            <w:tcW w:type="dxa" w:w="1440"/>
            <w:shd w:fill="F2F4F8" w:val="clear"/>
            <w:shd w:fill="FFF3CD" w:val="clear"/>
          </w:tcPr>
          <w:p>
            <w:r>
              <w:rPr>
                <w:rFonts w:ascii="Calibri" w:hAnsi="Calibri"/>
                <w:color w:val="333333"/>
                <w:sz w:val="18"/>
              </w:rPr>
              <w:t>56%</w:t>
            </w:r>
          </w:p>
        </w:tc>
        <w:tc>
          <w:tcPr>
            <w:tcW w:type="dxa" w:w="1440"/>
            <w:shd w:fill="F2F4F8" w:val="clear"/>
            <w:shd w:fill="FFF3CD" w:val="clear"/>
          </w:tcPr>
          <w:p>
            <w:r>
              <w:rPr>
                <w:rFonts w:ascii="Calibri" w:hAnsi="Calibri"/>
                <w:color w:val="333333"/>
                <w:sz w:val="18"/>
              </w:rPr>
              <w:t>17 days</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w:t>
            </w:r>
          </w:p>
        </w:tc>
      </w:tr>
      <w:tr>
        <w:tc>
          <w:tcPr>
            <w:tcW w:type="dxa" w:w="1440"/>
            <w:shd w:fill="FCE8E6" w:val="clear"/>
          </w:tcPr>
          <w:p>
            <w:r>
              <w:rPr>
                <w:rFonts w:ascii="Calibri" w:hAnsi="Calibri"/>
                <w:color w:val="333333"/>
                <w:sz w:val="18"/>
              </w:rPr>
              <w:t>2024-08-27 (20d)</w:t>
            </w:r>
          </w:p>
        </w:tc>
        <w:tc>
          <w:tcPr>
            <w:tcW w:type="dxa" w:w="1440"/>
            <w:shd w:fill="FCE8E6" w:val="clear"/>
          </w:tcPr>
          <w:p>
            <w:r>
              <w:rPr>
                <w:rFonts w:ascii="Calibri" w:hAnsi="Calibri"/>
                <w:color w:val="333333"/>
                <w:sz w:val="18"/>
              </w:rPr>
              <w:t>-33.0%</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2025-02-25</w:t>
            </w:r>
          </w:p>
        </w:tc>
        <w:tc>
          <w:tcPr>
            <w:tcW w:type="dxa" w:w="1440"/>
            <w:shd w:fill="F2F4F8" w:val="clear"/>
            <w:shd w:fill="FCE8E6" w:val="clear"/>
          </w:tcPr>
          <w:p>
            <w:r>
              <w:rPr>
                <w:rFonts w:ascii="Calibri" w:hAnsi="Calibri"/>
                <w:color w:val="333333"/>
                <w:sz w:val="18"/>
              </w:rPr>
              <w:t>-16.1%</w:t>
            </w:r>
          </w:p>
        </w:tc>
        <w:tc>
          <w:tcPr>
            <w:tcW w:type="dxa" w:w="1440"/>
            <w:shd w:fill="F2F4F8" w:val="clear"/>
            <w:shd w:fill="FCE8E6" w:val="clear"/>
          </w:tcPr>
          <w:p>
            <w:r>
              <w:rPr>
                <w:rFonts w:ascii="Calibri" w:hAnsi="Calibri"/>
                <w:color w:val="333333"/>
                <w:sz w:val="18"/>
              </w:rPr>
              <w:t>21%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2024-08-21 (20d)</w:t>
            </w:r>
          </w:p>
        </w:tc>
        <w:tc>
          <w:tcPr>
            <w:tcW w:type="dxa" w:w="1440"/>
            <w:shd w:fill="FCE8E6" w:val="clear"/>
          </w:tcPr>
          <w:p>
            <w:r>
              <w:rPr>
                <w:rFonts w:ascii="Calibri" w:hAnsi="Calibri"/>
                <w:color w:val="333333"/>
                <w:sz w:val="18"/>
              </w:rPr>
              <w:t>-32.0%</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FF3CD" w:val="clear"/>
          </w:tcPr>
          <w:p>
            <w:r>
              <w:rPr>
                <w:rFonts w:ascii="Calibri" w:hAnsi="Calibri"/>
                <w:color w:val="333333"/>
                <w:sz w:val="18"/>
              </w:rPr>
              <w:t>2025-07-25</w:t>
            </w:r>
          </w:p>
        </w:tc>
        <w:tc>
          <w:tcPr>
            <w:tcW w:type="dxa" w:w="1440"/>
            <w:shd w:fill="F2F4F8" w:val="clear"/>
            <w:shd w:fill="FFF3CD" w:val="clear"/>
          </w:tcPr>
          <w:p>
            <w:r>
              <w:rPr>
                <w:rFonts w:ascii="Calibri" w:hAnsi="Calibri"/>
                <w:color w:val="333333"/>
                <w:sz w:val="18"/>
              </w:rPr>
              <w:t>-8.5%</w:t>
            </w:r>
          </w:p>
        </w:tc>
        <w:tc>
          <w:tcPr>
            <w:tcW w:type="dxa" w:w="1440"/>
            <w:shd w:fill="F2F4F8" w:val="clear"/>
            <w:shd w:fill="FFF3CD" w:val="clear"/>
          </w:tcPr>
          <w:p>
            <w:r>
              <w:rPr>
                <w:rFonts w:ascii="Calibri" w:hAnsi="Calibri"/>
                <w:color w:val="333333"/>
                <w:sz w:val="18"/>
              </w:rPr>
              <w:t>38%</w:t>
            </w:r>
          </w:p>
        </w:tc>
        <w:tc>
          <w:tcPr>
            <w:tcW w:type="dxa" w:w="1440"/>
            <w:shd w:fill="F2F4F8" w:val="clear"/>
            <w:shd w:fill="FFF3CD" w:val="clear"/>
          </w:tcPr>
          <w:p>
            <w:r>
              <w:rPr>
                <w:rFonts w:ascii="Calibri" w:hAnsi="Calibri"/>
                <w:color w:val="333333"/>
                <w:sz w:val="18"/>
              </w:rPr>
              <w:t>14 days</w:t>
            </w:r>
          </w:p>
        </w:tc>
        <w:tc>
          <w:tcPr>
            <w:tcW w:type="dxa" w:w="1440"/>
            <w:shd w:fill="F2F4F8" w:val="clear"/>
            <w:shd w:fill="FFF3CD" w:val="clear"/>
          </w:tcPr>
          <w:p>
            <w:r>
              <w:rPr>
                <w:rFonts w:ascii="Calibri" w:hAnsi="Calibri"/>
                <w:color w:val="333333"/>
                <w:sz w:val="18"/>
              </w:rPr>
              <w:t>Earnings release</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2024-08-29 (20d)</w:t>
            </w:r>
          </w:p>
        </w:tc>
        <w:tc>
          <w:tcPr>
            <w:tcW w:type="dxa" w:w="1440"/>
            <w:shd w:fill="FCE8E6" w:val="clear"/>
          </w:tcPr>
          <w:p>
            <w:r>
              <w:rPr>
                <w:rFonts w:ascii="Calibri" w:hAnsi="Calibri"/>
                <w:color w:val="333333"/>
                <w:sz w:val="18"/>
              </w:rPr>
              <w:t>-30.3%</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2025-04-07 (2d)</w:t>
            </w:r>
          </w:p>
        </w:tc>
        <w:tc>
          <w:tcPr>
            <w:tcW w:type="dxa" w:w="1440"/>
            <w:shd w:fill="F2F4F8" w:val="clear"/>
            <w:shd w:fill="FCE8E6" w:val="clear"/>
          </w:tcPr>
          <w:p>
            <w:r>
              <w:rPr>
                <w:rFonts w:ascii="Calibri" w:hAnsi="Calibri"/>
                <w:color w:val="333333"/>
                <w:sz w:val="18"/>
              </w:rPr>
              <w:t>-12.8%</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25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2024-08-02 (20d)</w:t>
            </w:r>
          </w:p>
        </w:tc>
        <w:tc>
          <w:tcPr>
            <w:tcW w:type="dxa" w:w="1440"/>
            <w:shd w:fill="FCE8E6" w:val="clear"/>
          </w:tcPr>
          <w:p>
            <w:r>
              <w:rPr>
                <w:rFonts w:ascii="Calibri" w:hAnsi="Calibri"/>
                <w:color w:val="333333"/>
                <w:sz w:val="18"/>
              </w:rPr>
              <w:t>-32.9%</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FF3CD" w:val="clear"/>
          </w:tcPr>
          <w:p>
            <w:r>
              <w:rPr>
                <w:rFonts w:ascii="Calibri" w:hAnsi="Calibri"/>
                <w:color w:val="333333"/>
                <w:sz w:val="18"/>
              </w:rPr>
              <w:t>2025-11-13</w:t>
            </w:r>
          </w:p>
        </w:tc>
        <w:tc>
          <w:tcPr>
            <w:tcW w:type="dxa" w:w="1440"/>
            <w:shd w:fill="F2F4F8" w:val="clear"/>
            <w:shd w:fill="FFF3CD" w:val="clear"/>
          </w:tcPr>
          <w:p>
            <w:r>
              <w:rPr>
                <w:rFonts w:ascii="Calibri" w:hAnsi="Calibri"/>
                <w:color w:val="333333"/>
                <w:sz w:val="18"/>
              </w:rPr>
              <w:t>-5.2%</w:t>
            </w:r>
          </w:p>
        </w:tc>
        <w:tc>
          <w:tcPr>
            <w:tcW w:type="dxa" w:w="1440"/>
            <w:shd w:fill="F2F4F8" w:val="clear"/>
            <w:shd w:fill="FFF3CD" w:val="clear"/>
          </w:tcPr>
          <w:p>
            <w:r>
              <w:rPr>
                <w:rFonts w:ascii="Calibri" w:hAnsi="Calibri"/>
                <w:color w:val="333333"/>
                <w:sz w:val="18"/>
              </w:rPr>
              <w:t>58%</w:t>
            </w:r>
          </w:p>
        </w:tc>
        <w:tc>
          <w:tcPr>
            <w:tcW w:type="dxa" w:w="1440"/>
            <w:shd w:fill="F2F4F8" w:val="clear"/>
            <w:shd w:fill="FFF3CD" w:val="clear"/>
          </w:tcPr>
          <w:p>
            <w:r>
              <w:rPr>
                <w:rFonts w:ascii="Calibri" w:hAnsi="Calibri"/>
                <w:color w:val="333333"/>
                <w:sz w:val="18"/>
              </w:rPr>
              <w:t>10 days</w:t>
            </w:r>
          </w:p>
        </w:tc>
        <w:tc>
          <w:tcPr>
            <w:tcW w:type="dxa" w:w="1440"/>
            <w:shd w:fill="F2F4F8" w:val="clear"/>
            <w:shd w:fill="FFF3CD" w:val="clear"/>
          </w:tcPr>
          <w:p>
            <w:r>
              <w:rPr>
                <w:rFonts w:ascii="Calibri" w:hAnsi="Calibri"/>
                <w:color w:val="333333"/>
                <w:sz w:val="18"/>
              </w:rPr>
              <w:t>8-K Filing</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https://www.sec.gov/cgi-bin/browse-edgar?action...</w:t>
            </w:r>
          </w:p>
        </w:tc>
      </w:tr>
      <w:tr>
        <w:tc>
          <w:tcPr>
            <w:tcW w:type="dxa" w:w="1440"/>
            <w:shd w:fill="FFF3CD" w:val="clear"/>
          </w:tcPr>
          <w:p>
            <w:r>
              <w:rPr>
                <w:rFonts w:ascii="Calibri" w:hAnsi="Calibri"/>
                <w:color w:val="333333"/>
                <w:sz w:val="18"/>
              </w:rPr>
              <w:t>2025-08-20</w:t>
            </w:r>
          </w:p>
        </w:tc>
        <w:tc>
          <w:tcPr>
            <w:tcW w:type="dxa" w:w="1440"/>
            <w:shd w:fill="FFF3CD" w:val="clear"/>
          </w:tcPr>
          <w:p>
            <w:r>
              <w:rPr>
                <w:rFonts w:ascii="Calibri" w:hAnsi="Calibri"/>
                <w:color w:val="333333"/>
                <w:sz w:val="18"/>
              </w:rPr>
              <w:t>-7.0%</w:t>
            </w:r>
          </w:p>
        </w:tc>
        <w:tc>
          <w:tcPr>
            <w:tcW w:type="dxa" w:w="1440"/>
            <w:shd w:fill="FFF3CD" w:val="clear"/>
          </w:tcPr>
          <w:p>
            <w:r>
              <w:rPr>
                <w:rFonts w:ascii="Calibri" w:hAnsi="Calibri"/>
                <w:color w:val="333333"/>
                <w:sz w:val="18"/>
              </w:rPr>
              <w:t>42%</w:t>
            </w:r>
          </w:p>
        </w:tc>
        <w:tc>
          <w:tcPr>
            <w:tcW w:type="dxa" w:w="1440"/>
            <w:shd w:fill="FFF3CD" w:val="clear"/>
          </w:tcPr>
          <w:p>
            <w:r>
              <w:rPr>
                <w:rFonts w:ascii="Calibri" w:hAnsi="Calibri"/>
                <w:color w:val="333333"/>
                <w:sz w:val="18"/>
              </w:rPr>
              <w:t>20 days</w:t>
            </w:r>
          </w:p>
        </w:tc>
        <w:tc>
          <w:tcPr>
            <w:tcW w:type="dxa" w:w="1440"/>
            <w:shd w:fill="FFF3CD" w:val="clear"/>
          </w:tcPr>
          <w:p>
            <w:r>
              <w:rPr>
                <w:rFonts w:ascii="Calibri" w:hAnsi="Calibri"/>
                <w:color w:val="333333"/>
                <w:sz w:val="18"/>
              </w:rPr>
              <w:t>8-K Filing</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2025-04-04 (3d)</w:t>
            </w:r>
          </w:p>
        </w:tc>
        <w:tc>
          <w:tcPr>
            <w:tcW w:type="dxa" w:w="1440"/>
            <w:shd w:fill="F2F4F8" w:val="clear"/>
            <w:shd w:fill="FCE8E6" w:val="clear"/>
          </w:tcPr>
          <w:p>
            <w:r>
              <w:rPr>
                <w:rFonts w:ascii="Calibri" w:hAnsi="Calibri"/>
                <w:color w:val="333333"/>
                <w:sz w:val="18"/>
              </w:rPr>
              <w:t>-11.4%</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Market-Wide Event</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2024-08-01 (3d)</w:t>
            </w:r>
          </w:p>
        </w:tc>
        <w:tc>
          <w:tcPr>
            <w:tcW w:type="dxa" w:w="1440"/>
            <w:shd w:fill="FCE8E6" w:val="clear"/>
          </w:tcPr>
          <w:p>
            <w:r>
              <w:rPr>
                <w:rFonts w:ascii="Calibri" w:hAnsi="Calibri"/>
                <w:color w:val="333333"/>
                <w:sz w:val="18"/>
              </w:rPr>
              <w:t>-26.1%</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2025-03-04</w:t>
            </w:r>
          </w:p>
        </w:tc>
        <w:tc>
          <w:tcPr>
            <w:tcW w:type="dxa" w:w="1440"/>
            <w:shd w:fill="F2F4F8" w:val="clear"/>
            <w:shd w:fill="FCE8E6" w:val="clear"/>
          </w:tcPr>
          <w:p>
            <w:r>
              <w:rPr>
                <w:rFonts w:ascii="Calibri" w:hAnsi="Calibri"/>
                <w:color w:val="333333"/>
                <w:sz w:val="18"/>
              </w:rPr>
              <w:t>-10.1%</w:t>
            </w:r>
          </w:p>
        </w:tc>
        <w:tc>
          <w:tcPr>
            <w:tcW w:type="dxa" w:w="1440"/>
            <w:shd w:fill="F2F4F8" w:val="clear"/>
            <w:shd w:fill="FCE8E6" w:val="clear"/>
          </w:tcPr>
          <w:p>
            <w:r>
              <w:rPr>
                <w:rFonts w:ascii="Calibri" w:hAnsi="Calibri"/>
                <w:color w:val="333333"/>
                <w:sz w:val="18"/>
              </w:rPr>
              <w:t>22%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2024-04-26 to 2024-04-30 (5d)</w:t>
            </w:r>
          </w:p>
        </w:tc>
        <w:tc>
          <w:tcPr>
            <w:tcW w:type="dxa" w:w="1440"/>
            <w:shd w:fill="FCE8E6" w:val="clear"/>
          </w:tcPr>
          <w:p>
            <w:r>
              <w:rPr>
                <w:rFonts w:ascii="Calibri" w:hAnsi="Calibri"/>
                <w:color w:val="333333"/>
                <w:sz w:val="18"/>
              </w:rPr>
              <w:t>-30.7%</w:t>
            </w:r>
          </w:p>
        </w:tc>
        <w:tc>
          <w:tcPr>
            <w:tcW w:type="dxa" w:w="1440"/>
            <w:shd w:fill="FCE8E6" w:val="clear"/>
          </w:tcPr>
          <w:p>
            <w:r>
              <w:rPr>
                <w:rFonts w:ascii="Calibri" w:hAnsi="Calibri"/>
                <w:color w:val="333333"/>
                <w:sz w:val="18"/>
              </w:rPr>
              <w:t>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FF3CD" w:val="clear"/>
          </w:tcPr>
          <w:p>
            <w:r>
              <w:rPr>
                <w:rFonts w:ascii="Calibri" w:hAnsi="Calibri"/>
                <w:color w:val="333333"/>
                <w:sz w:val="18"/>
              </w:rPr>
              <w:t>2025-06-11</w:t>
            </w:r>
          </w:p>
        </w:tc>
        <w:tc>
          <w:tcPr>
            <w:tcW w:type="dxa" w:w="1440"/>
            <w:shd w:fill="F2F4F8" w:val="clear"/>
            <w:shd w:fill="FFF3CD" w:val="clear"/>
          </w:tcPr>
          <w:p>
            <w:r>
              <w:rPr>
                <w:rFonts w:ascii="Calibri" w:hAnsi="Calibri"/>
                <w:color w:val="333333"/>
                <w:sz w:val="18"/>
              </w:rPr>
              <w:t>-6.3%</w:t>
            </w:r>
          </w:p>
        </w:tc>
        <w:tc>
          <w:tcPr>
            <w:tcW w:type="dxa" w:w="1440"/>
            <w:shd w:fill="F2F4F8" w:val="clear"/>
            <w:shd w:fill="FFF3CD" w:val="clear"/>
          </w:tcPr>
          <w:p>
            <w:r>
              <w:rPr>
                <w:rFonts w:ascii="Calibri" w:hAnsi="Calibri"/>
                <w:color w:val="333333"/>
                <w:sz w:val="18"/>
              </w:rPr>
              <w:t>32%</w:t>
            </w:r>
          </w:p>
        </w:tc>
        <w:tc>
          <w:tcPr>
            <w:tcW w:type="dxa" w:w="1440"/>
            <w:shd w:fill="F2F4F8" w:val="clear"/>
            <w:shd w:fill="FFF3CD" w:val="clear"/>
          </w:tcPr>
          <w:p>
            <w:r>
              <w:rPr>
                <w:rFonts w:ascii="Calibri" w:hAnsi="Calibri"/>
                <w:color w:val="333333"/>
                <w:sz w:val="18"/>
              </w:rPr>
              <w:t>8 days</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w:t>
            </w:r>
          </w:p>
        </w:tc>
      </w:tr>
      <w:tr>
        <w:tc>
          <w:tcPr>
            <w:tcW w:type="dxa" w:w="1440"/>
            <w:shd w:fill="FFF3CD" w:val="clear"/>
          </w:tcPr>
          <w:p>
            <w:r>
              <w:rPr>
                <w:rFonts w:ascii="Calibri" w:hAnsi="Calibri"/>
                <w:color w:val="333333"/>
                <w:sz w:val="18"/>
              </w:rPr>
              <w:t>2025-04-25</w:t>
            </w:r>
          </w:p>
        </w:tc>
        <w:tc>
          <w:tcPr>
            <w:tcW w:type="dxa" w:w="1440"/>
            <w:shd w:fill="FFF3CD" w:val="clear"/>
          </w:tcPr>
          <w:p>
            <w:r>
              <w:rPr>
                <w:rFonts w:ascii="Calibri" w:hAnsi="Calibri"/>
                <w:color w:val="333333"/>
                <w:sz w:val="18"/>
              </w:rPr>
              <w:t>-6.7%</w:t>
            </w:r>
          </w:p>
        </w:tc>
        <w:tc>
          <w:tcPr>
            <w:tcW w:type="dxa" w:w="1440"/>
            <w:shd w:fill="FFF3CD" w:val="clear"/>
          </w:tcPr>
          <w:p>
            <w:r>
              <w:rPr>
                <w:rFonts w:ascii="Calibri" w:hAnsi="Calibri"/>
                <w:color w:val="333333"/>
                <w:sz w:val="18"/>
              </w:rPr>
              <w:t>27%</w:t>
            </w:r>
          </w:p>
        </w:tc>
        <w:tc>
          <w:tcPr>
            <w:tcW w:type="dxa" w:w="1440"/>
            <w:shd w:fill="FFF3CD" w:val="clear"/>
          </w:tcPr>
          <w:p>
            <w:r>
              <w:rPr>
                <w:rFonts w:ascii="Calibri" w:hAnsi="Calibri"/>
                <w:color w:val="333333"/>
                <w:sz w:val="18"/>
              </w:rPr>
              <w:t>11 days</w:t>
            </w:r>
          </w:p>
        </w:tc>
        <w:tc>
          <w:tcPr>
            <w:tcW w:type="dxa" w:w="1440"/>
            <w:shd w:fill="FFF3CD" w:val="clear"/>
          </w:tcPr>
          <w:p>
            <w:r>
              <w:rPr>
                <w:rFonts w:ascii="Calibri" w:hAnsi="Calibri"/>
                <w:color w:val="333333"/>
                <w:sz w:val="18"/>
              </w:rPr>
              <w:t>Earnings release</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https://www.sec.gov/cgi-bin/browse-edgar?action...</w:t>
            </w:r>
          </w:p>
        </w:tc>
      </w:tr>
      <w:tr>
        <w:tc>
          <w:tcPr>
            <w:tcW w:type="dxa" w:w="1440"/>
            <w:shd w:fill="F2F4F8" w:val="clear"/>
            <w:shd w:fill="FFF3CD" w:val="clear"/>
          </w:tcPr>
          <w:p>
            <w:r>
              <w:rPr>
                <w:rFonts w:ascii="Calibri" w:hAnsi="Calibri"/>
                <w:color w:val="333333"/>
                <w:sz w:val="18"/>
              </w:rPr>
              <w:t>2025-03-19</w:t>
            </w:r>
          </w:p>
        </w:tc>
        <w:tc>
          <w:tcPr>
            <w:tcW w:type="dxa" w:w="1440"/>
            <w:shd w:fill="F2F4F8" w:val="clear"/>
            <w:shd w:fill="FFF3CD" w:val="clear"/>
          </w:tcPr>
          <w:p>
            <w:r>
              <w:rPr>
                <w:rFonts w:ascii="Calibri" w:hAnsi="Calibri"/>
                <w:color w:val="333333"/>
                <w:sz w:val="18"/>
              </w:rPr>
              <w:t>-6.9%</w:t>
            </w:r>
          </w:p>
        </w:tc>
        <w:tc>
          <w:tcPr>
            <w:tcW w:type="dxa" w:w="1440"/>
            <w:shd w:fill="F2F4F8" w:val="clear"/>
            <w:shd w:fill="FFF3CD" w:val="clear"/>
          </w:tcPr>
          <w:p>
            <w:r>
              <w:rPr>
                <w:rFonts w:ascii="Calibri" w:hAnsi="Calibri"/>
                <w:color w:val="333333"/>
                <w:sz w:val="18"/>
              </w:rPr>
              <w:t>23%</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w:t>
            </w:r>
          </w:p>
        </w:tc>
      </w:tr>
      <w:tr>
        <w:tc>
          <w:tcPr>
            <w:tcW w:type="dxa" w:w="1440"/>
            <w:shd w:fill="FFF3CD" w:val="clear"/>
          </w:tcPr>
          <w:p>
            <w:r>
              <w:rPr>
                <w:rFonts w:ascii="Calibri" w:hAnsi="Calibri"/>
                <w:color w:val="333333"/>
                <w:sz w:val="18"/>
              </w:rPr>
              <w:t>2025-03-04</w:t>
            </w:r>
          </w:p>
        </w:tc>
        <w:tc>
          <w:tcPr>
            <w:tcW w:type="dxa" w:w="1440"/>
            <w:shd w:fill="FFF3CD" w:val="clear"/>
          </w:tcPr>
          <w:p>
            <w:r>
              <w:rPr>
                <w:rFonts w:ascii="Calibri" w:hAnsi="Calibri"/>
                <w:color w:val="333333"/>
                <w:sz w:val="18"/>
              </w:rPr>
              <w:t>-6.2%</w:t>
            </w:r>
          </w:p>
        </w:tc>
        <w:tc>
          <w:tcPr>
            <w:tcW w:type="dxa" w:w="1440"/>
            <w:shd w:fill="FFF3CD" w:val="clear"/>
          </w:tcPr>
          <w:p>
            <w:r>
              <w:rPr>
                <w:rFonts w:ascii="Calibri" w:hAnsi="Calibri"/>
                <w:color w:val="333333"/>
                <w:sz w:val="18"/>
              </w:rPr>
              <w:t>22%</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2024-09-04 (2d)</w:t>
            </w:r>
          </w:p>
        </w:tc>
        <w:tc>
          <w:tcPr>
            <w:tcW w:type="dxa" w:w="1440"/>
            <w:shd w:fill="F2F4F8" w:val="clear"/>
            <w:shd w:fill="FCE8E6" w:val="clear"/>
          </w:tcPr>
          <w:p>
            <w:r>
              <w:rPr>
                <w:rFonts w:ascii="Calibri" w:hAnsi="Calibri"/>
                <w:color w:val="333333"/>
                <w:sz w:val="18"/>
              </w:rPr>
              <w:t>-11.8%</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FF3CD" w:val="clear"/>
          </w:tcPr>
          <w:p>
            <w:r>
              <w:rPr>
                <w:rFonts w:ascii="Calibri" w:hAnsi="Calibri"/>
                <w:color w:val="333333"/>
                <w:sz w:val="18"/>
              </w:rPr>
              <w:t>2025-02-19</w:t>
            </w:r>
          </w:p>
        </w:tc>
        <w:tc>
          <w:tcPr>
            <w:tcW w:type="dxa" w:w="1440"/>
            <w:shd w:fill="FFF3CD" w:val="clear"/>
          </w:tcPr>
          <w:p>
            <w:r>
              <w:rPr>
                <w:rFonts w:ascii="Calibri" w:hAnsi="Calibri"/>
                <w:color w:val="333333"/>
                <w:sz w:val="18"/>
              </w:rPr>
              <w:t>-6.1%</w:t>
            </w:r>
          </w:p>
        </w:tc>
        <w:tc>
          <w:tcPr>
            <w:tcW w:type="dxa" w:w="1440"/>
            <w:shd w:fill="FFF3CD" w:val="clear"/>
          </w:tcPr>
          <w:p>
            <w:r>
              <w:rPr>
                <w:rFonts w:ascii="Calibri" w:hAnsi="Calibri"/>
                <w:color w:val="333333"/>
                <w:sz w:val="18"/>
              </w:rPr>
              <w:t>21%</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w:t>
            </w:r>
          </w:p>
        </w:tc>
      </w:tr>
      <w:tr>
        <w:tc>
          <w:tcPr>
            <w:tcW w:type="dxa" w:w="1440"/>
            <w:shd w:fill="F2F4F8" w:val="clear"/>
            <w:shd w:fill="FFF3CD" w:val="clear"/>
          </w:tcPr>
          <w:p>
            <w:r>
              <w:rPr>
                <w:rFonts w:ascii="Calibri" w:hAnsi="Calibri"/>
                <w:color w:val="333333"/>
                <w:sz w:val="18"/>
              </w:rPr>
              <w:t>2025-02-25</w:t>
            </w:r>
          </w:p>
        </w:tc>
        <w:tc>
          <w:tcPr>
            <w:tcW w:type="dxa" w:w="1440"/>
            <w:shd w:fill="F2F4F8" w:val="clear"/>
            <w:shd w:fill="FFF3CD" w:val="clear"/>
          </w:tcPr>
          <w:p>
            <w:r>
              <w:rPr>
                <w:rFonts w:ascii="Calibri" w:hAnsi="Calibri"/>
                <w:color w:val="333333"/>
                <w:sz w:val="18"/>
              </w:rPr>
              <w:t>-5.3%</w:t>
            </w:r>
          </w:p>
        </w:tc>
        <w:tc>
          <w:tcPr>
            <w:tcW w:type="dxa" w:w="1440"/>
            <w:shd w:fill="F2F4F8" w:val="clear"/>
            <w:shd w:fill="FFF3CD" w:val="clear"/>
          </w:tcPr>
          <w:p>
            <w:r>
              <w:rPr>
                <w:rFonts w:ascii="Calibri" w:hAnsi="Calibri"/>
                <w:color w:val="333333"/>
                <w:sz w:val="18"/>
              </w:rPr>
              <w:t>21%</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w:t>
            </w:r>
          </w:p>
        </w:tc>
      </w:tr>
      <w:tr>
        <w:tc>
          <w:tcPr>
            <w:tcW w:type="dxa" w:w="1440"/>
            <w:shd w:fill="FFF3CD" w:val="clear"/>
          </w:tcPr>
          <w:p>
            <w:r>
              <w:rPr>
                <w:rFonts w:ascii="Calibri" w:hAnsi="Calibri"/>
                <w:color w:val="333333"/>
                <w:sz w:val="18"/>
              </w:rPr>
              <w:t>2024-09-03</w:t>
            </w:r>
          </w:p>
        </w:tc>
        <w:tc>
          <w:tcPr>
            <w:tcW w:type="dxa" w:w="1440"/>
            <w:shd w:fill="FFF3CD" w:val="clear"/>
          </w:tcPr>
          <w:p>
            <w:r>
              <w:rPr>
                <w:rFonts w:ascii="Calibri" w:hAnsi="Calibri"/>
                <w:color w:val="333333"/>
                <w:sz w:val="18"/>
              </w:rPr>
              <w:t>-8.8%</w:t>
            </w:r>
          </w:p>
        </w:tc>
        <w:tc>
          <w:tcPr>
            <w:tcW w:type="dxa" w:w="1440"/>
            <w:shd w:fill="FFF3CD" w:val="clear"/>
          </w:tcPr>
          <w:p>
            <w:r>
              <w:rPr>
                <w:rFonts w:ascii="Calibri" w:hAnsi="Calibri"/>
                <w:color w:val="333333"/>
                <w:sz w:val="18"/>
              </w:rPr>
              <w:t>11%</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w:t>
            </w:r>
          </w:p>
        </w:tc>
      </w:tr>
      <w:tr>
        <w:tc>
          <w:tcPr>
            <w:tcW w:type="dxa" w:w="1440"/>
            <w:shd w:fill="F2F4F8" w:val="clear"/>
            <w:shd w:fill="FFF3CD" w:val="clear"/>
          </w:tcPr>
          <w:p>
            <w:r>
              <w:rPr>
                <w:rFonts w:ascii="Calibri" w:hAnsi="Calibri"/>
                <w:color w:val="333333"/>
                <w:sz w:val="18"/>
              </w:rPr>
              <w:t>2024-12-03 (2d)</w:t>
            </w:r>
          </w:p>
        </w:tc>
        <w:tc>
          <w:tcPr>
            <w:tcW w:type="dxa" w:w="1440"/>
            <w:shd w:fill="F2F4F8" w:val="clear"/>
            <w:shd w:fill="FFF3CD" w:val="clear"/>
          </w:tcPr>
          <w:p>
            <w:r>
              <w:rPr>
                <w:rFonts w:ascii="Calibri" w:hAnsi="Calibri"/>
                <w:color w:val="333333"/>
                <w:sz w:val="18"/>
              </w:rPr>
              <w:t>-6.1%</w:t>
            </w:r>
          </w:p>
        </w:tc>
        <w:tc>
          <w:tcPr>
            <w:tcW w:type="dxa" w:w="1440"/>
            <w:shd w:fill="F2F4F8" w:val="clear"/>
            <w:shd w:fill="FFF3CD" w:val="clear"/>
          </w:tcPr>
          <w:p>
            <w:r>
              <w:rPr>
                <w:rFonts w:ascii="Calibri" w:hAnsi="Calibri"/>
                <w:color w:val="333333"/>
                <w:sz w:val="18"/>
              </w:rPr>
              <w:t>15%</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w:t>
            </w:r>
          </w:p>
        </w:tc>
      </w:tr>
      <w:tr>
        <w:tc>
          <w:tcPr>
            <w:tcW w:type="dxa" w:w="1440"/>
            <w:shd w:fill="FFF3CD" w:val="clear"/>
          </w:tcPr>
          <w:p>
            <w:r>
              <w:rPr>
                <w:rFonts w:ascii="Calibri" w:hAnsi="Calibri"/>
                <w:color w:val="333333"/>
                <w:sz w:val="18"/>
              </w:rPr>
              <w:t>2024-12-18</w:t>
            </w:r>
          </w:p>
        </w:tc>
        <w:tc>
          <w:tcPr>
            <w:tcW w:type="dxa" w:w="1440"/>
            <w:shd w:fill="FFF3CD" w:val="clear"/>
          </w:tcPr>
          <w:p>
            <w:r>
              <w:rPr>
                <w:rFonts w:ascii="Calibri" w:hAnsi="Calibri"/>
                <w:color w:val="333333"/>
                <w:sz w:val="18"/>
              </w:rPr>
              <w:t>-5.6%</w:t>
            </w:r>
          </w:p>
        </w:tc>
        <w:tc>
          <w:tcPr>
            <w:tcW w:type="dxa" w:w="1440"/>
            <w:shd w:fill="FFF3CD" w:val="clear"/>
          </w:tcPr>
          <w:p>
            <w:r>
              <w:rPr>
                <w:rFonts w:ascii="Calibri" w:hAnsi="Calibri"/>
                <w:color w:val="333333"/>
                <w:sz w:val="18"/>
              </w:rPr>
              <w:t>16%</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2024-04-29 (2d)</w:t>
            </w:r>
          </w:p>
        </w:tc>
        <w:tc>
          <w:tcPr>
            <w:tcW w:type="dxa" w:w="1440"/>
            <w:shd w:fill="F2F4F8" w:val="clear"/>
            <w:shd w:fill="FCE8E6" w:val="clear"/>
          </w:tcPr>
          <w:p>
            <w:r>
              <w:rPr>
                <w:rFonts w:ascii="Calibri" w:hAnsi="Calibri"/>
                <w:color w:val="333333"/>
                <w:sz w:val="18"/>
              </w:rPr>
              <w:t>-10.7%</w:t>
            </w:r>
          </w:p>
        </w:tc>
        <w:tc>
          <w:tcPr>
            <w:tcW w:type="dxa" w:w="1440"/>
            <w:shd w:fill="F2F4F8" w:val="clear"/>
            <w:shd w:fill="FCE8E6" w:val="clear"/>
          </w:tcPr>
          <w:p>
            <w:r>
              <w:rPr>
                <w:rFonts w:ascii="Calibri" w:hAnsi="Calibri"/>
                <w:color w:val="333333"/>
                <w:sz w:val="18"/>
              </w:rPr>
              <w:t>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FF3CD" w:val="clear"/>
          </w:tcPr>
          <w:p>
            <w:r>
              <w:rPr>
                <w:rFonts w:ascii="Calibri" w:hAnsi="Calibri"/>
                <w:color w:val="333333"/>
                <w:sz w:val="18"/>
              </w:rPr>
              <w:t>2024-08-22</w:t>
            </w:r>
          </w:p>
        </w:tc>
        <w:tc>
          <w:tcPr>
            <w:tcW w:type="dxa" w:w="1440"/>
            <w:shd w:fill="FFF3CD" w:val="clear"/>
          </w:tcPr>
          <w:p>
            <w:r>
              <w:rPr>
                <w:rFonts w:ascii="Calibri" w:hAnsi="Calibri"/>
                <w:color w:val="333333"/>
                <w:sz w:val="18"/>
              </w:rPr>
              <w:t>-6.1%</w:t>
            </w:r>
          </w:p>
        </w:tc>
        <w:tc>
          <w:tcPr>
            <w:tcW w:type="dxa" w:w="1440"/>
            <w:shd w:fill="FFF3CD" w:val="clear"/>
          </w:tcPr>
          <w:p>
            <w:r>
              <w:rPr>
                <w:rFonts w:ascii="Calibri" w:hAnsi="Calibri"/>
                <w:color w:val="333333"/>
                <w:sz w:val="18"/>
              </w:rPr>
              <w:t>10%</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w:t>
            </w:r>
          </w:p>
        </w:tc>
      </w:tr>
      <w:tr>
        <w:tc>
          <w:tcPr>
            <w:tcW w:type="dxa" w:w="1440"/>
            <w:shd w:fill="F2F4F8" w:val="clear"/>
            <w:shd w:fill="FFF3CD" w:val="clear"/>
          </w:tcPr>
          <w:p>
            <w:r>
              <w:rPr>
                <w:rFonts w:ascii="Calibri" w:hAnsi="Calibri"/>
                <w:color w:val="333333"/>
                <w:sz w:val="18"/>
              </w:rPr>
              <w:t>2024-04-26</w:t>
            </w:r>
          </w:p>
        </w:tc>
        <w:tc>
          <w:tcPr>
            <w:tcW w:type="dxa" w:w="1440"/>
            <w:shd w:fill="F2F4F8" w:val="clear"/>
            <w:shd w:fill="FFF3CD" w:val="clear"/>
          </w:tcPr>
          <w:p>
            <w:r>
              <w:rPr>
                <w:rFonts w:ascii="Calibri" w:hAnsi="Calibri"/>
                <w:color w:val="333333"/>
                <w:sz w:val="18"/>
              </w:rPr>
              <w:t>-9.2%</w:t>
            </w:r>
          </w:p>
        </w:tc>
        <w:tc>
          <w:tcPr>
            <w:tcW w:type="dxa" w:w="1440"/>
            <w:shd w:fill="F2F4F8" w:val="clear"/>
            <w:shd w:fill="FFF3CD" w:val="clear"/>
          </w:tcPr>
          <w:p>
            <w:r>
              <w:rPr>
                <w:rFonts w:ascii="Calibri" w:hAnsi="Calibri"/>
                <w:color w:val="333333"/>
                <w:sz w:val="18"/>
              </w:rPr>
              <w:t>7%</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Earnings release</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w:t>
            </w:r>
          </w:p>
        </w:tc>
      </w:tr>
      <w:tr>
        <w:tc>
          <w:tcPr>
            <w:tcW w:type="dxa" w:w="1440"/>
            <w:shd w:fill="FFF3CD" w:val="clear"/>
          </w:tcPr>
          <w:p>
            <w:r>
              <w:rPr>
                <w:rFonts w:ascii="Calibri" w:hAnsi="Calibri"/>
                <w:color w:val="333333"/>
                <w:sz w:val="18"/>
              </w:rPr>
              <w:t>2024-04-03</w:t>
            </w:r>
          </w:p>
        </w:tc>
        <w:tc>
          <w:tcPr>
            <w:tcW w:type="dxa" w:w="1440"/>
            <w:shd w:fill="FFF3CD" w:val="clear"/>
          </w:tcPr>
          <w:p>
            <w:r>
              <w:rPr>
                <w:rFonts w:ascii="Calibri" w:hAnsi="Calibri"/>
                <w:color w:val="333333"/>
                <w:sz w:val="18"/>
              </w:rPr>
              <w:t>-8.2%</w:t>
            </w:r>
          </w:p>
        </w:tc>
        <w:tc>
          <w:tcPr>
            <w:tcW w:type="dxa" w:w="1440"/>
            <w:shd w:fill="FFF3CD" w:val="clear"/>
          </w:tcPr>
          <w:p>
            <w:r>
              <w:rPr>
                <w:rFonts w:ascii="Calibri" w:hAnsi="Calibri"/>
                <w:color w:val="333333"/>
                <w:sz w:val="18"/>
              </w:rPr>
              <w:t>6%</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w:t>
            </w:r>
          </w:p>
        </w:tc>
      </w:tr>
      <w:tr>
        <w:tc>
          <w:tcPr>
            <w:tcW w:type="dxa" w:w="1440"/>
            <w:shd w:fill="F2F4F8" w:val="clear"/>
            <w:shd w:fill="FFF3CD" w:val="clear"/>
          </w:tcPr>
          <w:p>
            <w:r>
              <w:rPr>
                <w:rFonts w:ascii="Calibri" w:hAnsi="Calibri"/>
                <w:color w:val="333333"/>
                <w:sz w:val="18"/>
              </w:rPr>
              <w:t>2024-07-19</w:t>
            </w:r>
          </w:p>
        </w:tc>
        <w:tc>
          <w:tcPr>
            <w:tcW w:type="dxa" w:w="1440"/>
            <w:shd w:fill="F2F4F8" w:val="clear"/>
            <w:shd w:fill="FFF3CD" w:val="clear"/>
          </w:tcPr>
          <w:p>
            <w:r>
              <w:rPr>
                <w:rFonts w:ascii="Calibri" w:hAnsi="Calibri"/>
                <w:color w:val="333333"/>
                <w:sz w:val="18"/>
              </w:rPr>
              <w:t>-5.4%</w:t>
            </w:r>
          </w:p>
        </w:tc>
        <w:tc>
          <w:tcPr>
            <w:tcW w:type="dxa" w:w="1440"/>
            <w:shd w:fill="F2F4F8" w:val="clear"/>
            <w:shd w:fill="FFF3CD" w:val="clear"/>
          </w:tcPr>
          <w:p>
            <w:r>
              <w:rPr>
                <w:rFonts w:ascii="Calibri" w:hAnsi="Calibri"/>
                <w:color w:val="333333"/>
                <w:sz w:val="18"/>
              </w:rPr>
              <w:t>9%</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w:t>
            </w:r>
          </w:p>
        </w:tc>
      </w:tr>
      <w:tr>
        <w:tc>
          <w:tcPr>
            <w:tcW w:type="dxa" w:w="1440"/>
            <w:shd w:fill="FFF3CD" w:val="clear"/>
          </w:tcPr>
          <w:p>
            <w:r>
              <w:rPr>
                <w:rFonts w:ascii="Calibri" w:hAnsi="Calibri"/>
                <w:color w:val="333333"/>
                <w:sz w:val="18"/>
              </w:rPr>
              <w:t>2024-04-12</w:t>
            </w:r>
          </w:p>
        </w:tc>
        <w:tc>
          <w:tcPr>
            <w:tcW w:type="dxa" w:w="1440"/>
            <w:shd w:fill="FFF3CD" w:val="clear"/>
          </w:tcPr>
          <w:p>
            <w:r>
              <w:rPr>
                <w:rFonts w:ascii="Calibri" w:hAnsi="Calibri"/>
                <w:color w:val="333333"/>
                <w:sz w:val="18"/>
              </w:rPr>
              <w:t>-5.2%</w:t>
            </w:r>
          </w:p>
        </w:tc>
        <w:tc>
          <w:tcPr>
            <w:tcW w:type="dxa" w:w="1440"/>
            <w:shd w:fill="FFF3CD" w:val="clear"/>
          </w:tcPr>
          <w:p>
            <w:r>
              <w:rPr>
                <w:rFonts w:ascii="Calibri" w:hAnsi="Calibri"/>
                <w:color w:val="333333"/>
                <w:sz w:val="18"/>
              </w:rPr>
              <w:t>6%</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w:t>
            </w:r>
          </w:p>
        </w:tc>
      </w:tr>
    </w:tbl>
    <w:p>
      <w:pPr>
        <w:pStyle w:val="DOBody"/>
      </w:pPr>
      <w:r>
        <w:t>33 significant stock decline events detected in the 5Y period: 33 critical (&gt;10%). 33 were company-specific, 2 were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2026-01-23 to 2026-01-26 (4d)</w:t>
            </w:r>
          </w:p>
        </w:tc>
        <w:tc>
          <w:tcPr>
            <w:tcW w:type="dxa" w:w="1440"/>
            <w:shd w:fill="FCE8E6" w:val="clear"/>
          </w:tcPr>
          <w:p>
            <w:r>
              <w:rPr>
                <w:rFonts w:ascii="Calibri" w:hAnsi="Calibri"/>
                <w:color w:val="333333"/>
                <w:sz w:val="18"/>
              </w:rPr>
              <w:t>-21.8%</w:t>
            </w:r>
          </w:p>
        </w:tc>
        <w:tc>
          <w:tcPr>
            <w:tcW w:type="dxa" w:w="1440"/>
            <w:shd w:fill="FCE8E6" w:val="clear"/>
          </w:tcPr>
          <w:p>
            <w:r>
              <w:rPr>
                <w:rFonts w:ascii="Calibri" w:hAnsi="Calibri"/>
                <w:color w:val="333333"/>
                <w:sz w:val="18"/>
              </w:rPr>
              <w:t>78%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2026-01-23 (2d)</w:t>
            </w:r>
          </w:p>
        </w:tc>
        <w:tc>
          <w:tcPr>
            <w:tcW w:type="dxa" w:w="1440"/>
            <w:shd w:fill="F2F4F8" w:val="clear"/>
            <w:shd w:fill="FCE8E6" w:val="clear"/>
          </w:tcPr>
          <w:p>
            <w:r>
              <w:rPr>
                <w:rFonts w:ascii="Calibri" w:hAnsi="Calibri"/>
                <w:color w:val="333333"/>
                <w:sz w:val="18"/>
              </w:rPr>
              <w:t>-21.8%</w:t>
            </w:r>
          </w:p>
        </w:tc>
        <w:tc>
          <w:tcPr>
            <w:tcW w:type="dxa" w:w="1440"/>
            <w:shd w:fill="F2F4F8" w:val="clear"/>
            <w:shd w:fill="FCE8E6" w:val="clear"/>
          </w:tcPr>
          <w:p>
            <w:r>
              <w:rPr>
                <w:rFonts w:ascii="Calibri" w:hAnsi="Calibri"/>
                <w:color w:val="333333"/>
                <w:sz w:val="18"/>
              </w:rPr>
              <w:t>77%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2026-01-23 (2d)</w:t>
            </w:r>
          </w:p>
        </w:tc>
        <w:tc>
          <w:tcPr>
            <w:tcW w:type="dxa" w:w="1440"/>
            <w:shd w:fill="FCE8E6" w:val="clear"/>
          </w:tcPr>
          <w:p>
            <w:r>
              <w:rPr>
                <w:rFonts w:ascii="Calibri" w:hAnsi="Calibri"/>
                <w:color w:val="333333"/>
                <w:sz w:val="18"/>
              </w:rPr>
              <w:t>-16.9%</w:t>
            </w:r>
          </w:p>
        </w:tc>
        <w:tc>
          <w:tcPr>
            <w:tcW w:type="dxa" w:w="1440"/>
            <w:shd w:fill="FCE8E6" w:val="clear"/>
          </w:tcPr>
          <w:p>
            <w:r>
              <w:rPr>
                <w:rFonts w:ascii="Calibri" w:hAnsi="Calibri"/>
                <w:color w:val="333333"/>
                <w:sz w:val="18"/>
              </w:rPr>
              <w:t>77%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2025-07-25</w:t>
            </w:r>
          </w:p>
        </w:tc>
        <w:tc>
          <w:tcPr>
            <w:tcW w:type="dxa" w:w="1440"/>
            <w:shd w:fill="F2F4F8" w:val="clear"/>
            <w:shd w:fill="FCE8E6" w:val="clear"/>
          </w:tcPr>
          <w:p>
            <w:r>
              <w:rPr>
                <w:rFonts w:ascii="Calibri" w:hAnsi="Calibri"/>
                <w:color w:val="333333"/>
                <w:sz w:val="18"/>
              </w:rPr>
              <w:t>-11.9%</w:t>
            </w:r>
          </w:p>
        </w:tc>
        <w:tc>
          <w:tcPr>
            <w:tcW w:type="dxa" w:w="1440"/>
            <w:shd w:fill="F2F4F8" w:val="clear"/>
            <w:shd w:fill="FCE8E6" w:val="clear"/>
          </w:tcPr>
          <w:p>
            <w:r>
              <w:rPr>
                <w:rFonts w:ascii="Calibri" w:hAnsi="Calibri"/>
                <w:color w:val="333333"/>
                <w:sz w:val="18"/>
              </w:rPr>
              <w:t>38%</w:t>
            </w:r>
          </w:p>
        </w:tc>
        <w:tc>
          <w:tcPr>
            <w:tcW w:type="dxa" w:w="1440"/>
            <w:shd w:fill="F2F4F8" w:val="clear"/>
            <w:shd w:fill="FCE8E6" w:val="clear"/>
          </w:tcPr>
          <w:p>
            <w:r>
              <w:rPr>
                <w:rFonts w:ascii="Calibri" w:hAnsi="Calibri"/>
                <w:color w:val="333333"/>
                <w:sz w:val="18"/>
              </w:rPr>
              <w:t>14 days</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2025-04-04 to 2025-04-08 (5d)</w:t>
            </w:r>
          </w:p>
        </w:tc>
        <w:tc>
          <w:tcPr>
            <w:tcW w:type="dxa" w:w="1440"/>
            <w:shd w:fill="FCE8E6" w:val="clear"/>
          </w:tcPr>
          <w:p>
            <w:r>
              <w:rPr>
                <w:rFonts w:ascii="Calibri" w:hAnsi="Calibri"/>
                <w:color w:val="333333"/>
                <w:sz w:val="18"/>
              </w:rPr>
              <w:t>-19.2%</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23 days</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2024-08-01 to 2024-09-04 (35d)</w:t>
            </w:r>
          </w:p>
        </w:tc>
        <w:tc>
          <w:tcPr>
            <w:tcW w:type="dxa" w:w="1440"/>
            <w:shd w:fill="F2F4F8" w:val="clear"/>
            <w:shd w:fill="FCE8E6" w:val="clear"/>
          </w:tcPr>
          <w:p>
            <w:r>
              <w:rPr>
                <w:rFonts w:ascii="Calibri" w:hAnsi="Calibri"/>
                <w:color w:val="333333"/>
                <w:sz w:val="18"/>
              </w:rPr>
              <w:t>-45.2%</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2024-08-12 (20d)</w:t>
            </w:r>
          </w:p>
        </w:tc>
        <w:tc>
          <w:tcPr>
            <w:tcW w:type="dxa" w:w="1440"/>
            <w:shd w:fill="FCE8E6" w:val="clear"/>
          </w:tcPr>
          <w:p>
            <w:r>
              <w:rPr>
                <w:rFonts w:ascii="Calibri" w:hAnsi="Calibri"/>
                <w:color w:val="333333"/>
                <w:sz w:val="18"/>
              </w:rPr>
              <w:t>-43.5%</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2024-08-14 (20d)</w:t>
            </w:r>
          </w:p>
        </w:tc>
        <w:tc>
          <w:tcPr>
            <w:tcW w:type="dxa" w:w="1440"/>
            <w:shd w:fill="F2F4F8" w:val="clear"/>
            <w:shd w:fill="FCE8E6" w:val="clear"/>
          </w:tcPr>
          <w:p>
            <w:r>
              <w:rPr>
                <w:rFonts w:ascii="Calibri" w:hAnsi="Calibri"/>
                <w:color w:val="333333"/>
                <w:sz w:val="18"/>
              </w:rPr>
              <w:t>-41.8%</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2024-08-09 (20d)</w:t>
            </w:r>
          </w:p>
        </w:tc>
        <w:tc>
          <w:tcPr>
            <w:tcW w:type="dxa" w:w="1440"/>
            <w:shd w:fill="FCE8E6" w:val="clear"/>
          </w:tcPr>
          <w:p>
            <w:r>
              <w:rPr>
                <w:rFonts w:ascii="Calibri" w:hAnsi="Calibri"/>
                <w:color w:val="333333"/>
                <w:sz w:val="18"/>
              </w:rPr>
              <w:t>-42.5%</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2024-08-06 (20d)</w:t>
            </w:r>
          </w:p>
        </w:tc>
        <w:tc>
          <w:tcPr>
            <w:tcW w:type="dxa" w:w="1440"/>
            <w:shd w:fill="F2F4F8" w:val="clear"/>
            <w:shd w:fill="FCE8E6" w:val="clear"/>
          </w:tcPr>
          <w:p>
            <w:r>
              <w:rPr>
                <w:rFonts w:ascii="Calibri" w:hAnsi="Calibri"/>
                <w:color w:val="333333"/>
                <w:sz w:val="18"/>
              </w:rPr>
              <w:t>-42.7%</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2024-08-15 (20d)</w:t>
            </w:r>
          </w:p>
        </w:tc>
        <w:tc>
          <w:tcPr>
            <w:tcW w:type="dxa" w:w="1440"/>
            <w:shd w:fill="FCE8E6" w:val="clear"/>
          </w:tcPr>
          <w:p>
            <w:r>
              <w:rPr>
                <w:rFonts w:ascii="Calibri" w:hAnsi="Calibri"/>
                <w:color w:val="333333"/>
                <w:sz w:val="18"/>
              </w:rPr>
              <w:t>-40.3%</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2024-08-13 (20d)</w:t>
            </w:r>
          </w:p>
        </w:tc>
        <w:tc>
          <w:tcPr>
            <w:tcW w:type="dxa" w:w="1440"/>
            <w:shd w:fill="F2F4F8" w:val="clear"/>
            <w:shd w:fill="FCE8E6" w:val="clear"/>
          </w:tcPr>
          <w:p>
            <w:r>
              <w:rPr>
                <w:rFonts w:ascii="Calibri" w:hAnsi="Calibri"/>
                <w:color w:val="333333"/>
                <w:sz w:val="18"/>
              </w:rPr>
              <w:t>-40.0%</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2024-08-05 (20d)</w:t>
            </w:r>
          </w:p>
        </w:tc>
        <w:tc>
          <w:tcPr>
            <w:tcW w:type="dxa" w:w="1440"/>
            <w:shd w:fill="FCE8E6" w:val="clear"/>
          </w:tcPr>
          <w:p>
            <w:r>
              <w:rPr>
                <w:rFonts w:ascii="Calibri" w:hAnsi="Calibri"/>
                <w:color w:val="333333"/>
                <w:sz w:val="18"/>
              </w:rPr>
              <w:t>-40.8%</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2024-08-28 (20d)</w:t>
            </w:r>
          </w:p>
        </w:tc>
        <w:tc>
          <w:tcPr>
            <w:tcW w:type="dxa" w:w="1440"/>
            <w:shd w:fill="F2F4F8" w:val="clear"/>
            <w:shd w:fill="FCE8E6" w:val="clear"/>
          </w:tcPr>
          <w:p>
            <w:r>
              <w:rPr>
                <w:rFonts w:ascii="Calibri" w:hAnsi="Calibri"/>
                <w:color w:val="333333"/>
                <w:sz w:val="18"/>
              </w:rPr>
              <w:t>-35.8%</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2024-08-08 (20d)</w:t>
            </w:r>
          </w:p>
        </w:tc>
        <w:tc>
          <w:tcPr>
            <w:tcW w:type="dxa" w:w="1440"/>
            <w:shd w:fill="FCE8E6" w:val="clear"/>
          </w:tcPr>
          <w:p>
            <w:r>
              <w:rPr>
                <w:rFonts w:ascii="Calibri" w:hAnsi="Calibri"/>
                <w:color w:val="333333"/>
                <w:sz w:val="18"/>
              </w:rPr>
              <w:t>-38.5%</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2024-08-20 (20d)</w:t>
            </w:r>
          </w:p>
        </w:tc>
        <w:tc>
          <w:tcPr>
            <w:tcW w:type="dxa" w:w="1440"/>
            <w:shd w:fill="F2F4F8" w:val="clear"/>
            <w:shd w:fill="FCE8E6" w:val="clear"/>
          </w:tcPr>
          <w:p>
            <w:r>
              <w:rPr>
                <w:rFonts w:ascii="Calibri" w:hAnsi="Calibri"/>
                <w:color w:val="333333"/>
                <w:sz w:val="18"/>
              </w:rPr>
              <w:t>-35.9%</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2024-08-16 (20d)</w:t>
            </w:r>
          </w:p>
        </w:tc>
        <w:tc>
          <w:tcPr>
            <w:tcW w:type="dxa" w:w="1440"/>
            <w:shd w:fill="FCE8E6" w:val="clear"/>
          </w:tcPr>
          <w:p>
            <w:r>
              <w:rPr>
                <w:rFonts w:ascii="Calibri" w:hAnsi="Calibri"/>
                <w:color w:val="333333"/>
                <w:sz w:val="18"/>
              </w:rPr>
              <w:t>-36.3%</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2024-08-22 (20d)</w:t>
            </w:r>
          </w:p>
        </w:tc>
        <w:tc>
          <w:tcPr>
            <w:tcW w:type="dxa" w:w="1440"/>
            <w:shd w:fill="F2F4F8" w:val="clear"/>
            <w:shd w:fill="FCE8E6" w:val="clear"/>
          </w:tcPr>
          <w:p>
            <w:r>
              <w:rPr>
                <w:rFonts w:ascii="Calibri" w:hAnsi="Calibri"/>
                <w:color w:val="333333"/>
                <w:sz w:val="18"/>
              </w:rPr>
              <w:t>-35.0%</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2024-08-26 (20d)</w:t>
            </w:r>
          </w:p>
        </w:tc>
        <w:tc>
          <w:tcPr>
            <w:tcW w:type="dxa" w:w="1440"/>
            <w:shd w:fill="FCE8E6" w:val="clear"/>
          </w:tcPr>
          <w:p>
            <w:r>
              <w:rPr>
                <w:rFonts w:ascii="Calibri" w:hAnsi="Calibri"/>
                <w:color w:val="333333"/>
                <w:sz w:val="18"/>
              </w:rPr>
              <w:t>-34.3%</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2024-08-19 (20d)</w:t>
            </w:r>
          </w:p>
        </w:tc>
        <w:tc>
          <w:tcPr>
            <w:tcW w:type="dxa" w:w="1440"/>
            <w:shd w:fill="F2F4F8" w:val="clear"/>
            <w:shd w:fill="FCE8E6" w:val="clear"/>
          </w:tcPr>
          <w:p>
            <w:r>
              <w:rPr>
                <w:rFonts w:ascii="Calibri" w:hAnsi="Calibri"/>
                <w:color w:val="333333"/>
                <w:sz w:val="18"/>
              </w:rPr>
              <w:t>-35.1%</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2024-08-23 (20d)</w:t>
            </w:r>
          </w:p>
        </w:tc>
        <w:tc>
          <w:tcPr>
            <w:tcW w:type="dxa" w:w="1440"/>
            <w:shd w:fill="FCE8E6" w:val="clear"/>
          </w:tcPr>
          <w:p>
            <w:r>
              <w:rPr>
                <w:rFonts w:ascii="Calibri" w:hAnsi="Calibri"/>
                <w:color w:val="333333"/>
                <w:sz w:val="18"/>
              </w:rPr>
              <w:t>-34.1%</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2024-08-27 (20d)</w:t>
            </w:r>
          </w:p>
        </w:tc>
        <w:tc>
          <w:tcPr>
            <w:tcW w:type="dxa" w:w="1440"/>
            <w:shd w:fill="F2F4F8" w:val="clear"/>
            <w:shd w:fill="FCE8E6" w:val="clear"/>
          </w:tcPr>
          <w:p>
            <w:r>
              <w:rPr>
                <w:rFonts w:ascii="Calibri" w:hAnsi="Calibri"/>
                <w:color w:val="333333"/>
                <w:sz w:val="18"/>
              </w:rPr>
              <w:t>-33.0%</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2025-02-25</w:t>
            </w:r>
          </w:p>
        </w:tc>
        <w:tc>
          <w:tcPr>
            <w:tcW w:type="dxa" w:w="1440"/>
            <w:shd w:fill="FCE8E6" w:val="clear"/>
          </w:tcPr>
          <w:p>
            <w:r>
              <w:rPr>
                <w:rFonts w:ascii="Calibri" w:hAnsi="Calibri"/>
                <w:color w:val="333333"/>
                <w:sz w:val="18"/>
              </w:rPr>
              <w:t>-16.1%</w:t>
            </w:r>
          </w:p>
        </w:tc>
        <w:tc>
          <w:tcPr>
            <w:tcW w:type="dxa" w:w="1440"/>
            <w:shd w:fill="FCE8E6" w:val="clear"/>
          </w:tcPr>
          <w:p>
            <w:r>
              <w:rPr>
                <w:rFonts w:ascii="Calibri" w:hAnsi="Calibri"/>
                <w:color w:val="333333"/>
                <w:sz w:val="18"/>
              </w:rPr>
              <w:t>21%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2024-08-21 (20d)</w:t>
            </w:r>
          </w:p>
        </w:tc>
        <w:tc>
          <w:tcPr>
            <w:tcW w:type="dxa" w:w="1440"/>
            <w:shd w:fill="F2F4F8" w:val="clear"/>
            <w:shd w:fill="FCE8E6" w:val="clear"/>
          </w:tcPr>
          <w:p>
            <w:r>
              <w:rPr>
                <w:rFonts w:ascii="Calibri" w:hAnsi="Calibri"/>
                <w:color w:val="333333"/>
                <w:sz w:val="18"/>
              </w:rPr>
              <w:t>-32.0%</w:t>
            </w:r>
          </w:p>
        </w:tc>
        <w:tc>
          <w:tcPr>
            <w:tcW w:type="dxa" w:w="1440"/>
            <w:shd w:fill="F2F4F8" w:val="clear"/>
            <w:shd w:fill="FCE8E6" w:val="clear"/>
          </w:tcPr>
          <w:p>
            <w:r>
              <w:rPr>
                <w:rFonts w:ascii="Calibri" w:hAnsi="Calibri"/>
                <w:color w:val="333333"/>
                <w:sz w:val="18"/>
              </w:rPr>
              <w:t>10%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2024-08-29 (20d)</w:t>
            </w:r>
          </w:p>
        </w:tc>
        <w:tc>
          <w:tcPr>
            <w:tcW w:type="dxa" w:w="1440"/>
            <w:shd w:fill="FCE8E6" w:val="clear"/>
          </w:tcPr>
          <w:p>
            <w:r>
              <w:rPr>
                <w:rFonts w:ascii="Calibri" w:hAnsi="Calibri"/>
                <w:color w:val="333333"/>
                <w:sz w:val="18"/>
              </w:rPr>
              <w:t>-30.3%</w:t>
            </w:r>
          </w:p>
        </w:tc>
        <w:tc>
          <w:tcPr>
            <w:tcW w:type="dxa" w:w="1440"/>
            <w:shd w:fill="FCE8E6" w:val="clear"/>
          </w:tcPr>
          <w:p>
            <w:r>
              <w:rPr>
                <w:rFonts w:ascii="Calibri" w:hAnsi="Calibri"/>
                <w:color w:val="333333"/>
                <w:sz w:val="18"/>
              </w:rPr>
              <w:t>11%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2025-04-07 (2d)</w:t>
            </w:r>
          </w:p>
        </w:tc>
        <w:tc>
          <w:tcPr>
            <w:tcW w:type="dxa" w:w="1440"/>
            <w:shd w:fill="F2F4F8" w:val="clear"/>
            <w:shd w:fill="FCE8E6" w:val="clear"/>
          </w:tcPr>
          <w:p>
            <w:r>
              <w:rPr>
                <w:rFonts w:ascii="Calibri" w:hAnsi="Calibri"/>
                <w:color w:val="333333"/>
                <w:sz w:val="18"/>
              </w:rPr>
              <w:t>-12.8%</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25 days</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2024-08-02 (20d)</w:t>
            </w:r>
          </w:p>
        </w:tc>
        <w:tc>
          <w:tcPr>
            <w:tcW w:type="dxa" w:w="1440"/>
            <w:shd w:fill="FCE8E6" w:val="clear"/>
          </w:tcPr>
          <w:p>
            <w:r>
              <w:rPr>
                <w:rFonts w:ascii="Calibri" w:hAnsi="Calibri"/>
                <w:color w:val="333333"/>
                <w:sz w:val="18"/>
              </w:rPr>
              <w:t>-32.9%</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2025-04-04 (3d)</w:t>
            </w:r>
          </w:p>
        </w:tc>
        <w:tc>
          <w:tcPr>
            <w:tcW w:type="dxa" w:w="1440"/>
            <w:shd w:fill="F2F4F8" w:val="clear"/>
            <w:shd w:fill="FCE8E6" w:val="clear"/>
          </w:tcPr>
          <w:p>
            <w:r>
              <w:rPr>
                <w:rFonts w:ascii="Calibri" w:hAnsi="Calibri"/>
                <w:color w:val="333333"/>
                <w:sz w:val="18"/>
              </w:rPr>
              <w:t>-11.4%</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Market-Wide Event</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2024-08-01 (3d)</w:t>
            </w:r>
          </w:p>
        </w:tc>
        <w:tc>
          <w:tcPr>
            <w:tcW w:type="dxa" w:w="1440"/>
            <w:shd w:fill="FCE8E6" w:val="clear"/>
          </w:tcPr>
          <w:p>
            <w:r>
              <w:rPr>
                <w:rFonts w:ascii="Calibri" w:hAnsi="Calibri"/>
                <w:color w:val="333333"/>
                <w:sz w:val="18"/>
              </w:rPr>
              <w:t>-26.1%</w:t>
            </w:r>
          </w:p>
        </w:tc>
        <w:tc>
          <w:tcPr>
            <w:tcW w:type="dxa" w:w="1440"/>
            <w:shd w:fill="FCE8E6" w:val="clear"/>
          </w:tcPr>
          <w:p>
            <w:r>
              <w:rPr>
                <w:rFonts w:ascii="Calibri" w:hAnsi="Calibri"/>
                <w:color w:val="333333"/>
                <w:sz w:val="18"/>
              </w:rPr>
              <w:t>10%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2025-03-04</w:t>
            </w:r>
          </w:p>
        </w:tc>
        <w:tc>
          <w:tcPr>
            <w:tcW w:type="dxa" w:w="1440"/>
            <w:shd w:fill="F2F4F8" w:val="clear"/>
            <w:shd w:fill="FCE8E6" w:val="clear"/>
          </w:tcPr>
          <w:p>
            <w:r>
              <w:rPr>
                <w:rFonts w:ascii="Calibri" w:hAnsi="Calibri"/>
                <w:color w:val="333333"/>
                <w:sz w:val="18"/>
              </w:rPr>
              <w:t>-10.1%</w:t>
            </w:r>
          </w:p>
        </w:tc>
        <w:tc>
          <w:tcPr>
            <w:tcW w:type="dxa" w:w="1440"/>
            <w:shd w:fill="F2F4F8" w:val="clear"/>
            <w:shd w:fill="FCE8E6" w:val="clear"/>
          </w:tcPr>
          <w:p>
            <w:r>
              <w:rPr>
                <w:rFonts w:ascii="Calibri" w:hAnsi="Calibri"/>
                <w:color w:val="333333"/>
                <w:sz w:val="18"/>
              </w:rPr>
              <w:t>22%</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2024-04-26 to 2024-04-30 (5d)</w:t>
            </w:r>
          </w:p>
        </w:tc>
        <w:tc>
          <w:tcPr>
            <w:tcW w:type="dxa" w:w="1440"/>
            <w:shd w:fill="FCE8E6" w:val="clear"/>
          </w:tcPr>
          <w:p>
            <w:r>
              <w:rPr>
                <w:rFonts w:ascii="Calibri" w:hAnsi="Calibri"/>
                <w:color w:val="333333"/>
                <w:sz w:val="18"/>
              </w:rPr>
              <w:t>-30.7%</w:t>
            </w:r>
          </w:p>
        </w:tc>
        <w:tc>
          <w:tcPr>
            <w:tcW w:type="dxa" w:w="1440"/>
            <w:shd w:fill="FCE8E6" w:val="clear"/>
          </w:tcPr>
          <w:p>
            <w:r>
              <w:rPr>
                <w:rFonts w:ascii="Calibri" w:hAnsi="Calibri"/>
                <w:color w:val="333333"/>
                <w:sz w:val="18"/>
              </w:rPr>
              <w:t>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r>
        <w:tc>
          <w:tcPr>
            <w:tcW w:type="dxa" w:w="1440"/>
            <w:shd w:fill="F2F4F8" w:val="clear"/>
            <w:shd w:fill="FCE8E6" w:val="clear"/>
          </w:tcPr>
          <w:p>
            <w:r>
              <w:rPr>
                <w:rFonts w:ascii="Calibri" w:hAnsi="Calibri"/>
                <w:color w:val="333333"/>
                <w:sz w:val="18"/>
              </w:rPr>
              <w:t>2024-09-04 (2d)</w:t>
            </w:r>
          </w:p>
        </w:tc>
        <w:tc>
          <w:tcPr>
            <w:tcW w:type="dxa" w:w="1440"/>
            <w:shd w:fill="F2F4F8" w:val="clear"/>
            <w:shd w:fill="FCE8E6" w:val="clear"/>
          </w:tcPr>
          <w:p>
            <w:r>
              <w:rPr>
                <w:rFonts w:ascii="Calibri" w:hAnsi="Calibri"/>
                <w:color w:val="333333"/>
                <w:sz w:val="18"/>
              </w:rPr>
              <w:t>-11.8%</w:t>
            </w:r>
          </w:p>
        </w:tc>
        <w:tc>
          <w:tcPr>
            <w:tcW w:type="dxa" w:w="1440"/>
            <w:shd w:fill="F2F4F8" w:val="clear"/>
            <w:shd w:fill="FCE8E6" w:val="clear"/>
          </w:tcPr>
          <w:p>
            <w:r>
              <w:rPr>
                <w:rFonts w:ascii="Calibri" w:hAnsi="Calibri"/>
                <w:color w:val="333333"/>
                <w:sz w:val="18"/>
              </w:rPr>
              <w:t>11%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w:t>
            </w:r>
          </w:p>
        </w:tc>
      </w:tr>
      <w:tr>
        <w:tc>
          <w:tcPr>
            <w:tcW w:type="dxa" w:w="1440"/>
            <w:shd w:fill="FCE8E6" w:val="clear"/>
          </w:tcPr>
          <w:p>
            <w:r>
              <w:rPr>
                <w:rFonts w:ascii="Calibri" w:hAnsi="Calibri"/>
                <w:color w:val="333333"/>
                <w:sz w:val="18"/>
              </w:rPr>
              <w:t>2024-04-29 (2d)</w:t>
            </w:r>
          </w:p>
        </w:tc>
        <w:tc>
          <w:tcPr>
            <w:tcW w:type="dxa" w:w="1440"/>
            <w:shd w:fill="FCE8E6" w:val="clear"/>
          </w:tcPr>
          <w:p>
            <w:r>
              <w:rPr>
                <w:rFonts w:ascii="Calibri" w:hAnsi="Calibri"/>
                <w:color w:val="333333"/>
                <w:sz w:val="18"/>
              </w:rPr>
              <w:t>-10.7%</w:t>
            </w:r>
          </w:p>
        </w:tc>
        <w:tc>
          <w:tcPr>
            <w:tcW w:type="dxa" w:w="1440"/>
            <w:shd w:fill="FCE8E6" w:val="clear"/>
          </w:tcPr>
          <w:p>
            <w:r>
              <w:rPr>
                <w:rFonts w:ascii="Calibri" w:hAnsi="Calibri"/>
                <w:color w:val="333333"/>
                <w:sz w:val="18"/>
              </w:rPr>
              <w:t>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w:t>
            </w:r>
          </w:p>
        </w:tc>
      </w:tr>
    </w:tbl>
    <w:p>
      <w:pPr>
        <w:pStyle w:val="DOHeading2"/>
      </w:pPr>
      <w:r>
        <w:t>Short Interest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Short % of Float</w:t>
            </w:r>
          </w:p>
        </w:tc>
        <w:tc>
          <w:tcPr>
            <w:tcW w:type="dxa" w:w="5040"/>
          </w:tcPr>
          <w:p>
            <w:r>
              <w:rPr>
                <w:rFonts w:ascii="Calibri" w:hAnsi="Calibri"/>
                <w:color w:val="333333"/>
                <w:sz w:val="18"/>
              </w:rPr>
              <w:t>2.3% (Ranks at the 71st percentile among 0 peers (peer median: 4.0%))</w:t>
            </w:r>
          </w:p>
        </w:tc>
      </w:tr>
      <w:tr>
        <w:tc>
          <w:tcPr>
            <w:tcW w:type="dxa" w:w="5040"/>
            <w:shd w:fill="F2F4F8" w:val="clear"/>
          </w:tcPr>
          <w:p>
            <w:r>
              <w:rPr>
                <w:rFonts w:ascii="Calibri" w:hAnsi="Calibri"/>
                <w:color w:val="333333"/>
                <w:sz w:val="18"/>
              </w:rPr>
              <w:t>Days to Cover</w:t>
            </w:r>
          </w:p>
        </w:tc>
        <w:tc>
          <w:tcPr>
            <w:tcW w:type="dxa" w:w="5040"/>
            <w:shd w:fill="F2F4F8" w:val="clear"/>
          </w:tcPr>
          <w:p>
            <w:r>
              <w:rPr>
                <w:rFonts w:ascii="Calibri" w:hAnsi="Calibri"/>
                <w:color w:val="333333"/>
                <w:sz w:val="18"/>
              </w:rPr>
              <w:t>1.59</w:t>
            </w:r>
          </w:p>
        </w:tc>
      </w:tr>
      <w:tr>
        <w:tc>
          <w:tcPr>
            <w:tcW w:type="dxa" w:w="5040"/>
          </w:tcPr>
          <w:p>
            <w:r>
              <w:rPr>
                <w:rFonts w:ascii="Calibri" w:hAnsi="Calibri"/>
                <w:color w:val="333333"/>
                <w:sz w:val="18"/>
              </w:rPr>
              <w:t>6-Month Trend</w:t>
            </w:r>
          </w:p>
        </w:tc>
        <w:tc>
          <w:tcPr>
            <w:tcW w:type="dxa" w:w="5040"/>
          </w:tcPr>
          <w:p>
            <w:r>
              <w:rPr>
                <w:rFonts w:ascii="Calibri" w:hAnsi="Calibri"/>
                <w:color w:val="333333"/>
                <w:sz w:val="18"/>
              </w:rPr>
              <w:t>STABLE</w:t>
            </w:r>
          </w:p>
        </w:tc>
      </w:tr>
      <w:tr>
        <w:tc>
          <w:tcPr>
            <w:tcW w:type="dxa" w:w="5040"/>
            <w:shd w:fill="F2F4F8" w:val="clear"/>
          </w:tcPr>
          <w:p>
            <w:r>
              <w:rPr>
                <w:rFonts w:ascii="Calibri" w:hAnsi="Calibri"/>
                <w:color w:val="333333"/>
                <w:sz w:val="18"/>
              </w:rPr>
              <w:t>vs Sector Ratio</w:t>
            </w:r>
          </w:p>
        </w:tc>
        <w:tc>
          <w:tcPr>
            <w:tcW w:type="dxa" w:w="5040"/>
            <w:shd w:fill="F2F4F8" w:val="clear"/>
          </w:tcPr>
          <w:p>
            <w:r>
              <w:rPr>
                <w:rFonts w:ascii="Calibri" w:hAnsi="Calibri"/>
                <w:color w:val="333333"/>
                <w:sz w:val="18"/>
              </w:rPr>
              <w:t>N/A</w:t>
            </w:r>
          </w:p>
        </w:tc>
      </w:tr>
    </w:tbl>
    <w:p>
      <w:pPr>
        <w:pStyle w:val="DOHeading2"/>
      </w:pPr>
      <w:r>
        <w:t>Earnings Guidance Track Record</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Beat Rate</w:t>
            </w:r>
          </w:p>
        </w:tc>
        <w:tc>
          <w:tcPr>
            <w:tcW w:type="dxa" w:w="5040"/>
          </w:tcPr>
          <w:p>
            <w:r>
              <w:rPr>
                <w:rFonts w:ascii="Calibri" w:hAnsi="Calibri"/>
                <w:color w:val="333333"/>
                <w:sz w:val="18"/>
              </w:rPr>
              <w:t>0.7%</w:t>
            </w:r>
          </w:p>
        </w:tc>
      </w:tr>
      <w:tr>
        <w:tc>
          <w:tcPr>
            <w:tcW w:type="dxa" w:w="5040"/>
            <w:shd w:fill="F2F4F8" w:val="clear"/>
          </w:tcPr>
          <w:p>
            <w:r>
              <w:rPr>
                <w:rFonts w:ascii="Calibri" w:hAnsi="Calibri"/>
                <w:color w:val="333333"/>
                <w:sz w:val="18"/>
              </w:rPr>
              <w:t>Consecutive Misses</w:t>
            </w:r>
          </w:p>
        </w:tc>
        <w:tc>
          <w:tcPr>
            <w:tcW w:type="dxa" w:w="5040"/>
            <w:shd w:fill="F2F4F8" w:val="clear"/>
          </w:tcPr>
          <w:p>
            <w:r>
              <w:rPr>
                <w:rFonts w:ascii="Calibri" w:hAnsi="Calibri"/>
                <w:color w:val="333333"/>
                <w:sz w:val="18"/>
              </w:rPr>
              <w:t>1</w:t>
            </w:r>
          </w:p>
        </w:tc>
      </w:tr>
      <w:tr>
        <w:tc>
          <w:tcPr>
            <w:tcW w:type="dxa" w:w="5040"/>
          </w:tcPr>
          <w:p>
            <w:r>
              <w:rPr>
                <w:rFonts w:ascii="Calibri" w:hAnsi="Calibri"/>
                <w:color w:val="333333"/>
                <w:sz w:val="18"/>
              </w:rPr>
              <w:t>Guidance Withdrawals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Philosophy</w:t>
            </w:r>
          </w:p>
        </w:tc>
        <w:tc>
          <w:tcPr>
            <w:tcW w:type="dxa" w:w="5040"/>
            <w:shd w:fill="F2F4F8" w:val="clear"/>
          </w:tcPr>
          <w:p>
            <w:r>
              <w:rPr>
                <w:rFonts w:ascii="Calibri" w:hAnsi="Calibri"/>
                <w:color w:val="333333"/>
                <w:sz w:val="18"/>
              </w:rPr>
              <w:t>MIXED</w:t>
            </w:r>
          </w:p>
        </w:tc>
      </w:tr>
    </w:tbl>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Quarter</w:t>
            </w:r>
          </w:p>
        </w:tc>
        <w:tc>
          <w:tcPr>
            <w:tcW w:type="dxa" w:w="1680"/>
            <w:shd w:fill="1A1446" w:val="clear"/>
          </w:tcPr>
          <w:p>
            <w:r>
              <w:rPr>
                <w:rFonts w:ascii="Calibri" w:hAnsi="Calibri"/>
                <w:b/>
                <w:color w:val="FFFFFF"/>
                <w:sz w:val="18"/>
              </w:rPr>
              <w:t>Est. EPS</w:t>
            </w:r>
          </w:p>
        </w:tc>
        <w:tc>
          <w:tcPr>
            <w:tcW w:type="dxa" w:w="1680"/>
            <w:shd w:fill="1A1446" w:val="clear"/>
          </w:tcPr>
          <w:p>
            <w:r>
              <w:rPr>
                <w:rFonts w:ascii="Calibri" w:hAnsi="Calibri"/>
                <w:b/>
                <w:color w:val="FFFFFF"/>
                <w:sz w:val="18"/>
              </w:rPr>
              <w:t>Actual EPS</w:t>
            </w:r>
          </w:p>
        </w:tc>
        <w:tc>
          <w:tcPr>
            <w:tcW w:type="dxa" w:w="1680"/>
            <w:shd w:fill="1A1446" w:val="clear"/>
          </w:tcPr>
          <w:p>
            <w:r>
              <w:rPr>
                <w:rFonts w:ascii="Calibri" w:hAnsi="Calibri"/>
                <w:b/>
                <w:color w:val="FFFFFF"/>
                <w:sz w:val="18"/>
              </w:rPr>
              <w:t>Result</w:t>
            </w:r>
          </w:p>
        </w:tc>
        <w:tc>
          <w:tcPr>
            <w:tcW w:type="dxa" w:w="1680"/>
            <w:shd w:fill="1A1446" w:val="clear"/>
          </w:tcPr>
          <w:p>
            <w:r>
              <w:rPr>
                <w:rFonts w:ascii="Calibri" w:hAnsi="Calibri"/>
                <w:b/>
                <w:color w:val="FFFFFF"/>
                <w:sz w:val="18"/>
              </w:rPr>
              <w:t>Miss Magnitude</w:t>
            </w:r>
          </w:p>
        </w:tc>
        <w:tc>
          <w:tcPr>
            <w:tcW w:type="dxa" w:w="1680"/>
            <w:shd w:fill="1A1446" w:val="clear"/>
          </w:tcPr>
          <w:p>
            <w:r>
              <w:rPr>
                <w:rFonts w:ascii="Calibri" w:hAnsi="Calibri"/>
                <w:b/>
                <w:color w:val="FFFFFF"/>
                <w:sz w:val="18"/>
              </w:rPr>
              <w:t>Stock Reaction</w:t>
            </w:r>
          </w:p>
        </w:tc>
      </w:tr>
      <w:tr>
        <w:tc>
          <w:tcPr>
            <w:tcW w:type="dxa" w:w="1680"/>
          </w:tcPr>
          <w:p>
            <w:r>
              <w:rPr>
                <w:rFonts w:ascii="Calibri" w:hAnsi="Calibri"/>
                <w:color w:val="333333"/>
                <w:sz w:val="18"/>
              </w:rPr>
              <w:t>Q1 2026</w:t>
            </w:r>
          </w:p>
        </w:tc>
        <w:tc>
          <w:tcPr>
            <w:tcW w:type="dxa" w:w="1680"/>
          </w:tcPr>
          <w:p>
            <w:r>
              <w:rPr>
                <w:rFonts w:ascii="Calibri" w:hAnsi="Calibri"/>
                <w:color w:val="333333"/>
                <w:sz w:val="18"/>
              </w:rPr>
              <w:t>$-0.09</w:t>
            </w:r>
          </w:p>
        </w:tc>
        <w:tc>
          <w:tcPr>
            <w:tcW w:type="dxa" w:w="1680"/>
          </w:tcPr>
          <w:p>
            <w:r>
              <w:rPr>
                <w:rFonts w:ascii="Calibri" w:hAnsi="Calibri"/>
                <w:color w:val="333333"/>
                <w:sz w:val="18"/>
              </w:rPr>
              <w:t>$-0.12</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+33.3%</w:t>
            </w:r>
          </w:p>
        </w:tc>
        <w:tc>
          <w:tcPr>
            <w:tcW w:type="dxa" w:w="1680"/>
          </w:tcPr>
          <w:p>
            <w:r>
              <w:rPr>
                <w:rFonts w:ascii="Calibri" w:hAnsi="Calibri"/>
                <w:color w:val="333333"/>
                <w:sz w:val="18"/>
              </w:rPr>
              <w:t>-27.6%</w:t>
            </w:r>
          </w:p>
        </w:tc>
      </w:tr>
      <w:tr>
        <w:tc>
          <w:tcPr>
            <w:tcW w:type="dxa" w:w="1680"/>
            <w:shd w:fill="F2F4F8" w:val="clear"/>
          </w:tcPr>
          <w:p>
            <w:r>
              <w:rPr>
                <w:rFonts w:ascii="Calibri" w:hAnsi="Calibri"/>
                <w:color w:val="333333"/>
                <w:sz w:val="18"/>
              </w:rPr>
              <w:t>Q4 2025</w:t>
            </w:r>
          </w:p>
        </w:tc>
        <w:tc>
          <w:tcPr>
            <w:tcW w:type="dxa" w:w="1680"/>
            <w:shd w:fill="F2F4F8" w:val="clear"/>
          </w:tcPr>
          <w:p>
            <w:r>
              <w:rPr>
                <w:rFonts w:ascii="Calibri" w:hAnsi="Calibri"/>
                <w:color w:val="333333"/>
                <w:sz w:val="18"/>
              </w:rPr>
              <w:t>$0.01</w:t>
            </w:r>
          </w:p>
        </w:tc>
        <w:tc>
          <w:tcPr>
            <w:tcW w:type="dxa" w:w="1680"/>
            <w:shd w:fill="F2F4F8" w:val="clear"/>
          </w:tcPr>
          <w:p>
            <w:r>
              <w:rPr>
                <w:rFonts w:ascii="Calibri" w:hAnsi="Calibri"/>
                <w:color w:val="333333"/>
                <w:sz w:val="18"/>
              </w:rPr>
              <w:t>$0.23</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r>
      <w:tr>
        <w:tc>
          <w:tcPr>
            <w:tcW w:type="dxa" w:w="1680"/>
          </w:tcPr>
          <w:p>
            <w:r>
              <w:rPr>
                <w:rFonts w:ascii="Calibri" w:hAnsi="Calibri"/>
                <w:color w:val="333333"/>
                <w:sz w:val="18"/>
              </w:rPr>
              <w:t>Q3 2025</w:t>
            </w:r>
          </w:p>
        </w:tc>
        <w:tc>
          <w:tcPr>
            <w:tcW w:type="dxa" w:w="1680"/>
          </w:tcPr>
          <w:p>
            <w:r>
              <w:rPr>
                <w:rFonts w:ascii="Calibri" w:hAnsi="Calibri"/>
                <w:color w:val="333333"/>
                <w:sz w:val="18"/>
              </w:rPr>
              <w:t>$0.01</w:t>
            </w:r>
          </w:p>
        </w:tc>
        <w:tc>
          <w:tcPr>
            <w:tcW w:type="dxa" w:w="1680"/>
          </w:tcPr>
          <w:p>
            <w:r>
              <w:rPr>
                <w:rFonts w:ascii="Calibri" w:hAnsi="Calibri"/>
                <w:color w:val="333333"/>
                <w:sz w:val="18"/>
              </w:rPr>
              <w:t>$-0.10</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+1100.0%</w:t>
            </w:r>
          </w:p>
        </w:tc>
        <w:tc>
          <w:tcPr>
            <w:tcW w:type="dxa" w:w="1680"/>
          </w:tcPr>
          <w:p>
            <w:r>
              <w:rPr>
                <w:rFonts w:ascii="Calibri" w:hAnsi="Calibri"/>
                <w:color w:val="333333"/>
                <w:sz w:val="18"/>
              </w:rPr>
              <w:t>N/A</w:t>
            </w:r>
          </w:p>
        </w:tc>
      </w:tr>
      <w:tr>
        <w:tc>
          <w:tcPr>
            <w:tcW w:type="dxa" w:w="1680"/>
            <w:shd w:fill="F2F4F8" w:val="clear"/>
          </w:tcPr>
          <w:p>
            <w:r>
              <w:rPr>
                <w:rFonts w:ascii="Calibri" w:hAnsi="Calibri"/>
                <w:color w:val="333333"/>
                <w:sz w:val="18"/>
              </w:rPr>
              <w:t>Q2 2025</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$0.13</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N/A</w:t>
            </w:r>
          </w:p>
        </w:tc>
      </w:tr>
      <w:tr>
        <w:tc>
          <w:tcPr>
            <w:tcW w:type="dxa" w:w="1680"/>
          </w:tcPr>
          <w:p>
            <w:r>
              <w:rPr>
                <w:rFonts w:ascii="Calibri" w:hAnsi="Calibri"/>
                <w:color w:val="333333"/>
                <w:sz w:val="18"/>
              </w:rPr>
              <w:t>Q1 2025</w:t>
            </w:r>
          </w:p>
        </w:tc>
        <w:tc>
          <w:tcPr>
            <w:tcW w:type="dxa" w:w="1680"/>
          </w:tcPr>
          <w:p>
            <w:r>
              <w:rPr>
                <w:rFonts w:ascii="Calibri" w:hAnsi="Calibri"/>
                <w:color w:val="333333"/>
                <w:sz w:val="18"/>
              </w:rPr>
              <w:t>$-0.22</w:t>
            </w:r>
          </w:p>
        </w:tc>
        <w:tc>
          <w:tcPr>
            <w:tcW w:type="dxa" w:w="1680"/>
          </w:tcPr>
          <w:p>
            <w:r>
              <w:rPr>
                <w:rFonts w:ascii="Calibri" w:hAnsi="Calibri"/>
                <w:color w:val="333333"/>
                <w:sz w:val="18"/>
              </w:rPr>
              <w:t>$-0.03</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+86.5%</w:t>
            </w:r>
          </w:p>
        </w:tc>
      </w:tr>
      <w:tr>
        <w:tc>
          <w:tcPr>
            <w:tcW w:type="dxa" w:w="1680"/>
            <w:shd w:fill="F2F4F8" w:val="clear"/>
          </w:tcPr>
          <w:p>
            <w:r>
              <w:rPr>
                <w:rFonts w:ascii="Calibri" w:hAnsi="Calibri"/>
                <w:color w:val="333333"/>
                <w:sz w:val="18"/>
              </w:rPr>
              <w:t>Q4 2024</w:t>
            </w:r>
          </w:p>
        </w:tc>
        <w:tc>
          <w:tcPr>
            <w:tcW w:type="dxa" w:w="1680"/>
            <w:shd w:fill="F2F4F8" w:val="clear"/>
          </w:tcPr>
          <w:p>
            <w:r>
              <w:rPr>
                <w:rFonts w:ascii="Calibri" w:hAnsi="Calibri"/>
                <w:color w:val="333333"/>
                <w:sz w:val="18"/>
              </w:rPr>
              <w:t>$-0.25</w:t>
            </w:r>
          </w:p>
        </w:tc>
        <w:tc>
          <w:tcPr>
            <w:tcW w:type="dxa" w:w="1680"/>
            <w:shd w:fill="F2F4F8" w:val="clear"/>
          </w:tcPr>
          <w:p>
            <w:r>
              <w:rPr>
                <w:rFonts w:ascii="Calibri" w:hAnsi="Calibri"/>
                <w:color w:val="333333"/>
                <w:sz w:val="18"/>
              </w:rPr>
              <w:t>$-3.88</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+1452.0%</w:t>
            </w:r>
          </w:p>
        </w:tc>
        <w:tc>
          <w:tcPr>
            <w:tcW w:type="dxa" w:w="1680"/>
            <w:shd w:fill="F2F4F8" w:val="clear"/>
          </w:tcPr>
          <w:p>
            <w:r>
              <w:rPr>
                <w:rFonts w:ascii="Calibri" w:hAnsi="Calibri"/>
                <w:color w:val="333333"/>
                <w:sz w:val="18"/>
              </w:rPr>
              <w:t>N/A</w:t>
            </w:r>
          </w:p>
        </w:tc>
      </w:tr>
      <w:tr>
        <w:tc>
          <w:tcPr>
            <w:tcW w:type="dxa" w:w="1680"/>
          </w:tcPr>
          <w:p>
            <w:r>
              <w:rPr>
                <w:rFonts w:ascii="Calibri" w:hAnsi="Calibri"/>
                <w:color w:val="333333"/>
                <w:sz w:val="18"/>
              </w:rPr>
              <w:t>Q3 2024</w:t>
            </w:r>
          </w:p>
        </w:tc>
        <w:tc>
          <w:tcPr>
            <w:tcW w:type="dxa" w:w="1680"/>
          </w:tcPr>
          <w:p>
            <w:r>
              <w:rPr>
                <w:rFonts w:ascii="Calibri" w:hAnsi="Calibri"/>
                <w:color w:val="333333"/>
                <w:sz w:val="18"/>
              </w:rPr>
              <w:t>$0.10</w:t>
            </w:r>
          </w:p>
        </w:tc>
        <w:tc>
          <w:tcPr>
            <w:tcW w:type="dxa" w:w="1680"/>
          </w:tcPr>
          <w:p>
            <w:r>
              <w:rPr>
                <w:rFonts w:ascii="Calibri" w:hAnsi="Calibri"/>
                <w:color w:val="333333"/>
                <w:sz w:val="18"/>
              </w:rPr>
              <w:t>$0.02</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+80.0%</w:t>
            </w:r>
          </w:p>
        </w:tc>
        <w:tc>
          <w:tcPr>
            <w:tcW w:type="dxa" w:w="1680"/>
          </w:tcPr>
          <w:p>
            <w:r>
              <w:rPr>
                <w:rFonts w:ascii="Calibri" w:hAnsi="Calibri"/>
                <w:color w:val="333333"/>
                <w:sz w:val="18"/>
              </w:rPr>
              <w:t>-80.2%</w:t>
            </w:r>
          </w:p>
        </w:tc>
      </w:tr>
      <w:tr>
        <w:tc>
          <w:tcPr>
            <w:tcW w:type="dxa" w:w="1680"/>
            <w:shd w:fill="F2F4F8" w:val="clear"/>
          </w:tcPr>
          <w:p>
            <w:r>
              <w:rPr>
                <w:rFonts w:ascii="Calibri" w:hAnsi="Calibri"/>
                <w:color w:val="333333"/>
                <w:sz w:val="18"/>
              </w:rPr>
              <w:t>Q2 2024</w:t>
            </w:r>
          </w:p>
        </w:tc>
        <w:tc>
          <w:tcPr>
            <w:tcW w:type="dxa" w:w="1680"/>
            <w:shd w:fill="F2F4F8" w:val="clear"/>
          </w:tcPr>
          <w:p>
            <w:r>
              <w:rPr>
                <w:rFonts w:ascii="Calibri" w:hAnsi="Calibri"/>
                <w:color w:val="333333"/>
                <w:sz w:val="18"/>
              </w:rPr>
              <w:t>$0.14</w:t>
            </w:r>
          </w:p>
        </w:tc>
        <w:tc>
          <w:tcPr>
            <w:tcW w:type="dxa" w:w="1680"/>
            <w:shd w:fill="F2F4F8" w:val="clear"/>
          </w:tcPr>
          <w:p>
            <w:r>
              <w:rPr>
                <w:rFonts w:ascii="Calibri" w:hAnsi="Calibri"/>
                <w:color w:val="333333"/>
                <w:sz w:val="18"/>
              </w:rPr>
              <w:t>$0.18</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+31.7%</w:t>
            </w:r>
          </w:p>
        </w:tc>
      </w:tr>
      <w:tr>
        <w:tc>
          <w:tcPr>
            <w:tcW w:type="dxa" w:w="1680"/>
          </w:tcPr>
          <w:p>
            <w:r>
              <w:rPr>
                <w:rFonts w:ascii="Calibri" w:hAnsi="Calibri"/>
                <w:color w:val="333333"/>
                <w:sz w:val="18"/>
              </w:rPr>
              <w:t>Q1 2024</w:t>
            </w:r>
          </w:p>
        </w:tc>
        <w:tc>
          <w:tcPr>
            <w:tcW w:type="dxa" w:w="1680"/>
          </w:tcPr>
          <w:p>
            <w:r>
              <w:rPr>
                <w:rFonts w:ascii="Calibri" w:hAnsi="Calibri"/>
                <w:color w:val="333333"/>
                <w:sz w:val="18"/>
              </w:rPr>
              <w:t>$0.45</w:t>
            </w:r>
          </w:p>
        </w:tc>
        <w:tc>
          <w:tcPr>
            <w:tcW w:type="dxa" w:w="1680"/>
          </w:tcPr>
          <w:p>
            <w:r>
              <w:rPr>
                <w:rFonts w:ascii="Calibri" w:hAnsi="Calibri"/>
                <w:color w:val="333333"/>
                <w:sz w:val="18"/>
              </w:rPr>
              <w:t>$0.54</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+20.3%</w:t>
            </w:r>
          </w:p>
        </w:tc>
      </w:tr>
      <w:tr>
        <w:tc>
          <w:tcPr>
            <w:tcW w:type="dxa" w:w="1680"/>
            <w:shd w:fill="F2F4F8" w:val="clear"/>
          </w:tcPr>
          <w:p>
            <w:r>
              <w:rPr>
                <w:rFonts w:ascii="Calibri" w:hAnsi="Calibri"/>
                <w:color w:val="333333"/>
                <w:sz w:val="18"/>
              </w:rPr>
              <w:t>Q4 2023</w:t>
            </w:r>
          </w:p>
        </w:tc>
        <w:tc>
          <w:tcPr>
            <w:tcW w:type="dxa" w:w="1680"/>
            <w:shd w:fill="F2F4F8" w:val="clear"/>
          </w:tcPr>
          <w:p>
            <w:r>
              <w:rPr>
                <w:rFonts w:ascii="Calibri" w:hAnsi="Calibri"/>
                <w:color w:val="333333"/>
                <w:sz w:val="18"/>
              </w:rPr>
              <w:t>$0.22</w:t>
            </w:r>
          </w:p>
        </w:tc>
        <w:tc>
          <w:tcPr>
            <w:tcW w:type="dxa" w:w="1680"/>
            <w:shd w:fill="F2F4F8" w:val="clear"/>
          </w:tcPr>
          <w:p>
            <w:r>
              <w:rPr>
                <w:rFonts w:ascii="Calibri" w:hAnsi="Calibri"/>
                <w:color w:val="333333"/>
                <w:sz w:val="18"/>
              </w:rPr>
              <w:t>$0.41</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+87.0%</w:t>
            </w:r>
          </w:p>
        </w:tc>
      </w:tr>
      <w:tr>
        <w:tc>
          <w:tcPr>
            <w:tcW w:type="dxa" w:w="1680"/>
          </w:tcPr>
          <w:p>
            <w:r>
              <w:rPr>
                <w:rFonts w:ascii="Calibri" w:hAnsi="Calibri"/>
                <w:color w:val="333333"/>
                <w:sz w:val="18"/>
              </w:rPr>
              <w:t>Q3 2023</w:t>
            </w:r>
          </w:p>
        </w:tc>
        <w:tc>
          <w:tcPr>
            <w:tcW w:type="dxa" w:w="1680"/>
          </w:tcPr>
          <w:p>
            <w:r>
              <w:rPr>
                <w:rFonts w:ascii="Calibri" w:hAnsi="Calibri"/>
                <w:color w:val="333333"/>
                <w:sz w:val="18"/>
              </w:rPr>
              <w:t>$-0.03</w:t>
            </w:r>
          </w:p>
        </w:tc>
        <w:tc>
          <w:tcPr>
            <w:tcW w:type="dxa" w:w="1680"/>
          </w:tcPr>
          <w:p>
            <w:r>
              <w:rPr>
                <w:rFonts w:ascii="Calibri" w:hAnsi="Calibri"/>
                <w:color w:val="333333"/>
                <w:sz w:val="18"/>
              </w:rPr>
              <w:t>$0.13</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r>
      <w:tr>
        <w:tc>
          <w:tcPr>
            <w:tcW w:type="dxa" w:w="1680"/>
            <w:shd w:fill="F2F4F8" w:val="clear"/>
          </w:tcPr>
          <w:p>
            <w:r>
              <w:rPr>
                <w:rFonts w:ascii="Calibri" w:hAnsi="Calibri"/>
                <w:color w:val="333333"/>
                <w:sz w:val="18"/>
              </w:rPr>
              <w:t>Q2 2023</w:t>
            </w:r>
          </w:p>
        </w:tc>
        <w:tc>
          <w:tcPr>
            <w:tcW w:type="dxa" w:w="1680"/>
            <w:shd w:fill="F2F4F8" w:val="clear"/>
          </w:tcPr>
          <w:p>
            <w:r>
              <w:rPr>
                <w:rFonts w:ascii="Calibri" w:hAnsi="Calibri"/>
                <w:color w:val="333333"/>
                <w:sz w:val="18"/>
              </w:rPr>
              <w:t>$-0.14</w:t>
            </w:r>
          </w:p>
        </w:tc>
        <w:tc>
          <w:tcPr>
            <w:tcW w:type="dxa" w:w="1680"/>
            <w:shd w:fill="F2F4F8" w:val="clear"/>
          </w:tcPr>
          <w:p>
            <w:r>
              <w:rPr>
                <w:rFonts w:ascii="Calibri" w:hAnsi="Calibri"/>
                <w:color w:val="333333"/>
                <w:sz w:val="18"/>
              </w:rPr>
              <w:t>$-0.04</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+72.2%</w:t>
            </w:r>
          </w:p>
        </w:tc>
      </w:tr>
      <w:tr>
        <w:tc>
          <w:tcPr>
            <w:tcW w:type="dxa" w:w="1680"/>
          </w:tcPr>
          <w:p>
            <w:r>
              <w:rPr>
                <w:rFonts w:ascii="Calibri" w:hAnsi="Calibri"/>
                <w:color w:val="333333"/>
                <w:sz w:val="18"/>
              </w:rPr>
              <w:t>Q1 2023</w:t>
            </w:r>
          </w:p>
        </w:tc>
        <w:tc>
          <w:tcPr>
            <w:tcW w:type="dxa" w:w="1680"/>
          </w:tcPr>
          <w:p>
            <w:r>
              <w:rPr>
                <w:rFonts w:ascii="Calibri" w:hAnsi="Calibri"/>
                <w:color w:val="333333"/>
                <w:sz w:val="18"/>
              </w:rPr>
              <w:t>$0.20</w:t>
            </w:r>
          </w:p>
        </w:tc>
        <w:tc>
          <w:tcPr>
            <w:tcW w:type="dxa" w:w="1680"/>
          </w:tcPr>
          <w:p>
            <w:r>
              <w:rPr>
                <w:rFonts w:ascii="Calibri" w:hAnsi="Calibri"/>
                <w:color w:val="333333"/>
                <w:sz w:val="18"/>
              </w:rPr>
              <w:t>$0.10</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+50.0%</w:t>
            </w:r>
          </w:p>
        </w:tc>
        <w:tc>
          <w:tcPr>
            <w:tcW w:type="dxa" w:w="1680"/>
          </w:tcPr>
          <w:p>
            <w:r>
              <w:rPr>
                <w:rFonts w:ascii="Calibri" w:hAnsi="Calibri"/>
                <w:color w:val="333333"/>
                <w:sz w:val="18"/>
              </w:rPr>
              <w:t>-50.5%</w:t>
            </w:r>
          </w:p>
        </w:tc>
      </w:tr>
      <w:tr>
        <w:tc>
          <w:tcPr>
            <w:tcW w:type="dxa" w:w="1680"/>
            <w:shd w:fill="F2F4F8" w:val="clear"/>
          </w:tcPr>
          <w:p>
            <w:r>
              <w:rPr>
                <w:rFonts w:ascii="Calibri" w:hAnsi="Calibri"/>
                <w:color w:val="333333"/>
                <w:sz w:val="18"/>
              </w:rPr>
              <w:t>Q4 2022</w:t>
            </w:r>
          </w:p>
        </w:tc>
        <w:tc>
          <w:tcPr>
            <w:tcW w:type="dxa" w:w="1680"/>
            <w:shd w:fill="F2F4F8" w:val="clear"/>
          </w:tcPr>
          <w:p>
            <w:r>
              <w:rPr>
                <w:rFonts w:ascii="Calibri" w:hAnsi="Calibri"/>
                <w:color w:val="333333"/>
                <w:sz w:val="18"/>
              </w:rPr>
              <w:t>$0.33</w:t>
            </w:r>
          </w:p>
        </w:tc>
        <w:tc>
          <w:tcPr>
            <w:tcW w:type="dxa" w:w="1680"/>
            <w:shd w:fill="F2F4F8" w:val="clear"/>
          </w:tcPr>
          <w:p>
            <w:r>
              <w:rPr>
                <w:rFonts w:ascii="Calibri" w:hAnsi="Calibri"/>
                <w:color w:val="333333"/>
                <w:sz w:val="18"/>
              </w:rPr>
              <w:t>$0.59</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+80.0%</w:t>
            </w:r>
          </w:p>
        </w:tc>
      </w:tr>
      <w:tr>
        <w:tc>
          <w:tcPr>
            <w:tcW w:type="dxa" w:w="1680"/>
          </w:tcPr>
          <w:p>
            <w:r>
              <w:rPr>
                <w:rFonts w:ascii="Calibri" w:hAnsi="Calibri"/>
                <w:color w:val="333333"/>
                <w:sz w:val="18"/>
              </w:rPr>
              <w:t>Q3 2022</w:t>
            </w:r>
          </w:p>
        </w:tc>
        <w:tc>
          <w:tcPr>
            <w:tcW w:type="dxa" w:w="1680"/>
          </w:tcPr>
          <w:p>
            <w:r>
              <w:rPr>
                <w:rFonts w:ascii="Calibri" w:hAnsi="Calibri"/>
                <w:color w:val="333333"/>
                <w:sz w:val="18"/>
              </w:rPr>
              <w:t>$0.70</w:t>
            </w:r>
          </w:p>
        </w:tc>
        <w:tc>
          <w:tcPr>
            <w:tcW w:type="dxa" w:w="1680"/>
          </w:tcPr>
          <w:p>
            <w:r>
              <w:rPr>
                <w:rFonts w:ascii="Calibri" w:hAnsi="Calibri"/>
                <w:color w:val="333333"/>
                <w:sz w:val="18"/>
              </w:rPr>
              <w:t>$0.29</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+58.6%</w:t>
            </w:r>
          </w:p>
        </w:tc>
        <w:tc>
          <w:tcPr>
            <w:tcW w:type="dxa" w:w="1680"/>
          </w:tcPr>
          <w:p>
            <w:r>
              <w:rPr>
                <w:rFonts w:ascii="Calibri" w:hAnsi="Calibri"/>
                <w:color w:val="333333"/>
                <w:sz w:val="18"/>
              </w:rPr>
              <w:t>-58.3%</w:t>
            </w:r>
          </w:p>
        </w:tc>
      </w:tr>
      <w:tr>
        <w:tc>
          <w:tcPr>
            <w:tcW w:type="dxa" w:w="1680"/>
            <w:shd w:fill="F2F4F8" w:val="clear"/>
          </w:tcPr>
          <w:p>
            <w:r>
              <w:rPr>
                <w:rFonts w:ascii="Calibri" w:hAnsi="Calibri"/>
                <w:color w:val="333333"/>
                <w:sz w:val="18"/>
              </w:rPr>
              <w:t>Q2 2022</w:t>
            </w:r>
          </w:p>
        </w:tc>
        <w:tc>
          <w:tcPr>
            <w:tcW w:type="dxa" w:w="1680"/>
            <w:shd w:fill="F2F4F8" w:val="clear"/>
          </w:tcPr>
          <w:p>
            <w:r>
              <w:rPr>
                <w:rFonts w:ascii="Calibri" w:hAnsi="Calibri"/>
                <w:color w:val="333333"/>
                <w:sz w:val="18"/>
              </w:rPr>
              <w:t>$0.80</w:t>
            </w:r>
          </w:p>
        </w:tc>
        <w:tc>
          <w:tcPr>
            <w:tcW w:type="dxa" w:w="1680"/>
            <w:shd w:fill="F2F4F8" w:val="clear"/>
          </w:tcPr>
          <w:p>
            <w:r>
              <w:rPr>
                <w:rFonts w:ascii="Calibri" w:hAnsi="Calibri"/>
                <w:color w:val="333333"/>
                <w:sz w:val="18"/>
              </w:rPr>
              <w:t>$0.87</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+9.2%</w:t>
            </w:r>
          </w:p>
        </w:tc>
      </w:tr>
    </w:tbl>
    <w:p>
      <w:pPr>
        <w:pStyle w:val="DOHeading2"/>
      </w:pPr>
      <w:r>
        <w:t>Analyst Consensus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Analyst Coverage</w:t>
            </w:r>
          </w:p>
        </w:tc>
        <w:tc>
          <w:tcPr>
            <w:tcW w:type="dxa" w:w="5040"/>
          </w:tcPr>
          <w:p>
            <w:r>
              <w:rPr>
                <w:rFonts w:ascii="Calibri" w:hAnsi="Calibri"/>
                <w:color w:val="333333"/>
                <w:sz w:val="18"/>
              </w:rPr>
              <w:t>41</w:t>
            </w:r>
          </w:p>
        </w:tc>
      </w:tr>
      <w:tr>
        <w:tc>
          <w:tcPr>
            <w:tcW w:type="dxa" w:w="5040"/>
            <w:shd w:fill="F2F4F8" w:val="clear"/>
          </w:tcPr>
          <w:p>
            <w:r>
              <w:rPr>
                <w:rFonts w:ascii="Calibri" w:hAnsi="Calibri"/>
                <w:color w:val="333333"/>
                <w:sz w:val="18"/>
              </w:rPr>
              <w:t>Mean Target Price</w:t>
            </w:r>
          </w:p>
        </w:tc>
        <w:tc>
          <w:tcPr>
            <w:tcW w:type="dxa" w:w="5040"/>
            <w:shd w:fill="F2F4F8" w:val="clear"/>
          </w:tcPr>
          <w:p>
            <w:r>
              <w:rPr>
                <w:rFonts w:ascii="Calibri" w:hAnsi="Calibri"/>
                <w:color w:val="333333"/>
                <w:sz w:val="18"/>
              </w:rPr>
              <w:t>$47</w:t>
            </w:r>
          </w:p>
        </w:tc>
      </w:tr>
      <w:tr>
        <w:tc>
          <w:tcPr>
            <w:tcW w:type="dxa" w:w="5040"/>
          </w:tcPr>
          <w:p>
            <w:r>
              <w:rPr>
                <w:rFonts w:ascii="Calibri" w:hAnsi="Calibri"/>
                <w:color w:val="333333"/>
                <w:sz w:val="18"/>
              </w:rPr>
              <w:t>Target Price High</w:t>
            </w:r>
          </w:p>
        </w:tc>
        <w:tc>
          <w:tcPr>
            <w:tcW w:type="dxa" w:w="5040"/>
          </w:tcPr>
          <w:p>
            <w:r>
              <w:rPr>
                <w:rFonts w:ascii="Calibri" w:hAnsi="Calibri"/>
                <w:color w:val="333333"/>
                <w:sz w:val="18"/>
              </w:rPr>
              <w:t>$72</w:t>
            </w:r>
          </w:p>
        </w:tc>
      </w:tr>
      <w:tr>
        <w:tc>
          <w:tcPr>
            <w:tcW w:type="dxa" w:w="5040"/>
            <w:shd w:fill="F2F4F8" w:val="clear"/>
          </w:tcPr>
          <w:p>
            <w:r>
              <w:rPr>
                <w:rFonts w:ascii="Calibri" w:hAnsi="Calibri"/>
                <w:color w:val="333333"/>
                <w:sz w:val="18"/>
              </w:rPr>
              <w:t>Target Price Low</w:t>
            </w:r>
          </w:p>
        </w:tc>
        <w:tc>
          <w:tcPr>
            <w:tcW w:type="dxa" w:w="5040"/>
            <w:shd w:fill="F2F4F8" w:val="clear"/>
          </w:tcPr>
          <w:p>
            <w:r>
              <w:rPr>
                <w:rFonts w:ascii="Calibri" w:hAnsi="Calibri"/>
                <w:color w:val="333333"/>
                <w:sz w:val="18"/>
              </w:rPr>
              <w:t>$20</w:t>
            </w:r>
          </w:p>
        </w:tc>
      </w:tr>
    </w:tbl>
    <w:p>
      <w:pPr>
        <w:pStyle w:val="DOHeading2"/>
      </w:pPr>
      <w:r>
        <w:t>Stock Drop Analysis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Date</w:t>
            </w:r>
          </w:p>
        </w:tc>
        <w:tc>
          <w:tcPr>
            <w:tcW w:type="dxa" w:w="1680"/>
            <w:shd w:fill="1A1446" w:val="clear"/>
          </w:tcPr>
          <w:p>
            <w:r>
              <w:rPr>
                <w:rFonts w:ascii="Calibri" w:hAnsi="Calibri"/>
                <w:b/>
                <w:color w:val="FFFFFF"/>
                <w:sz w:val="18"/>
              </w:rPr>
              <w:t>Magnitude</w:t>
            </w:r>
          </w:p>
        </w:tc>
        <w:tc>
          <w:tcPr>
            <w:tcW w:type="dxa" w:w="1680"/>
            <w:shd w:fill="1A1446" w:val="clear"/>
          </w:tcPr>
          <w:p>
            <w:r>
              <w:rPr>
                <w:rFonts w:ascii="Calibri" w:hAnsi="Calibri"/>
                <w:b/>
                <w:color w:val="FFFFFF"/>
                <w:sz w:val="18"/>
              </w:rPr>
              <w:t>Type</w:t>
            </w:r>
          </w:p>
        </w:tc>
        <w:tc>
          <w:tcPr>
            <w:tcW w:type="dxa" w:w="1680"/>
            <w:shd w:fill="1A1446" w:val="clear"/>
          </w:tcPr>
          <w:p>
            <w:r>
              <w:rPr>
                <w:rFonts w:ascii="Calibri" w:hAnsi="Calibri"/>
                <w:b/>
                <w:color w:val="FFFFFF"/>
                <w:sz w:val="18"/>
              </w:rPr>
              <w:t>Trigger / Attribution</w:t>
            </w:r>
          </w:p>
        </w:tc>
        <w:tc>
          <w:tcPr>
            <w:tcW w:type="dxa" w:w="1680"/>
            <w:shd w:fill="1A1446" w:val="clear"/>
          </w:tcPr>
          <w:p>
            <w:r>
              <w:rPr>
                <w:rFonts w:ascii="Calibri" w:hAnsi="Calibri"/>
                <w:b/>
                <w:color w:val="FFFFFF"/>
                <w:sz w:val="18"/>
              </w:rPr>
              <w:t>Sector Return</w:t>
            </w:r>
          </w:p>
        </w:tc>
        <w:tc>
          <w:tcPr>
            <w:tcW w:type="dxa" w:w="1680"/>
            <w:shd w:fill="1A1446" w:val="clear"/>
          </w:tcPr>
          <w:p>
            <w:r>
              <w:rPr>
                <w:rFonts w:ascii="Calibri" w:hAnsi="Calibri"/>
                <w:b/>
                <w:color w:val="FFFFFF"/>
                <w:sz w:val="18"/>
              </w:rPr>
              <w:t>Company-Specific</w:t>
            </w:r>
          </w:p>
        </w:tc>
      </w:tr>
      <w:tr>
        <w:tc>
          <w:tcPr>
            <w:tcW w:type="dxa" w:w="1680"/>
          </w:tcPr>
          <w:p>
            <w:r>
              <w:rPr>
                <w:rFonts w:ascii="Calibri" w:hAnsi="Calibri"/>
                <w:color w:val="333333"/>
                <w:sz w:val="18"/>
              </w:rPr>
              <w:t>2024-08-01 to 2024-09-04</w:t>
            </w:r>
          </w:p>
        </w:tc>
        <w:tc>
          <w:tcPr>
            <w:tcW w:type="dxa" w:w="1680"/>
          </w:tcPr>
          <w:p>
            <w:r>
              <w:rPr>
                <w:rFonts w:ascii="Calibri" w:hAnsi="Calibri"/>
                <w:color w:val="333333"/>
                <w:sz w:val="18"/>
              </w:rPr>
              <w:t>-45.2%</w:t>
            </w:r>
          </w:p>
        </w:tc>
        <w:tc>
          <w:tcPr>
            <w:tcW w:type="dxa" w:w="1680"/>
          </w:tcPr>
          <w:p>
            <w:r>
              <w:rPr>
                <w:rFonts w:ascii="Calibri" w:hAnsi="Calibri"/>
                <w:color w:val="333333"/>
                <w:sz w:val="18"/>
              </w:rPr>
              <w:t>MULTI_DAY (35d)</w:t>
            </w:r>
          </w:p>
        </w:tc>
        <w:tc>
          <w:tcPr>
            <w:tcW w:type="dxa" w:w="1680"/>
          </w:tcPr>
          <w:p>
            <w:r>
              <w:rPr>
                <w:rFonts w:ascii="Calibri" w:hAnsi="Calibri"/>
                <w:color w:val="333333"/>
                <w:sz w:val="18"/>
              </w:rPr>
              <w:t>Unknown</w:t>
            </w:r>
          </w:p>
        </w:tc>
        <w:tc>
          <w:tcPr>
            <w:tcW w:type="dxa" w:w="1680"/>
          </w:tcPr>
          <w:p>
            <w:r>
              <w:rPr>
                <w:rFonts w:ascii="Calibri" w:hAnsi="Calibri"/>
                <w:color w:val="333333"/>
                <w:sz w:val="18"/>
              </w:rPr>
              <w:t>-17.0%</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2024-08-12</w:t>
            </w:r>
          </w:p>
        </w:tc>
        <w:tc>
          <w:tcPr>
            <w:tcW w:type="dxa" w:w="1680"/>
            <w:shd w:fill="F2F4F8" w:val="clear"/>
          </w:tcPr>
          <w:p>
            <w:r>
              <w:rPr>
                <w:rFonts w:ascii="Calibri" w:hAnsi="Calibri"/>
                <w:color w:val="333333"/>
                <w:sz w:val="18"/>
              </w:rPr>
              <w:t>-43.5%</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-11.5%</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2024-08-06</w:t>
            </w:r>
          </w:p>
        </w:tc>
        <w:tc>
          <w:tcPr>
            <w:tcW w:type="dxa" w:w="1680"/>
          </w:tcPr>
          <w:p>
            <w:r>
              <w:rPr>
                <w:rFonts w:ascii="Calibri" w:hAnsi="Calibri"/>
                <w:color w:val="333333"/>
                <w:sz w:val="18"/>
              </w:rPr>
              <w:t>-42.7%</w:t>
            </w:r>
          </w:p>
        </w:tc>
        <w:tc>
          <w:tcPr>
            <w:tcW w:type="dxa" w:w="1680"/>
          </w:tcPr>
          <w:p>
            <w:r>
              <w:rPr>
                <w:rFonts w:ascii="Calibri" w:hAnsi="Calibri"/>
                <w:color w:val="333333"/>
                <w:sz w:val="18"/>
              </w:rPr>
              <w:t>MULTI_DAY (20d)</w:t>
            </w:r>
          </w:p>
        </w:tc>
        <w:tc>
          <w:tcPr>
            <w:tcW w:type="dxa" w:w="1680"/>
          </w:tcPr>
          <w:p>
            <w:r>
              <w:rPr>
                <w:rFonts w:ascii="Calibri" w:hAnsi="Calibri"/>
                <w:color w:val="333333"/>
                <w:sz w:val="18"/>
              </w:rPr>
              <w:t>earnings_release</w:t>
            </w:r>
          </w:p>
        </w:tc>
        <w:tc>
          <w:tcPr>
            <w:tcW w:type="dxa" w:w="1680"/>
          </w:tcPr>
          <w:p>
            <w:r>
              <w:rPr>
                <w:rFonts w:ascii="Calibri" w:hAnsi="Calibri"/>
                <w:color w:val="333333"/>
                <w:sz w:val="18"/>
              </w:rPr>
              <w:t>-14.4%</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2024-08-09</w:t>
            </w:r>
          </w:p>
        </w:tc>
        <w:tc>
          <w:tcPr>
            <w:tcW w:type="dxa" w:w="1680"/>
            <w:shd w:fill="F2F4F8" w:val="clear"/>
          </w:tcPr>
          <w:p>
            <w:r>
              <w:rPr>
                <w:rFonts w:ascii="Calibri" w:hAnsi="Calibri"/>
                <w:color w:val="333333"/>
                <w:sz w:val="18"/>
              </w:rPr>
              <w:t>-42.5%</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-12.1%</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2024-08-14</w:t>
            </w:r>
          </w:p>
        </w:tc>
        <w:tc>
          <w:tcPr>
            <w:tcW w:type="dxa" w:w="1680"/>
          </w:tcPr>
          <w:p>
            <w:r>
              <w:rPr>
                <w:rFonts w:ascii="Calibri" w:hAnsi="Calibri"/>
                <w:color w:val="333333"/>
                <w:sz w:val="18"/>
              </w:rPr>
              <w:t>-41.8%</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-4.2%</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2024-08-05</w:t>
            </w:r>
          </w:p>
        </w:tc>
        <w:tc>
          <w:tcPr>
            <w:tcW w:type="dxa" w:w="1680"/>
            <w:shd w:fill="F2F4F8" w:val="clear"/>
          </w:tcPr>
          <w:p>
            <w:r>
              <w:rPr>
                <w:rFonts w:ascii="Calibri" w:hAnsi="Calibri"/>
                <w:color w:val="333333"/>
                <w:sz w:val="18"/>
              </w:rPr>
              <w:t>-40.8%</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earnings_release</w:t>
            </w:r>
          </w:p>
        </w:tc>
        <w:tc>
          <w:tcPr>
            <w:tcW w:type="dxa" w:w="1680"/>
            <w:shd w:fill="F2F4F8" w:val="clear"/>
          </w:tcPr>
          <w:p>
            <w:r>
              <w:rPr>
                <w:rFonts w:ascii="Calibri" w:hAnsi="Calibri"/>
                <w:color w:val="333333"/>
                <w:sz w:val="18"/>
              </w:rPr>
              <w:t>-15.6%</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2024-08-15</w:t>
            </w:r>
          </w:p>
        </w:tc>
        <w:tc>
          <w:tcPr>
            <w:tcW w:type="dxa" w:w="1680"/>
          </w:tcPr>
          <w:p>
            <w:r>
              <w:rPr>
                <w:rFonts w:ascii="Calibri" w:hAnsi="Calibri"/>
                <w:color w:val="333333"/>
                <w:sz w:val="18"/>
              </w:rPr>
              <w:t>-40.3%</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-1.5%</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2024-08-13</w:t>
            </w:r>
          </w:p>
        </w:tc>
        <w:tc>
          <w:tcPr>
            <w:tcW w:type="dxa" w:w="1680"/>
            <w:shd w:fill="F2F4F8" w:val="clear"/>
          </w:tcPr>
          <w:p>
            <w:r>
              <w:rPr>
                <w:rFonts w:ascii="Calibri" w:hAnsi="Calibri"/>
                <w:color w:val="333333"/>
                <w:sz w:val="18"/>
              </w:rPr>
              <w:t>-40.0%</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-8.5%</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2024-08-08</w:t>
            </w:r>
          </w:p>
        </w:tc>
        <w:tc>
          <w:tcPr>
            <w:tcW w:type="dxa" w:w="1680"/>
          </w:tcPr>
          <w:p>
            <w:r>
              <w:rPr>
                <w:rFonts w:ascii="Calibri" w:hAnsi="Calibri"/>
                <w:color w:val="333333"/>
                <w:sz w:val="18"/>
              </w:rPr>
              <w:t>-38.5%</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-11.7%</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2024-08-16</w:t>
            </w:r>
          </w:p>
        </w:tc>
        <w:tc>
          <w:tcPr>
            <w:tcW w:type="dxa" w:w="1680"/>
            <w:shd w:fill="F2F4F8" w:val="clear"/>
          </w:tcPr>
          <w:p>
            <w:r>
              <w:rPr>
                <w:rFonts w:ascii="Calibri" w:hAnsi="Calibri"/>
                <w:color w:val="333333"/>
                <w:sz w:val="18"/>
              </w:rPr>
              <w:t>-36.3%</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+0.2%</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2024-08-20</w:t>
            </w:r>
          </w:p>
        </w:tc>
        <w:tc>
          <w:tcPr>
            <w:tcW w:type="dxa" w:w="1680"/>
          </w:tcPr>
          <w:p>
            <w:r>
              <w:rPr>
                <w:rFonts w:ascii="Calibri" w:hAnsi="Calibri"/>
                <w:color w:val="333333"/>
                <w:sz w:val="18"/>
              </w:rPr>
              <w:t>-35.9%</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-0.4%</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2024-08-28</w:t>
            </w:r>
          </w:p>
        </w:tc>
        <w:tc>
          <w:tcPr>
            <w:tcW w:type="dxa" w:w="1680"/>
            <w:shd w:fill="F2F4F8" w:val="clear"/>
          </w:tcPr>
          <w:p>
            <w:r>
              <w:rPr>
                <w:rFonts w:ascii="Calibri" w:hAnsi="Calibri"/>
                <w:color w:val="333333"/>
                <w:sz w:val="18"/>
              </w:rPr>
              <w:t>-35.8%</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+0.3%</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2024-08-19</w:t>
            </w:r>
          </w:p>
        </w:tc>
        <w:tc>
          <w:tcPr>
            <w:tcW w:type="dxa" w:w="1680"/>
          </w:tcPr>
          <w:p>
            <w:r>
              <w:rPr>
                <w:rFonts w:ascii="Calibri" w:hAnsi="Calibri"/>
                <w:color w:val="333333"/>
                <w:sz w:val="18"/>
              </w:rPr>
              <w:t>-35.1%</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-0.5%</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2024-08-22</w:t>
            </w:r>
          </w:p>
        </w:tc>
        <w:tc>
          <w:tcPr>
            <w:tcW w:type="dxa" w:w="1680"/>
            <w:shd w:fill="F2F4F8" w:val="clear"/>
          </w:tcPr>
          <w:p>
            <w:r>
              <w:rPr>
                <w:rFonts w:ascii="Calibri" w:hAnsi="Calibri"/>
                <w:color w:val="333333"/>
                <w:sz w:val="18"/>
              </w:rPr>
              <w:t>-35.0%</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+3.2%</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2024-08-26</w:t>
            </w:r>
          </w:p>
        </w:tc>
        <w:tc>
          <w:tcPr>
            <w:tcW w:type="dxa" w:w="1680"/>
          </w:tcPr>
          <w:p>
            <w:r>
              <w:rPr>
                <w:rFonts w:ascii="Calibri" w:hAnsi="Calibri"/>
                <w:color w:val="333333"/>
                <w:sz w:val="18"/>
              </w:rPr>
              <w:t>-34.3%</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+2.7%</w:t>
            </w:r>
          </w:p>
        </w:tc>
        <w:tc>
          <w:tcPr>
            <w:tcW w:type="dxa" w:w="1680"/>
            <w:shd w:fill="FFF3CD" w:val="clear"/>
          </w:tcPr>
          <w:p>
            <w:r>
              <w:rPr>
                <w:rFonts w:ascii="Calibri" w:hAnsi="Calibri"/>
                <w:color w:val="333333"/>
                <w:sz w:val="18"/>
              </w:rPr>
              <w:t>Yes</w:t>
            </w:r>
          </w:p>
        </w:tc>
      </w:tr>
    </w:tbl>
    <w:p>
      <w:pPr>
        <w:pStyle w:val="DOBody"/>
      </w:pPr>
      <w:r>
        <w:t>Class Period Potential: 33 company-specific drop(s) exceeding 10% identified. Severe stock drops that are company-specific (not explained by sector movement) are the primary anchors for SCA class periods. Plaintiffs will allege the drop occurred when the 'truth emerged' following prior misstatements.</w:t>
      </w:r>
      <w:r>
        <w:rPr>
          <w:b/>
          <w:color w:val="EA580C"/>
          <w:sz w:val="18"/>
        </w:rPr>
        <w:t xml:space="preserve"> [HIGH]</w:t>
      </w:r>
    </w:p>
    <w:p>
      <w:pPr>
        <w:pStyle w:val="DOHeading2"/>
      </w:pPr>
      <w:r>
        <w:t>Insider Trading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Net Direction (12mo)</w:t>
            </w:r>
          </w:p>
        </w:tc>
        <w:tc>
          <w:tcPr>
            <w:tcW w:type="dxa" w:w="5040"/>
          </w:tcPr>
          <w:p>
            <w:r>
              <w:rPr>
                <w:rFonts w:ascii="Calibri" w:hAnsi="Calibri"/>
                <w:color w:val="333333"/>
                <w:sz w:val="18"/>
              </w:rPr>
              <w:t>NET_SELLING</w:t>
            </w:r>
          </w:p>
        </w:tc>
      </w:tr>
      <w:tr>
        <w:tc>
          <w:tcPr>
            <w:tcW w:type="dxa" w:w="5040"/>
            <w:shd w:fill="F2F4F8" w:val="clear"/>
          </w:tcPr>
          <w:p>
            <w:r>
              <w:rPr>
                <w:rFonts w:ascii="Calibri" w:hAnsi="Calibri"/>
                <w:color w:val="333333"/>
                <w:sz w:val="18"/>
              </w:rPr>
              <w:t>10b5-1 Plan %</w:t>
            </w:r>
          </w:p>
        </w:tc>
        <w:tc>
          <w:tcPr>
            <w:tcW w:type="dxa" w:w="5040"/>
            <w:shd w:fill="F2F4F8" w:val="clear"/>
          </w:tcPr>
          <w:p>
            <w:r>
              <w:rPr>
                <w:rFonts w:ascii="Calibri" w:hAnsi="Calibri"/>
                <w:color w:val="333333"/>
                <w:sz w:val="18"/>
              </w:rPr>
              <w:t>0.0%</w:t>
            </w:r>
          </w:p>
        </w:tc>
      </w:tr>
      <w:tr>
        <w:tc>
          <w:tcPr>
            <w:tcW w:type="dxa" w:w="5040"/>
          </w:tcPr>
          <w:p>
            <w:r>
              <w:rPr>
                <w:rFonts w:ascii="Calibri" w:hAnsi="Calibri"/>
                <w:color w:val="333333"/>
                <w:sz w:val="18"/>
              </w:rPr>
              <w:t>Buy Transactions</w:t>
            </w:r>
          </w:p>
        </w:tc>
        <w:tc>
          <w:tcPr>
            <w:tcW w:type="dxa" w:w="5040"/>
          </w:tcPr>
          <w:p>
            <w:r>
              <w:rPr>
                <w:rFonts w:ascii="Calibri" w:hAnsi="Calibri"/>
                <w:color w:val="333333"/>
                <w:sz w:val="18"/>
              </w:rPr>
              <w:t>1</w:t>
            </w:r>
          </w:p>
        </w:tc>
      </w:tr>
      <w:tr>
        <w:tc>
          <w:tcPr>
            <w:tcW w:type="dxa" w:w="5040"/>
            <w:shd w:fill="F2F4F8" w:val="clear"/>
          </w:tcPr>
          <w:p>
            <w:r>
              <w:rPr>
                <w:rFonts w:ascii="Calibri" w:hAnsi="Calibri"/>
                <w:color w:val="333333"/>
                <w:sz w:val="18"/>
              </w:rPr>
              <w:t>Sell Transactions</w:t>
            </w:r>
          </w:p>
        </w:tc>
        <w:tc>
          <w:tcPr>
            <w:tcW w:type="dxa" w:w="5040"/>
            <w:shd w:fill="F2F4F8" w:val="clear"/>
          </w:tcPr>
          <w:p>
            <w:r>
              <w:rPr>
                <w:rFonts w:ascii="Calibri" w:hAnsi="Calibri"/>
                <w:color w:val="333333"/>
                <w:sz w:val="18"/>
              </w:rPr>
              <w:t>1</w:t>
            </w:r>
          </w:p>
        </w:tc>
      </w:tr>
      <w:tr>
        <w:tc>
          <w:tcPr>
            <w:tcW w:type="dxa" w:w="5040"/>
          </w:tcPr>
          <w:p>
            <w:r>
              <w:rPr>
                <w:rFonts w:ascii="Calibri" w:hAnsi="Calibri"/>
                <w:color w:val="333333"/>
                <w:sz w:val="18"/>
              </w:rPr>
              <w:t>Cluster Events</w:t>
            </w:r>
          </w:p>
        </w:tc>
        <w:tc>
          <w:tcPr>
            <w:tcW w:type="dxa" w:w="5040"/>
          </w:tcPr>
          <w:p>
            <w:r>
              <w:rPr>
                <w:rFonts w:ascii="Calibri" w:hAnsi="Calibri"/>
                <w:color w:val="333333"/>
                <w:sz w:val="18"/>
              </w:rPr>
              <w:t>0</w:t>
            </w:r>
          </w:p>
        </w:tc>
      </w:tr>
    </w:tbl>
    <w:p>
      <w:pPr>
        <w:pStyle w:val="DOHeading3"/>
      </w:pPr>
      <w:r>
        <w:t>Transaction Detail</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Insider</w:t>
            </w:r>
          </w:p>
        </w:tc>
        <w:tc>
          <w:tcPr>
            <w:tcW w:type="dxa" w:w="1440"/>
            <w:shd w:fill="1A1446" w:val="clear"/>
          </w:tcPr>
          <w:p>
            <w:r>
              <w:rPr>
                <w:rFonts w:ascii="Calibri" w:hAnsi="Calibri"/>
                <w:b/>
                <w:color w:val="FFFFFF"/>
                <w:sz w:val="18"/>
              </w:rPr>
              <w:t>Title</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Shares</w:t>
            </w:r>
          </w:p>
        </w:tc>
        <w:tc>
          <w:tcPr>
            <w:tcW w:type="dxa" w:w="1440"/>
            <w:shd w:fill="1A1446" w:val="clear"/>
          </w:tcPr>
          <w:p>
            <w:r>
              <w:rPr>
                <w:rFonts w:ascii="Calibri" w:hAnsi="Calibri"/>
                <w:b/>
                <w:color w:val="FFFFFF"/>
                <w:sz w:val="18"/>
              </w:rPr>
              <w:t>Value</w:t>
            </w:r>
          </w:p>
        </w:tc>
        <w:tc>
          <w:tcPr>
            <w:tcW w:type="dxa" w:w="1440"/>
            <w:shd w:fill="1A1446" w:val="clear"/>
          </w:tcPr>
          <w:p>
            <w:r>
              <w:rPr>
                <w:rFonts w:ascii="Calibri" w:hAnsi="Calibri"/>
                <w:b/>
                <w:color w:val="FFFFFF"/>
                <w:sz w:val="18"/>
              </w:rPr>
              <w:t>10b5-1</w:t>
            </w:r>
          </w:p>
        </w:tc>
      </w:tr>
      <w:tr>
        <w:tc>
          <w:tcPr>
            <w:tcW w:type="dxa" w:w="1440"/>
          </w:tcPr>
          <w:p>
            <w:r>
              <w:rPr>
                <w:rFonts w:ascii="Calibri" w:hAnsi="Calibri"/>
                <w:color w:val="333333"/>
                <w:sz w:val="18"/>
              </w:rPr>
              <w:t>2026-03-02</w:t>
            </w:r>
          </w:p>
        </w:tc>
        <w:tc>
          <w:tcPr>
            <w:tcW w:type="dxa" w:w="1440"/>
          </w:tcPr>
          <w:p>
            <w:r>
              <w:rPr>
                <w:rFonts w:ascii="Calibri" w:hAnsi="Calibri"/>
                <w:color w:val="333333"/>
                <w:sz w:val="18"/>
              </w:rPr>
              <w:t>Zinsner David</w:t>
            </w:r>
          </w:p>
        </w:tc>
        <w:tc>
          <w:tcPr>
            <w:tcW w:type="dxa" w:w="1440"/>
          </w:tcPr>
          <w:p>
            <w:r>
              <w:rPr>
                <w:rFonts w:ascii="Calibri" w:hAnsi="Calibri"/>
                <w:color w:val="333333"/>
                <w:sz w:val="18"/>
              </w:rPr>
              <w:t>EVP, CFO</w:t>
            </w:r>
          </w:p>
        </w:tc>
        <w:tc>
          <w:tcPr>
            <w:tcW w:type="dxa" w:w="1440"/>
          </w:tcPr>
          <w:p>
            <w:r>
              <w:rPr>
                <w:rFonts w:ascii="Calibri" w:hAnsi="Calibri"/>
                <w:color w:val="333333"/>
                <w:sz w:val="18"/>
              </w:rPr>
              <w:t>EXERCISE</w:t>
            </w:r>
          </w:p>
        </w:tc>
        <w:tc>
          <w:tcPr>
            <w:tcW w:type="dxa" w:w="1440"/>
          </w:tcPr>
          <w:p>
            <w:r>
              <w:rPr>
                <w:rFonts w:ascii="Calibri" w:hAnsi="Calibri"/>
                <w:color w:val="333333"/>
                <w:sz w:val="18"/>
              </w:rPr>
              <w:t>70,356</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2026-03-02</w:t>
            </w:r>
          </w:p>
        </w:tc>
        <w:tc>
          <w:tcPr>
            <w:tcW w:type="dxa" w:w="1440"/>
            <w:shd w:fill="F2F4F8" w:val="clear"/>
          </w:tcPr>
          <w:p>
            <w:r>
              <w:rPr>
                <w:rFonts w:ascii="Calibri" w:hAnsi="Calibri"/>
                <w:color w:val="333333"/>
                <w:sz w:val="18"/>
              </w:rPr>
              <w:t>Zinsner David</w:t>
            </w:r>
          </w:p>
        </w:tc>
        <w:tc>
          <w:tcPr>
            <w:tcW w:type="dxa" w:w="1440"/>
            <w:shd w:fill="F2F4F8" w:val="clear"/>
          </w:tcPr>
          <w:p>
            <w:r>
              <w:rPr>
                <w:rFonts w:ascii="Calibri" w:hAnsi="Calibri"/>
                <w:color w:val="333333"/>
                <w:sz w:val="18"/>
              </w:rPr>
              <w:t>EVP, CFO</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28,996</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2026-03-02</w:t>
            </w:r>
          </w:p>
        </w:tc>
        <w:tc>
          <w:tcPr>
            <w:tcW w:type="dxa" w:w="1440"/>
          </w:tcPr>
          <w:p>
            <w:r>
              <w:rPr>
                <w:rFonts w:ascii="Calibri" w:hAnsi="Calibri"/>
                <w:color w:val="333333"/>
                <w:sz w:val="18"/>
              </w:rPr>
              <w:t>Zinsner David</w:t>
            </w:r>
          </w:p>
        </w:tc>
        <w:tc>
          <w:tcPr>
            <w:tcW w:type="dxa" w:w="1440"/>
          </w:tcPr>
          <w:p>
            <w:r>
              <w:rPr>
                <w:rFonts w:ascii="Calibri" w:hAnsi="Calibri"/>
                <w:color w:val="333333"/>
                <w:sz w:val="18"/>
              </w:rPr>
              <w:t>EVP, CFO</w:t>
            </w:r>
          </w:p>
        </w:tc>
        <w:tc>
          <w:tcPr>
            <w:tcW w:type="dxa" w:w="1440"/>
          </w:tcPr>
          <w:p>
            <w:r>
              <w:rPr>
                <w:rFonts w:ascii="Calibri" w:hAnsi="Calibri"/>
                <w:color w:val="333333"/>
                <w:sz w:val="18"/>
              </w:rPr>
              <w:t>EXERCISE</w:t>
            </w:r>
          </w:p>
        </w:tc>
        <w:tc>
          <w:tcPr>
            <w:tcW w:type="dxa" w:w="1440"/>
          </w:tcPr>
          <w:p>
            <w:r>
              <w:rPr>
                <w:rFonts w:ascii="Calibri" w:hAnsi="Calibri"/>
                <w:color w:val="333333"/>
                <w:sz w:val="18"/>
              </w:rPr>
              <w:t>70,356</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2026-03-02</w:t>
            </w:r>
          </w:p>
        </w:tc>
        <w:tc>
          <w:tcPr>
            <w:tcW w:type="dxa" w:w="1440"/>
            <w:shd w:fill="F2F4F8" w:val="clear"/>
          </w:tcPr>
          <w:p>
            <w:r>
              <w:rPr>
                <w:rFonts w:ascii="Calibri" w:hAnsi="Calibri"/>
                <w:color w:val="333333"/>
                <w:sz w:val="18"/>
              </w:rPr>
              <w:t>Zinsner David</w:t>
            </w:r>
          </w:p>
        </w:tc>
        <w:tc>
          <w:tcPr>
            <w:tcW w:type="dxa" w:w="1440"/>
            <w:shd w:fill="F2F4F8" w:val="clear"/>
          </w:tcPr>
          <w:p>
            <w:r>
              <w:rPr>
                <w:rFonts w:ascii="Calibri" w:hAnsi="Calibri"/>
                <w:color w:val="333333"/>
                <w:sz w:val="18"/>
              </w:rPr>
              <w:t>EVP, CFO</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28,996</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2026-03-02</w:t>
            </w:r>
          </w:p>
        </w:tc>
        <w:tc>
          <w:tcPr>
            <w:tcW w:type="dxa" w:w="1440"/>
          </w:tcPr>
          <w:p>
            <w:r>
              <w:rPr>
                <w:rFonts w:ascii="Calibri" w:hAnsi="Calibri"/>
                <w:color w:val="333333"/>
                <w:sz w:val="18"/>
              </w:rPr>
              <w:t>Zinsner David</w:t>
            </w:r>
          </w:p>
        </w:tc>
        <w:tc>
          <w:tcPr>
            <w:tcW w:type="dxa" w:w="1440"/>
          </w:tcPr>
          <w:p>
            <w:r>
              <w:rPr>
                <w:rFonts w:ascii="Calibri" w:hAnsi="Calibri"/>
                <w:color w:val="333333"/>
                <w:sz w:val="18"/>
              </w:rPr>
              <w:t>EVP, CFO</w:t>
            </w:r>
          </w:p>
        </w:tc>
        <w:tc>
          <w:tcPr>
            <w:tcW w:type="dxa" w:w="1440"/>
          </w:tcPr>
          <w:p>
            <w:r>
              <w:rPr>
                <w:rFonts w:ascii="Calibri" w:hAnsi="Calibri"/>
                <w:color w:val="333333"/>
                <w:sz w:val="18"/>
              </w:rPr>
              <w:t>TAX_WITHHOLD</w:t>
            </w:r>
          </w:p>
        </w:tc>
        <w:tc>
          <w:tcPr>
            <w:tcW w:type="dxa" w:w="1440"/>
          </w:tcPr>
          <w:p>
            <w:r>
              <w:rPr>
                <w:rFonts w:ascii="Calibri" w:hAnsi="Calibri"/>
                <w:color w:val="333333"/>
                <w:sz w:val="18"/>
              </w:rPr>
              <w:t>34,883</w:t>
            </w:r>
          </w:p>
        </w:tc>
        <w:tc>
          <w:tcPr>
            <w:tcW w:type="dxa" w:w="1440"/>
          </w:tcPr>
          <w:p>
            <w:r>
              <w:rPr>
                <w:rFonts w:ascii="Calibri" w:hAnsi="Calibri"/>
                <w:color w:val="333333"/>
                <w:sz w:val="18"/>
              </w:rPr>
              <w:t>$1.6M</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2026-03-02</w:t>
            </w:r>
          </w:p>
        </w:tc>
        <w:tc>
          <w:tcPr>
            <w:tcW w:type="dxa" w:w="1440"/>
            <w:shd w:fill="F2F4F8" w:val="clear"/>
          </w:tcPr>
          <w:p>
            <w:r>
              <w:rPr>
                <w:rFonts w:ascii="Calibri" w:hAnsi="Calibri"/>
                <w:color w:val="333333"/>
                <w:sz w:val="18"/>
              </w:rPr>
              <w:t>Zinsner David</w:t>
            </w:r>
          </w:p>
        </w:tc>
        <w:tc>
          <w:tcPr>
            <w:tcW w:type="dxa" w:w="1440"/>
            <w:shd w:fill="F2F4F8" w:val="clear"/>
          </w:tcPr>
          <w:p>
            <w:r>
              <w:rPr>
                <w:rFonts w:ascii="Calibri" w:hAnsi="Calibri"/>
                <w:color w:val="333333"/>
                <w:sz w:val="18"/>
              </w:rPr>
              <w:t>EVP, CFO</w:t>
            </w:r>
          </w:p>
        </w:tc>
        <w:tc>
          <w:tcPr>
            <w:tcW w:type="dxa" w:w="1440"/>
            <w:shd w:fill="F2F4F8" w:val="clear"/>
          </w:tcPr>
          <w:p>
            <w:r>
              <w:rPr>
                <w:rFonts w:ascii="Calibri" w:hAnsi="Calibri"/>
                <w:color w:val="333333"/>
                <w:sz w:val="18"/>
              </w:rPr>
              <w:t>TAX_WITHHOLD</w:t>
            </w:r>
          </w:p>
        </w:tc>
        <w:tc>
          <w:tcPr>
            <w:tcW w:type="dxa" w:w="1440"/>
            <w:shd w:fill="F2F4F8" w:val="clear"/>
          </w:tcPr>
          <w:p>
            <w:r>
              <w:rPr>
                <w:rFonts w:ascii="Calibri" w:hAnsi="Calibri"/>
                <w:color w:val="333333"/>
                <w:sz w:val="18"/>
              </w:rPr>
              <w:t>14,377</w:t>
            </w:r>
          </w:p>
        </w:tc>
        <w:tc>
          <w:tcPr>
            <w:tcW w:type="dxa" w:w="1440"/>
            <w:shd w:fill="F2F4F8" w:val="clear"/>
          </w:tcPr>
          <w:p>
            <w:r>
              <w:rPr>
                <w:rFonts w:ascii="Calibri" w:hAnsi="Calibri"/>
                <w:color w:val="333333"/>
                <w:sz w:val="18"/>
              </w:rPr>
              <w:t>$645.2K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2026-03-02</w:t>
            </w:r>
          </w:p>
        </w:tc>
        <w:tc>
          <w:tcPr>
            <w:tcW w:type="dxa" w:w="1440"/>
          </w:tcPr>
          <w:p>
            <w:r>
              <w:rPr>
                <w:rFonts w:ascii="Calibri" w:hAnsi="Calibri"/>
                <w:color w:val="333333"/>
                <w:sz w:val="18"/>
              </w:rPr>
              <w:t>GAWEL SCOTT</w:t>
            </w:r>
          </w:p>
        </w:tc>
        <w:tc>
          <w:tcPr>
            <w:tcW w:type="dxa" w:w="1440"/>
          </w:tcPr>
          <w:p>
            <w:r>
              <w:rPr>
                <w:rFonts w:ascii="Calibri" w:hAnsi="Calibri"/>
                <w:color w:val="333333"/>
                <w:sz w:val="18"/>
              </w:rPr>
              <w:t>CVP, Chief Accounting Officer</w:t>
            </w:r>
          </w:p>
        </w:tc>
        <w:tc>
          <w:tcPr>
            <w:tcW w:type="dxa" w:w="1440"/>
          </w:tcPr>
          <w:p>
            <w:r>
              <w:rPr>
                <w:rFonts w:ascii="Calibri" w:hAnsi="Calibri"/>
                <w:color w:val="333333"/>
                <w:sz w:val="18"/>
              </w:rPr>
              <w:t>EXERCISE</w:t>
            </w:r>
          </w:p>
        </w:tc>
        <w:tc>
          <w:tcPr>
            <w:tcW w:type="dxa" w:w="1440"/>
          </w:tcPr>
          <w:p>
            <w:r>
              <w:rPr>
                <w:rFonts w:ascii="Calibri" w:hAnsi="Calibri"/>
                <w:color w:val="333333"/>
                <w:sz w:val="18"/>
              </w:rPr>
              <w:t>7,859</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2026-03-02</w:t>
            </w:r>
          </w:p>
        </w:tc>
        <w:tc>
          <w:tcPr>
            <w:tcW w:type="dxa" w:w="1440"/>
            <w:shd w:fill="F2F4F8" w:val="clear"/>
          </w:tcPr>
          <w:p>
            <w:r>
              <w:rPr>
                <w:rFonts w:ascii="Calibri" w:hAnsi="Calibri"/>
                <w:color w:val="333333"/>
                <w:sz w:val="18"/>
              </w:rPr>
              <w:t>GAWEL SCOTT</w:t>
            </w:r>
          </w:p>
        </w:tc>
        <w:tc>
          <w:tcPr>
            <w:tcW w:type="dxa" w:w="1440"/>
            <w:shd w:fill="F2F4F8" w:val="clear"/>
          </w:tcPr>
          <w:p>
            <w:r>
              <w:rPr>
                <w:rFonts w:ascii="Calibri" w:hAnsi="Calibri"/>
                <w:color w:val="333333"/>
                <w:sz w:val="18"/>
              </w:rPr>
              <w:t>CVP, Chief Accounting Officer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2,025</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2026-03-02</w:t>
            </w:r>
          </w:p>
        </w:tc>
        <w:tc>
          <w:tcPr>
            <w:tcW w:type="dxa" w:w="1440"/>
          </w:tcPr>
          <w:p>
            <w:r>
              <w:rPr>
                <w:rFonts w:ascii="Calibri" w:hAnsi="Calibri"/>
                <w:color w:val="333333"/>
                <w:sz w:val="18"/>
              </w:rPr>
              <w:t>GAWEL SCOTT</w:t>
            </w:r>
          </w:p>
        </w:tc>
        <w:tc>
          <w:tcPr>
            <w:tcW w:type="dxa" w:w="1440"/>
          </w:tcPr>
          <w:p>
            <w:r>
              <w:rPr>
                <w:rFonts w:ascii="Calibri" w:hAnsi="Calibri"/>
                <w:color w:val="333333"/>
                <w:sz w:val="18"/>
              </w:rPr>
              <w:t>CVP, Chief Accounting Officer</w:t>
            </w:r>
          </w:p>
        </w:tc>
        <w:tc>
          <w:tcPr>
            <w:tcW w:type="dxa" w:w="1440"/>
          </w:tcPr>
          <w:p>
            <w:r>
              <w:rPr>
                <w:rFonts w:ascii="Calibri" w:hAnsi="Calibri"/>
                <w:color w:val="333333"/>
                <w:sz w:val="18"/>
              </w:rPr>
              <w:t>EXERCISE</w:t>
            </w:r>
          </w:p>
        </w:tc>
        <w:tc>
          <w:tcPr>
            <w:tcW w:type="dxa" w:w="1440"/>
          </w:tcPr>
          <w:p>
            <w:r>
              <w:rPr>
                <w:rFonts w:ascii="Calibri" w:hAnsi="Calibri"/>
                <w:color w:val="333333"/>
                <w:sz w:val="18"/>
              </w:rPr>
              <w:t>2,418</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2026-03-02</w:t>
            </w:r>
          </w:p>
        </w:tc>
        <w:tc>
          <w:tcPr>
            <w:tcW w:type="dxa" w:w="1440"/>
            <w:shd w:fill="F2F4F8" w:val="clear"/>
          </w:tcPr>
          <w:p>
            <w:r>
              <w:rPr>
                <w:rFonts w:ascii="Calibri" w:hAnsi="Calibri"/>
                <w:color w:val="333333"/>
                <w:sz w:val="18"/>
              </w:rPr>
              <w:t>GAWEL SCOTT</w:t>
            </w:r>
          </w:p>
        </w:tc>
        <w:tc>
          <w:tcPr>
            <w:tcW w:type="dxa" w:w="1440"/>
            <w:shd w:fill="F2F4F8" w:val="clear"/>
          </w:tcPr>
          <w:p>
            <w:r>
              <w:rPr>
                <w:rFonts w:ascii="Calibri" w:hAnsi="Calibri"/>
                <w:color w:val="333333"/>
                <w:sz w:val="18"/>
              </w:rPr>
              <w:t>CVP, Chief Accounting Officer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7,859</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2026-03-02</w:t>
            </w:r>
          </w:p>
        </w:tc>
        <w:tc>
          <w:tcPr>
            <w:tcW w:type="dxa" w:w="1440"/>
          </w:tcPr>
          <w:p>
            <w:r>
              <w:rPr>
                <w:rFonts w:ascii="Calibri" w:hAnsi="Calibri"/>
                <w:color w:val="333333"/>
                <w:sz w:val="18"/>
              </w:rPr>
              <w:t>GAWEL SCOTT</w:t>
            </w:r>
          </w:p>
        </w:tc>
        <w:tc>
          <w:tcPr>
            <w:tcW w:type="dxa" w:w="1440"/>
          </w:tcPr>
          <w:p>
            <w:r>
              <w:rPr>
                <w:rFonts w:ascii="Calibri" w:hAnsi="Calibri"/>
                <w:color w:val="333333"/>
                <w:sz w:val="18"/>
              </w:rPr>
              <w:t>CVP, Chief Accounting Officer</w:t>
            </w:r>
          </w:p>
        </w:tc>
        <w:tc>
          <w:tcPr>
            <w:tcW w:type="dxa" w:w="1440"/>
          </w:tcPr>
          <w:p>
            <w:r>
              <w:rPr>
                <w:rFonts w:ascii="Calibri" w:hAnsi="Calibri"/>
                <w:color w:val="333333"/>
                <w:sz w:val="18"/>
              </w:rPr>
              <w:t>EXERCISE</w:t>
            </w:r>
          </w:p>
        </w:tc>
        <w:tc>
          <w:tcPr>
            <w:tcW w:type="dxa" w:w="1440"/>
          </w:tcPr>
          <w:p>
            <w:r>
              <w:rPr>
                <w:rFonts w:ascii="Calibri" w:hAnsi="Calibri"/>
                <w:color w:val="333333"/>
                <w:sz w:val="18"/>
              </w:rPr>
              <w:t>2,025</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2026-03-02</w:t>
            </w:r>
          </w:p>
        </w:tc>
        <w:tc>
          <w:tcPr>
            <w:tcW w:type="dxa" w:w="1440"/>
            <w:shd w:fill="F2F4F8" w:val="clear"/>
          </w:tcPr>
          <w:p>
            <w:r>
              <w:rPr>
                <w:rFonts w:ascii="Calibri" w:hAnsi="Calibri"/>
                <w:color w:val="333333"/>
                <w:sz w:val="18"/>
              </w:rPr>
              <w:t>GAWEL SCOTT</w:t>
            </w:r>
          </w:p>
        </w:tc>
        <w:tc>
          <w:tcPr>
            <w:tcW w:type="dxa" w:w="1440"/>
            <w:shd w:fill="F2F4F8" w:val="clear"/>
          </w:tcPr>
          <w:p>
            <w:r>
              <w:rPr>
                <w:rFonts w:ascii="Calibri" w:hAnsi="Calibri"/>
                <w:color w:val="333333"/>
                <w:sz w:val="18"/>
              </w:rPr>
              <w:t>CVP, Chief Accounting Officer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2,418</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2026-03-02</w:t>
            </w:r>
          </w:p>
        </w:tc>
        <w:tc>
          <w:tcPr>
            <w:tcW w:type="dxa" w:w="1440"/>
          </w:tcPr>
          <w:p>
            <w:r>
              <w:rPr>
                <w:rFonts w:ascii="Calibri" w:hAnsi="Calibri"/>
                <w:color w:val="333333"/>
                <w:sz w:val="18"/>
              </w:rPr>
              <w:t>GAWEL SCOTT</w:t>
            </w:r>
          </w:p>
        </w:tc>
        <w:tc>
          <w:tcPr>
            <w:tcW w:type="dxa" w:w="1440"/>
          </w:tcPr>
          <w:p>
            <w:r>
              <w:rPr>
                <w:rFonts w:ascii="Calibri" w:hAnsi="Calibri"/>
                <w:color w:val="333333"/>
                <w:sz w:val="18"/>
              </w:rPr>
              <w:t>CVP, Chief Accounting Officer</w:t>
            </w:r>
          </w:p>
        </w:tc>
        <w:tc>
          <w:tcPr>
            <w:tcW w:type="dxa" w:w="1440"/>
          </w:tcPr>
          <w:p>
            <w:r>
              <w:rPr>
                <w:rFonts w:ascii="Calibri" w:hAnsi="Calibri"/>
                <w:color w:val="333333"/>
                <w:sz w:val="18"/>
              </w:rPr>
              <w:t>TAX_WITHHOLD</w:t>
            </w:r>
          </w:p>
        </w:tc>
        <w:tc>
          <w:tcPr>
            <w:tcW w:type="dxa" w:w="1440"/>
          </w:tcPr>
          <w:p>
            <w:r>
              <w:rPr>
                <w:rFonts w:ascii="Calibri" w:hAnsi="Calibri"/>
                <w:color w:val="333333"/>
                <w:sz w:val="18"/>
              </w:rPr>
              <w:t>3,897</w:t>
            </w:r>
          </w:p>
        </w:tc>
        <w:tc>
          <w:tcPr>
            <w:tcW w:type="dxa" w:w="1440"/>
          </w:tcPr>
          <w:p>
            <w:r>
              <w:rPr>
                <w:rFonts w:ascii="Calibri" w:hAnsi="Calibri"/>
                <w:color w:val="333333"/>
                <w:sz w:val="18"/>
              </w:rPr>
              <w:t>$174.9K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2026-03-02</w:t>
            </w:r>
          </w:p>
        </w:tc>
        <w:tc>
          <w:tcPr>
            <w:tcW w:type="dxa" w:w="1440"/>
            <w:shd w:fill="F2F4F8" w:val="clear"/>
          </w:tcPr>
          <w:p>
            <w:r>
              <w:rPr>
                <w:rFonts w:ascii="Calibri" w:hAnsi="Calibri"/>
                <w:color w:val="333333"/>
                <w:sz w:val="18"/>
              </w:rPr>
              <w:t>GAWEL SCOTT</w:t>
            </w:r>
          </w:p>
        </w:tc>
        <w:tc>
          <w:tcPr>
            <w:tcW w:type="dxa" w:w="1440"/>
            <w:shd w:fill="F2F4F8" w:val="clear"/>
          </w:tcPr>
          <w:p>
            <w:r>
              <w:rPr>
                <w:rFonts w:ascii="Calibri" w:hAnsi="Calibri"/>
                <w:color w:val="333333"/>
                <w:sz w:val="18"/>
              </w:rPr>
              <w:t>CVP, Chief Accounting Officer</w:t>
            </w:r>
          </w:p>
        </w:tc>
        <w:tc>
          <w:tcPr>
            <w:tcW w:type="dxa" w:w="1440"/>
            <w:shd w:fill="F2F4F8" w:val="clear"/>
          </w:tcPr>
          <w:p>
            <w:r>
              <w:rPr>
                <w:rFonts w:ascii="Calibri" w:hAnsi="Calibri"/>
                <w:color w:val="333333"/>
                <w:sz w:val="18"/>
              </w:rPr>
              <w:t>TAX_WITHHOLD</w:t>
            </w:r>
          </w:p>
        </w:tc>
        <w:tc>
          <w:tcPr>
            <w:tcW w:type="dxa" w:w="1440"/>
            <w:shd w:fill="F2F4F8" w:val="clear"/>
          </w:tcPr>
          <w:p>
            <w:r>
              <w:rPr>
                <w:rFonts w:ascii="Calibri" w:hAnsi="Calibri"/>
                <w:color w:val="333333"/>
                <w:sz w:val="18"/>
              </w:rPr>
              <w:t>1,004</w:t>
            </w:r>
          </w:p>
        </w:tc>
        <w:tc>
          <w:tcPr>
            <w:tcW w:type="dxa" w:w="1440"/>
            <w:shd w:fill="F2F4F8" w:val="clear"/>
          </w:tcPr>
          <w:p>
            <w:r>
              <w:rPr>
                <w:rFonts w:ascii="Calibri" w:hAnsi="Calibri"/>
                <w:color w:val="333333"/>
                <w:sz w:val="18"/>
              </w:rPr>
              <w:t>$45.1K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2026-03-02</w:t>
            </w:r>
          </w:p>
        </w:tc>
        <w:tc>
          <w:tcPr>
            <w:tcW w:type="dxa" w:w="1440"/>
          </w:tcPr>
          <w:p>
            <w:r>
              <w:rPr>
                <w:rFonts w:ascii="Calibri" w:hAnsi="Calibri"/>
                <w:color w:val="333333"/>
                <w:sz w:val="18"/>
              </w:rPr>
              <w:t>GAWEL SCOTT</w:t>
            </w:r>
          </w:p>
        </w:tc>
        <w:tc>
          <w:tcPr>
            <w:tcW w:type="dxa" w:w="1440"/>
          </w:tcPr>
          <w:p>
            <w:r>
              <w:rPr>
                <w:rFonts w:ascii="Calibri" w:hAnsi="Calibri"/>
                <w:color w:val="333333"/>
                <w:sz w:val="18"/>
              </w:rPr>
              <w:t>CVP, Chief Accounting Officer</w:t>
            </w:r>
          </w:p>
        </w:tc>
        <w:tc>
          <w:tcPr>
            <w:tcW w:type="dxa" w:w="1440"/>
          </w:tcPr>
          <w:p>
            <w:r>
              <w:rPr>
                <w:rFonts w:ascii="Calibri" w:hAnsi="Calibri"/>
                <w:color w:val="333333"/>
                <w:sz w:val="18"/>
              </w:rPr>
              <w:t>TAX_WITHHOLD</w:t>
            </w:r>
          </w:p>
        </w:tc>
        <w:tc>
          <w:tcPr>
            <w:tcW w:type="dxa" w:w="1440"/>
          </w:tcPr>
          <w:p>
            <w:r>
              <w:rPr>
                <w:rFonts w:ascii="Calibri" w:hAnsi="Calibri"/>
                <w:color w:val="333333"/>
                <w:sz w:val="18"/>
              </w:rPr>
              <w:t>1,199</w:t>
            </w:r>
          </w:p>
        </w:tc>
        <w:tc>
          <w:tcPr>
            <w:tcW w:type="dxa" w:w="1440"/>
          </w:tcPr>
          <w:p>
            <w:r>
              <w:rPr>
                <w:rFonts w:ascii="Calibri" w:hAnsi="Calibri"/>
                <w:color w:val="333333"/>
                <w:sz w:val="18"/>
              </w:rPr>
              <w:t>$53.8K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2026-03-02</w:t>
            </w:r>
          </w:p>
        </w:tc>
        <w:tc>
          <w:tcPr>
            <w:tcW w:type="dxa" w:w="1440"/>
            <w:shd w:fill="F2F4F8" w:val="clear"/>
          </w:tcPr>
          <w:p>
            <w:r>
              <w:rPr>
                <w:rFonts w:ascii="Calibri" w:hAnsi="Calibri"/>
                <w:color w:val="333333"/>
                <w:sz w:val="18"/>
              </w:rPr>
              <w:t>Chandrasekaran Nagasubramaniyan</w:t>
            </w:r>
          </w:p>
        </w:tc>
        <w:tc>
          <w:tcPr>
            <w:tcW w:type="dxa" w:w="1440"/>
            <w:shd w:fill="F2F4F8" w:val="clear"/>
          </w:tcPr>
          <w:p>
            <w:r>
              <w:rPr>
                <w:rFonts w:ascii="Calibri" w:hAnsi="Calibri"/>
                <w:color w:val="333333"/>
                <w:sz w:val="18"/>
              </w:rPr>
              <w:t>EVP, CT &amp; Ops Off, GM Foundry</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59,878</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2026-03-02</w:t>
            </w:r>
          </w:p>
        </w:tc>
        <w:tc>
          <w:tcPr>
            <w:tcW w:type="dxa" w:w="1440"/>
          </w:tcPr>
          <w:p>
            <w:r>
              <w:rPr>
                <w:rFonts w:ascii="Calibri" w:hAnsi="Calibri"/>
                <w:color w:val="333333"/>
                <w:sz w:val="18"/>
              </w:rPr>
              <w:t>Chandrasekaran Nagasubramaniyan</w:t>
            </w:r>
          </w:p>
        </w:tc>
        <w:tc>
          <w:tcPr>
            <w:tcW w:type="dxa" w:w="1440"/>
          </w:tcPr>
          <w:p>
            <w:r>
              <w:rPr>
                <w:rFonts w:ascii="Calibri" w:hAnsi="Calibri"/>
                <w:color w:val="333333"/>
                <w:sz w:val="18"/>
              </w:rPr>
              <w:t>EVP, CT &amp; Ops Off, GM Foundry</w:t>
            </w:r>
          </w:p>
        </w:tc>
        <w:tc>
          <w:tcPr>
            <w:tcW w:type="dxa" w:w="1440"/>
          </w:tcPr>
          <w:p>
            <w:r>
              <w:rPr>
                <w:rFonts w:ascii="Calibri" w:hAnsi="Calibri"/>
                <w:color w:val="333333"/>
                <w:sz w:val="18"/>
              </w:rPr>
              <w:t>EXERCISE</w:t>
            </w:r>
          </w:p>
        </w:tc>
        <w:tc>
          <w:tcPr>
            <w:tcW w:type="dxa" w:w="1440"/>
          </w:tcPr>
          <w:p>
            <w:r>
              <w:rPr>
                <w:rFonts w:ascii="Calibri" w:hAnsi="Calibri"/>
                <w:color w:val="333333"/>
                <w:sz w:val="18"/>
              </w:rPr>
              <w:t>59,878</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2026-03-02</w:t>
            </w:r>
          </w:p>
        </w:tc>
        <w:tc>
          <w:tcPr>
            <w:tcW w:type="dxa" w:w="1440"/>
            <w:shd w:fill="F2F4F8" w:val="clear"/>
          </w:tcPr>
          <w:p>
            <w:r>
              <w:rPr>
                <w:rFonts w:ascii="Calibri" w:hAnsi="Calibri"/>
                <w:color w:val="333333"/>
                <w:sz w:val="18"/>
              </w:rPr>
              <w:t>Chandrasekaran Nagasubramaniyan</w:t>
            </w:r>
          </w:p>
        </w:tc>
        <w:tc>
          <w:tcPr>
            <w:tcW w:type="dxa" w:w="1440"/>
            <w:shd w:fill="F2F4F8" w:val="clear"/>
          </w:tcPr>
          <w:p>
            <w:r>
              <w:rPr>
                <w:rFonts w:ascii="Calibri" w:hAnsi="Calibri"/>
                <w:color w:val="333333"/>
                <w:sz w:val="18"/>
              </w:rPr>
              <w:t>EVP, CT &amp; Ops Off, GM Foundry</w:t>
            </w:r>
          </w:p>
        </w:tc>
        <w:tc>
          <w:tcPr>
            <w:tcW w:type="dxa" w:w="1440"/>
            <w:shd w:fill="F2F4F8" w:val="clear"/>
          </w:tcPr>
          <w:p>
            <w:r>
              <w:rPr>
                <w:rFonts w:ascii="Calibri" w:hAnsi="Calibri"/>
                <w:color w:val="333333"/>
                <w:sz w:val="18"/>
              </w:rPr>
              <w:t>TAX_WITHHOLD</w:t>
            </w:r>
          </w:p>
        </w:tc>
        <w:tc>
          <w:tcPr>
            <w:tcW w:type="dxa" w:w="1440"/>
            <w:shd w:fill="F2F4F8" w:val="clear"/>
          </w:tcPr>
          <w:p>
            <w:r>
              <w:rPr>
                <w:rFonts w:ascii="Calibri" w:hAnsi="Calibri"/>
                <w:color w:val="333333"/>
                <w:sz w:val="18"/>
              </w:rPr>
              <w:t>24,760</w:t>
            </w:r>
          </w:p>
        </w:tc>
        <w:tc>
          <w:tcPr>
            <w:tcW w:type="dxa" w:w="1440"/>
            <w:shd w:fill="F2F4F8" w:val="clear"/>
          </w:tcPr>
          <w:p>
            <w:r>
              <w:rPr>
                <w:rFonts w:ascii="Calibri" w:hAnsi="Calibri"/>
                <w:color w:val="333333"/>
                <w:sz w:val="18"/>
              </w:rPr>
              <w:t>$1.1M</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2026-03-02</w:t>
            </w:r>
          </w:p>
        </w:tc>
        <w:tc>
          <w:tcPr>
            <w:tcW w:type="dxa" w:w="1440"/>
          </w:tcPr>
          <w:p>
            <w:r>
              <w:rPr>
                <w:rFonts w:ascii="Calibri" w:hAnsi="Calibri"/>
                <w:color w:val="333333"/>
                <w:sz w:val="18"/>
              </w:rPr>
              <w:t>Miller Boise April</w:t>
            </w:r>
          </w:p>
        </w:tc>
        <w:tc>
          <w:tcPr>
            <w:tcW w:type="dxa" w:w="1440"/>
          </w:tcPr>
          <w:p>
            <w:r>
              <w:rPr>
                <w:rFonts w:ascii="Calibri" w:hAnsi="Calibri"/>
                <w:color w:val="333333"/>
                <w:sz w:val="18"/>
              </w:rPr>
              <w:t>EVP and Chief Legal Officer</w:t>
            </w:r>
          </w:p>
        </w:tc>
        <w:tc>
          <w:tcPr>
            <w:tcW w:type="dxa" w:w="1440"/>
          </w:tcPr>
          <w:p>
            <w:r>
              <w:rPr>
                <w:rFonts w:ascii="Calibri" w:hAnsi="Calibri"/>
                <w:color w:val="333333"/>
                <w:sz w:val="18"/>
              </w:rPr>
              <w:t>EXERCISE</w:t>
            </w:r>
          </w:p>
        </w:tc>
        <w:tc>
          <w:tcPr>
            <w:tcW w:type="dxa" w:w="1440"/>
          </w:tcPr>
          <w:p>
            <w:r>
              <w:rPr>
                <w:rFonts w:ascii="Calibri" w:hAnsi="Calibri"/>
                <w:color w:val="333333"/>
                <w:sz w:val="18"/>
              </w:rPr>
              <w:t>16,195</w:t>
            </w:r>
          </w:p>
        </w:tc>
        <w:tc>
          <w:tcPr>
            <w:tcW w:type="dxa" w:w="1440"/>
          </w:tcPr>
          <w:p>
            <w:r>
              <w:rPr>
                <w:rFonts w:ascii="Calibri" w:hAnsi="Calibri"/>
                <w:color w:val="333333"/>
                <w:sz w:val="18"/>
              </w:rPr>
              <w:t>N/A</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2026-03-02</w:t>
            </w:r>
          </w:p>
        </w:tc>
        <w:tc>
          <w:tcPr>
            <w:tcW w:type="dxa" w:w="1440"/>
            <w:shd w:fill="F2F4F8" w:val="clear"/>
          </w:tcPr>
          <w:p>
            <w:r>
              <w:rPr>
                <w:rFonts w:ascii="Calibri" w:hAnsi="Calibri"/>
                <w:color w:val="333333"/>
                <w:sz w:val="18"/>
              </w:rPr>
              <w:t>Miller Boise April</w:t>
            </w:r>
          </w:p>
        </w:tc>
        <w:tc>
          <w:tcPr>
            <w:tcW w:type="dxa" w:w="1440"/>
            <w:shd w:fill="F2F4F8" w:val="clear"/>
          </w:tcPr>
          <w:p>
            <w:r>
              <w:rPr>
                <w:rFonts w:ascii="Calibri" w:hAnsi="Calibri"/>
                <w:color w:val="333333"/>
                <w:sz w:val="18"/>
              </w:rPr>
              <w:t>EVP and Chief Legal Officer</w:t>
            </w:r>
          </w:p>
        </w:tc>
        <w:tc>
          <w:tcPr>
            <w:tcW w:type="dxa" w:w="1440"/>
            <w:shd w:fill="F2F4F8" w:val="clear"/>
          </w:tcPr>
          <w:p>
            <w:r>
              <w:rPr>
                <w:rFonts w:ascii="Calibri" w:hAnsi="Calibri"/>
                <w:color w:val="333333"/>
                <w:sz w:val="18"/>
              </w:rPr>
              <w:t>EXERCISE</w:t>
            </w:r>
          </w:p>
        </w:tc>
        <w:tc>
          <w:tcPr>
            <w:tcW w:type="dxa" w:w="1440"/>
            <w:shd w:fill="F2F4F8" w:val="clear"/>
          </w:tcPr>
          <w:p>
            <w:r>
              <w:rPr>
                <w:rFonts w:ascii="Calibri" w:hAnsi="Calibri"/>
                <w:color w:val="333333"/>
                <w:sz w:val="18"/>
              </w:rPr>
              <w:t>39,295</w:t>
            </w:r>
          </w:p>
        </w:tc>
        <w:tc>
          <w:tcPr>
            <w:tcW w:type="dxa" w:w="1440"/>
            <w:shd w:fill="F2F4F8" w:val="clear"/>
          </w:tcPr>
          <w:p>
            <w:r>
              <w:rPr>
                <w:rFonts w:ascii="Calibri" w:hAnsi="Calibri"/>
                <w:color w:val="333333"/>
                <w:sz w:val="18"/>
              </w:rPr>
              <w:t>N/A</w:t>
            </w:r>
          </w:p>
        </w:tc>
        <w:tc>
          <w:tcPr>
            <w:tcW w:type="dxa" w:w="1440"/>
            <w:shd w:fill="F2F4F8" w:val="clear"/>
          </w:tcPr>
          <w:p>
            <w:r>
              <w:rPr>
                <w:rFonts w:ascii="Calibri" w:hAnsi="Calibri"/>
                <w:color w:val="333333"/>
                <w:sz w:val="18"/>
              </w:rPr>
              <w:t>No (Discretionary)</w:t>
            </w:r>
          </w:p>
        </w:tc>
      </w:tr>
    </w:tbl>
    <w:p>
      <w:pPr>
        <w:pStyle w:val="DOHeading2"/>
      </w:pPr>
      <w:r>
        <w:t>Executive Departures</w:t>
      </w:r>
    </w:p>
    <w:p>
      <w:pPr>
        <w:pStyle w:val="DOBody"/>
      </w:pPr>
      <w:r>
        <w:t>No executive departures identified in the trailing 18 months.</w:t>
      </w:r>
    </w:p>
    <w:p>
      <w:pPr>
        <w:pStyle w:val="DOHeading2"/>
      </w:pPr>
      <w:r>
        <w:t>Capital Markets Activity</w:t>
      </w:r>
    </w:p>
    <w:p>
      <w:pPr>
        <w:pStyle w:val="DOBody"/>
      </w:pPr>
      <w:r>
        <w:t>No significant capital markets activity identified in the trailing 3-year period.</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Intel's revenue declined slightly to $52.85B from $53.10B prior year, but its net loss narrowed sharply to -$267M from a staggering -$18.76B; this dramatic improvement from deep losses creates fertile ground for shareholder allegations of a misleading turnaround narrative if future results disappoint. Despite the reduced loss, the Altman Z-Score of 2.05 sits in the grey zone, perilously close to the 1.81 distress threshold, highlighting bankruptcy risk that underpins potential going-concern shareholder claims. The Piotroski F-Score of 6, also in the grey zone, reflects a mixed financial transformation with only 6 of 9 possible strength signals, and any stumble in this fragile recovery could trigger a Section 10(b) suit alleging officers overstated the sustainability of improvements. A strong current ratio of 2.02 and low debt-to-equity of 0.41 provide some balance sheet defense against insolvency claims, but the core D&amp;O exposure is that Intel's leadership is betting the company on a capital-intensive foundry strategy while still reporting substantial operating losses of -$2.21B, which could lead to allegations of strategic misrepresentation.</w:t>
      </w:r>
    </w:p>
    <w:p>
      <w:pPr>
        <w:pStyle w:val="DOHeading1"/>
      </w:pPr>
      <w:r>
        <w:t>Section 3: Financial Health</w:t>
      </w:r>
    </w:p>
    <w:p>
      <w:pPr>
        <w:pStyle w:val="DOBody"/>
      </w:pPr>
      <w:r>
        <w:t>The company reported revenue of $52.9B and net income of $-267.0M (per FY2025 10-K, Company Facts API CIK50863). Revenue declined 0.5% year-over-year (from $53.1B). The company is operating at a net loss (margin: -0.5%), increasing financial distress risk. Distress indicators show mixed signals: Z-Score 2.05 (grey zone) and O-Score 0.00 (safe zone). Financial stress could limit litigation defense resources. D/E ratio of 0.41 is moderate. Interest coverage of -2.0x is thin, raising concerns about debt service sustainability. **Earnings quality concern** (OCF/NI: -36.32): low cash conversion suggests reported income may include material non-cash items, increasing restatement risk and SCA exposure. D&amp;O underwriting concern: poor earnings quality collectively elevate the probability of securities claims and should be reflected in pricing and terms.</w:t>
      </w:r>
    </w:p>
    <w:p>
      <w:pPr>
        <w:pStyle w:val="DOHeading2"/>
      </w:pPr>
      <w:r>
        <w:t>Income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revenue / net sales</w:t>
            </w:r>
          </w:p>
        </w:tc>
        <w:tc>
          <w:tcPr>
            <w:tcW w:type="dxa" w:w="2520"/>
          </w:tcPr>
          <w:p>
            <w:r>
              <w:rPr>
                <w:rFonts w:ascii="Calibri" w:hAnsi="Calibri"/>
                <w:color w:val="333333"/>
                <w:sz w:val="18"/>
              </w:rPr>
              <w:t>$53.1B</w:t>
            </w:r>
          </w:p>
        </w:tc>
        <w:tc>
          <w:tcPr>
            <w:tcW w:type="dxa" w:w="2520"/>
          </w:tcPr>
          <w:p>
            <w:r>
              <w:rPr>
                <w:rFonts w:ascii="Calibri" w:hAnsi="Calibri"/>
                <w:color w:val="333333"/>
                <w:sz w:val="18"/>
              </w:rPr>
              <w:t>$52.9B</w:t>
            </w:r>
          </w:p>
        </w:tc>
        <w:tc>
          <w:tcPr>
            <w:tcW w:type="dxa" w:w="2520"/>
          </w:tcPr>
          <w:p>
            <w:r>
              <w:rPr>
                <w:rFonts w:ascii="Calibri" w:hAnsi="Calibri"/>
                <w:color w:val="333333"/>
                <w:sz w:val="18"/>
              </w:rPr>
              <w:t>-0.5%</w:t>
            </w:r>
          </w:p>
        </w:tc>
      </w:tr>
      <w:tr>
        <w:tc>
          <w:tcPr>
            <w:tcW w:type="dxa" w:w="2520"/>
            <w:shd w:fill="F2F4F8" w:val="clear"/>
          </w:tcPr>
          <w:p>
            <w:r>
              <w:rPr>
                <w:rFonts w:ascii="Calibri" w:hAnsi="Calibri"/>
                <w:color w:val="333333"/>
                <w:sz w:val="18"/>
              </w:rPr>
              <w:t>Cost of revenue / COGS</w:t>
            </w:r>
          </w:p>
        </w:tc>
        <w:tc>
          <w:tcPr>
            <w:tcW w:type="dxa" w:w="2520"/>
            <w:shd w:fill="F2F4F8" w:val="clear"/>
          </w:tcPr>
          <w:p>
            <w:r>
              <w:rPr>
                <w:rFonts w:ascii="Calibri" w:hAnsi="Calibri"/>
                <w:color w:val="333333"/>
                <w:sz w:val="18"/>
              </w:rPr>
              <w:t>$35.8B</w:t>
            </w:r>
          </w:p>
        </w:tc>
        <w:tc>
          <w:tcPr>
            <w:tcW w:type="dxa" w:w="2520"/>
            <w:shd w:fill="F2F4F8" w:val="clear"/>
          </w:tcPr>
          <w:p>
            <w:r>
              <w:rPr>
                <w:rFonts w:ascii="Calibri" w:hAnsi="Calibri"/>
                <w:color w:val="333333"/>
                <w:sz w:val="18"/>
              </w:rPr>
              <w:t>$34.5B</w:t>
            </w:r>
          </w:p>
        </w:tc>
        <w:tc>
          <w:tcPr>
            <w:tcW w:type="dxa" w:w="2520"/>
            <w:shd w:fill="F2F4F8" w:val="clear"/>
            <w:shd w:fill="FFF3CD" w:val="clear"/>
          </w:tcPr>
          <w:p>
            <w:r>
              <w:rPr>
                <w:rFonts w:ascii="Calibri" w:hAnsi="Calibri"/>
                <w:color w:val="333333"/>
                <w:sz w:val="18"/>
              </w:rPr>
              <w:t>-3.6%</w:t>
            </w:r>
          </w:p>
        </w:tc>
      </w:tr>
      <w:tr>
        <w:tc>
          <w:tcPr>
            <w:tcW w:type="dxa" w:w="2520"/>
          </w:tcPr>
          <w:p>
            <w:r>
              <w:rPr>
                <w:rFonts w:ascii="Calibri" w:hAnsi="Calibri"/>
                <w:color w:val="333333"/>
                <w:sz w:val="18"/>
              </w:rPr>
              <w:t>Gross profit</w:t>
            </w:r>
          </w:p>
        </w:tc>
        <w:tc>
          <w:tcPr>
            <w:tcW w:type="dxa" w:w="2520"/>
          </w:tcPr>
          <w:p>
            <w:r>
              <w:rPr>
                <w:rFonts w:ascii="Calibri" w:hAnsi="Calibri"/>
                <w:color w:val="333333"/>
                <w:sz w:val="18"/>
              </w:rPr>
              <w:t>$17.3B</w:t>
            </w:r>
          </w:p>
        </w:tc>
        <w:tc>
          <w:tcPr>
            <w:tcW w:type="dxa" w:w="2520"/>
          </w:tcPr>
          <w:p>
            <w:r>
              <w:rPr>
                <w:rFonts w:ascii="Calibri" w:hAnsi="Calibri"/>
                <w:color w:val="333333"/>
                <w:sz w:val="18"/>
              </w:rPr>
              <w:t>$18.4B</w:t>
            </w:r>
          </w:p>
        </w:tc>
        <w:tc>
          <w:tcPr>
            <w:tcW w:type="dxa" w:w="2520"/>
            <w:shd w:fill="FFF3CD" w:val="clear"/>
          </w:tcPr>
          <w:p>
            <w:r>
              <w:rPr>
                <w:rFonts w:ascii="Calibri" w:hAnsi="Calibri"/>
                <w:color w:val="333333"/>
                <w:sz w:val="18"/>
              </w:rPr>
              <w:t>5.9%</w:t>
            </w:r>
          </w:p>
        </w:tc>
      </w:tr>
      <w:tr>
        <w:tc>
          <w:tcPr>
            <w:tcW w:type="dxa" w:w="2520"/>
            <w:shd w:fill="F2F4F8" w:val="clear"/>
          </w:tcPr>
          <w:p>
            <w:r>
              <w:rPr>
                <w:rFonts w:ascii="Calibri" w:hAnsi="Calibri"/>
                <w:color w:val="333333"/>
                <w:sz w:val="18"/>
              </w:rPr>
              <w:t>Operating income / loss</w:t>
            </w:r>
          </w:p>
        </w:tc>
        <w:tc>
          <w:tcPr>
            <w:tcW w:type="dxa" w:w="2520"/>
            <w:shd w:fill="F2F4F8" w:val="clear"/>
          </w:tcPr>
          <w:p>
            <w:r>
              <w:rPr>
                <w:rFonts w:ascii="Calibri" w:hAnsi="Calibri"/>
                <w:color w:val="333333"/>
                <w:sz w:val="18"/>
              </w:rPr>
              <w:t>$-11.7B</w:t>
            </w:r>
          </w:p>
        </w:tc>
        <w:tc>
          <w:tcPr>
            <w:tcW w:type="dxa" w:w="2520"/>
            <w:shd w:fill="F2F4F8" w:val="clear"/>
          </w:tcPr>
          <w:p>
            <w:r>
              <w:rPr>
                <w:rFonts w:ascii="Calibri" w:hAnsi="Calibri"/>
                <w:color w:val="333333"/>
                <w:sz w:val="18"/>
              </w:rPr>
              <w:t>$-2.2B</w:t>
            </w:r>
          </w:p>
        </w:tc>
        <w:tc>
          <w:tcPr>
            <w:tcW w:type="dxa" w:w="2520"/>
            <w:shd w:fill="F2F4F8" w:val="clear"/>
            <w:shd w:fill="DCEEF8" w:val="clear"/>
          </w:tcPr>
          <w:p>
            <w:r>
              <w:rPr>
                <w:rFonts w:ascii="Calibri" w:hAnsi="Calibri"/>
                <w:color w:val="333333"/>
                <w:sz w:val="18"/>
              </w:rPr>
              <w:t>81.0%</w:t>
            </w:r>
          </w:p>
        </w:tc>
      </w:tr>
      <w:tr>
        <w:tc>
          <w:tcPr>
            <w:tcW w:type="dxa" w:w="2520"/>
          </w:tcPr>
          <w:p>
            <w:r>
              <w:rPr>
                <w:rFonts w:ascii="Calibri" w:hAnsi="Calibri"/>
                <w:color w:val="333333"/>
                <w:sz w:val="18"/>
              </w:rPr>
              <w:t>Net income / net loss</w:t>
            </w:r>
          </w:p>
        </w:tc>
        <w:tc>
          <w:tcPr>
            <w:tcW w:type="dxa" w:w="2520"/>
          </w:tcPr>
          <w:p>
            <w:r>
              <w:rPr>
                <w:rFonts w:ascii="Calibri" w:hAnsi="Calibri"/>
                <w:color w:val="333333"/>
                <w:sz w:val="18"/>
              </w:rPr>
              <w:t>$-18.8B</w:t>
            </w:r>
          </w:p>
        </w:tc>
        <w:tc>
          <w:tcPr>
            <w:tcW w:type="dxa" w:w="2520"/>
          </w:tcPr>
          <w:p>
            <w:r>
              <w:rPr>
                <w:rFonts w:ascii="Calibri" w:hAnsi="Calibri"/>
                <w:color w:val="333333"/>
                <w:sz w:val="18"/>
              </w:rPr>
              <w:t>$-267.0M</w:t>
            </w:r>
          </w:p>
        </w:tc>
        <w:tc>
          <w:tcPr>
            <w:tcW w:type="dxa" w:w="2520"/>
            <w:shd w:fill="DCEEF8" w:val="clear"/>
          </w:tcPr>
          <w:p>
            <w:r>
              <w:rPr>
                <w:rFonts w:ascii="Calibri" w:hAnsi="Calibri"/>
                <w:color w:val="333333"/>
                <w:sz w:val="18"/>
              </w:rPr>
              <w:t>98.6%</w:t>
            </w:r>
          </w:p>
        </w:tc>
      </w:tr>
      <w:tr>
        <w:tc>
          <w:tcPr>
            <w:tcW w:type="dxa" w:w="2520"/>
            <w:shd w:fill="F2F4F8" w:val="clear"/>
          </w:tcPr>
          <w:p>
            <w:r>
              <w:rPr>
                <w:rFonts w:ascii="Calibri" w:hAnsi="Calibri"/>
                <w:color w:val="333333"/>
                <w:sz w:val="18"/>
              </w:rPr>
              <w:t>Basic earnings per share</w:t>
            </w:r>
          </w:p>
        </w:tc>
        <w:tc>
          <w:tcPr>
            <w:tcW w:type="dxa" w:w="2520"/>
            <w:shd w:fill="F2F4F8" w:val="clear"/>
          </w:tcPr>
          <w:p>
            <w:r>
              <w:rPr>
                <w:rFonts w:ascii="Calibri" w:hAnsi="Calibri"/>
                <w:color w:val="333333"/>
                <w:sz w:val="18"/>
              </w:rPr>
              <w:t>$-4.38</w:t>
            </w:r>
          </w:p>
        </w:tc>
        <w:tc>
          <w:tcPr>
            <w:tcW w:type="dxa" w:w="2520"/>
            <w:shd w:fill="F2F4F8" w:val="clear"/>
          </w:tcPr>
          <w:p>
            <w:r>
              <w:rPr>
                <w:rFonts w:ascii="Calibri" w:hAnsi="Calibri"/>
                <w:color w:val="333333"/>
                <w:sz w:val="18"/>
              </w:rPr>
              <w:t>$-0.06</w:t>
            </w:r>
          </w:p>
        </w:tc>
        <w:tc>
          <w:tcPr>
            <w:tcW w:type="dxa" w:w="2520"/>
            <w:shd w:fill="F2F4F8" w:val="clear"/>
            <w:shd w:fill="DCEEF8" w:val="clear"/>
          </w:tcPr>
          <w:p>
            <w:r>
              <w:rPr>
                <w:rFonts w:ascii="Calibri" w:hAnsi="Calibri"/>
                <w:color w:val="333333"/>
                <w:sz w:val="18"/>
              </w:rPr>
              <w:t>98.6%</w:t>
            </w:r>
          </w:p>
        </w:tc>
      </w:tr>
      <w:tr>
        <w:tc>
          <w:tcPr>
            <w:tcW w:type="dxa" w:w="2520"/>
          </w:tcPr>
          <w:p>
            <w:r>
              <w:rPr>
                <w:rFonts w:ascii="Calibri" w:hAnsi="Calibri"/>
                <w:color w:val="333333"/>
                <w:sz w:val="18"/>
              </w:rPr>
              <w:t>Diluted earnings per share</w:t>
            </w:r>
          </w:p>
        </w:tc>
        <w:tc>
          <w:tcPr>
            <w:tcW w:type="dxa" w:w="2520"/>
          </w:tcPr>
          <w:p>
            <w:r>
              <w:rPr>
                <w:rFonts w:ascii="Calibri" w:hAnsi="Calibri"/>
                <w:color w:val="333333"/>
                <w:sz w:val="18"/>
              </w:rPr>
              <w:t>$-4.38</w:t>
            </w:r>
          </w:p>
        </w:tc>
        <w:tc>
          <w:tcPr>
            <w:tcW w:type="dxa" w:w="2520"/>
          </w:tcPr>
          <w:p>
            <w:r>
              <w:rPr>
                <w:rFonts w:ascii="Calibri" w:hAnsi="Calibri"/>
                <w:color w:val="333333"/>
                <w:sz w:val="18"/>
              </w:rPr>
              <w:t>$-0.06</w:t>
            </w:r>
          </w:p>
        </w:tc>
        <w:tc>
          <w:tcPr>
            <w:tcW w:type="dxa" w:w="2520"/>
            <w:shd w:fill="DCEEF8" w:val="clear"/>
          </w:tcPr>
          <w:p>
            <w:r>
              <w:rPr>
                <w:rFonts w:ascii="Calibri" w:hAnsi="Calibri"/>
                <w:color w:val="333333"/>
                <w:sz w:val="18"/>
              </w:rPr>
              <w:t>98.6%</w:t>
            </w:r>
          </w:p>
        </w:tc>
      </w:tr>
      <w:tr>
        <w:tc>
          <w:tcPr>
            <w:tcW w:type="dxa" w:w="2520"/>
            <w:shd w:fill="F2F4F8" w:val="clear"/>
          </w:tcPr>
          <w:p>
            <w:r>
              <w:rPr>
                <w:rFonts w:ascii="Calibri" w:hAnsi="Calibri"/>
                <w:color w:val="333333"/>
                <w:sz w:val="18"/>
              </w:rPr>
              <w:t>Interest expense</w:t>
            </w:r>
          </w:p>
        </w:tc>
        <w:tc>
          <w:tcPr>
            <w:tcW w:type="dxa" w:w="2520"/>
            <w:shd w:fill="F2F4F8" w:val="clear"/>
          </w:tcPr>
          <w:p>
            <w:r>
              <w:rPr>
                <w:rFonts w:ascii="Calibri" w:hAnsi="Calibri"/>
                <w:color w:val="333333"/>
                <w:sz w:val="18"/>
              </w:rPr>
              <w:t>$987.0M</w:t>
            </w:r>
          </w:p>
        </w:tc>
        <w:tc>
          <w:tcPr>
            <w:tcW w:type="dxa" w:w="2520"/>
            <w:shd w:fill="F2F4F8" w:val="clear"/>
          </w:tcPr>
          <w:p>
            <w:r>
              <w:rPr>
                <w:rFonts w:ascii="Calibri" w:hAnsi="Calibri"/>
                <w:color w:val="333333"/>
                <w:sz w:val="18"/>
              </w:rPr>
              <w:t>$1.1B</w:t>
            </w:r>
          </w:p>
        </w:tc>
        <w:tc>
          <w:tcPr>
            <w:tcW w:type="dxa" w:w="2520"/>
            <w:shd w:fill="F2F4F8" w:val="clear"/>
            <w:shd w:fill="DCEEF8" w:val="clear"/>
          </w:tcPr>
          <w:p>
            <w:r>
              <w:rPr>
                <w:rFonts w:ascii="Calibri" w:hAnsi="Calibri"/>
                <w:color w:val="333333"/>
                <w:sz w:val="18"/>
              </w:rPr>
              <w:t>12.1%</w:t>
            </w:r>
          </w:p>
        </w:tc>
      </w:tr>
      <w:tr>
        <w:tc>
          <w:tcPr>
            <w:tcW w:type="dxa" w:w="2520"/>
          </w:tcPr>
          <w:p>
            <w:r>
              <w:rPr>
                <w:rFonts w:ascii="Calibri" w:hAnsi="Calibri"/>
                <w:color w:val="333333"/>
                <w:sz w:val="18"/>
              </w:rPr>
              <w:t>Income tax expense / benefit</w:t>
            </w:r>
          </w:p>
        </w:tc>
        <w:tc>
          <w:tcPr>
            <w:tcW w:type="dxa" w:w="2520"/>
          </w:tcPr>
          <w:p>
            <w:r>
              <w:rPr>
                <w:rFonts w:ascii="Calibri" w:hAnsi="Calibri"/>
                <w:color w:val="333333"/>
                <w:sz w:val="18"/>
              </w:rPr>
              <w:t>$8.0B</w:t>
            </w:r>
          </w:p>
        </w:tc>
        <w:tc>
          <w:tcPr>
            <w:tcW w:type="dxa" w:w="2520"/>
          </w:tcPr>
          <w:p>
            <w:r>
              <w:rPr>
                <w:rFonts w:ascii="Calibri" w:hAnsi="Calibri"/>
                <w:color w:val="333333"/>
                <w:sz w:val="18"/>
              </w:rPr>
              <w:t>$1.5B</w:t>
            </w:r>
          </w:p>
        </w:tc>
        <w:tc>
          <w:tcPr>
            <w:tcW w:type="dxa" w:w="2520"/>
            <w:shd w:fill="FCE8E6" w:val="clear"/>
          </w:tcPr>
          <w:p>
            <w:r>
              <w:rPr>
                <w:rFonts w:ascii="Calibri" w:hAnsi="Calibri"/>
                <w:color w:val="333333"/>
                <w:sz w:val="18"/>
              </w:rPr>
              <w:t>-80.9%</w:t>
            </w:r>
          </w:p>
        </w:tc>
      </w:tr>
      <w:tr>
        <w:tc>
          <w:tcPr>
            <w:tcW w:type="dxa" w:w="2520"/>
            <w:shd w:fill="F2F4F8" w:val="clear"/>
          </w:tcPr>
          <w:p>
            <w:r>
              <w:rPr>
                <w:rFonts w:ascii="Calibri" w:hAnsi="Calibri"/>
                <w:color w:val="333333"/>
                <w:sz w:val="18"/>
              </w:rPr>
              <w:t>Research and development expense</w:t>
            </w:r>
          </w:p>
        </w:tc>
        <w:tc>
          <w:tcPr>
            <w:tcW w:type="dxa" w:w="2520"/>
            <w:shd w:fill="F2F4F8" w:val="clear"/>
          </w:tcPr>
          <w:p>
            <w:r>
              <w:rPr>
                <w:rFonts w:ascii="Calibri" w:hAnsi="Calibri"/>
                <w:color w:val="333333"/>
                <w:sz w:val="18"/>
              </w:rPr>
              <w:t>$16.5B</w:t>
            </w:r>
          </w:p>
        </w:tc>
        <w:tc>
          <w:tcPr>
            <w:tcW w:type="dxa" w:w="2520"/>
            <w:shd w:fill="F2F4F8" w:val="clear"/>
          </w:tcPr>
          <w:p>
            <w:r>
              <w:rPr>
                <w:rFonts w:ascii="Calibri" w:hAnsi="Calibri"/>
                <w:color w:val="333333"/>
                <w:sz w:val="18"/>
              </w:rPr>
              <w:t>$13.8B</w:t>
            </w:r>
          </w:p>
        </w:tc>
        <w:tc>
          <w:tcPr>
            <w:tcW w:type="dxa" w:w="2520"/>
            <w:shd w:fill="F2F4F8" w:val="clear"/>
            <w:shd w:fill="FCE8E6" w:val="clear"/>
          </w:tcPr>
          <w:p>
            <w:r>
              <w:rPr>
                <w:rFonts w:ascii="Calibri" w:hAnsi="Calibri"/>
                <w:color w:val="333333"/>
                <w:sz w:val="18"/>
              </w:rPr>
              <w:t>-16.8%</w:t>
            </w:r>
          </w:p>
        </w:tc>
      </w:tr>
      <w:tr>
        <w:tc>
          <w:tcPr>
            <w:tcW w:type="dxa" w:w="2520"/>
          </w:tcPr>
          <w:p>
            <w:r>
              <w:rPr>
                <w:rFonts w:ascii="Calibri" w:hAnsi="Calibri"/>
                <w:color w:val="333333"/>
                <w:sz w:val="18"/>
              </w:rPr>
              <w:t>Selling, general and administrative expense</w:t>
            </w:r>
          </w:p>
        </w:tc>
        <w:tc>
          <w:tcPr>
            <w:tcW w:type="dxa" w:w="2520"/>
          </w:tcPr>
          <w:p>
            <w:r>
              <w:rPr>
                <w:rFonts w:ascii="Calibri" w:hAnsi="Calibri"/>
                <w:color w:val="333333"/>
                <w:sz w:val="18"/>
              </w:rPr>
              <w:t>$5.5B</w:t>
            </w:r>
          </w:p>
        </w:tc>
        <w:tc>
          <w:tcPr>
            <w:tcW w:type="dxa" w:w="2520"/>
          </w:tcPr>
          <w:p>
            <w:r>
              <w:rPr>
                <w:rFonts w:ascii="Calibri" w:hAnsi="Calibri"/>
                <w:color w:val="333333"/>
                <w:sz w:val="18"/>
              </w:rPr>
              <w:t>$4.6B</w:t>
            </w:r>
          </w:p>
        </w:tc>
        <w:tc>
          <w:tcPr>
            <w:tcW w:type="dxa" w:w="2520"/>
            <w:shd w:fill="FCE8E6" w:val="clear"/>
          </w:tcPr>
          <w:p>
            <w:r>
              <w:rPr>
                <w:rFonts w:ascii="Calibri" w:hAnsi="Calibri"/>
                <w:color w:val="333333"/>
                <w:sz w:val="18"/>
              </w:rPr>
              <w:t>-16.0%</w:t>
            </w:r>
          </w:p>
        </w:tc>
      </w:tr>
      <w:tr>
        <w:tc>
          <w:tcPr>
            <w:tcW w:type="dxa" w:w="2520"/>
            <w:shd w:fill="F2F4F8" w:val="clear"/>
          </w:tcPr>
          <w:p>
            <w:r>
              <w:rPr>
                <w:rFonts w:ascii="Calibri" w:hAnsi="Calibri"/>
                <w:color w:val="333333"/>
                <w:sz w:val="18"/>
              </w:rPr>
              <w:t>Earnings before interest and taxes (EBIT)</w:t>
            </w:r>
          </w:p>
        </w:tc>
        <w:tc>
          <w:tcPr>
            <w:tcW w:type="dxa" w:w="2520"/>
            <w:shd w:fill="F2F4F8" w:val="clear"/>
          </w:tcPr>
          <w:p>
            <w:r>
              <w:rPr>
                <w:rFonts w:ascii="Calibri" w:hAnsi="Calibri"/>
                <w:color w:val="333333"/>
                <w:sz w:val="18"/>
              </w:rPr>
              <w:t>$-11.7B</w:t>
            </w:r>
          </w:p>
        </w:tc>
        <w:tc>
          <w:tcPr>
            <w:tcW w:type="dxa" w:w="2520"/>
            <w:shd w:fill="F2F4F8" w:val="clear"/>
          </w:tcPr>
          <w:p>
            <w:r>
              <w:rPr>
                <w:rFonts w:ascii="Calibri" w:hAnsi="Calibri"/>
                <w:color w:val="333333"/>
                <w:sz w:val="18"/>
              </w:rPr>
              <w:t>$-2.2B</w:t>
            </w:r>
          </w:p>
        </w:tc>
        <w:tc>
          <w:tcPr>
            <w:tcW w:type="dxa" w:w="2520"/>
            <w:shd w:fill="F2F4F8" w:val="clear"/>
            <w:shd w:fill="DCEEF8" w:val="clear"/>
          </w:tcPr>
          <w:p>
            <w:r>
              <w:rPr>
                <w:rFonts w:ascii="Calibri" w:hAnsi="Calibri"/>
                <w:color w:val="333333"/>
                <w:sz w:val="18"/>
              </w:rPr>
              <w:t>81.0%</w:t>
            </w:r>
          </w:p>
        </w:tc>
      </w:tr>
      <w:tr>
        <w:tc>
          <w:tcPr>
            <w:tcW w:type="dxa" w:w="2520"/>
          </w:tcPr>
          <w:p>
            <w:r>
              <w:rPr>
                <w:rFonts w:ascii="Calibri" w:hAnsi="Calibri"/>
                <w:color w:val="333333"/>
                <w:sz w:val="18"/>
              </w:rPr>
              <w:t>Weighted average shares outstanding (basic)</w:t>
            </w:r>
          </w:p>
        </w:tc>
        <w:tc>
          <w:tcPr>
            <w:tcW w:type="dxa" w:w="2520"/>
          </w:tcPr>
          <w:p>
            <w:r>
              <w:rPr>
                <w:rFonts w:ascii="Calibri" w:hAnsi="Calibri"/>
                <w:color w:val="333333"/>
                <w:sz w:val="18"/>
              </w:rPr>
              <w:t>4.3B</w:t>
            </w:r>
          </w:p>
        </w:tc>
        <w:tc>
          <w:tcPr>
            <w:tcW w:type="dxa" w:w="2520"/>
          </w:tcPr>
          <w:p>
            <w:r>
              <w:rPr>
                <w:rFonts w:ascii="Calibri" w:hAnsi="Calibri"/>
                <w:color w:val="333333"/>
                <w:sz w:val="18"/>
              </w:rPr>
              <w:t>4.5B</w:t>
            </w:r>
          </w:p>
        </w:tc>
        <w:tc>
          <w:tcPr>
            <w:tcW w:type="dxa" w:w="2520"/>
            <w:shd w:fill="FFF3CD" w:val="clear"/>
          </w:tcPr>
          <w:p>
            <w:r>
              <w:rPr>
                <w:rFonts w:ascii="Calibri" w:hAnsi="Calibri"/>
                <w:color w:val="333333"/>
                <w:sz w:val="18"/>
              </w:rPr>
              <w:t>5.8%</w:t>
            </w:r>
          </w:p>
        </w:tc>
      </w:tr>
      <w:tr>
        <w:tc>
          <w:tcPr>
            <w:tcW w:type="dxa" w:w="2520"/>
            <w:shd w:fill="F2F4F8" w:val="clear"/>
          </w:tcPr>
          <w:p>
            <w:r>
              <w:rPr>
                <w:rFonts w:ascii="Calibri" w:hAnsi="Calibri"/>
                <w:color w:val="333333"/>
                <w:sz w:val="18"/>
              </w:rPr>
              <w:t>Weighted average shares outstanding (diluted)</w:t>
            </w:r>
          </w:p>
        </w:tc>
        <w:tc>
          <w:tcPr>
            <w:tcW w:type="dxa" w:w="2520"/>
            <w:shd w:fill="F2F4F8" w:val="clear"/>
          </w:tcPr>
          <w:p>
            <w:r>
              <w:rPr>
                <w:rFonts w:ascii="Calibri" w:hAnsi="Calibri"/>
                <w:color w:val="333333"/>
                <w:sz w:val="18"/>
              </w:rPr>
              <w:t>4.3B</w:t>
            </w:r>
          </w:p>
        </w:tc>
        <w:tc>
          <w:tcPr>
            <w:tcW w:type="dxa" w:w="2520"/>
            <w:shd w:fill="F2F4F8" w:val="clear"/>
          </w:tcPr>
          <w:p>
            <w:r>
              <w:rPr>
                <w:rFonts w:ascii="Calibri" w:hAnsi="Calibri"/>
                <w:color w:val="333333"/>
                <w:sz w:val="18"/>
              </w:rPr>
              <w:t>4.5B</w:t>
            </w:r>
          </w:p>
        </w:tc>
        <w:tc>
          <w:tcPr>
            <w:tcW w:type="dxa" w:w="2520"/>
            <w:shd w:fill="F2F4F8" w:val="clear"/>
            <w:shd w:fill="FFF3CD" w:val="clear"/>
          </w:tcPr>
          <w:p>
            <w:r>
              <w:rPr>
                <w:rFonts w:ascii="Calibri" w:hAnsi="Calibri"/>
                <w:color w:val="333333"/>
                <w:sz w:val="18"/>
              </w:rPr>
              <w:t>5.8%</w:t>
            </w:r>
          </w:p>
        </w:tc>
      </w:tr>
      <w:tr>
        <w:tc>
          <w:tcPr>
            <w:tcW w:type="dxa" w:w="2520"/>
          </w:tcPr>
          <w:p>
            <w:r>
              <w:rPr>
                <w:rFonts w:ascii="Calibri" w:hAnsi="Calibri"/>
                <w:color w:val="333333"/>
                <w:sz w:val="18"/>
              </w:rPr>
              <w:t>Total comprehensive income / loss</w:t>
            </w:r>
          </w:p>
        </w:tc>
        <w:tc>
          <w:tcPr>
            <w:tcW w:type="dxa" w:w="2520"/>
          </w:tcPr>
          <w:p>
            <w:r>
              <w:rPr>
                <w:rFonts w:ascii="Calibri" w:hAnsi="Calibri"/>
                <w:color w:val="333333"/>
                <w:sz w:val="18"/>
              </w:rPr>
              <w:t>$-19.3B</w:t>
            </w:r>
          </w:p>
        </w:tc>
        <w:tc>
          <w:tcPr>
            <w:tcW w:type="dxa" w:w="2520"/>
          </w:tcPr>
          <w:p>
            <w:r>
              <w:rPr>
                <w:rFonts w:ascii="Calibri" w:hAnsi="Calibri"/>
                <w:color w:val="333333"/>
                <w:sz w:val="18"/>
              </w:rPr>
              <w:t>$557.0M</w:t>
            </w:r>
          </w:p>
        </w:tc>
        <w:tc>
          <w:tcPr>
            <w:tcW w:type="dxa" w:w="2520"/>
            <w:shd w:fill="DCEEF8" w:val="clear"/>
          </w:tcPr>
          <w:p>
            <w:r>
              <w:rPr>
                <w:rFonts w:ascii="Calibri" w:hAnsi="Calibri"/>
                <w:color w:val="333333"/>
                <w:sz w:val="18"/>
              </w:rPr>
              <w:t>102.9%</w:t>
            </w:r>
          </w:p>
        </w:tc>
      </w:tr>
      <w:tr>
        <w:tc>
          <w:tcPr>
            <w:tcW w:type="dxa" w:w="2520"/>
            <w:shd w:fill="F2F4F8" w:val="clear"/>
          </w:tcPr>
          <w:p>
            <w:r>
              <w:rPr>
                <w:rFonts w:ascii="Calibri" w:hAnsi="Calibri"/>
                <w:color w:val="333333"/>
                <w:sz w:val="18"/>
              </w:rPr>
              <w:t>Other income / non-operating income</w:t>
            </w:r>
          </w:p>
        </w:tc>
        <w:tc>
          <w:tcPr>
            <w:tcW w:type="dxa" w:w="2520"/>
            <w:shd w:fill="F2F4F8" w:val="clear"/>
          </w:tcPr>
          <w:p>
            <w:r>
              <w:rPr>
                <w:rFonts w:ascii="Calibri" w:hAnsi="Calibri"/>
                <w:color w:val="333333"/>
                <w:sz w:val="18"/>
              </w:rPr>
              <w:t>$226.0M</w:t>
            </w:r>
          </w:p>
        </w:tc>
        <w:tc>
          <w:tcPr>
            <w:tcW w:type="dxa" w:w="2520"/>
            <w:shd w:fill="F2F4F8" w:val="clear"/>
          </w:tcPr>
          <w:p>
            <w:r>
              <w:rPr>
                <w:rFonts w:ascii="Calibri" w:hAnsi="Calibri"/>
                <w:color w:val="333333"/>
                <w:sz w:val="18"/>
              </w:rPr>
              <w:t>$3.3B</w:t>
            </w:r>
          </w:p>
        </w:tc>
        <w:tc>
          <w:tcPr>
            <w:tcW w:type="dxa" w:w="2520"/>
            <w:shd w:fill="F2F4F8" w:val="clear"/>
            <w:shd w:fill="DCEEF8" w:val="clear"/>
          </w:tcPr>
          <w:p>
            <w:r>
              <w:rPr>
                <w:rFonts w:ascii="Calibri" w:hAnsi="Calibri"/>
                <w:color w:val="333333"/>
                <w:sz w:val="18"/>
              </w:rPr>
              <w:t>1341.2%</w:t>
            </w:r>
          </w:p>
        </w:tc>
      </w:tr>
      <w:tr>
        <w:tc>
          <w:tcPr>
            <w:tcW w:type="dxa" w:w="2520"/>
          </w:tcPr>
          <w:p>
            <w:r>
              <w:rPr>
                <w:rFonts w:ascii="Calibri" w:hAnsi="Calibri"/>
                <w:color w:val="333333"/>
                <w:sz w:val="18"/>
              </w:rPr>
              <w:t>Restructuring charges</w:t>
            </w:r>
          </w:p>
        </w:tc>
        <w:tc>
          <w:tcPr>
            <w:tcW w:type="dxa" w:w="2520"/>
          </w:tcPr>
          <w:p>
            <w:r>
              <w:rPr>
                <w:rFonts w:ascii="Calibri" w:hAnsi="Calibri"/>
                <w:color w:val="333333"/>
                <w:sz w:val="18"/>
              </w:rPr>
              <w:t>$3.5B</w:t>
            </w:r>
          </w:p>
        </w:tc>
        <w:tc>
          <w:tcPr>
            <w:tcW w:type="dxa" w:w="2520"/>
          </w:tcPr>
          <w:p>
            <w:r>
              <w:rPr>
                <w:rFonts w:ascii="Calibri" w:hAnsi="Calibri"/>
                <w:color w:val="333333"/>
                <w:sz w:val="18"/>
              </w:rPr>
              <w:t>$476.0M</w:t>
            </w:r>
          </w:p>
        </w:tc>
        <w:tc>
          <w:tcPr>
            <w:tcW w:type="dxa" w:w="2520"/>
            <w:shd w:fill="FCE8E6" w:val="clear"/>
          </w:tcPr>
          <w:p>
            <w:r>
              <w:rPr>
                <w:rFonts w:ascii="Calibri" w:hAnsi="Calibri"/>
                <w:color w:val="333333"/>
                <w:sz w:val="18"/>
              </w:rPr>
              <w:t>-86.4%</w:t>
            </w:r>
          </w:p>
        </w:tc>
      </w:tr>
      <w:tr>
        <w:tc>
          <w:tcPr>
            <w:tcW w:type="dxa" w:w="2520"/>
            <w:shd w:fill="F2F4F8" w:val="clear"/>
          </w:tcPr>
          <w:p>
            <w:r>
              <w:rPr>
                <w:rFonts w:ascii="Calibri" w:hAnsi="Calibri"/>
                <w:color w:val="333333"/>
                <w:sz w:val="18"/>
              </w:rPr>
              <w:t>Impairment charges (goodwill, intangibles, long-lived assets)</w:t>
            </w:r>
          </w:p>
        </w:tc>
        <w:tc>
          <w:tcPr>
            <w:tcW w:type="dxa" w:w="2520"/>
            <w:shd w:fill="F2F4F8" w:val="clear"/>
          </w:tcPr>
          <w:p>
            <w:r>
              <w:rPr>
                <w:rFonts w:ascii="Calibri" w:hAnsi="Calibri"/>
                <w:color w:val="333333"/>
                <w:sz w:val="18"/>
              </w:rPr>
              <w:t>$3.0B</w:t>
            </w:r>
          </w:p>
        </w:tc>
        <w:tc>
          <w:tcPr>
            <w:tcW w:type="dxa" w:w="2520"/>
            <w:shd w:fill="F2F4F8" w:val="clear"/>
          </w:tcPr>
          <w:p>
            <w:r>
              <w:rPr>
                <w:rFonts w:ascii="Calibri" w:hAnsi="Calibri"/>
                <w:color w:val="333333"/>
                <w:sz w:val="18"/>
              </w:rPr>
              <w:t>$0</w:t>
            </w:r>
          </w:p>
        </w:tc>
        <w:tc>
          <w:tcPr>
            <w:tcW w:type="dxa" w:w="2520"/>
            <w:shd w:fill="F2F4F8" w:val="clear"/>
            <w:shd w:fill="FCE8E6" w:val="clear"/>
          </w:tcPr>
          <w:p>
            <w:r>
              <w:rPr>
                <w:rFonts w:ascii="Calibri" w:hAnsi="Calibri"/>
                <w:color w:val="333333"/>
                <w:sz w:val="18"/>
              </w:rPr>
              <w:t>-100.0%</w:t>
            </w:r>
          </w:p>
        </w:tc>
      </w:tr>
      <w:tr>
        <w:tc>
          <w:tcPr>
            <w:tcW w:type="dxa" w:w="2520"/>
          </w:tcPr>
          <w:p>
            <w:r>
              <w:rPr>
                <w:rFonts w:ascii="Calibri" w:hAnsi="Calibri"/>
                <w:color w:val="333333"/>
                <w:sz w:val="18"/>
              </w:rPr>
              <w:t>Income from operations</w:t>
            </w:r>
          </w:p>
        </w:tc>
        <w:tc>
          <w:tcPr>
            <w:tcW w:type="dxa" w:w="2520"/>
          </w:tcPr>
          <w:p>
            <w:r>
              <w:rPr>
                <w:rFonts w:ascii="Calibri" w:hAnsi="Calibri"/>
                <w:color w:val="333333"/>
                <w:sz w:val="18"/>
              </w:rPr>
              <w:t>$-11.7B</w:t>
            </w:r>
          </w:p>
        </w:tc>
        <w:tc>
          <w:tcPr>
            <w:tcW w:type="dxa" w:w="2520"/>
          </w:tcPr>
          <w:p>
            <w:r>
              <w:rPr>
                <w:rFonts w:ascii="Calibri" w:hAnsi="Calibri"/>
                <w:color w:val="333333"/>
                <w:sz w:val="18"/>
              </w:rPr>
              <w:t>$-2.2B</w:t>
            </w:r>
          </w:p>
        </w:tc>
        <w:tc>
          <w:tcPr>
            <w:tcW w:type="dxa" w:w="2520"/>
            <w:shd w:fill="DCEEF8" w:val="clear"/>
          </w:tcPr>
          <w:p>
            <w:r>
              <w:rPr>
                <w:rFonts w:ascii="Calibri" w:hAnsi="Calibri"/>
                <w:color w:val="333333"/>
                <w:sz w:val="18"/>
              </w:rPr>
              <w:t>81.0%</w:t>
            </w:r>
          </w:p>
        </w:tc>
      </w:tr>
      <w:tr>
        <w:tc>
          <w:tcPr>
            <w:tcW w:type="dxa" w:w="2520"/>
            <w:shd w:fill="F2F4F8" w:val="clear"/>
          </w:tcPr>
          <w:p>
            <w:r>
              <w:rPr>
                <w:rFonts w:ascii="Calibri" w:hAnsi="Calibri"/>
                <w:color w:val="333333"/>
                <w:sz w:val="18"/>
              </w:rPr>
              <w:t>Pre-tax income</w:t>
            </w:r>
          </w:p>
        </w:tc>
        <w:tc>
          <w:tcPr>
            <w:tcW w:type="dxa" w:w="2520"/>
            <w:shd w:fill="F2F4F8" w:val="clear"/>
          </w:tcPr>
          <w:p>
            <w:r>
              <w:rPr>
                <w:rFonts w:ascii="Calibri" w:hAnsi="Calibri"/>
                <w:color w:val="333333"/>
                <w:sz w:val="18"/>
              </w:rPr>
              <w:t>$-11.2B</w:t>
            </w:r>
          </w:p>
        </w:tc>
        <w:tc>
          <w:tcPr>
            <w:tcW w:type="dxa" w:w="2520"/>
            <w:shd w:fill="F2F4F8" w:val="clear"/>
          </w:tcPr>
          <w:p>
            <w:r>
              <w:rPr>
                <w:rFonts w:ascii="Calibri" w:hAnsi="Calibri"/>
                <w:color w:val="333333"/>
                <w:sz w:val="18"/>
              </w:rPr>
              <w:t>$1.6B</w:t>
            </w:r>
          </w:p>
        </w:tc>
        <w:tc>
          <w:tcPr>
            <w:tcW w:type="dxa" w:w="2520"/>
            <w:shd w:fill="F2F4F8" w:val="clear"/>
            <w:shd w:fill="DCEEF8" w:val="clear"/>
          </w:tcPr>
          <w:p>
            <w:r>
              <w:rPr>
                <w:rFonts w:ascii="Calibri" w:hAnsi="Calibri"/>
                <w:color w:val="333333"/>
                <w:sz w:val="18"/>
              </w:rPr>
              <w:t>113.9%</w:t>
            </w:r>
          </w:p>
        </w:tc>
      </w:tr>
      <w:tr>
        <w:tc>
          <w:tcPr>
            <w:tcW w:type="dxa" w:w="2520"/>
          </w:tcPr>
          <w:p>
            <w:r>
              <w:rPr>
                <w:rFonts w:ascii="Calibri" w:hAnsi="Calibri"/>
                <w:color w:val="333333"/>
                <w:sz w:val="18"/>
              </w:rPr>
              <w:t>Stock-based compensation expense</w:t>
            </w:r>
          </w:p>
        </w:tc>
        <w:tc>
          <w:tcPr>
            <w:tcW w:type="dxa" w:w="2520"/>
          </w:tcPr>
          <w:p>
            <w:r>
              <w:rPr>
                <w:rFonts w:ascii="Calibri" w:hAnsi="Calibri"/>
                <w:color w:val="333333"/>
                <w:sz w:val="18"/>
              </w:rPr>
              <w:t>$3.4B</w:t>
            </w:r>
          </w:p>
        </w:tc>
        <w:tc>
          <w:tcPr>
            <w:tcW w:type="dxa" w:w="2520"/>
          </w:tcPr>
          <w:p>
            <w:r>
              <w:rPr>
                <w:rFonts w:ascii="Calibri" w:hAnsi="Calibri"/>
                <w:color w:val="333333"/>
                <w:sz w:val="18"/>
              </w:rPr>
              <w:t>$2.4B</w:t>
            </w:r>
          </w:p>
        </w:tc>
        <w:tc>
          <w:tcPr>
            <w:tcW w:type="dxa" w:w="2520"/>
            <w:shd w:fill="FCE8E6" w:val="clear"/>
          </w:tcPr>
          <w:p>
            <w:r>
              <w:rPr>
                <w:rFonts w:ascii="Calibri" w:hAnsi="Calibri"/>
                <w:color w:val="333333"/>
                <w:sz w:val="18"/>
              </w:rPr>
              <w:t>-28.6%</w:t>
            </w:r>
          </w:p>
        </w:tc>
      </w:tr>
      <w:tr>
        <w:tc>
          <w:tcPr>
            <w:tcW w:type="dxa" w:w="2520"/>
            <w:shd w:fill="F2F4F8" w:val="clear"/>
          </w:tcPr>
          <w:p>
            <w:r>
              <w:rPr>
                <w:rFonts w:ascii="Calibri" w:hAnsi="Calibri"/>
                <w:color w:val="333333"/>
                <w:sz w:val="18"/>
              </w:rPr>
              <w:t>Income before income taxes</w:t>
            </w:r>
          </w:p>
        </w:tc>
        <w:tc>
          <w:tcPr>
            <w:tcW w:type="dxa" w:w="2520"/>
            <w:shd w:fill="F2F4F8" w:val="clear"/>
          </w:tcPr>
          <w:p>
            <w:r>
              <w:rPr>
                <w:rFonts w:ascii="Calibri" w:hAnsi="Calibri"/>
                <w:color w:val="333333"/>
                <w:sz w:val="18"/>
              </w:rPr>
              <w:t>$-11.2B</w:t>
            </w:r>
          </w:p>
        </w:tc>
        <w:tc>
          <w:tcPr>
            <w:tcW w:type="dxa" w:w="2520"/>
            <w:shd w:fill="F2F4F8" w:val="clear"/>
          </w:tcPr>
          <w:p>
            <w:r>
              <w:rPr>
                <w:rFonts w:ascii="Calibri" w:hAnsi="Calibri"/>
                <w:color w:val="333333"/>
                <w:sz w:val="18"/>
              </w:rPr>
              <w:t>$1.6B</w:t>
            </w:r>
          </w:p>
        </w:tc>
        <w:tc>
          <w:tcPr>
            <w:tcW w:type="dxa" w:w="2520"/>
            <w:shd w:fill="F2F4F8" w:val="clear"/>
            <w:shd w:fill="DCEEF8" w:val="clear"/>
          </w:tcPr>
          <w:p>
            <w:r>
              <w:rPr>
                <w:rFonts w:ascii="Calibri" w:hAnsi="Calibri"/>
                <w:color w:val="333333"/>
                <w:sz w:val="18"/>
              </w:rPr>
              <w:t>113.9%</w:t>
            </w:r>
          </w:p>
        </w:tc>
      </w:tr>
      <w:tr>
        <w:tc>
          <w:tcPr>
            <w:tcW w:type="dxa" w:w="2520"/>
          </w:tcPr>
          <w:p>
            <w:r>
              <w:rPr>
                <w:rFonts w:ascii="Calibri" w:hAnsi="Calibri"/>
                <w:color w:val="333333"/>
                <w:sz w:val="18"/>
              </w:rPr>
              <w:t>Other comprehensive income/loss, net of tax</w:t>
            </w:r>
          </w:p>
        </w:tc>
        <w:tc>
          <w:tcPr>
            <w:tcW w:type="dxa" w:w="2520"/>
          </w:tcPr>
          <w:p>
            <w:r>
              <w:rPr>
                <w:rFonts w:ascii="Calibri" w:hAnsi="Calibri"/>
                <w:color w:val="333333"/>
                <w:sz w:val="18"/>
              </w:rPr>
              <w:t>$-496.0M</w:t>
            </w:r>
          </w:p>
        </w:tc>
        <w:tc>
          <w:tcPr>
            <w:tcW w:type="dxa" w:w="2520"/>
          </w:tcPr>
          <w:p>
            <w:r>
              <w:rPr>
                <w:rFonts w:ascii="Calibri" w:hAnsi="Calibri"/>
                <w:color w:val="333333"/>
                <w:sz w:val="18"/>
              </w:rPr>
              <w:t>$824.0M</w:t>
            </w:r>
          </w:p>
        </w:tc>
        <w:tc>
          <w:tcPr>
            <w:tcW w:type="dxa" w:w="2520"/>
            <w:shd w:fill="DCEEF8" w:val="clear"/>
          </w:tcPr>
          <w:p>
            <w:r>
              <w:rPr>
                <w:rFonts w:ascii="Calibri" w:hAnsi="Calibri"/>
                <w:color w:val="333333"/>
                <w:sz w:val="18"/>
              </w:rPr>
              <w:t>266.1%</w:t>
            </w:r>
          </w:p>
        </w:tc>
      </w:tr>
      <w:tr>
        <w:tc>
          <w:tcPr>
            <w:tcW w:type="dxa" w:w="2520"/>
            <w:shd w:fill="F2F4F8" w:val="clear"/>
          </w:tcPr>
          <w:p>
            <w:r>
              <w:rPr>
                <w:rFonts w:ascii="Calibri" w:hAnsi="Calibri"/>
                <w:color w:val="333333"/>
                <w:sz w:val="18"/>
              </w:rPr>
              <w:t>Total operating expenses</w:t>
            </w:r>
          </w:p>
        </w:tc>
        <w:tc>
          <w:tcPr>
            <w:tcW w:type="dxa" w:w="2520"/>
            <w:shd w:fill="F2F4F8" w:val="clear"/>
          </w:tcPr>
          <w:p>
            <w:r>
              <w:rPr>
                <w:rFonts w:ascii="Calibri" w:hAnsi="Calibri"/>
                <w:color w:val="333333"/>
                <w:sz w:val="18"/>
              </w:rPr>
              <w:t>$29.0B</w:t>
            </w:r>
          </w:p>
        </w:tc>
        <w:tc>
          <w:tcPr>
            <w:tcW w:type="dxa" w:w="2520"/>
            <w:shd w:fill="F2F4F8" w:val="clear"/>
          </w:tcPr>
          <w:p>
            <w:r>
              <w:rPr>
                <w:rFonts w:ascii="Calibri" w:hAnsi="Calibri"/>
                <w:color w:val="333333"/>
                <w:sz w:val="18"/>
              </w:rPr>
              <w:t>$20.6B</w:t>
            </w:r>
          </w:p>
        </w:tc>
        <w:tc>
          <w:tcPr>
            <w:tcW w:type="dxa" w:w="2520"/>
            <w:shd w:fill="F2F4F8" w:val="clear"/>
            <w:shd w:fill="FCE8E6" w:val="clear"/>
          </w:tcPr>
          <w:p>
            <w:r>
              <w:rPr>
                <w:rFonts w:ascii="Calibri" w:hAnsi="Calibri"/>
                <w:color w:val="333333"/>
                <w:sz w:val="18"/>
              </w:rPr>
              <w:t>-29.1%</w:t>
            </w:r>
          </w:p>
        </w:tc>
      </w:tr>
      <w:tr>
        <w:tc>
          <w:tcPr>
            <w:tcW w:type="dxa" w:w="2520"/>
          </w:tcPr>
          <w:p>
            <w:r>
              <w:rPr>
                <w:rFonts w:ascii="Calibri" w:hAnsi="Calibri"/>
                <w:color w:val="333333"/>
                <w:sz w:val="18"/>
              </w:rPr>
              <w:t>Total costs and expenses</w:t>
            </w:r>
          </w:p>
        </w:tc>
        <w:tc>
          <w:tcPr>
            <w:tcW w:type="dxa" w:w="2520"/>
          </w:tcPr>
          <w:p>
            <w:r>
              <w:rPr>
                <w:rFonts w:ascii="Calibri" w:hAnsi="Calibri"/>
                <w:color w:val="333333"/>
                <w:sz w:val="18"/>
              </w:rPr>
              <w:t>N/A</w:t>
            </w:r>
          </w:p>
        </w:tc>
        <w:tc>
          <w:tcPr>
            <w:tcW w:type="dxa" w:w="2520"/>
          </w:tcPr>
          <w:p>
            <w:r>
              <w:rPr>
                <w:rFonts w:ascii="Calibri" w:hAnsi="Calibri"/>
                <w:color w:val="333333"/>
                <w:sz w:val="18"/>
              </w:rPr>
              <w:t>$55.1B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Non-operating income / expense</w:t>
            </w:r>
          </w:p>
        </w:tc>
        <w:tc>
          <w:tcPr>
            <w:tcW w:type="dxa" w:w="2520"/>
            <w:shd w:fill="F2F4F8" w:val="clear"/>
          </w:tcPr>
          <w:p>
            <w:r>
              <w:rPr>
                <w:rFonts w:ascii="Calibri" w:hAnsi="Calibri"/>
                <w:color w:val="333333"/>
                <w:sz w:val="18"/>
              </w:rPr>
              <w:t>$226.0M</w:t>
            </w:r>
          </w:p>
        </w:tc>
        <w:tc>
          <w:tcPr>
            <w:tcW w:type="dxa" w:w="2520"/>
            <w:shd w:fill="F2F4F8" w:val="clear"/>
          </w:tcPr>
          <w:p>
            <w:r>
              <w:rPr>
                <w:rFonts w:ascii="Calibri" w:hAnsi="Calibri"/>
                <w:color w:val="333333"/>
                <w:sz w:val="18"/>
              </w:rPr>
              <w:t>$3.3B</w:t>
            </w:r>
          </w:p>
        </w:tc>
        <w:tc>
          <w:tcPr>
            <w:tcW w:type="dxa" w:w="2520"/>
            <w:shd w:fill="F2F4F8" w:val="clear"/>
            <w:shd w:fill="DCEEF8" w:val="clear"/>
          </w:tcPr>
          <w:p>
            <w:r>
              <w:rPr>
                <w:rFonts w:ascii="Calibri" w:hAnsi="Calibri"/>
                <w:color w:val="333333"/>
                <w:sz w:val="18"/>
              </w:rPr>
              <w:t>1341.2%</w:t>
            </w:r>
          </w:p>
        </w:tc>
      </w:tr>
      <w:tr>
        <w:tc>
          <w:tcPr>
            <w:tcW w:type="dxa" w:w="2520"/>
          </w:tcPr>
          <w:p>
            <w:r>
              <w:rPr>
                <w:rFonts w:ascii="Calibri" w:hAnsi="Calibri"/>
                <w:color w:val="333333"/>
                <w:sz w:val="18"/>
              </w:rPr>
              <w:t>Asset impairment charges (long-lived assets)</w:t>
            </w:r>
          </w:p>
        </w:tc>
        <w:tc>
          <w:tcPr>
            <w:tcW w:type="dxa" w:w="2520"/>
          </w:tcPr>
          <w:p>
            <w:r>
              <w:rPr>
                <w:rFonts w:ascii="Calibri" w:hAnsi="Calibri"/>
                <w:color w:val="333333"/>
                <w:sz w:val="18"/>
              </w:rPr>
              <w:t>$3.6B</w:t>
            </w:r>
          </w:p>
        </w:tc>
        <w:tc>
          <w:tcPr>
            <w:tcW w:type="dxa" w:w="2520"/>
          </w:tcPr>
          <w:p>
            <w:r>
              <w:rPr>
                <w:rFonts w:ascii="Calibri" w:hAnsi="Calibri"/>
                <w:color w:val="333333"/>
                <w:sz w:val="18"/>
              </w:rPr>
              <w:t>$522.0M</w:t>
            </w:r>
          </w:p>
        </w:tc>
        <w:tc>
          <w:tcPr>
            <w:tcW w:type="dxa" w:w="2520"/>
            <w:shd w:fill="FCE8E6" w:val="clear"/>
          </w:tcPr>
          <w:p>
            <w:r>
              <w:rPr>
                <w:rFonts w:ascii="Calibri" w:hAnsi="Calibri"/>
                <w:color w:val="333333"/>
                <w:sz w:val="18"/>
              </w:rPr>
              <w:t>-85.6%</w:t>
            </w:r>
          </w:p>
        </w:tc>
      </w:tr>
      <w:tr>
        <w:tc>
          <w:tcPr>
            <w:tcW w:type="dxa" w:w="2520"/>
            <w:shd w:fill="F2F4F8" w:val="clear"/>
          </w:tcPr>
          <w:p>
            <w:r>
              <w:rPr>
                <w:rFonts w:ascii="Calibri" w:hAnsi="Calibri"/>
                <w:color w:val="333333"/>
                <w:sz w:val="18"/>
              </w:rPr>
              <w:t>Impairment of intangible assets (excluding goodwill)</w:t>
            </w:r>
          </w:p>
        </w:tc>
        <w:tc>
          <w:tcPr>
            <w:tcW w:type="dxa" w:w="2520"/>
            <w:shd w:fill="F2F4F8" w:val="clear"/>
          </w:tcPr>
          <w:p>
            <w:r>
              <w:rPr>
                <w:rFonts w:ascii="Calibri" w:hAnsi="Calibri"/>
                <w:color w:val="333333"/>
                <w:sz w:val="18"/>
              </w:rPr>
              <w:t>$108.0M</w:t>
            </w:r>
          </w:p>
        </w:tc>
        <w:tc>
          <w:tcPr>
            <w:tcW w:type="dxa" w:w="2520"/>
            <w:shd w:fill="F2F4F8" w:val="clear"/>
          </w:tcPr>
          <w:p>
            <w:r>
              <w:rPr>
                <w:rFonts w:ascii="Calibri" w:hAnsi="Calibri"/>
                <w:color w:val="333333"/>
                <w:sz w:val="18"/>
              </w:rPr>
              <w:t>$108.0M</w:t>
            </w:r>
          </w:p>
        </w:tc>
        <w:tc>
          <w:tcPr>
            <w:tcW w:type="dxa" w:w="2520"/>
            <w:shd w:fill="F2F4F8" w:val="clear"/>
          </w:tcPr>
          <w:p>
            <w:r>
              <w:rPr>
                <w:rFonts w:ascii="Calibri" w:hAnsi="Calibri"/>
                <w:color w:val="333333"/>
                <w:sz w:val="18"/>
              </w:rPr>
              <w:t>0.0%</w:t>
            </w:r>
          </w:p>
        </w:tc>
      </w:tr>
      <w:tr>
        <w:tc>
          <w:tcPr>
            <w:tcW w:type="dxa" w:w="2520"/>
          </w:tcPr>
          <w:p>
            <w:r>
              <w:rPr>
                <w:rFonts w:ascii="Calibri" w:hAnsi="Calibri"/>
                <w:color w:val="333333"/>
                <w:sz w:val="18"/>
              </w:rPr>
              <w:t>Severance costs from restructuring or workforce reductions</w:t>
            </w:r>
          </w:p>
        </w:tc>
        <w:tc>
          <w:tcPr>
            <w:tcW w:type="dxa" w:w="2520"/>
          </w:tcPr>
          <w:p>
            <w:r>
              <w:rPr>
                <w:rFonts w:ascii="Calibri" w:hAnsi="Calibri"/>
                <w:color w:val="333333"/>
                <w:sz w:val="18"/>
              </w:rPr>
              <w:t>$2.5B</w:t>
            </w:r>
          </w:p>
        </w:tc>
        <w:tc>
          <w:tcPr>
            <w:tcW w:type="dxa" w:w="2520"/>
          </w:tcPr>
          <w:p>
            <w:r>
              <w:rPr>
                <w:rFonts w:ascii="Calibri" w:hAnsi="Calibri"/>
                <w:color w:val="333333"/>
                <w:sz w:val="18"/>
              </w:rPr>
              <w:t>$1.8B</w:t>
            </w:r>
          </w:p>
        </w:tc>
        <w:tc>
          <w:tcPr>
            <w:tcW w:type="dxa" w:w="2520"/>
            <w:shd w:fill="FCE8E6" w:val="clear"/>
          </w:tcPr>
          <w:p>
            <w:r>
              <w:rPr>
                <w:rFonts w:ascii="Calibri" w:hAnsi="Calibri"/>
                <w:color w:val="333333"/>
                <w:sz w:val="18"/>
              </w:rPr>
              <w:t>-27.9%</w:t>
            </w:r>
          </w:p>
        </w:tc>
      </w:tr>
      <w:tr>
        <w:tc>
          <w:tcPr>
            <w:tcW w:type="dxa" w:w="2520"/>
            <w:shd w:fill="F2F4F8" w:val="clear"/>
          </w:tcPr>
          <w:p>
            <w:r>
              <w:rPr>
                <w:rFonts w:ascii="Calibri" w:hAnsi="Calibri"/>
                <w:color w:val="333333"/>
                <w:sz w:val="18"/>
              </w:rPr>
              <w:t>Current federal income tax expense / benefit</w:t>
            </w:r>
          </w:p>
        </w:tc>
        <w:tc>
          <w:tcPr>
            <w:tcW w:type="dxa" w:w="2520"/>
            <w:shd w:fill="F2F4F8" w:val="clear"/>
          </w:tcPr>
          <w:p>
            <w:r>
              <w:rPr>
                <w:rFonts w:ascii="Calibri" w:hAnsi="Calibri"/>
                <w:color w:val="333333"/>
                <w:sz w:val="18"/>
              </w:rPr>
              <w:t>$600.0M</w:t>
            </w:r>
          </w:p>
        </w:tc>
        <w:tc>
          <w:tcPr>
            <w:tcW w:type="dxa" w:w="2520"/>
            <w:shd w:fill="F2F4F8" w:val="clear"/>
          </w:tcPr>
          <w:p>
            <w:r>
              <w:rPr>
                <w:rFonts w:ascii="Calibri" w:hAnsi="Calibri"/>
                <w:color w:val="333333"/>
                <w:sz w:val="18"/>
              </w:rPr>
              <w:t>$310.0M</w:t>
            </w:r>
          </w:p>
        </w:tc>
        <w:tc>
          <w:tcPr>
            <w:tcW w:type="dxa" w:w="2520"/>
            <w:shd w:fill="F2F4F8" w:val="clear"/>
            <w:shd w:fill="FCE8E6" w:val="clear"/>
          </w:tcPr>
          <w:p>
            <w:r>
              <w:rPr>
                <w:rFonts w:ascii="Calibri" w:hAnsi="Calibri"/>
                <w:color w:val="333333"/>
                <w:sz w:val="18"/>
              </w:rPr>
              <w:t>-48.3%</w:t>
            </w:r>
          </w:p>
        </w:tc>
      </w:tr>
      <w:tr>
        <w:tc>
          <w:tcPr>
            <w:tcW w:type="dxa" w:w="2520"/>
          </w:tcPr>
          <w:p>
            <w:r>
              <w:rPr>
                <w:rFonts w:ascii="Calibri" w:hAnsi="Calibri"/>
                <w:color w:val="333333"/>
                <w:sz w:val="18"/>
              </w:rPr>
              <w:t>Current state and local income tax expense / benefit</w:t>
            </w:r>
          </w:p>
        </w:tc>
        <w:tc>
          <w:tcPr>
            <w:tcW w:type="dxa" w:w="2520"/>
          </w:tcPr>
          <w:p>
            <w:r>
              <w:rPr>
                <w:rFonts w:ascii="Calibri" w:hAnsi="Calibri"/>
                <w:color w:val="333333"/>
                <w:sz w:val="18"/>
              </w:rPr>
              <w:t>$-8.0M</w:t>
            </w:r>
          </w:p>
        </w:tc>
        <w:tc>
          <w:tcPr>
            <w:tcW w:type="dxa" w:w="2520"/>
          </w:tcPr>
          <w:p>
            <w:r>
              <w:rPr>
                <w:rFonts w:ascii="Calibri" w:hAnsi="Calibri"/>
                <w:color w:val="333333"/>
                <w:sz w:val="18"/>
              </w:rPr>
              <w:t>$-18.0M</w:t>
            </w:r>
          </w:p>
        </w:tc>
        <w:tc>
          <w:tcPr>
            <w:tcW w:type="dxa" w:w="2520"/>
            <w:shd w:fill="FCE8E6" w:val="clear"/>
          </w:tcPr>
          <w:p>
            <w:r>
              <w:rPr>
                <w:rFonts w:ascii="Calibri" w:hAnsi="Calibri"/>
                <w:color w:val="333333"/>
                <w:sz w:val="18"/>
              </w:rPr>
              <w:t>-125.0%</w:t>
            </w:r>
          </w:p>
        </w:tc>
      </w:tr>
      <w:tr>
        <w:tc>
          <w:tcPr>
            <w:tcW w:type="dxa" w:w="2520"/>
            <w:shd w:fill="F2F4F8" w:val="clear"/>
          </w:tcPr>
          <w:p>
            <w:r>
              <w:rPr>
                <w:rFonts w:ascii="Calibri" w:hAnsi="Calibri"/>
                <w:color w:val="333333"/>
                <w:sz w:val="18"/>
              </w:rPr>
              <w:t>Current foreign income tax expense / benefit</w:t>
            </w:r>
          </w:p>
        </w:tc>
        <w:tc>
          <w:tcPr>
            <w:tcW w:type="dxa" w:w="2520"/>
            <w:shd w:fill="F2F4F8" w:val="clear"/>
          </w:tcPr>
          <w:p>
            <w:r>
              <w:rPr>
                <w:rFonts w:ascii="Calibri" w:hAnsi="Calibri"/>
                <w:color w:val="333333"/>
                <w:sz w:val="18"/>
              </w:rPr>
              <w:t>$1.4B</w:t>
            </w:r>
          </w:p>
        </w:tc>
        <w:tc>
          <w:tcPr>
            <w:tcW w:type="dxa" w:w="2520"/>
            <w:shd w:fill="F2F4F8" w:val="clear"/>
          </w:tcPr>
          <w:p>
            <w:r>
              <w:rPr>
                <w:rFonts w:ascii="Calibri" w:hAnsi="Calibri"/>
                <w:color w:val="333333"/>
                <w:sz w:val="18"/>
              </w:rPr>
              <w:t>$910.0M</w:t>
            </w:r>
          </w:p>
        </w:tc>
        <w:tc>
          <w:tcPr>
            <w:tcW w:type="dxa" w:w="2520"/>
            <w:shd w:fill="F2F4F8" w:val="clear"/>
            <w:shd w:fill="FCE8E6" w:val="clear"/>
          </w:tcPr>
          <w:p>
            <w:r>
              <w:rPr>
                <w:rFonts w:ascii="Calibri" w:hAnsi="Calibri"/>
                <w:color w:val="333333"/>
                <w:sz w:val="18"/>
              </w:rPr>
              <w:t>-33.3%</w:t>
            </w:r>
          </w:p>
        </w:tc>
      </w:tr>
      <w:tr>
        <w:tc>
          <w:tcPr>
            <w:tcW w:type="dxa" w:w="2520"/>
          </w:tcPr>
          <w:p>
            <w:r>
              <w:rPr>
                <w:rFonts w:ascii="Calibri" w:hAnsi="Calibri"/>
                <w:color w:val="333333"/>
                <w:sz w:val="18"/>
              </w:rPr>
              <w:t>Deferred federal income tax expense / benefit</w:t>
            </w:r>
          </w:p>
        </w:tc>
        <w:tc>
          <w:tcPr>
            <w:tcW w:type="dxa" w:w="2520"/>
          </w:tcPr>
          <w:p>
            <w:r>
              <w:rPr>
                <w:rFonts w:ascii="Calibri" w:hAnsi="Calibri"/>
                <w:color w:val="333333"/>
                <w:sz w:val="18"/>
              </w:rPr>
              <w:t>$6.2B</w:t>
            </w:r>
          </w:p>
        </w:tc>
        <w:tc>
          <w:tcPr>
            <w:tcW w:type="dxa" w:w="2520"/>
          </w:tcPr>
          <w:p>
            <w:r>
              <w:rPr>
                <w:rFonts w:ascii="Calibri" w:hAnsi="Calibri"/>
                <w:color w:val="333333"/>
                <w:sz w:val="18"/>
              </w:rPr>
              <w:t>$245.0M</w:t>
            </w:r>
          </w:p>
        </w:tc>
        <w:tc>
          <w:tcPr>
            <w:tcW w:type="dxa" w:w="2520"/>
            <w:shd w:fill="FCE8E6" w:val="clear"/>
          </w:tcPr>
          <w:p>
            <w:r>
              <w:rPr>
                <w:rFonts w:ascii="Calibri" w:hAnsi="Calibri"/>
                <w:color w:val="333333"/>
                <w:sz w:val="18"/>
              </w:rPr>
              <w:t>-96.0%</w:t>
            </w:r>
          </w:p>
        </w:tc>
      </w:tr>
      <w:tr>
        <w:tc>
          <w:tcPr>
            <w:tcW w:type="dxa" w:w="2520"/>
            <w:shd w:fill="F2F4F8" w:val="clear"/>
          </w:tcPr>
          <w:p>
            <w:r>
              <w:rPr>
                <w:rFonts w:ascii="Calibri" w:hAnsi="Calibri"/>
                <w:color w:val="333333"/>
                <w:sz w:val="18"/>
              </w:rPr>
              <w:t>Deferred state and local income tax expense / benefit</w:t>
            </w:r>
          </w:p>
        </w:tc>
        <w:tc>
          <w:tcPr>
            <w:tcW w:type="dxa" w:w="2520"/>
            <w:shd w:fill="F2F4F8" w:val="clear"/>
          </w:tcPr>
          <w:p>
            <w:r>
              <w:rPr>
                <w:rFonts w:ascii="Calibri" w:hAnsi="Calibri"/>
                <w:color w:val="333333"/>
                <w:sz w:val="18"/>
              </w:rPr>
              <w:t>$67.0M</w:t>
            </w:r>
          </w:p>
        </w:tc>
        <w:tc>
          <w:tcPr>
            <w:tcW w:type="dxa" w:w="2520"/>
            <w:shd w:fill="F2F4F8" w:val="clear"/>
          </w:tcPr>
          <w:p>
            <w:r>
              <w:rPr>
                <w:rFonts w:ascii="Calibri" w:hAnsi="Calibri"/>
                <w:color w:val="333333"/>
                <w:sz w:val="18"/>
              </w:rPr>
              <w:t>$-11.0M</w:t>
            </w:r>
          </w:p>
        </w:tc>
        <w:tc>
          <w:tcPr>
            <w:tcW w:type="dxa" w:w="2520"/>
            <w:shd w:fill="F2F4F8" w:val="clear"/>
            <w:shd w:fill="FCE8E6" w:val="clear"/>
          </w:tcPr>
          <w:p>
            <w:r>
              <w:rPr>
                <w:rFonts w:ascii="Calibri" w:hAnsi="Calibri"/>
                <w:color w:val="333333"/>
                <w:sz w:val="18"/>
              </w:rPr>
              <w:t>-116.4%</w:t>
            </w:r>
          </w:p>
        </w:tc>
      </w:tr>
      <w:tr>
        <w:tc>
          <w:tcPr>
            <w:tcW w:type="dxa" w:w="2520"/>
          </w:tcPr>
          <w:p>
            <w:r>
              <w:rPr>
                <w:rFonts w:ascii="Calibri" w:hAnsi="Calibri"/>
                <w:color w:val="333333"/>
                <w:sz w:val="18"/>
              </w:rPr>
              <w:t>Advertising expense</w:t>
            </w:r>
          </w:p>
        </w:tc>
        <w:tc>
          <w:tcPr>
            <w:tcW w:type="dxa" w:w="2520"/>
          </w:tcPr>
          <w:p>
            <w:r>
              <w:rPr>
                <w:rFonts w:ascii="Calibri" w:hAnsi="Calibri"/>
                <w:color w:val="333333"/>
                <w:sz w:val="18"/>
              </w:rPr>
              <w:t>$856.0M</w:t>
            </w:r>
          </w:p>
        </w:tc>
        <w:tc>
          <w:tcPr>
            <w:tcW w:type="dxa" w:w="2520"/>
          </w:tcPr>
          <w:p>
            <w:r>
              <w:rPr>
                <w:rFonts w:ascii="Calibri" w:hAnsi="Calibri"/>
                <w:color w:val="333333"/>
                <w:sz w:val="18"/>
              </w:rPr>
              <w:t>$610.0M</w:t>
            </w:r>
          </w:p>
        </w:tc>
        <w:tc>
          <w:tcPr>
            <w:tcW w:type="dxa" w:w="2520"/>
            <w:shd w:fill="FCE8E6" w:val="clear"/>
          </w:tcPr>
          <w:p>
            <w:r>
              <w:rPr>
                <w:rFonts w:ascii="Calibri" w:hAnsi="Calibri"/>
                <w:color w:val="333333"/>
                <w:sz w:val="18"/>
              </w:rPr>
              <w:t>-28.7%</w:t>
            </w:r>
          </w:p>
        </w:tc>
      </w:tr>
      <w:tr>
        <w:tc>
          <w:tcPr>
            <w:tcW w:type="dxa" w:w="2520"/>
            <w:shd w:fill="F2F4F8" w:val="clear"/>
          </w:tcPr>
          <w:p>
            <w:r>
              <w:rPr>
                <w:rFonts w:ascii="Calibri" w:hAnsi="Calibri"/>
                <w:color w:val="333333"/>
                <w:sz w:val="18"/>
              </w:rPr>
              <w:t>Goodwill impairment loss</w:t>
            </w:r>
          </w:p>
        </w:tc>
        <w:tc>
          <w:tcPr>
            <w:tcW w:type="dxa" w:w="2520"/>
            <w:shd w:fill="F2F4F8" w:val="clear"/>
          </w:tcPr>
          <w:p>
            <w:r>
              <w:rPr>
                <w:rFonts w:ascii="Calibri" w:hAnsi="Calibri"/>
                <w:color w:val="333333"/>
                <w:sz w:val="18"/>
              </w:rPr>
              <w:t>$3.0B</w:t>
            </w:r>
          </w:p>
        </w:tc>
        <w:tc>
          <w:tcPr>
            <w:tcW w:type="dxa" w:w="2520"/>
            <w:shd w:fill="F2F4F8" w:val="clear"/>
          </w:tcPr>
          <w:p>
            <w:r>
              <w:rPr>
                <w:rFonts w:ascii="Calibri" w:hAnsi="Calibri"/>
                <w:color w:val="333333"/>
                <w:sz w:val="18"/>
              </w:rPr>
              <w:t>$0</w:t>
            </w:r>
          </w:p>
        </w:tc>
        <w:tc>
          <w:tcPr>
            <w:tcW w:type="dxa" w:w="2520"/>
            <w:shd w:fill="F2F4F8" w:val="clear"/>
            <w:shd w:fill="FCE8E6" w:val="clear"/>
          </w:tcPr>
          <w:p>
            <w:r>
              <w:rPr>
                <w:rFonts w:ascii="Calibri" w:hAnsi="Calibri"/>
                <w:color w:val="333333"/>
                <w:sz w:val="18"/>
              </w:rPr>
              <w:t>-100.0%</w:t>
            </w:r>
          </w:p>
        </w:tc>
      </w:tr>
      <w:tr>
        <w:tc>
          <w:tcPr>
            <w:tcW w:type="dxa" w:w="2520"/>
          </w:tcPr>
          <w:p>
            <w:r>
              <w:rPr>
                <w:rFonts w:ascii="Calibri" w:hAnsi="Calibri"/>
                <w:color w:val="333333"/>
                <w:sz w:val="18"/>
              </w:rPr>
              <w:t>Impairment of intangible assets (finite-lived and indefinite-lived)</w:t>
            </w:r>
          </w:p>
        </w:tc>
        <w:tc>
          <w:tcPr>
            <w:tcW w:type="dxa" w:w="2520"/>
          </w:tcPr>
          <w:p>
            <w:r>
              <w:rPr>
                <w:rFonts w:ascii="Calibri" w:hAnsi="Calibri"/>
                <w:color w:val="333333"/>
                <w:sz w:val="18"/>
              </w:rPr>
              <w:t>$108.0M</w:t>
            </w:r>
          </w:p>
        </w:tc>
        <w:tc>
          <w:tcPr>
            <w:tcW w:type="dxa" w:w="2520"/>
          </w:tcPr>
          <w:p>
            <w:r>
              <w:rPr>
                <w:rFonts w:ascii="Calibri" w:hAnsi="Calibri"/>
                <w:color w:val="333333"/>
                <w:sz w:val="18"/>
              </w:rPr>
              <w:t>$108.0M</w:t>
            </w:r>
          </w:p>
        </w:tc>
        <w:tc>
          <w:tcPr>
            <w:tcW w:type="dxa" w:w="2520"/>
          </w:tcPr>
          <w:p>
            <w:r>
              <w:rPr>
                <w:rFonts w:ascii="Calibri" w:hAnsi="Calibri"/>
                <w:color w:val="333333"/>
                <w:sz w:val="18"/>
              </w:rPr>
              <w:t>0.0%</w:t>
            </w:r>
          </w:p>
        </w:tc>
      </w:tr>
      <w:tr>
        <w:tc>
          <w:tcPr>
            <w:tcW w:type="dxa" w:w="2520"/>
            <w:shd w:fill="F2F4F8" w:val="clear"/>
          </w:tcPr>
          <w:p>
            <w:r>
              <w:rPr>
                <w:rFonts w:ascii="Calibri" w:hAnsi="Calibri"/>
                <w:color w:val="333333"/>
                <w:sz w:val="18"/>
              </w:rPr>
              <w:t>Gross margin percentage</w:t>
            </w:r>
          </w:p>
        </w:tc>
        <w:tc>
          <w:tcPr>
            <w:tcW w:type="dxa" w:w="2520"/>
            <w:shd w:fill="F2F4F8" w:val="clear"/>
          </w:tcPr>
          <w:p>
            <w:r>
              <w:rPr>
                <w:rFonts w:ascii="Calibri" w:hAnsi="Calibri"/>
                <w:color w:val="333333"/>
                <w:sz w:val="18"/>
              </w:rPr>
              <w:t>32.7%</w:t>
            </w:r>
          </w:p>
        </w:tc>
        <w:tc>
          <w:tcPr>
            <w:tcW w:type="dxa" w:w="2520"/>
            <w:shd w:fill="F2F4F8" w:val="clear"/>
          </w:tcPr>
          <w:p>
            <w:r>
              <w:rPr>
                <w:rFonts w:ascii="Calibri" w:hAnsi="Calibri"/>
                <w:color w:val="333333"/>
                <w:sz w:val="18"/>
              </w:rPr>
              <w:t>34.8%</w:t>
            </w:r>
          </w:p>
        </w:tc>
        <w:tc>
          <w:tcPr>
            <w:tcW w:type="dxa" w:w="2520"/>
            <w:shd w:fill="F2F4F8" w:val="clear"/>
            <w:shd w:fill="FFF3CD" w:val="clear"/>
          </w:tcPr>
          <w:p>
            <w:r>
              <w:rPr>
                <w:rFonts w:ascii="Calibri" w:hAnsi="Calibri"/>
                <w:color w:val="333333"/>
                <w:sz w:val="18"/>
              </w:rPr>
              <w:t>6.5%</w:t>
            </w:r>
          </w:p>
        </w:tc>
      </w:tr>
      <w:tr>
        <w:tc>
          <w:tcPr>
            <w:tcW w:type="dxa" w:w="2520"/>
          </w:tcPr>
          <w:p>
            <w:r>
              <w:rPr>
                <w:rFonts w:ascii="Calibri" w:hAnsi="Calibri"/>
                <w:color w:val="333333"/>
                <w:sz w:val="18"/>
              </w:rPr>
              <w:t>Operating margin percentage</w:t>
            </w:r>
          </w:p>
        </w:tc>
        <w:tc>
          <w:tcPr>
            <w:tcW w:type="dxa" w:w="2520"/>
          </w:tcPr>
          <w:p>
            <w:r>
              <w:rPr>
                <w:rFonts w:ascii="Calibri" w:hAnsi="Calibri"/>
                <w:color w:val="333333"/>
                <w:sz w:val="18"/>
              </w:rPr>
              <w:t>-22.0%</w:t>
            </w:r>
          </w:p>
        </w:tc>
        <w:tc>
          <w:tcPr>
            <w:tcW w:type="dxa" w:w="2520"/>
          </w:tcPr>
          <w:p>
            <w:r>
              <w:rPr>
                <w:rFonts w:ascii="Calibri" w:hAnsi="Calibri"/>
                <w:color w:val="333333"/>
                <w:sz w:val="18"/>
              </w:rPr>
              <w:t>-4.2%</w:t>
            </w:r>
          </w:p>
        </w:tc>
        <w:tc>
          <w:tcPr>
            <w:tcW w:type="dxa" w:w="2520"/>
            <w:shd w:fill="DCEEF8" w:val="clear"/>
          </w:tcPr>
          <w:p>
            <w:r>
              <w:rPr>
                <w:rFonts w:ascii="Calibri" w:hAnsi="Calibri"/>
                <w:color w:val="333333"/>
                <w:sz w:val="18"/>
              </w:rPr>
              <w:t>81.0%</w:t>
            </w:r>
          </w:p>
        </w:tc>
      </w:tr>
      <w:tr>
        <w:tc>
          <w:tcPr>
            <w:tcW w:type="dxa" w:w="2520"/>
            <w:shd w:fill="F2F4F8" w:val="clear"/>
          </w:tcPr>
          <w:p>
            <w:r>
              <w:rPr>
                <w:rFonts w:ascii="Calibri" w:hAnsi="Calibri"/>
                <w:color w:val="333333"/>
                <w:sz w:val="18"/>
              </w:rPr>
              <w:t>Net margin percentage</w:t>
            </w:r>
          </w:p>
        </w:tc>
        <w:tc>
          <w:tcPr>
            <w:tcW w:type="dxa" w:w="2520"/>
            <w:shd w:fill="F2F4F8" w:val="clear"/>
          </w:tcPr>
          <w:p>
            <w:r>
              <w:rPr>
                <w:rFonts w:ascii="Calibri" w:hAnsi="Calibri"/>
                <w:color w:val="333333"/>
                <w:sz w:val="18"/>
              </w:rPr>
              <w:t>-35.3%</w:t>
            </w:r>
          </w:p>
        </w:tc>
        <w:tc>
          <w:tcPr>
            <w:tcW w:type="dxa" w:w="2520"/>
            <w:shd w:fill="F2F4F8" w:val="clear"/>
          </w:tcPr>
          <w:p>
            <w:r>
              <w:rPr>
                <w:rFonts w:ascii="Calibri" w:hAnsi="Calibri"/>
                <w:color w:val="333333"/>
                <w:sz w:val="18"/>
              </w:rPr>
              <w:t>-0.5%</w:t>
            </w:r>
          </w:p>
        </w:tc>
        <w:tc>
          <w:tcPr>
            <w:tcW w:type="dxa" w:w="2520"/>
            <w:shd w:fill="F2F4F8" w:val="clear"/>
            <w:shd w:fill="DCEEF8" w:val="clear"/>
          </w:tcPr>
          <w:p>
            <w:r>
              <w:rPr>
                <w:rFonts w:ascii="Calibri" w:hAnsi="Calibri"/>
                <w:color w:val="333333"/>
                <w:sz w:val="18"/>
              </w:rPr>
              <w:t>98.6%</w:t>
            </w:r>
          </w:p>
        </w:tc>
      </w:tr>
      <w:tr>
        <w:tc>
          <w:tcPr>
            <w:tcW w:type="dxa" w:w="2520"/>
          </w:tcPr>
          <w:p>
            <w:r>
              <w:rPr>
                <w:rFonts w:ascii="Calibri" w:hAnsi="Calibri"/>
                <w:color w:val="333333"/>
                <w:sz w:val="18"/>
              </w:rPr>
              <w:t>EBITDA margin percentage</w:t>
            </w:r>
          </w:p>
        </w:tc>
        <w:tc>
          <w:tcPr>
            <w:tcW w:type="dxa" w:w="2520"/>
          </w:tcPr>
          <w:p>
            <w:r>
              <w:rPr>
                <w:rFonts w:ascii="Calibri" w:hAnsi="Calibri"/>
                <w:color w:val="333333"/>
                <w:sz w:val="18"/>
              </w:rPr>
              <w:t>-3.2%</w:t>
            </w:r>
          </w:p>
        </w:tc>
        <w:tc>
          <w:tcPr>
            <w:tcW w:type="dxa" w:w="2520"/>
          </w:tcPr>
          <w:p>
            <w:r>
              <w:rPr>
                <w:rFonts w:ascii="Calibri" w:hAnsi="Calibri"/>
                <w:color w:val="333333"/>
                <w:sz w:val="18"/>
              </w:rPr>
              <w:t>16.2%</w:t>
            </w:r>
          </w:p>
        </w:tc>
        <w:tc>
          <w:tcPr>
            <w:tcW w:type="dxa" w:w="2520"/>
            <w:shd w:fill="DCEEF8" w:val="clear"/>
          </w:tcPr>
          <w:p>
            <w:r>
              <w:rPr>
                <w:rFonts w:ascii="Calibri" w:hAnsi="Calibri"/>
                <w:color w:val="333333"/>
                <w:sz w:val="18"/>
              </w:rPr>
              <w:t>597.2%</w:t>
            </w:r>
          </w:p>
        </w:tc>
      </w:tr>
      <w:tr>
        <w:tc>
          <w:tcPr>
            <w:tcW w:type="dxa" w:w="2520"/>
            <w:shd w:fill="F2F4F8" w:val="clear"/>
          </w:tcPr>
          <w:p>
            <w:r>
              <w:rPr>
                <w:rFonts w:ascii="Calibri" w:hAnsi="Calibri"/>
                <w:color w:val="333333"/>
                <w:sz w:val="18"/>
              </w:rPr>
              <w:t>Effective tax rate</w:t>
            </w:r>
          </w:p>
        </w:tc>
        <w:tc>
          <w:tcPr>
            <w:tcW w:type="dxa" w:w="2520"/>
            <w:shd w:fill="F2F4F8" w:val="clear"/>
          </w:tcPr>
          <w:p>
            <w:r>
              <w:rPr>
                <w:rFonts w:ascii="Calibri" w:hAnsi="Calibri"/>
                <w:color w:val="333333"/>
                <w:sz w:val="18"/>
              </w:rPr>
              <w:t>$-72</w:t>
            </w:r>
          </w:p>
        </w:tc>
        <w:tc>
          <w:tcPr>
            <w:tcW w:type="dxa" w:w="2520"/>
            <w:shd w:fill="F2F4F8" w:val="clear"/>
          </w:tcPr>
          <w:p>
            <w:r>
              <w:rPr>
                <w:rFonts w:ascii="Calibri" w:hAnsi="Calibri"/>
                <w:color w:val="333333"/>
                <w:sz w:val="18"/>
              </w:rPr>
              <w:t>$98</w:t>
            </w:r>
          </w:p>
        </w:tc>
        <w:tc>
          <w:tcPr>
            <w:tcW w:type="dxa" w:w="2520"/>
            <w:shd w:fill="F2F4F8" w:val="clear"/>
            <w:shd w:fill="DCEEF8" w:val="clear"/>
          </w:tcPr>
          <w:p>
            <w:r>
              <w:rPr>
                <w:rFonts w:ascii="Calibri" w:hAnsi="Calibri"/>
                <w:color w:val="333333"/>
                <w:sz w:val="18"/>
              </w:rPr>
              <w:t>237.4%</w:t>
            </w:r>
          </w:p>
        </w:tc>
      </w:tr>
      <w:tr>
        <w:tc>
          <w:tcPr>
            <w:tcW w:type="dxa" w:w="2520"/>
          </w:tcPr>
          <w:p>
            <w:r>
              <w:rPr>
                <w:rFonts w:ascii="Calibri" w:hAnsi="Calibri"/>
                <w:color w:val="333333"/>
                <w:sz w:val="18"/>
              </w:rPr>
              <w:t>Interest coverage ratio</w:t>
            </w:r>
          </w:p>
        </w:tc>
        <w:tc>
          <w:tcPr>
            <w:tcW w:type="dxa" w:w="2520"/>
          </w:tcPr>
          <w:p>
            <w:r>
              <w:rPr>
                <w:rFonts w:ascii="Calibri" w:hAnsi="Calibri"/>
                <w:color w:val="333333"/>
                <w:sz w:val="18"/>
              </w:rPr>
              <w:t>$-12</w:t>
            </w:r>
          </w:p>
        </w:tc>
        <w:tc>
          <w:tcPr>
            <w:tcW w:type="dxa" w:w="2520"/>
          </w:tcPr>
          <w:p>
            <w:r>
              <w:rPr>
                <w:rFonts w:ascii="Calibri" w:hAnsi="Calibri"/>
                <w:color w:val="333333"/>
                <w:sz w:val="18"/>
              </w:rPr>
              <w:t>$-2</w:t>
            </w:r>
          </w:p>
        </w:tc>
        <w:tc>
          <w:tcPr>
            <w:tcW w:type="dxa" w:w="2520"/>
            <w:shd w:fill="DCEEF8" w:val="clear"/>
          </w:tcPr>
          <w:p>
            <w:r>
              <w:rPr>
                <w:rFonts w:ascii="Calibri" w:hAnsi="Calibri"/>
                <w:color w:val="333333"/>
                <w:sz w:val="18"/>
              </w:rPr>
              <w:t>83.1%</w:t>
            </w:r>
          </w:p>
        </w:tc>
      </w:tr>
    </w:tbl>
    <w:p>
      <w:pPr>
        <w:pStyle w:val="DOHeading2"/>
      </w:pPr>
      <w:r>
        <w:t>Balance Sheet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assets</w:t>
            </w:r>
          </w:p>
        </w:tc>
        <w:tc>
          <w:tcPr>
            <w:tcW w:type="dxa" w:w="2520"/>
          </w:tcPr>
          <w:p>
            <w:r>
              <w:rPr>
                <w:rFonts w:ascii="Calibri" w:hAnsi="Calibri"/>
                <w:color w:val="333333"/>
                <w:sz w:val="18"/>
              </w:rPr>
              <w:t>$196.5B</w:t>
            </w:r>
          </w:p>
        </w:tc>
        <w:tc>
          <w:tcPr>
            <w:tcW w:type="dxa" w:w="2520"/>
          </w:tcPr>
          <w:p>
            <w:r>
              <w:rPr>
                <w:rFonts w:ascii="Calibri" w:hAnsi="Calibri"/>
                <w:color w:val="333333"/>
                <w:sz w:val="18"/>
              </w:rPr>
              <w:t>$211.4B</w:t>
            </w:r>
          </w:p>
        </w:tc>
        <w:tc>
          <w:tcPr>
            <w:tcW w:type="dxa" w:w="2520"/>
            <w:shd w:fill="FFF3CD" w:val="clear"/>
          </w:tcPr>
          <w:p>
            <w:r>
              <w:rPr>
                <w:rFonts w:ascii="Calibri" w:hAnsi="Calibri"/>
                <w:color w:val="333333"/>
                <w:sz w:val="18"/>
              </w:rPr>
              <w:t>7.6%</w:t>
            </w:r>
          </w:p>
        </w:tc>
      </w:tr>
      <w:tr>
        <w:tc>
          <w:tcPr>
            <w:tcW w:type="dxa" w:w="2520"/>
            <w:shd w:fill="F2F4F8" w:val="clear"/>
          </w:tcPr>
          <w:p>
            <w:r>
              <w:rPr>
                <w:rFonts w:ascii="Calibri" w:hAnsi="Calibri"/>
                <w:color w:val="333333"/>
                <w:sz w:val="18"/>
              </w:rPr>
              <w:t>Total stockholders' equity</w:t>
            </w:r>
          </w:p>
        </w:tc>
        <w:tc>
          <w:tcPr>
            <w:tcW w:type="dxa" w:w="2520"/>
            <w:shd w:fill="F2F4F8" w:val="clear"/>
          </w:tcPr>
          <w:p>
            <w:r>
              <w:rPr>
                <w:rFonts w:ascii="Calibri" w:hAnsi="Calibri"/>
                <w:color w:val="333333"/>
                <w:sz w:val="18"/>
              </w:rPr>
              <w:t>$99.3B</w:t>
            </w:r>
          </w:p>
        </w:tc>
        <w:tc>
          <w:tcPr>
            <w:tcW w:type="dxa" w:w="2520"/>
            <w:shd w:fill="F2F4F8" w:val="clear"/>
          </w:tcPr>
          <w:p>
            <w:r>
              <w:rPr>
                <w:rFonts w:ascii="Calibri" w:hAnsi="Calibri"/>
                <w:color w:val="333333"/>
                <w:sz w:val="18"/>
              </w:rPr>
              <w:t>$114.3B</w:t>
            </w:r>
          </w:p>
        </w:tc>
        <w:tc>
          <w:tcPr>
            <w:tcW w:type="dxa" w:w="2520"/>
            <w:shd w:fill="F2F4F8" w:val="clear"/>
            <w:shd w:fill="DCEEF8" w:val="clear"/>
          </w:tcPr>
          <w:p>
            <w:r>
              <w:rPr>
                <w:rFonts w:ascii="Calibri" w:hAnsi="Calibri"/>
                <w:color w:val="333333"/>
                <w:sz w:val="18"/>
              </w:rPr>
              <w:t>15.1%</w:t>
            </w:r>
          </w:p>
        </w:tc>
      </w:tr>
      <w:tr>
        <w:tc>
          <w:tcPr>
            <w:tcW w:type="dxa" w:w="2520"/>
          </w:tcPr>
          <w:p>
            <w:r>
              <w:rPr>
                <w:rFonts w:ascii="Calibri" w:hAnsi="Calibri"/>
                <w:color w:val="333333"/>
                <w:sz w:val="18"/>
              </w:rPr>
              <w:t>Total current assets</w:t>
            </w:r>
          </w:p>
        </w:tc>
        <w:tc>
          <w:tcPr>
            <w:tcW w:type="dxa" w:w="2520"/>
          </w:tcPr>
          <w:p>
            <w:r>
              <w:rPr>
                <w:rFonts w:ascii="Calibri" w:hAnsi="Calibri"/>
                <w:color w:val="333333"/>
                <w:sz w:val="18"/>
              </w:rPr>
              <w:t>$47.3B</w:t>
            </w:r>
          </w:p>
        </w:tc>
        <w:tc>
          <w:tcPr>
            <w:tcW w:type="dxa" w:w="2520"/>
          </w:tcPr>
          <w:p>
            <w:r>
              <w:rPr>
                <w:rFonts w:ascii="Calibri" w:hAnsi="Calibri"/>
                <w:color w:val="333333"/>
                <w:sz w:val="18"/>
              </w:rPr>
              <w:t>$63.7B</w:t>
            </w:r>
          </w:p>
        </w:tc>
        <w:tc>
          <w:tcPr>
            <w:tcW w:type="dxa" w:w="2520"/>
            <w:shd w:fill="DCEEF8" w:val="clear"/>
          </w:tcPr>
          <w:p>
            <w:r>
              <w:rPr>
                <w:rFonts w:ascii="Calibri" w:hAnsi="Calibri"/>
                <w:color w:val="333333"/>
                <w:sz w:val="18"/>
              </w:rPr>
              <w:t>34.6%</w:t>
            </w:r>
          </w:p>
        </w:tc>
      </w:tr>
      <w:tr>
        <w:tc>
          <w:tcPr>
            <w:tcW w:type="dxa" w:w="2520"/>
            <w:shd w:fill="F2F4F8" w:val="clear"/>
          </w:tcPr>
          <w:p>
            <w:r>
              <w:rPr>
                <w:rFonts w:ascii="Calibri" w:hAnsi="Calibri"/>
                <w:color w:val="333333"/>
                <w:sz w:val="18"/>
              </w:rPr>
              <w:t>Total current liabilities</w:t>
            </w:r>
          </w:p>
        </w:tc>
        <w:tc>
          <w:tcPr>
            <w:tcW w:type="dxa" w:w="2520"/>
            <w:shd w:fill="F2F4F8" w:val="clear"/>
          </w:tcPr>
          <w:p>
            <w:r>
              <w:rPr>
                <w:rFonts w:ascii="Calibri" w:hAnsi="Calibri"/>
                <w:color w:val="333333"/>
                <w:sz w:val="18"/>
              </w:rPr>
              <w:t>$35.7B</w:t>
            </w:r>
          </w:p>
        </w:tc>
        <w:tc>
          <w:tcPr>
            <w:tcW w:type="dxa" w:w="2520"/>
            <w:shd w:fill="F2F4F8" w:val="clear"/>
          </w:tcPr>
          <w:p>
            <w:r>
              <w:rPr>
                <w:rFonts w:ascii="Calibri" w:hAnsi="Calibri"/>
                <w:color w:val="333333"/>
                <w:sz w:val="18"/>
              </w:rPr>
              <w:t>$31.6B</w:t>
            </w:r>
          </w:p>
        </w:tc>
        <w:tc>
          <w:tcPr>
            <w:tcW w:type="dxa" w:w="2520"/>
            <w:shd w:fill="F2F4F8" w:val="clear"/>
            <w:shd w:fill="FCE8E6" w:val="clear"/>
          </w:tcPr>
          <w:p>
            <w:r>
              <w:rPr>
                <w:rFonts w:ascii="Calibri" w:hAnsi="Calibri"/>
                <w:color w:val="333333"/>
                <w:sz w:val="18"/>
              </w:rPr>
              <w:t>-11.5%</w:t>
            </w:r>
          </w:p>
        </w:tc>
      </w:tr>
      <w:tr>
        <w:tc>
          <w:tcPr>
            <w:tcW w:type="dxa" w:w="2520"/>
          </w:tcPr>
          <w:p>
            <w:r>
              <w:rPr>
                <w:rFonts w:ascii="Calibri" w:hAnsi="Calibri"/>
                <w:color w:val="333333"/>
                <w:sz w:val="18"/>
              </w:rPr>
              <w:t>Cash and cash equivalents</w:t>
            </w:r>
          </w:p>
        </w:tc>
        <w:tc>
          <w:tcPr>
            <w:tcW w:type="dxa" w:w="2520"/>
          </w:tcPr>
          <w:p>
            <w:r>
              <w:rPr>
                <w:rFonts w:ascii="Calibri" w:hAnsi="Calibri"/>
                <w:color w:val="333333"/>
                <w:sz w:val="18"/>
              </w:rPr>
              <w:t>N/A</w:t>
            </w:r>
          </w:p>
        </w:tc>
        <w:tc>
          <w:tcPr>
            <w:tcW w:type="dxa" w:w="2520"/>
          </w:tcPr>
          <w:p>
            <w:r>
              <w:rPr>
                <w:rFonts w:ascii="Calibri" w:hAnsi="Calibri"/>
                <w:color w:val="333333"/>
                <w:sz w:val="18"/>
              </w:rPr>
              <w:t>$14.3B</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Accounts receivable, net</w:t>
            </w:r>
          </w:p>
        </w:tc>
        <w:tc>
          <w:tcPr>
            <w:tcW w:type="dxa" w:w="2520"/>
            <w:shd w:fill="F2F4F8" w:val="clear"/>
          </w:tcPr>
          <w:p>
            <w:r>
              <w:rPr>
                <w:rFonts w:ascii="Calibri" w:hAnsi="Calibri"/>
                <w:color w:val="333333"/>
                <w:sz w:val="18"/>
              </w:rPr>
              <w:t>$3.5B</w:t>
            </w:r>
          </w:p>
        </w:tc>
        <w:tc>
          <w:tcPr>
            <w:tcW w:type="dxa" w:w="2520"/>
            <w:shd w:fill="F2F4F8" w:val="clear"/>
          </w:tcPr>
          <w:p>
            <w:r>
              <w:rPr>
                <w:rFonts w:ascii="Calibri" w:hAnsi="Calibri"/>
                <w:color w:val="333333"/>
                <w:sz w:val="18"/>
              </w:rPr>
              <w:t>$3.8B</w:t>
            </w:r>
          </w:p>
        </w:tc>
        <w:tc>
          <w:tcPr>
            <w:tcW w:type="dxa" w:w="2520"/>
            <w:shd w:fill="F2F4F8" w:val="clear"/>
            <w:shd w:fill="DCEEF8" w:val="clear"/>
          </w:tcPr>
          <w:p>
            <w:r>
              <w:rPr>
                <w:rFonts w:ascii="Calibri" w:hAnsi="Calibri"/>
                <w:color w:val="333333"/>
                <w:sz w:val="18"/>
              </w:rPr>
              <w:t>10.4%</w:t>
            </w:r>
          </w:p>
        </w:tc>
      </w:tr>
      <w:tr>
        <w:tc>
          <w:tcPr>
            <w:tcW w:type="dxa" w:w="2520"/>
          </w:tcPr>
          <w:p>
            <w:r>
              <w:rPr>
                <w:rFonts w:ascii="Calibri" w:hAnsi="Calibri"/>
                <w:color w:val="333333"/>
                <w:sz w:val="18"/>
              </w:rPr>
              <w:t>Inventory, net</w:t>
            </w:r>
          </w:p>
        </w:tc>
        <w:tc>
          <w:tcPr>
            <w:tcW w:type="dxa" w:w="2520"/>
          </w:tcPr>
          <w:p>
            <w:r>
              <w:rPr>
                <w:rFonts w:ascii="Calibri" w:hAnsi="Calibri"/>
                <w:color w:val="333333"/>
                <w:sz w:val="18"/>
              </w:rPr>
              <w:t>$12.2B</w:t>
            </w:r>
          </w:p>
        </w:tc>
        <w:tc>
          <w:tcPr>
            <w:tcW w:type="dxa" w:w="2520"/>
          </w:tcPr>
          <w:p>
            <w:r>
              <w:rPr>
                <w:rFonts w:ascii="Calibri" w:hAnsi="Calibri"/>
                <w:color w:val="333333"/>
                <w:sz w:val="18"/>
              </w:rPr>
              <w:t>$11.6B</w:t>
            </w:r>
          </w:p>
        </w:tc>
        <w:tc>
          <w:tcPr>
            <w:tcW w:type="dxa" w:w="2520"/>
            <w:shd w:fill="FFF3CD" w:val="clear"/>
          </w:tcPr>
          <w:p>
            <w:r>
              <w:rPr>
                <w:rFonts w:ascii="Calibri" w:hAnsi="Calibri"/>
                <w:color w:val="333333"/>
                <w:sz w:val="18"/>
              </w:rPr>
              <w:t>-4.8%</w:t>
            </w:r>
          </w:p>
        </w:tc>
      </w:tr>
      <w:tr>
        <w:tc>
          <w:tcPr>
            <w:tcW w:type="dxa" w:w="2520"/>
            <w:shd w:fill="F2F4F8" w:val="clear"/>
          </w:tcPr>
          <w:p>
            <w:r>
              <w:rPr>
                <w:rFonts w:ascii="Calibri" w:hAnsi="Calibri"/>
                <w:color w:val="333333"/>
                <w:sz w:val="18"/>
              </w:rPr>
              <w:t>Property, plant and equipment, net</w:t>
            </w:r>
          </w:p>
        </w:tc>
        <w:tc>
          <w:tcPr>
            <w:tcW w:type="dxa" w:w="2520"/>
            <w:shd w:fill="F2F4F8" w:val="clear"/>
          </w:tcPr>
          <w:p>
            <w:r>
              <w:rPr>
                <w:rFonts w:ascii="Calibri" w:hAnsi="Calibri"/>
                <w:color w:val="333333"/>
                <w:sz w:val="18"/>
              </w:rPr>
              <w:t>$107.9B</w:t>
            </w:r>
          </w:p>
        </w:tc>
        <w:tc>
          <w:tcPr>
            <w:tcW w:type="dxa" w:w="2520"/>
            <w:shd w:fill="F2F4F8" w:val="clear"/>
          </w:tcPr>
          <w:p>
            <w:r>
              <w:rPr>
                <w:rFonts w:ascii="Calibri" w:hAnsi="Calibri"/>
                <w:color w:val="333333"/>
                <w:sz w:val="18"/>
              </w:rPr>
              <w:t>$105.4B</w:t>
            </w:r>
          </w:p>
        </w:tc>
        <w:tc>
          <w:tcPr>
            <w:tcW w:type="dxa" w:w="2520"/>
            <w:shd w:fill="F2F4F8" w:val="clear"/>
            <w:shd w:fill="FFF3CD" w:val="clear"/>
          </w:tcPr>
          <w:p>
            <w:r>
              <w:rPr>
                <w:rFonts w:ascii="Calibri" w:hAnsi="Calibri"/>
                <w:color w:val="333333"/>
                <w:sz w:val="18"/>
              </w:rPr>
              <w:t>-2.3%</w:t>
            </w:r>
          </w:p>
        </w:tc>
      </w:tr>
      <w:tr>
        <w:tc>
          <w:tcPr>
            <w:tcW w:type="dxa" w:w="2520"/>
          </w:tcPr>
          <w:p>
            <w:r>
              <w:rPr>
                <w:rFonts w:ascii="Calibri" w:hAnsi="Calibri"/>
                <w:color w:val="333333"/>
                <w:sz w:val="18"/>
              </w:rPr>
              <w:t>Goodwill</w:t>
            </w:r>
          </w:p>
        </w:tc>
        <w:tc>
          <w:tcPr>
            <w:tcW w:type="dxa" w:w="2520"/>
          </w:tcPr>
          <w:p>
            <w:r>
              <w:rPr>
                <w:rFonts w:ascii="Calibri" w:hAnsi="Calibri"/>
                <w:color w:val="333333"/>
                <w:sz w:val="18"/>
              </w:rPr>
              <w:t>$24.7B</w:t>
            </w:r>
          </w:p>
        </w:tc>
        <w:tc>
          <w:tcPr>
            <w:tcW w:type="dxa" w:w="2520"/>
          </w:tcPr>
          <w:p>
            <w:r>
              <w:rPr>
                <w:rFonts w:ascii="Calibri" w:hAnsi="Calibri"/>
                <w:color w:val="333333"/>
                <w:sz w:val="18"/>
              </w:rPr>
              <w:t>$23.9B</w:t>
            </w:r>
          </w:p>
        </w:tc>
        <w:tc>
          <w:tcPr>
            <w:tcW w:type="dxa" w:w="2520"/>
            <w:shd w:fill="FFF3CD" w:val="clear"/>
          </w:tcPr>
          <w:p>
            <w:r>
              <w:rPr>
                <w:rFonts w:ascii="Calibri" w:hAnsi="Calibri"/>
                <w:color w:val="333333"/>
                <w:sz w:val="18"/>
              </w:rPr>
              <w:t>-3.2%</w:t>
            </w:r>
          </w:p>
        </w:tc>
      </w:tr>
      <w:tr>
        <w:tc>
          <w:tcPr>
            <w:tcW w:type="dxa" w:w="2520"/>
            <w:shd w:fill="F2F4F8" w:val="clear"/>
          </w:tcPr>
          <w:p>
            <w:r>
              <w:rPr>
                <w:rFonts w:ascii="Calibri" w:hAnsi="Calibri"/>
                <w:color w:val="333333"/>
                <w:sz w:val="18"/>
              </w:rPr>
              <w:t>Intangible assets, net (excluding goodwill)</w:t>
            </w:r>
          </w:p>
        </w:tc>
        <w:tc>
          <w:tcPr>
            <w:tcW w:type="dxa" w:w="2520"/>
            <w:shd w:fill="F2F4F8" w:val="clear"/>
          </w:tcPr>
          <w:p>
            <w:r>
              <w:rPr>
                <w:rFonts w:ascii="Calibri" w:hAnsi="Calibri"/>
                <w:color w:val="333333"/>
                <w:sz w:val="18"/>
              </w:rPr>
              <w:t>$3.7B</w:t>
            </w:r>
          </w:p>
        </w:tc>
        <w:tc>
          <w:tcPr>
            <w:tcW w:type="dxa" w:w="2520"/>
            <w:shd w:fill="F2F4F8" w:val="clear"/>
          </w:tcPr>
          <w:p>
            <w:r>
              <w:rPr>
                <w:rFonts w:ascii="Calibri" w:hAnsi="Calibri"/>
                <w:color w:val="333333"/>
                <w:sz w:val="18"/>
              </w:rPr>
              <w:t>$2.8B</w:t>
            </w:r>
          </w:p>
        </w:tc>
        <w:tc>
          <w:tcPr>
            <w:tcW w:type="dxa" w:w="2520"/>
            <w:shd w:fill="F2F4F8" w:val="clear"/>
            <w:shd w:fill="FCE8E6" w:val="clear"/>
          </w:tcPr>
          <w:p>
            <w:r>
              <w:rPr>
                <w:rFonts w:ascii="Calibri" w:hAnsi="Calibri"/>
                <w:color w:val="333333"/>
                <w:sz w:val="18"/>
              </w:rPr>
              <w:t>-24.9%</w:t>
            </w:r>
          </w:p>
        </w:tc>
      </w:tr>
      <w:tr>
        <w:tc>
          <w:tcPr>
            <w:tcW w:type="dxa" w:w="2520"/>
          </w:tcPr>
          <w:p>
            <w:r>
              <w:rPr>
                <w:rFonts w:ascii="Calibri" w:hAnsi="Calibri"/>
                <w:color w:val="333333"/>
                <w:sz w:val="18"/>
              </w:rPr>
              <w:t>Long-term debt, non-current</w:t>
            </w:r>
          </w:p>
        </w:tc>
        <w:tc>
          <w:tcPr>
            <w:tcW w:type="dxa" w:w="2520"/>
          </w:tcPr>
          <w:p>
            <w:r>
              <w:rPr>
                <w:rFonts w:ascii="Calibri" w:hAnsi="Calibri"/>
                <w:color w:val="333333"/>
                <w:sz w:val="18"/>
              </w:rPr>
              <w:t>$46.3B</w:t>
            </w:r>
          </w:p>
        </w:tc>
        <w:tc>
          <w:tcPr>
            <w:tcW w:type="dxa" w:w="2520"/>
          </w:tcPr>
          <w:p>
            <w:r>
              <w:rPr>
                <w:rFonts w:ascii="Calibri" w:hAnsi="Calibri"/>
                <w:color w:val="333333"/>
                <w:sz w:val="18"/>
              </w:rPr>
              <w:t>$44.1B</w:t>
            </w:r>
          </w:p>
        </w:tc>
        <w:tc>
          <w:tcPr>
            <w:tcW w:type="dxa" w:w="2520"/>
            <w:shd w:fill="FFF3CD" w:val="clear"/>
          </w:tcPr>
          <w:p>
            <w:r>
              <w:rPr>
                <w:rFonts w:ascii="Calibri" w:hAnsi="Calibri"/>
                <w:color w:val="333333"/>
                <w:sz w:val="18"/>
              </w:rPr>
              <w:t>-4.7%</w:t>
            </w:r>
          </w:p>
        </w:tc>
      </w:tr>
      <w:tr>
        <w:tc>
          <w:tcPr>
            <w:tcW w:type="dxa" w:w="2520"/>
            <w:shd w:fill="F2F4F8" w:val="clear"/>
          </w:tcPr>
          <w:p>
            <w:r>
              <w:rPr>
                <w:rFonts w:ascii="Calibri" w:hAnsi="Calibri"/>
                <w:color w:val="333333"/>
                <w:sz w:val="18"/>
              </w:rPr>
              <w:t>Short-term debt / current portion of long-term debt</w:t>
            </w:r>
          </w:p>
        </w:tc>
        <w:tc>
          <w:tcPr>
            <w:tcW w:type="dxa" w:w="2520"/>
            <w:shd w:fill="F2F4F8" w:val="clear"/>
          </w:tcPr>
          <w:p>
            <w:r>
              <w:rPr>
                <w:rFonts w:ascii="Calibri" w:hAnsi="Calibri"/>
                <w:color w:val="333333"/>
                <w:sz w:val="18"/>
              </w:rPr>
              <w:t>$3.7B</w:t>
            </w:r>
          </w:p>
        </w:tc>
        <w:tc>
          <w:tcPr>
            <w:tcW w:type="dxa" w:w="2520"/>
            <w:shd w:fill="F2F4F8" w:val="clear"/>
          </w:tcPr>
          <w:p>
            <w:r>
              <w:rPr>
                <w:rFonts w:ascii="Calibri" w:hAnsi="Calibri"/>
                <w:color w:val="333333"/>
                <w:sz w:val="18"/>
              </w:rPr>
              <w:t>$2.5B</w:t>
            </w:r>
          </w:p>
        </w:tc>
        <w:tc>
          <w:tcPr>
            <w:tcW w:type="dxa" w:w="2520"/>
            <w:shd w:fill="F2F4F8" w:val="clear"/>
            <w:shd w:fill="FCE8E6" w:val="clear"/>
          </w:tcPr>
          <w:p>
            <w:r>
              <w:rPr>
                <w:rFonts w:ascii="Calibri" w:hAnsi="Calibri"/>
                <w:color w:val="333333"/>
                <w:sz w:val="18"/>
              </w:rPr>
              <w:t>-33.0%</w:t>
            </w:r>
          </w:p>
        </w:tc>
      </w:tr>
      <w:tr>
        <w:tc>
          <w:tcPr>
            <w:tcW w:type="dxa" w:w="2520"/>
          </w:tcPr>
          <w:p>
            <w:r>
              <w:rPr>
                <w:rFonts w:ascii="Calibri" w:hAnsi="Calibri"/>
                <w:color w:val="333333"/>
                <w:sz w:val="18"/>
              </w:rPr>
              <w:t>Retained earnings / accumulated deficit</w:t>
            </w:r>
          </w:p>
        </w:tc>
        <w:tc>
          <w:tcPr>
            <w:tcW w:type="dxa" w:w="2520"/>
          </w:tcPr>
          <w:p>
            <w:r>
              <w:rPr>
                <w:rFonts w:ascii="Calibri" w:hAnsi="Calibri"/>
                <w:color w:val="333333"/>
                <w:sz w:val="18"/>
              </w:rPr>
              <w:t>$49.0B</w:t>
            </w:r>
          </w:p>
        </w:tc>
        <w:tc>
          <w:tcPr>
            <w:tcW w:type="dxa" w:w="2520"/>
          </w:tcPr>
          <w:p>
            <w:r>
              <w:rPr>
                <w:rFonts w:ascii="Calibri" w:hAnsi="Calibri"/>
                <w:color w:val="333333"/>
                <w:sz w:val="18"/>
              </w:rPr>
              <w:t>$49.0B</w:t>
            </w:r>
          </w:p>
        </w:tc>
        <w:tc>
          <w:tcPr>
            <w:tcW w:type="dxa" w:w="2520"/>
          </w:tcPr>
          <w:p>
            <w:r>
              <w:rPr>
                <w:rFonts w:ascii="Calibri" w:hAnsi="Calibri"/>
                <w:color w:val="333333"/>
                <w:sz w:val="18"/>
              </w:rPr>
              <w:t>-0.1%</w:t>
            </w:r>
          </w:p>
        </w:tc>
      </w:tr>
      <w:tr>
        <w:tc>
          <w:tcPr>
            <w:tcW w:type="dxa" w:w="2520"/>
            <w:shd w:fill="F2F4F8" w:val="clear"/>
          </w:tcPr>
          <w:p>
            <w:r>
              <w:rPr>
                <w:rFonts w:ascii="Calibri" w:hAnsi="Calibri"/>
                <w:color w:val="333333"/>
                <w:sz w:val="18"/>
              </w:rPr>
              <w:t>Total debt (short-term + long-term)</w:t>
            </w:r>
          </w:p>
        </w:tc>
        <w:tc>
          <w:tcPr>
            <w:tcW w:type="dxa" w:w="2520"/>
            <w:shd w:fill="F2F4F8" w:val="clear"/>
          </w:tcPr>
          <w:p>
            <w:r>
              <w:rPr>
                <w:rFonts w:ascii="Calibri" w:hAnsi="Calibri"/>
                <w:color w:val="333333"/>
                <w:sz w:val="18"/>
              </w:rPr>
              <w:t>$50.0B</w:t>
            </w:r>
          </w:p>
        </w:tc>
        <w:tc>
          <w:tcPr>
            <w:tcW w:type="dxa" w:w="2520"/>
            <w:shd w:fill="F2F4F8" w:val="clear"/>
          </w:tcPr>
          <w:p>
            <w:r>
              <w:rPr>
                <w:rFonts w:ascii="Calibri" w:hAnsi="Calibri"/>
                <w:color w:val="333333"/>
                <w:sz w:val="18"/>
              </w:rPr>
              <w:t>$46.6B</w:t>
            </w:r>
          </w:p>
        </w:tc>
        <w:tc>
          <w:tcPr>
            <w:tcW w:type="dxa" w:w="2520"/>
            <w:shd w:fill="F2F4F8" w:val="clear"/>
            <w:shd w:fill="FFF3CD" w:val="clear"/>
          </w:tcPr>
          <w:p>
            <w:r>
              <w:rPr>
                <w:rFonts w:ascii="Calibri" w:hAnsi="Calibri"/>
                <w:color w:val="333333"/>
                <w:sz w:val="18"/>
              </w:rPr>
              <w:t>-6.8%</w:t>
            </w:r>
          </w:p>
        </w:tc>
      </w:tr>
      <w:tr>
        <w:tc>
          <w:tcPr>
            <w:tcW w:type="dxa" w:w="2520"/>
          </w:tcPr>
          <w:p>
            <w:r>
              <w:rPr>
                <w:rFonts w:ascii="Calibri" w:hAnsi="Calibri"/>
                <w:color w:val="333333"/>
                <w:sz w:val="18"/>
              </w:rPr>
              <w:t>Common shares outstanding</w:t>
            </w:r>
          </w:p>
        </w:tc>
        <w:tc>
          <w:tcPr>
            <w:tcW w:type="dxa" w:w="2520"/>
          </w:tcPr>
          <w:p>
            <w:r>
              <w:rPr>
                <w:rFonts w:ascii="Calibri" w:hAnsi="Calibri"/>
                <w:color w:val="333333"/>
                <w:sz w:val="18"/>
              </w:rPr>
              <w:t>4.3B</w:t>
            </w:r>
          </w:p>
        </w:tc>
        <w:tc>
          <w:tcPr>
            <w:tcW w:type="dxa" w:w="2520"/>
          </w:tcPr>
          <w:p>
            <w:r>
              <w:rPr>
                <w:rFonts w:ascii="Calibri" w:hAnsi="Calibri"/>
                <w:color w:val="333333"/>
                <w:sz w:val="18"/>
              </w:rPr>
              <w:t>5.0B</w:t>
            </w:r>
          </w:p>
        </w:tc>
        <w:tc>
          <w:tcPr>
            <w:tcW w:type="dxa" w:w="2520"/>
            <w:shd w:fill="DCEEF8" w:val="clear"/>
          </w:tcPr>
          <w:p>
            <w:r>
              <w:rPr>
                <w:rFonts w:ascii="Calibri" w:hAnsi="Calibri"/>
                <w:color w:val="333333"/>
                <w:sz w:val="18"/>
              </w:rPr>
              <w:t>15.3%</w:t>
            </w:r>
          </w:p>
        </w:tc>
      </w:tr>
      <w:tr>
        <w:tc>
          <w:tcPr>
            <w:tcW w:type="dxa" w:w="2520"/>
            <w:shd w:fill="F2F4F8" w:val="clear"/>
          </w:tcPr>
          <w:p>
            <w:r>
              <w:rPr>
                <w:rFonts w:ascii="Calibri" w:hAnsi="Calibri"/>
                <w:color w:val="333333"/>
                <w:sz w:val="18"/>
              </w:rPr>
              <w:t>Accounts payable</w:t>
            </w:r>
          </w:p>
        </w:tc>
        <w:tc>
          <w:tcPr>
            <w:tcW w:type="dxa" w:w="2520"/>
            <w:shd w:fill="F2F4F8" w:val="clear"/>
          </w:tcPr>
          <w:p>
            <w:r>
              <w:rPr>
                <w:rFonts w:ascii="Calibri" w:hAnsi="Calibri"/>
                <w:color w:val="333333"/>
                <w:sz w:val="18"/>
              </w:rPr>
              <w:t>$12.6B</w:t>
            </w:r>
          </w:p>
        </w:tc>
        <w:tc>
          <w:tcPr>
            <w:tcW w:type="dxa" w:w="2520"/>
            <w:shd w:fill="F2F4F8" w:val="clear"/>
          </w:tcPr>
          <w:p>
            <w:r>
              <w:rPr>
                <w:rFonts w:ascii="Calibri" w:hAnsi="Calibri"/>
                <w:color w:val="333333"/>
                <w:sz w:val="18"/>
              </w:rPr>
              <w:t>$9.9B</w:t>
            </w:r>
          </w:p>
        </w:tc>
        <w:tc>
          <w:tcPr>
            <w:tcW w:type="dxa" w:w="2520"/>
            <w:shd w:fill="F2F4F8" w:val="clear"/>
            <w:shd w:fill="FCE8E6" w:val="clear"/>
          </w:tcPr>
          <w:p>
            <w:r>
              <w:rPr>
                <w:rFonts w:ascii="Calibri" w:hAnsi="Calibri"/>
                <w:color w:val="333333"/>
                <w:sz w:val="18"/>
              </w:rPr>
              <w:t>-21.3%</w:t>
            </w:r>
          </w:p>
        </w:tc>
      </w:tr>
      <w:tr>
        <w:tc>
          <w:tcPr>
            <w:tcW w:type="dxa" w:w="2520"/>
          </w:tcPr>
          <w:p>
            <w:r>
              <w:rPr>
                <w:rFonts w:ascii="Calibri" w:hAnsi="Calibri"/>
                <w:color w:val="333333"/>
                <w:sz w:val="18"/>
              </w:rPr>
              <w:t>Minority / noncontrolling interest</w:t>
            </w:r>
          </w:p>
        </w:tc>
        <w:tc>
          <w:tcPr>
            <w:tcW w:type="dxa" w:w="2520"/>
          </w:tcPr>
          <w:p>
            <w:r>
              <w:rPr>
                <w:rFonts w:ascii="Calibri" w:hAnsi="Calibri"/>
                <w:color w:val="333333"/>
                <w:sz w:val="18"/>
              </w:rPr>
              <w:t>$5.8B</w:t>
            </w:r>
          </w:p>
        </w:tc>
        <w:tc>
          <w:tcPr>
            <w:tcW w:type="dxa" w:w="2520"/>
          </w:tcPr>
          <w:p>
            <w:r>
              <w:rPr>
                <w:rFonts w:ascii="Calibri" w:hAnsi="Calibri"/>
                <w:color w:val="333333"/>
                <w:sz w:val="18"/>
              </w:rPr>
              <w:t>$12.1B</w:t>
            </w:r>
          </w:p>
        </w:tc>
        <w:tc>
          <w:tcPr>
            <w:tcW w:type="dxa" w:w="2520"/>
            <w:shd w:fill="DCEEF8" w:val="clear"/>
          </w:tcPr>
          <w:p>
            <w:r>
              <w:rPr>
                <w:rFonts w:ascii="Calibri" w:hAnsi="Calibri"/>
                <w:color w:val="333333"/>
                <w:sz w:val="18"/>
              </w:rPr>
              <w:t>109.6%</w:t>
            </w:r>
          </w:p>
        </w:tc>
      </w:tr>
      <w:tr>
        <w:tc>
          <w:tcPr>
            <w:tcW w:type="dxa" w:w="2520"/>
            <w:shd w:fill="F2F4F8" w:val="clear"/>
          </w:tcPr>
          <w:p>
            <w:r>
              <w:rPr>
                <w:rFonts w:ascii="Calibri" w:hAnsi="Calibri"/>
                <w:color w:val="333333"/>
                <w:sz w:val="18"/>
              </w:rPr>
              <w:t>Short-term investments / marketable securities</w:t>
            </w:r>
          </w:p>
        </w:tc>
        <w:tc>
          <w:tcPr>
            <w:tcW w:type="dxa" w:w="2520"/>
            <w:shd w:fill="F2F4F8" w:val="clear"/>
          </w:tcPr>
          <w:p>
            <w:r>
              <w:rPr>
                <w:rFonts w:ascii="Calibri" w:hAnsi="Calibri"/>
                <w:color w:val="333333"/>
                <w:sz w:val="18"/>
              </w:rPr>
              <w:t>$13.8B</w:t>
            </w:r>
          </w:p>
        </w:tc>
        <w:tc>
          <w:tcPr>
            <w:tcW w:type="dxa" w:w="2520"/>
            <w:shd w:fill="F2F4F8" w:val="clear"/>
          </w:tcPr>
          <w:p>
            <w:r>
              <w:rPr>
                <w:rFonts w:ascii="Calibri" w:hAnsi="Calibri"/>
                <w:color w:val="333333"/>
                <w:sz w:val="18"/>
              </w:rPr>
              <w:t>$23.2B</w:t>
            </w:r>
          </w:p>
        </w:tc>
        <w:tc>
          <w:tcPr>
            <w:tcW w:type="dxa" w:w="2520"/>
            <w:shd w:fill="F2F4F8" w:val="clear"/>
            <w:shd w:fill="DCEEF8" w:val="clear"/>
          </w:tcPr>
          <w:p>
            <w:r>
              <w:rPr>
                <w:rFonts w:ascii="Calibri" w:hAnsi="Calibri"/>
                <w:color w:val="333333"/>
                <w:sz w:val="18"/>
              </w:rPr>
              <w:t>67.6%</w:t>
            </w:r>
          </w:p>
        </w:tc>
      </w:tr>
      <w:tr>
        <w:tc>
          <w:tcPr>
            <w:tcW w:type="dxa" w:w="2520"/>
          </w:tcPr>
          <w:p>
            <w:r>
              <w:rPr>
                <w:rFonts w:ascii="Calibri" w:hAnsi="Calibri"/>
                <w:color w:val="333333"/>
                <w:sz w:val="18"/>
              </w:rPr>
              <w:t>Other current assets</w:t>
            </w:r>
          </w:p>
        </w:tc>
        <w:tc>
          <w:tcPr>
            <w:tcW w:type="dxa" w:w="2520"/>
          </w:tcPr>
          <w:p>
            <w:r>
              <w:rPr>
                <w:rFonts w:ascii="Calibri" w:hAnsi="Calibri"/>
                <w:color w:val="333333"/>
                <w:sz w:val="18"/>
              </w:rPr>
              <w:t>$9.6B</w:t>
            </w:r>
          </w:p>
        </w:tc>
        <w:tc>
          <w:tcPr>
            <w:tcW w:type="dxa" w:w="2520"/>
          </w:tcPr>
          <w:p>
            <w:r>
              <w:rPr>
                <w:rFonts w:ascii="Calibri" w:hAnsi="Calibri"/>
                <w:color w:val="333333"/>
                <w:sz w:val="18"/>
              </w:rPr>
              <w:t>$10.8B</w:t>
            </w:r>
          </w:p>
        </w:tc>
        <w:tc>
          <w:tcPr>
            <w:tcW w:type="dxa" w:w="2520"/>
            <w:shd w:fill="DCEEF8" w:val="clear"/>
          </w:tcPr>
          <w:p>
            <w:r>
              <w:rPr>
                <w:rFonts w:ascii="Calibri" w:hAnsi="Calibri"/>
                <w:color w:val="333333"/>
                <w:sz w:val="18"/>
              </w:rPr>
              <w:t>12.8%</w:t>
            </w:r>
          </w:p>
        </w:tc>
      </w:tr>
      <w:tr>
        <w:tc>
          <w:tcPr>
            <w:tcW w:type="dxa" w:w="2520"/>
            <w:shd w:fill="F2F4F8" w:val="clear"/>
          </w:tcPr>
          <w:p>
            <w:r>
              <w:rPr>
                <w:rFonts w:ascii="Calibri" w:hAnsi="Calibri"/>
                <w:color w:val="333333"/>
                <w:sz w:val="18"/>
              </w:rPr>
              <w:t>Accrued liabilities</w:t>
            </w:r>
          </w:p>
        </w:tc>
        <w:tc>
          <w:tcPr>
            <w:tcW w:type="dxa" w:w="2520"/>
            <w:shd w:fill="F2F4F8" w:val="clear"/>
          </w:tcPr>
          <w:p>
            <w:r>
              <w:rPr>
                <w:rFonts w:ascii="Calibri" w:hAnsi="Calibri"/>
                <w:color w:val="333333"/>
                <w:sz w:val="18"/>
              </w:rPr>
              <w:t>$1.8B</w:t>
            </w:r>
          </w:p>
        </w:tc>
        <w:tc>
          <w:tcPr>
            <w:tcW w:type="dxa" w:w="2520"/>
            <w:shd w:fill="F2F4F8" w:val="clear"/>
          </w:tcPr>
          <w:p>
            <w:r>
              <w:rPr>
                <w:rFonts w:ascii="Calibri" w:hAnsi="Calibri"/>
                <w:color w:val="333333"/>
                <w:sz w:val="18"/>
              </w:rPr>
              <w:t>$604.0M</w:t>
            </w:r>
          </w:p>
        </w:tc>
        <w:tc>
          <w:tcPr>
            <w:tcW w:type="dxa" w:w="2520"/>
            <w:shd w:fill="F2F4F8" w:val="clear"/>
            <w:shd w:fill="FCE8E6" w:val="clear"/>
          </w:tcPr>
          <w:p>
            <w:r>
              <w:rPr>
                <w:rFonts w:ascii="Calibri" w:hAnsi="Calibri"/>
                <w:color w:val="333333"/>
                <w:sz w:val="18"/>
              </w:rPr>
              <w:t>-65.6%</w:t>
            </w:r>
          </w:p>
        </w:tc>
      </w:tr>
      <w:tr>
        <w:tc>
          <w:tcPr>
            <w:tcW w:type="dxa" w:w="2520"/>
          </w:tcPr>
          <w:p>
            <w:r>
              <w:rPr>
                <w:rFonts w:ascii="Calibri" w:hAnsi="Calibri"/>
                <w:color w:val="333333"/>
                <w:sz w:val="18"/>
              </w:rPr>
              <w:t>Deferred income tax assets, net</w:t>
            </w:r>
          </w:p>
        </w:tc>
        <w:tc>
          <w:tcPr>
            <w:tcW w:type="dxa" w:w="2520"/>
          </w:tcPr>
          <w:p>
            <w:r>
              <w:rPr>
                <w:rFonts w:ascii="Calibri" w:hAnsi="Calibri"/>
                <w:color w:val="333333"/>
                <w:sz w:val="18"/>
              </w:rPr>
              <w:t>$603.0M</w:t>
            </w:r>
          </w:p>
        </w:tc>
        <w:tc>
          <w:tcPr>
            <w:tcW w:type="dxa" w:w="2520"/>
          </w:tcPr>
          <w:p>
            <w:r>
              <w:rPr>
                <w:rFonts w:ascii="Calibri" w:hAnsi="Calibri"/>
                <w:color w:val="333333"/>
                <w:sz w:val="18"/>
              </w:rPr>
              <w:t>$570.0M</w:t>
            </w:r>
          </w:p>
        </w:tc>
        <w:tc>
          <w:tcPr>
            <w:tcW w:type="dxa" w:w="2520"/>
            <w:shd w:fill="FFF3CD" w:val="clear"/>
          </w:tcPr>
          <w:p>
            <w:r>
              <w:rPr>
                <w:rFonts w:ascii="Calibri" w:hAnsi="Calibri"/>
                <w:color w:val="333333"/>
                <w:sz w:val="18"/>
              </w:rPr>
              <w:t>-5.5%</w:t>
            </w:r>
          </w:p>
        </w:tc>
      </w:tr>
      <w:tr>
        <w:tc>
          <w:tcPr>
            <w:tcW w:type="dxa" w:w="2520"/>
            <w:shd w:fill="F2F4F8" w:val="clear"/>
          </w:tcPr>
          <w:p>
            <w:r>
              <w:rPr>
                <w:rFonts w:ascii="Calibri" w:hAnsi="Calibri"/>
                <w:color w:val="333333"/>
                <w:sz w:val="18"/>
              </w:rPr>
              <w:t>Deferred income tax liabilities, net</w:t>
            </w:r>
          </w:p>
        </w:tc>
        <w:tc>
          <w:tcPr>
            <w:tcW w:type="dxa" w:w="2520"/>
            <w:shd w:fill="F2F4F8" w:val="clear"/>
          </w:tcPr>
          <w:p>
            <w:r>
              <w:rPr>
                <w:rFonts w:ascii="Calibri" w:hAnsi="Calibri"/>
                <w:color w:val="333333"/>
                <w:sz w:val="18"/>
              </w:rPr>
              <w:t>$1.5B</w:t>
            </w:r>
          </w:p>
        </w:tc>
        <w:tc>
          <w:tcPr>
            <w:tcW w:type="dxa" w:w="2520"/>
            <w:shd w:fill="F2F4F8" w:val="clear"/>
          </w:tcPr>
          <w:p>
            <w:r>
              <w:rPr>
                <w:rFonts w:ascii="Calibri" w:hAnsi="Calibri"/>
                <w:color w:val="333333"/>
                <w:sz w:val="18"/>
              </w:rPr>
              <w:t>$1.7B</w:t>
            </w:r>
          </w:p>
        </w:tc>
        <w:tc>
          <w:tcPr>
            <w:tcW w:type="dxa" w:w="2520"/>
            <w:shd w:fill="F2F4F8" w:val="clear"/>
            <w:shd w:fill="DCEEF8" w:val="clear"/>
          </w:tcPr>
          <w:p>
            <w:r>
              <w:rPr>
                <w:rFonts w:ascii="Calibri" w:hAnsi="Calibri"/>
                <w:color w:val="333333"/>
                <w:sz w:val="18"/>
              </w:rPr>
              <w:t>15.3%</w:t>
            </w:r>
          </w:p>
        </w:tc>
      </w:tr>
      <w:tr>
        <w:tc>
          <w:tcPr>
            <w:tcW w:type="dxa" w:w="2520"/>
          </w:tcPr>
          <w:p>
            <w:r>
              <w:rPr>
                <w:rFonts w:ascii="Calibri" w:hAnsi="Calibri"/>
                <w:color w:val="333333"/>
                <w:sz w:val="18"/>
              </w:rPr>
              <w:t>Pension and post-retirement benefit liabilities</w:t>
            </w:r>
          </w:p>
        </w:tc>
        <w:tc>
          <w:tcPr>
            <w:tcW w:type="dxa" w:w="2520"/>
          </w:tcPr>
          <w:p>
            <w:r>
              <w:rPr>
                <w:rFonts w:ascii="Calibri" w:hAnsi="Calibri"/>
                <w:color w:val="333333"/>
                <w:sz w:val="18"/>
              </w:rPr>
              <w:t>N/A</w:t>
            </w:r>
          </w:p>
        </w:tc>
        <w:tc>
          <w:tcPr>
            <w:tcW w:type="dxa" w:w="2520"/>
          </w:tcPr>
          <w:p>
            <w:r>
              <w:rPr>
                <w:rFonts w:ascii="Calibri" w:hAnsi="Calibri"/>
                <w:color w:val="333333"/>
                <w:sz w:val="18"/>
              </w:rPr>
              <w:t>$664.0M</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Accumulated other comprehensive income/loss</w:t>
            </w:r>
          </w:p>
        </w:tc>
        <w:tc>
          <w:tcPr>
            <w:tcW w:type="dxa" w:w="2520"/>
            <w:shd w:fill="F2F4F8" w:val="clear"/>
          </w:tcPr>
          <w:p>
            <w:r>
              <w:rPr>
                <w:rFonts w:ascii="Calibri" w:hAnsi="Calibri"/>
                <w:color w:val="333333"/>
                <w:sz w:val="18"/>
              </w:rPr>
              <w:t>$-711.0M</w:t>
            </w:r>
          </w:p>
        </w:tc>
        <w:tc>
          <w:tcPr>
            <w:tcW w:type="dxa" w:w="2520"/>
            <w:shd w:fill="F2F4F8" w:val="clear"/>
          </w:tcPr>
          <w:p>
            <w:r>
              <w:rPr>
                <w:rFonts w:ascii="Calibri" w:hAnsi="Calibri"/>
                <w:color w:val="333333"/>
                <w:sz w:val="18"/>
              </w:rPr>
              <w:t>$113.0M</w:t>
            </w:r>
          </w:p>
        </w:tc>
        <w:tc>
          <w:tcPr>
            <w:tcW w:type="dxa" w:w="2520"/>
            <w:shd w:fill="F2F4F8" w:val="clear"/>
            <w:shd w:fill="DCEEF8" w:val="clear"/>
          </w:tcPr>
          <w:p>
            <w:r>
              <w:rPr>
                <w:rFonts w:ascii="Calibri" w:hAnsi="Calibri"/>
                <w:color w:val="333333"/>
                <w:sz w:val="18"/>
              </w:rPr>
              <w:t>115.9%</w:t>
            </w:r>
          </w:p>
        </w:tc>
      </w:tr>
      <w:tr>
        <w:tc>
          <w:tcPr>
            <w:tcW w:type="dxa" w:w="2520"/>
          </w:tcPr>
          <w:p>
            <w:r>
              <w:rPr>
                <w:rFonts w:ascii="Calibri" w:hAnsi="Calibri"/>
                <w:color w:val="333333"/>
                <w:sz w:val="18"/>
              </w:rPr>
              <w:t>Common stock par value</w:t>
            </w:r>
          </w:p>
        </w:tc>
        <w:tc>
          <w:tcPr>
            <w:tcW w:type="dxa" w:w="2520"/>
          </w:tcPr>
          <w:p>
            <w:r>
              <w:rPr>
                <w:rFonts w:ascii="Calibri" w:hAnsi="Calibri"/>
                <w:color w:val="333333"/>
                <w:sz w:val="18"/>
              </w:rPr>
              <w:t>$50.9B</w:t>
            </w:r>
          </w:p>
        </w:tc>
        <w:tc>
          <w:tcPr>
            <w:tcW w:type="dxa" w:w="2520"/>
          </w:tcPr>
          <w:p>
            <w:r>
              <w:rPr>
                <w:rFonts w:ascii="Calibri" w:hAnsi="Calibri"/>
                <w:color w:val="333333"/>
                <w:sz w:val="18"/>
              </w:rPr>
              <w:t>$65.2B</w:t>
            </w:r>
          </w:p>
        </w:tc>
        <w:tc>
          <w:tcPr>
            <w:tcW w:type="dxa" w:w="2520"/>
            <w:shd w:fill="DCEEF8" w:val="clear"/>
          </w:tcPr>
          <w:p>
            <w:r>
              <w:rPr>
                <w:rFonts w:ascii="Calibri" w:hAnsi="Calibri"/>
                <w:color w:val="333333"/>
                <w:sz w:val="18"/>
              </w:rPr>
              <w:t>27.9%</w:t>
            </w:r>
          </w:p>
        </w:tc>
      </w:tr>
      <w:tr>
        <w:tc>
          <w:tcPr>
            <w:tcW w:type="dxa" w:w="2520"/>
            <w:shd w:fill="F2F4F8" w:val="clear"/>
          </w:tcPr>
          <w:p>
            <w:r>
              <w:rPr>
                <w:rFonts w:ascii="Calibri" w:hAnsi="Calibri"/>
                <w:color w:val="333333"/>
                <w:sz w:val="18"/>
              </w:rPr>
              <w:t>Total liabilities and stockholders' equity</w:t>
            </w:r>
          </w:p>
        </w:tc>
        <w:tc>
          <w:tcPr>
            <w:tcW w:type="dxa" w:w="2520"/>
            <w:shd w:fill="F2F4F8" w:val="clear"/>
          </w:tcPr>
          <w:p>
            <w:r>
              <w:rPr>
                <w:rFonts w:ascii="Calibri" w:hAnsi="Calibri"/>
                <w:color w:val="333333"/>
                <w:sz w:val="18"/>
              </w:rPr>
              <w:t>$196.5B</w:t>
            </w:r>
          </w:p>
        </w:tc>
        <w:tc>
          <w:tcPr>
            <w:tcW w:type="dxa" w:w="2520"/>
            <w:shd w:fill="F2F4F8" w:val="clear"/>
          </w:tcPr>
          <w:p>
            <w:r>
              <w:rPr>
                <w:rFonts w:ascii="Calibri" w:hAnsi="Calibri"/>
                <w:color w:val="333333"/>
                <w:sz w:val="18"/>
              </w:rPr>
              <w:t>$211.4B</w:t>
            </w:r>
          </w:p>
        </w:tc>
        <w:tc>
          <w:tcPr>
            <w:tcW w:type="dxa" w:w="2520"/>
            <w:shd w:fill="F2F4F8" w:val="clear"/>
            <w:shd w:fill="FFF3CD" w:val="clear"/>
          </w:tcPr>
          <w:p>
            <w:r>
              <w:rPr>
                <w:rFonts w:ascii="Calibri" w:hAnsi="Calibri"/>
                <w:color w:val="333333"/>
                <w:sz w:val="18"/>
              </w:rPr>
              <w:t>7.6%</w:t>
            </w:r>
          </w:p>
        </w:tc>
      </w:tr>
      <w:tr>
        <w:tc>
          <w:tcPr>
            <w:tcW w:type="dxa" w:w="2520"/>
          </w:tcPr>
          <w:p>
            <w:r>
              <w:rPr>
                <w:rFonts w:ascii="Calibri" w:hAnsi="Calibri"/>
                <w:color w:val="333333"/>
                <w:sz w:val="18"/>
              </w:rPr>
              <w:t>Preferred stock value</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Right-of-use assets (operating and finance leases)</w:t>
            </w:r>
          </w:p>
        </w:tc>
        <w:tc>
          <w:tcPr>
            <w:tcW w:type="dxa" w:w="2520"/>
            <w:shd w:fill="F2F4F8" w:val="clear"/>
          </w:tcPr>
          <w:p>
            <w:r>
              <w:rPr>
                <w:rFonts w:ascii="Calibri" w:hAnsi="Calibri"/>
                <w:color w:val="333333"/>
                <w:sz w:val="18"/>
              </w:rPr>
              <w:t>$457.0M</w:t>
            </w:r>
          </w:p>
        </w:tc>
        <w:tc>
          <w:tcPr>
            <w:tcW w:type="dxa" w:w="2520"/>
            <w:shd w:fill="F2F4F8" w:val="clear"/>
          </w:tcPr>
          <w:p>
            <w:r>
              <w:rPr>
                <w:rFonts w:ascii="Calibri" w:hAnsi="Calibri"/>
                <w:color w:val="333333"/>
                <w:sz w:val="18"/>
              </w:rPr>
              <w:t>$421.0M</w:t>
            </w:r>
          </w:p>
        </w:tc>
        <w:tc>
          <w:tcPr>
            <w:tcW w:type="dxa" w:w="2520"/>
            <w:shd w:fill="F2F4F8" w:val="clear"/>
            <w:shd w:fill="FFF3CD" w:val="clear"/>
          </w:tcPr>
          <w:p>
            <w:r>
              <w:rPr>
                <w:rFonts w:ascii="Calibri" w:hAnsi="Calibri"/>
                <w:color w:val="333333"/>
                <w:sz w:val="18"/>
              </w:rPr>
              <w:t>-7.9%</w:t>
            </w:r>
          </w:p>
        </w:tc>
      </w:tr>
      <w:tr>
        <w:tc>
          <w:tcPr>
            <w:tcW w:type="dxa" w:w="2520"/>
          </w:tcPr>
          <w:p>
            <w:r>
              <w:rPr>
                <w:rFonts w:ascii="Calibri" w:hAnsi="Calibri"/>
                <w:color w:val="333333"/>
                <w:sz w:val="18"/>
              </w:rPr>
              <w:t>Other non-current assets</w:t>
            </w:r>
          </w:p>
        </w:tc>
        <w:tc>
          <w:tcPr>
            <w:tcW w:type="dxa" w:w="2520"/>
          </w:tcPr>
          <w:p>
            <w:r>
              <w:rPr>
                <w:rFonts w:ascii="Calibri" w:hAnsi="Calibri"/>
                <w:color w:val="333333"/>
                <w:sz w:val="18"/>
              </w:rPr>
              <w:t>$7.5B</w:t>
            </w:r>
          </w:p>
        </w:tc>
        <w:tc>
          <w:tcPr>
            <w:tcW w:type="dxa" w:w="2520"/>
          </w:tcPr>
          <w:p>
            <w:r>
              <w:rPr>
                <w:rFonts w:ascii="Calibri" w:hAnsi="Calibri"/>
                <w:color w:val="333333"/>
                <w:sz w:val="18"/>
              </w:rPr>
              <w:t>$7.1B</w:t>
            </w:r>
          </w:p>
        </w:tc>
        <w:tc>
          <w:tcPr>
            <w:tcW w:type="dxa" w:w="2520"/>
            <w:shd w:fill="FFF3CD" w:val="clear"/>
          </w:tcPr>
          <w:p>
            <w:r>
              <w:rPr>
                <w:rFonts w:ascii="Calibri" w:hAnsi="Calibri"/>
                <w:color w:val="333333"/>
                <w:sz w:val="18"/>
              </w:rPr>
              <w:t>-4.6%</w:t>
            </w:r>
          </w:p>
        </w:tc>
      </w:tr>
      <w:tr>
        <w:tc>
          <w:tcPr>
            <w:tcW w:type="dxa" w:w="2520"/>
            <w:shd w:fill="F2F4F8" w:val="clear"/>
          </w:tcPr>
          <w:p>
            <w:r>
              <w:rPr>
                <w:rFonts w:ascii="Calibri" w:hAnsi="Calibri"/>
                <w:color w:val="333333"/>
                <w:sz w:val="18"/>
              </w:rPr>
              <w:t>Other non-current liabilities</w:t>
            </w:r>
          </w:p>
        </w:tc>
        <w:tc>
          <w:tcPr>
            <w:tcW w:type="dxa" w:w="2520"/>
            <w:shd w:fill="F2F4F8" w:val="clear"/>
          </w:tcPr>
          <w:p>
            <w:r>
              <w:rPr>
                <w:rFonts w:ascii="Calibri" w:hAnsi="Calibri"/>
                <w:color w:val="333333"/>
                <w:sz w:val="18"/>
              </w:rPr>
              <w:t>$9.5B</w:t>
            </w:r>
          </w:p>
        </w:tc>
        <w:tc>
          <w:tcPr>
            <w:tcW w:type="dxa" w:w="2520"/>
            <w:shd w:fill="F2F4F8" w:val="clear"/>
          </w:tcPr>
          <w:p>
            <w:r>
              <w:rPr>
                <w:rFonts w:ascii="Calibri" w:hAnsi="Calibri"/>
                <w:color w:val="333333"/>
                <w:sz w:val="18"/>
              </w:rPr>
              <w:t>$9.4B</w:t>
            </w:r>
          </w:p>
        </w:tc>
        <w:tc>
          <w:tcPr>
            <w:tcW w:type="dxa" w:w="2520"/>
            <w:shd w:fill="F2F4F8" w:val="clear"/>
            <w:shd w:fill="FFF3CD" w:val="clear"/>
          </w:tcPr>
          <w:p>
            <w:r>
              <w:rPr>
                <w:rFonts w:ascii="Calibri" w:hAnsi="Calibri"/>
                <w:color w:val="333333"/>
                <w:sz w:val="18"/>
              </w:rPr>
              <w:t>-1.0%</w:t>
            </w:r>
          </w:p>
        </w:tc>
      </w:tr>
      <w:tr>
        <w:tc>
          <w:tcPr>
            <w:tcW w:type="dxa" w:w="2520"/>
          </w:tcPr>
          <w:p>
            <w:r>
              <w:rPr>
                <w:rFonts w:ascii="Calibri" w:hAnsi="Calibri"/>
                <w:color w:val="333333"/>
                <w:sz w:val="18"/>
              </w:rPr>
              <w:t>Unrecognized tax benefits (UTB) liability</w:t>
            </w:r>
          </w:p>
        </w:tc>
        <w:tc>
          <w:tcPr>
            <w:tcW w:type="dxa" w:w="2520"/>
          </w:tcPr>
          <w:p>
            <w:r>
              <w:rPr>
                <w:rFonts w:ascii="Calibri" w:hAnsi="Calibri"/>
                <w:color w:val="333333"/>
                <w:sz w:val="18"/>
              </w:rPr>
              <w:t>$1.1B</w:t>
            </w:r>
          </w:p>
        </w:tc>
        <w:tc>
          <w:tcPr>
            <w:tcW w:type="dxa" w:w="2520"/>
          </w:tcPr>
          <w:p>
            <w:r>
              <w:rPr>
                <w:rFonts w:ascii="Calibri" w:hAnsi="Calibri"/>
                <w:color w:val="333333"/>
                <w:sz w:val="18"/>
              </w:rPr>
              <w:t>$1.4B</w:t>
            </w:r>
          </w:p>
        </w:tc>
        <w:tc>
          <w:tcPr>
            <w:tcW w:type="dxa" w:w="2520"/>
            <w:shd w:fill="DCEEF8" w:val="clear"/>
          </w:tcPr>
          <w:p>
            <w:r>
              <w:rPr>
                <w:rFonts w:ascii="Calibri" w:hAnsi="Calibri"/>
                <w:color w:val="333333"/>
                <w:sz w:val="18"/>
              </w:rPr>
              <w:t>22.5%</w:t>
            </w:r>
          </w:p>
        </w:tc>
      </w:tr>
      <w:tr>
        <w:tc>
          <w:tcPr>
            <w:tcW w:type="dxa" w:w="2520"/>
            <w:shd w:fill="F2F4F8" w:val="clear"/>
          </w:tcPr>
          <w:p>
            <w:r>
              <w:rPr>
                <w:rFonts w:ascii="Calibri" w:hAnsi="Calibri"/>
                <w:color w:val="333333"/>
                <w:sz w:val="18"/>
              </w:rPr>
              <w:t>Commercial paper outstanding</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Debt instrument carrying amount (face value)</w:t>
            </w:r>
          </w:p>
        </w:tc>
        <w:tc>
          <w:tcPr>
            <w:tcW w:type="dxa" w:w="2520"/>
          </w:tcPr>
          <w:p>
            <w:r>
              <w:rPr>
                <w:rFonts w:ascii="Calibri" w:hAnsi="Calibri"/>
                <w:color w:val="333333"/>
                <w:sz w:val="18"/>
              </w:rPr>
              <w:t>$51.0B</w:t>
            </w:r>
          </w:p>
        </w:tc>
        <w:tc>
          <w:tcPr>
            <w:tcW w:type="dxa" w:w="2520"/>
          </w:tcPr>
          <w:p>
            <w:r>
              <w:rPr>
                <w:rFonts w:ascii="Calibri" w:hAnsi="Calibri"/>
                <w:color w:val="333333"/>
                <w:sz w:val="18"/>
              </w:rPr>
              <w:t>$47.2B</w:t>
            </w:r>
          </w:p>
        </w:tc>
        <w:tc>
          <w:tcPr>
            <w:tcW w:type="dxa" w:w="2520"/>
            <w:shd w:fill="FFF3CD" w:val="clear"/>
          </w:tcPr>
          <w:p>
            <w:r>
              <w:rPr>
                <w:rFonts w:ascii="Calibri" w:hAnsi="Calibri"/>
                <w:color w:val="333333"/>
                <w:sz w:val="18"/>
              </w:rPr>
              <w:t>-7.4%</w:t>
            </w:r>
          </w:p>
        </w:tc>
      </w:tr>
      <w:tr>
        <w:tc>
          <w:tcPr>
            <w:tcW w:type="dxa" w:w="2520"/>
            <w:shd w:fill="F2F4F8" w:val="clear"/>
          </w:tcPr>
          <w:p>
            <w:r>
              <w:rPr>
                <w:rFonts w:ascii="Calibri" w:hAnsi="Calibri"/>
                <w:color w:val="333333"/>
                <w:sz w:val="18"/>
              </w:rPr>
              <w:t>Fair value of derivative instruments</w:t>
            </w:r>
          </w:p>
        </w:tc>
        <w:tc>
          <w:tcPr>
            <w:tcW w:type="dxa" w:w="2520"/>
            <w:shd w:fill="F2F4F8" w:val="clear"/>
          </w:tcPr>
          <w:p>
            <w:r>
              <w:rPr>
                <w:rFonts w:ascii="Calibri" w:hAnsi="Calibri"/>
                <w:color w:val="333333"/>
                <w:sz w:val="18"/>
              </w:rPr>
              <w:t>$948.0M</w:t>
            </w:r>
          </w:p>
        </w:tc>
        <w:tc>
          <w:tcPr>
            <w:tcW w:type="dxa" w:w="2520"/>
            <w:shd w:fill="F2F4F8" w:val="clear"/>
          </w:tcPr>
          <w:p>
            <w:r>
              <w:rPr>
                <w:rFonts w:ascii="Calibri" w:hAnsi="Calibri"/>
                <w:color w:val="333333"/>
                <w:sz w:val="18"/>
              </w:rPr>
              <w:t>$937.0M</w:t>
            </w:r>
          </w:p>
        </w:tc>
        <w:tc>
          <w:tcPr>
            <w:tcW w:type="dxa" w:w="2520"/>
            <w:shd w:fill="F2F4F8" w:val="clear"/>
            <w:shd w:fill="FFF3CD" w:val="clear"/>
          </w:tcPr>
          <w:p>
            <w:r>
              <w:rPr>
                <w:rFonts w:ascii="Calibri" w:hAnsi="Calibri"/>
                <w:color w:val="333333"/>
                <w:sz w:val="18"/>
              </w:rPr>
              <w:t>-1.2%</w:t>
            </w:r>
          </w:p>
        </w:tc>
      </w:tr>
      <w:tr>
        <w:tc>
          <w:tcPr>
            <w:tcW w:type="dxa" w:w="2520"/>
          </w:tcPr>
          <w:p>
            <w:r>
              <w:rPr>
                <w:rFonts w:ascii="Calibri" w:hAnsi="Calibri"/>
                <w:color w:val="333333"/>
                <w:sz w:val="18"/>
              </w:rPr>
              <w:t>Common stock shares authorized</w:t>
            </w:r>
          </w:p>
        </w:tc>
        <w:tc>
          <w:tcPr>
            <w:tcW w:type="dxa" w:w="2520"/>
          </w:tcPr>
          <w:p>
            <w:r>
              <w:rPr>
                <w:rFonts w:ascii="Calibri" w:hAnsi="Calibri"/>
                <w:color w:val="333333"/>
                <w:sz w:val="18"/>
              </w:rPr>
              <w:t>10.0B</w:t>
            </w:r>
          </w:p>
        </w:tc>
        <w:tc>
          <w:tcPr>
            <w:tcW w:type="dxa" w:w="2520"/>
          </w:tcPr>
          <w:p>
            <w:r>
              <w:rPr>
                <w:rFonts w:ascii="Calibri" w:hAnsi="Calibri"/>
                <w:color w:val="333333"/>
                <w:sz w:val="18"/>
              </w:rPr>
              <w:t>10.0B</w:t>
            </w:r>
          </w:p>
        </w:tc>
        <w:tc>
          <w:tcPr>
            <w:tcW w:type="dxa" w:w="2520"/>
          </w:tcPr>
          <w:p>
            <w:r>
              <w:rPr>
                <w:rFonts w:ascii="Calibri" w:hAnsi="Calibri"/>
                <w:color w:val="333333"/>
                <w:sz w:val="18"/>
              </w:rPr>
              <w:t>0.0%</w:t>
            </w:r>
          </w:p>
        </w:tc>
      </w:tr>
      <w:tr>
        <w:tc>
          <w:tcPr>
            <w:tcW w:type="dxa" w:w="2520"/>
            <w:shd w:fill="F2F4F8" w:val="clear"/>
          </w:tcPr>
          <w:p>
            <w:r>
              <w:rPr>
                <w:rFonts w:ascii="Calibri" w:hAnsi="Calibri"/>
                <w:color w:val="333333"/>
                <w:sz w:val="18"/>
              </w:rPr>
              <w:t>Derivative assets at fair value</w:t>
            </w:r>
          </w:p>
        </w:tc>
        <w:tc>
          <w:tcPr>
            <w:tcW w:type="dxa" w:w="2520"/>
            <w:shd w:fill="F2F4F8" w:val="clear"/>
          </w:tcPr>
          <w:p>
            <w:r>
              <w:rPr>
                <w:rFonts w:ascii="Calibri" w:hAnsi="Calibri"/>
                <w:color w:val="333333"/>
                <w:sz w:val="18"/>
              </w:rPr>
              <w:t>$948.0M</w:t>
            </w:r>
          </w:p>
        </w:tc>
        <w:tc>
          <w:tcPr>
            <w:tcW w:type="dxa" w:w="2520"/>
            <w:shd w:fill="F2F4F8" w:val="clear"/>
          </w:tcPr>
          <w:p>
            <w:r>
              <w:rPr>
                <w:rFonts w:ascii="Calibri" w:hAnsi="Calibri"/>
                <w:color w:val="333333"/>
                <w:sz w:val="18"/>
              </w:rPr>
              <w:t>$937.0M</w:t>
            </w:r>
          </w:p>
        </w:tc>
        <w:tc>
          <w:tcPr>
            <w:tcW w:type="dxa" w:w="2520"/>
            <w:shd w:fill="F2F4F8" w:val="clear"/>
            <w:shd w:fill="FFF3CD" w:val="clear"/>
          </w:tcPr>
          <w:p>
            <w:r>
              <w:rPr>
                <w:rFonts w:ascii="Calibri" w:hAnsi="Calibri"/>
                <w:color w:val="333333"/>
                <w:sz w:val="18"/>
              </w:rPr>
              <w:t>-1.2%</w:t>
            </w:r>
          </w:p>
        </w:tc>
      </w:tr>
      <w:tr>
        <w:tc>
          <w:tcPr>
            <w:tcW w:type="dxa" w:w="2520"/>
          </w:tcPr>
          <w:p>
            <w:r>
              <w:rPr>
                <w:rFonts w:ascii="Calibri" w:hAnsi="Calibri"/>
                <w:color w:val="333333"/>
                <w:sz w:val="18"/>
              </w:rPr>
              <w:t>Derivative liabilities at fair value</w:t>
            </w:r>
          </w:p>
        </w:tc>
        <w:tc>
          <w:tcPr>
            <w:tcW w:type="dxa" w:w="2520"/>
          </w:tcPr>
          <w:p>
            <w:r>
              <w:rPr>
                <w:rFonts w:ascii="Calibri" w:hAnsi="Calibri"/>
                <w:color w:val="333333"/>
                <w:sz w:val="18"/>
              </w:rPr>
              <w:t>$1.1B</w:t>
            </w:r>
          </w:p>
        </w:tc>
        <w:tc>
          <w:tcPr>
            <w:tcW w:type="dxa" w:w="2520"/>
          </w:tcPr>
          <w:p>
            <w:r>
              <w:rPr>
                <w:rFonts w:ascii="Calibri" w:hAnsi="Calibri"/>
                <w:color w:val="333333"/>
                <w:sz w:val="18"/>
              </w:rPr>
              <w:t>$654.0M</w:t>
            </w:r>
          </w:p>
        </w:tc>
        <w:tc>
          <w:tcPr>
            <w:tcW w:type="dxa" w:w="2520"/>
            <w:shd w:fill="FCE8E6" w:val="clear"/>
          </w:tcPr>
          <w:p>
            <w:r>
              <w:rPr>
                <w:rFonts w:ascii="Calibri" w:hAnsi="Calibri"/>
                <w:color w:val="333333"/>
                <w:sz w:val="18"/>
              </w:rPr>
              <w:t>-39.7%</w:t>
            </w:r>
          </w:p>
        </w:tc>
      </w:tr>
      <w:tr>
        <w:tc>
          <w:tcPr>
            <w:tcW w:type="dxa" w:w="2520"/>
            <w:shd w:fill="F2F4F8" w:val="clear"/>
          </w:tcPr>
          <w:p>
            <w:r>
              <w:rPr>
                <w:rFonts w:ascii="Calibri" w:hAnsi="Calibri"/>
                <w:color w:val="333333"/>
                <w:sz w:val="18"/>
              </w:rPr>
              <w:t>Derivative notional amount (off-balance-sheet exposure)</w:t>
            </w:r>
          </w:p>
        </w:tc>
        <w:tc>
          <w:tcPr>
            <w:tcW w:type="dxa" w:w="2520"/>
            <w:shd w:fill="F2F4F8" w:val="clear"/>
          </w:tcPr>
          <w:p>
            <w:r>
              <w:rPr>
                <w:rFonts w:ascii="Calibri" w:hAnsi="Calibri"/>
                <w:color w:val="333333"/>
                <w:sz w:val="18"/>
              </w:rPr>
              <w:t>$46.0B</w:t>
            </w:r>
          </w:p>
        </w:tc>
        <w:tc>
          <w:tcPr>
            <w:tcW w:type="dxa" w:w="2520"/>
            <w:shd w:fill="F2F4F8" w:val="clear"/>
          </w:tcPr>
          <w:p>
            <w:r>
              <w:rPr>
                <w:rFonts w:ascii="Calibri" w:hAnsi="Calibri"/>
                <w:color w:val="333333"/>
                <w:sz w:val="18"/>
              </w:rPr>
              <w:t>$47.2B</w:t>
            </w:r>
          </w:p>
        </w:tc>
        <w:tc>
          <w:tcPr>
            <w:tcW w:type="dxa" w:w="2520"/>
            <w:shd w:fill="F2F4F8" w:val="clear"/>
            <w:shd w:fill="FFF3CD" w:val="clear"/>
          </w:tcPr>
          <w:p>
            <w:r>
              <w:rPr>
                <w:rFonts w:ascii="Calibri" w:hAnsi="Calibri"/>
                <w:color w:val="333333"/>
                <w:sz w:val="18"/>
              </w:rPr>
              <w:t>2.7%</w:t>
            </w:r>
          </w:p>
        </w:tc>
      </w:tr>
      <w:tr>
        <w:tc>
          <w:tcPr>
            <w:tcW w:type="dxa" w:w="2520"/>
          </w:tcPr>
          <w:p>
            <w:r>
              <w:rPr>
                <w:rFonts w:ascii="Calibri" w:hAnsi="Calibri"/>
                <w:color w:val="333333"/>
                <w:sz w:val="18"/>
              </w:rPr>
              <w:t>Current ratio</w:t>
            </w:r>
          </w:p>
        </w:tc>
        <w:tc>
          <w:tcPr>
            <w:tcW w:type="dxa" w:w="2520"/>
          </w:tcPr>
          <w:p>
            <w:r>
              <w:rPr>
                <w:rFonts w:ascii="Calibri" w:hAnsi="Calibri"/>
                <w:color w:val="333333"/>
                <w:sz w:val="18"/>
              </w:rPr>
              <w:t>$1</w:t>
            </w:r>
          </w:p>
        </w:tc>
        <w:tc>
          <w:tcPr>
            <w:tcW w:type="dxa" w:w="2520"/>
          </w:tcPr>
          <w:p>
            <w:r>
              <w:rPr>
                <w:rFonts w:ascii="Calibri" w:hAnsi="Calibri"/>
                <w:color w:val="333333"/>
                <w:sz w:val="18"/>
              </w:rPr>
              <w:t>$2</w:t>
            </w:r>
          </w:p>
        </w:tc>
        <w:tc>
          <w:tcPr>
            <w:tcW w:type="dxa" w:w="2520"/>
            <w:shd w:fill="DCEEF8" w:val="clear"/>
          </w:tcPr>
          <w:p>
            <w:r>
              <w:rPr>
                <w:rFonts w:ascii="Calibri" w:hAnsi="Calibri"/>
                <w:color w:val="333333"/>
                <w:sz w:val="18"/>
              </w:rPr>
              <w:t>52.0%</w:t>
            </w:r>
          </w:p>
        </w:tc>
      </w:tr>
      <w:tr>
        <w:tc>
          <w:tcPr>
            <w:tcW w:type="dxa" w:w="2520"/>
            <w:shd w:fill="F2F4F8" w:val="clear"/>
          </w:tcPr>
          <w:p>
            <w:r>
              <w:rPr>
                <w:rFonts w:ascii="Calibri" w:hAnsi="Calibri"/>
                <w:color w:val="333333"/>
                <w:sz w:val="18"/>
              </w:rPr>
              <w:t>Quick ratio</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$2</w:t>
            </w:r>
          </w:p>
        </w:tc>
        <w:tc>
          <w:tcPr>
            <w:tcW w:type="dxa" w:w="2520"/>
            <w:shd w:fill="F2F4F8" w:val="clear"/>
            <w:shd w:fill="DCEEF8" w:val="clear"/>
          </w:tcPr>
          <w:p>
            <w:r>
              <w:rPr>
                <w:rFonts w:ascii="Calibri" w:hAnsi="Calibri"/>
                <w:color w:val="333333"/>
                <w:sz w:val="18"/>
              </w:rPr>
              <w:t>67.4%</w:t>
            </w:r>
          </w:p>
        </w:tc>
      </w:tr>
      <w:tr>
        <w:tc>
          <w:tcPr>
            <w:tcW w:type="dxa" w:w="2520"/>
          </w:tcPr>
          <w:p>
            <w:r>
              <w:rPr>
                <w:rFonts w:ascii="Calibri" w:hAnsi="Calibri"/>
                <w:color w:val="333333"/>
                <w:sz w:val="18"/>
              </w:rPr>
              <w:t>Debt-to-equity ratio</w:t>
            </w:r>
          </w:p>
        </w:tc>
        <w:tc>
          <w:tcPr>
            <w:tcW w:type="dxa" w:w="2520"/>
          </w:tcPr>
          <w:p>
            <w:r>
              <w:rPr>
                <w:rFonts w:ascii="Calibri" w:hAnsi="Calibri"/>
                <w:color w:val="333333"/>
                <w:sz w:val="18"/>
              </w:rPr>
              <w:t>$1</w:t>
            </w:r>
          </w:p>
        </w:tc>
        <w:tc>
          <w:tcPr>
            <w:tcW w:type="dxa" w:w="2520"/>
          </w:tcPr>
          <w:p>
            <w:r>
              <w:rPr>
                <w:rFonts w:ascii="Calibri" w:hAnsi="Calibri"/>
                <w:color w:val="333333"/>
                <w:sz w:val="18"/>
              </w:rPr>
              <w:t>$0</w:t>
            </w:r>
          </w:p>
        </w:tc>
        <w:tc>
          <w:tcPr>
            <w:tcW w:type="dxa" w:w="2520"/>
            <w:shd w:fill="FCE8E6" w:val="clear"/>
          </w:tcPr>
          <w:p>
            <w:r>
              <w:rPr>
                <w:rFonts w:ascii="Calibri" w:hAnsi="Calibri"/>
                <w:color w:val="333333"/>
                <w:sz w:val="18"/>
              </w:rPr>
              <w:t>-19.1%</w:t>
            </w:r>
          </w:p>
        </w:tc>
      </w:tr>
      <w:tr>
        <w:tc>
          <w:tcPr>
            <w:tcW w:type="dxa" w:w="2520"/>
            <w:shd w:fill="F2F4F8" w:val="clear"/>
          </w:tcPr>
          <w:p>
            <w:r>
              <w:rPr>
                <w:rFonts w:ascii="Calibri" w:hAnsi="Calibri"/>
                <w:color w:val="333333"/>
                <w:sz w:val="18"/>
              </w:rPr>
              <w:t>Debt-to-EBITDA ratio</w:t>
            </w:r>
          </w:p>
        </w:tc>
        <w:tc>
          <w:tcPr>
            <w:tcW w:type="dxa" w:w="2520"/>
            <w:shd w:fill="F2F4F8" w:val="clear"/>
          </w:tcPr>
          <w:p>
            <w:r>
              <w:rPr>
                <w:rFonts w:ascii="Calibri" w:hAnsi="Calibri"/>
                <w:color w:val="333333"/>
                <w:sz w:val="18"/>
              </w:rPr>
              <w:t>$-29</w:t>
            </w:r>
          </w:p>
        </w:tc>
        <w:tc>
          <w:tcPr>
            <w:tcW w:type="dxa" w:w="2520"/>
            <w:shd w:fill="F2F4F8" w:val="clear"/>
          </w:tcPr>
          <w:p>
            <w:r>
              <w:rPr>
                <w:rFonts w:ascii="Calibri" w:hAnsi="Calibri"/>
                <w:color w:val="333333"/>
                <w:sz w:val="18"/>
              </w:rPr>
              <w:t>$5</w:t>
            </w:r>
          </w:p>
        </w:tc>
        <w:tc>
          <w:tcPr>
            <w:tcW w:type="dxa" w:w="2520"/>
            <w:shd w:fill="F2F4F8" w:val="clear"/>
            <w:shd w:fill="DCEEF8" w:val="clear"/>
          </w:tcPr>
          <w:p>
            <w:r>
              <w:rPr>
                <w:rFonts w:ascii="Calibri" w:hAnsi="Calibri"/>
                <w:color w:val="333333"/>
                <w:sz w:val="18"/>
              </w:rPr>
              <w:t>118.8%</w:t>
            </w:r>
          </w:p>
        </w:tc>
      </w:tr>
      <w:tr>
        <w:tc>
          <w:tcPr>
            <w:tcW w:type="dxa" w:w="2520"/>
          </w:tcPr>
          <w:p>
            <w:r>
              <w:rPr>
                <w:rFonts w:ascii="Calibri" w:hAnsi="Calibri"/>
                <w:color w:val="333333"/>
                <w:sz w:val="18"/>
              </w:rPr>
              <w:t>Tangible book value</w:t>
            </w:r>
          </w:p>
        </w:tc>
        <w:tc>
          <w:tcPr>
            <w:tcW w:type="dxa" w:w="2520"/>
          </w:tcPr>
          <w:p>
            <w:r>
              <w:rPr>
                <w:rFonts w:ascii="Calibri" w:hAnsi="Calibri"/>
                <w:color w:val="333333"/>
                <w:sz w:val="18"/>
              </w:rPr>
              <w:t>$70.9B</w:t>
            </w:r>
          </w:p>
        </w:tc>
        <w:tc>
          <w:tcPr>
            <w:tcW w:type="dxa" w:w="2520"/>
          </w:tcPr>
          <w:p>
            <w:r>
              <w:rPr>
                <w:rFonts w:ascii="Calibri" w:hAnsi="Calibri"/>
                <w:color w:val="333333"/>
                <w:sz w:val="18"/>
              </w:rPr>
              <w:t>$87.6B</w:t>
            </w:r>
          </w:p>
        </w:tc>
        <w:tc>
          <w:tcPr>
            <w:tcW w:type="dxa" w:w="2520"/>
            <w:shd w:fill="DCEEF8" w:val="clear"/>
          </w:tcPr>
          <w:p>
            <w:r>
              <w:rPr>
                <w:rFonts w:ascii="Calibri" w:hAnsi="Calibri"/>
                <w:color w:val="333333"/>
                <w:sz w:val="18"/>
              </w:rPr>
              <w:t>23.6%</w:t>
            </w:r>
          </w:p>
        </w:tc>
      </w:tr>
      <w:tr>
        <w:tc>
          <w:tcPr>
            <w:tcW w:type="dxa" w:w="2520"/>
            <w:shd w:fill="F2F4F8" w:val="clear"/>
          </w:tcPr>
          <w:p>
            <w:r>
              <w:rPr>
                <w:rFonts w:ascii="Calibri" w:hAnsi="Calibri"/>
                <w:color w:val="333333"/>
                <w:sz w:val="18"/>
              </w:rPr>
              <w:t>Net debt</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$32.3B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Book value per share</w:t>
            </w:r>
          </w:p>
        </w:tc>
        <w:tc>
          <w:tcPr>
            <w:tcW w:type="dxa" w:w="2520"/>
          </w:tcPr>
          <w:p>
            <w:r>
              <w:rPr>
                <w:rFonts w:ascii="Calibri" w:hAnsi="Calibri"/>
                <w:color w:val="333333"/>
                <w:sz w:val="18"/>
              </w:rPr>
              <w:t>$22.93</w:t>
            </w:r>
          </w:p>
        </w:tc>
        <w:tc>
          <w:tcPr>
            <w:tcW w:type="dxa" w:w="2520"/>
          </w:tcPr>
          <w:p>
            <w:r>
              <w:rPr>
                <w:rFonts w:ascii="Calibri" w:hAnsi="Calibri"/>
                <w:color w:val="333333"/>
                <w:sz w:val="18"/>
              </w:rPr>
              <w:t>$22.88</w:t>
            </w:r>
          </w:p>
        </w:tc>
        <w:tc>
          <w:tcPr>
            <w:tcW w:type="dxa" w:w="2520"/>
          </w:tcPr>
          <w:p>
            <w:r>
              <w:rPr>
                <w:rFonts w:ascii="Calibri" w:hAnsi="Calibri"/>
                <w:color w:val="333333"/>
                <w:sz w:val="18"/>
              </w:rPr>
              <w:t>-0.2%</w:t>
            </w:r>
          </w:p>
        </w:tc>
      </w:tr>
      <w:tr>
        <w:tc>
          <w:tcPr>
            <w:tcW w:type="dxa" w:w="2520"/>
            <w:shd w:fill="F2F4F8" w:val="clear"/>
          </w:tcPr>
          <w:p>
            <w:r>
              <w:rPr>
                <w:rFonts w:ascii="Calibri" w:hAnsi="Calibri"/>
                <w:color w:val="333333"/>
                <w:sz w:val="18"/>
              </w:rPr>
              <w:t>Return on assets</w:t>
            </w:r>
          </w:p>
        </w:tc>
        <w:tc>
          <w:tcPr>
            <w:tcW w:type="dxa" w:w="2520"/>
            <w:shd w:fill="F2F4F8" w:val="clear"/>
          </w:tcPr>
          <w:p>
            <w:r>
              <w:rPr>
                <w:rFonts w:ascii="Calibri" w:hAnsi="Calibri"/>
                <w:color w:val="333333"/>
                <w:sz w:val="18"/>
              </w:rPr>
              <w:t>$-10</w:t>
            </w:r>
          </w:p>
        </w:tc>
        <w:tc>
          <w:tcPr>
            <w:tcW w:type="dxa" w:w="2520"/>
            <w:shd w:fill="F2F4F8" w:val="clear"/>
          </w:tcPr>
          <w:p>
            <w:r>
              <w:rPr>
                <w:rFonts w:ascii="Calibri" w:hAnsi="Calibri"/>
                <w:color w:val="333333"/>
                <w:sz w:val="18"/>
              </w:rPr>
              <w:t>$-0</w:t>
            </w:r>
          </w:p>
        </w:tc>
        <w:tc>
          <w:tcPr>
            <w:tcW w:type="dxa" w:w="2520"/>
            <w:shd w:fill="F2F4F8" w:val="clear"/>
            <w:shd w:fill="DCEEF8" w:val="clear"/>
          </w:tcPr>
          <w:p>
            <w:r>
              <w:rPr>
                <w:rFonts w:ascii="Calibri" w:hAnsi="Calibri"/>
                <w:color w:val="333333"/>
                <w:sz w:val="18"/>
              </w:rPr>
              <w:t>98.6%</w:t>
            </w:r>
          </w:p>
        </w:tc>
      </w:tr>
      <w:tr>
        <w:tc>
          <w:tcPr>
            <w:tcW w:type="dxa" w:w="2520"/>
          </w:tcPr>
          <w:p>
            <w:r>
              <w:rPr>
                <w:rFonts w:ascii="Calibri" w:hAnsi="Calibri"/>
                <w:color w:val="333333"/>
                <w:sz w:val="18"/>
              </w:rPr>
              <w:t>Return on equity</w:t>
            </w:r>
          </w:p>
        </w:tc>
        <w:tc>
          <w:tcPr>
            <w:tcW w:type="dxa" w:w="2520"/>
          </w:tcPr>
          <w:p>
            <w:r>
              <w:rPr>
                <w:rFonts w:ascii="Calibri" w:hAnsi="Calibri"/>
                <w:color w:val="333333"/>
                <w:sz w:val="18"/>
              </w:rPr>
              <w:t>$-19</w:t>
            </w:r>
          </w:p>
        </w:tc>
        <w:tc>
          <w:tcPr>
            <w:tcW w:type="dxa" w:w="2520"/>
          </w:tcPr>
          <w:p>
            <w:r>
              <w:rPr>
                <w:rFonts w:ascii="Calibri" w:hAnsi="Calibri"/>
                <w:color w:val="333333"/>
                <w:sz w:val="18"/>
              </w:rPr>
              <w:t>$-0</w:t>
            </w:r>
          </w:p>
        </w:tc>
        <w:tc>
          <w:tcPr>
            <w:tcW w:type="dxa" w:w="2520"/>
            <w:shd w:fill="DCEEF8" w:val="clear"/>
          </w:tcPr>
          <w:p>
            <w:r>
              <w:rPr>
                <w:rFonts w:ascii="Calibri" w:hAnsi="Calibri"/>
                <w:color w:val="333333"/>
                <w:sz w:val="18"/>
              </w:rPr>
              <w:t>98.8%</w:t>
            </w:r>
          </w:p>
        </w:tc>
      </w:tr>
      <w:tr>
        <w:tc>
          <w:tcPr>
            <w:tcW w:type="dxa" w:w="2520"/>
            <w:shd w:fill="F2F4F8" w:val="clear"/>
          </w:tcPr>
          <w:p>
            <w:r>
              <w:rPr>
                <w:rFonts w:ascii="Calibri" w:hAnsi="Calibri"/>
                <w:color w:val="333333"/>
                <w:sz w:val="18"/>
              </w:rPr>
              <w:t>Asset turnover ratio</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$0</w:t>
            </w:r>
          </w:p>
        </w:tc>
        <w:tc>
          <w:tcPr>
            <w:tcW w:type="dxa" w:w="2520"/>
            <w:shd w:fill="F2F4F8" w:val="clear"/>
            <w:shd w:fill="FFF3CD" w:val="clear"/>
          </w:tcPr>
          <w:p>
            <w:r>
              <w:rPr>
                <w:rFonts w:ascii="Calibri" w:hAnsi="Calibri"/>
                <w:color w:val="333333"/>
                <w:sz w:val="18"/>
              </w:rPr>
              <w:t>-7.5%</w:t>
            </w:r>
          </w:p>
        </w:tc>
      </w:tr>
    </w:tbl>
    <w:p>
      <w:pPr>
        <w:pStyle w:val="DOHeading3"/>
      </w:pPr>
      <w:r>
        <w:t>Key Balance Sheet Ratios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Ratio</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Current Ratio</w:t>
            </w:r>
          </w:p>
        </w:tc>
        <w:tc>
          <w:tcPr>
            <w:tcW w:type="dxa" w:w="3360"/>
          </w:tcPr>
          <w:p>
            <w:r>
              <w:rPr>
                <w:rFonts w:ascii="Calibri" w:hAnsi="Calibri"/>
                <w:color w:val="333333"/>
                <w:sz w:val="18"/>
              </w:rPr>
              <w:t>2.02</w:t>
            </w:r>
          </w:p>
        </w:tc>
        <w:tc>
          <w:tcPr>
            <w:tcW w:type="dxa" w:w="3360"/>
          </w:tcPr>
          <w:p>
            <w:r>
              <w:rPr>
                <w:rFonts w:ascii="Calibri" w:hAnsi="Calibri"/>
                <w:color w:val="333333"/>
                <w:sz w:val="18"/>
              </w:rPr>
              <w:t>Healthy</w:t>
            </w:r>
          </w:p>
        </w:tc>
      </w:tr>
      <w:tr>
        <w:tc>
          <w:tcPr>
            <w:tcW w:type="dxa" w:w="3360"/>
            <w:shd w:fill="F2F4F8" w:val="clear"/>
          </w:tcPr>
          <w:p>
            <w:r>
              <w:rPr>
                <w:rFonts w:ascii="Calibri" w:hAnsi="Calibri"/>
                <w:color w:val="333333"/>
                <w:sz w:val="18"/>
              </w:rPr>
              <w:t>Debt/Equity</w:t>
            </w:r>
          </w:p>
        </w:tc>
        <w:tc>
          <w:tcPr>
            <w:tcW w:type="dxa" w:w="3360"/>
            <w:shd w:fill="F2F4F8" w:val="clear"/>
          </w:tcPr>
          <w:p>
            <w:r>
              <w:rPr>
                <w:rFonts w:ascii="Calibri" w:hAnsi="Calibri"/>
                <w:color w:val="333333"/>
                <w:sz w:val="18"/>
              </w:rPr>
              <w:t>0.41</w:t>
            </w:r>
          </w:p>
        </w:tc>
        <w:tc>
          <w:tcPr>
            <w:tcW w:type="dxa" w:w="3360"/>
            <w:shd w:fill="F2F4F8" w:val="clear"/>
          </w:tcPr>
          <w:p>
            <w:r>
              <w:rPr>
                <w:rFonts w:ascii="Calibri" w:hAnsi="Calibri"/>
                <w:color w:val="333333"/>
                <w:sz w:val="18"/>
              </w:rPr>
              <w:t>Conservative</w:t>
            </w:r>
          </w:p>
        </w:tc>
      </w:tr>
      <w:tr>
        <w:tc>
          <w:tcPr>
            <w:tcW w:type="dxa" w:w="3360"/>
          </w:tcPr>
          <w:p>
            <w:r>
              <w:rPr>
                <w:rFonts w:ascii="Calibri" w:hAnsi="Calibri"/>
                <w:color w:val="333333"/>
                <w:sz w:val="18"/>
              </w:rPr>
              <w:t>Debt/Assets</w:t>
            </w:r>
          </w:p>
        </w:tc>
        <w:tc>
          <w:tcPr>
            <w:tcW w:type="dxa" w:w="3360"/>
          </w:tcPr>
          <w:p>
            <w:r>
              <w:rPr>
                <w:rFonts w:ascii="Calibri" w:hAnsi="Calibri"/>
                <w:color w:val="333333"/>
                <w:sz w:val="18"/>
              </w:rPr>
              <w:t>1.00</w:t>
            </w:r>
          </w:p>
        </w:tc>
        <w:tc>
          <w:tcPr>
            <w:tcW w:type="dxa" w:w="3360"/>
          </w:tcPr>
          <w:p>
            <w:r>
              <w:rPr>
                <w:rFonts w:ascii="Calibri" w:hAnsi="Calibri"/>
                <w:color w:val="333333"/>
                <w:sz w:val="18"/>
              </w:rPr>
              <w:t>High</w:t>
            </w:r>
          </w:p>
        </w:tc>
      </w:tr>
      <w:tr>
        <w:tc>
          <w:tcPr>
            <w:tcW w:type="dxa" w:w="3360"/>
            <w:shd w:fill="F2F4F8" w:val="clear"/>
          </w:tcPr>
          <w:p>
            <w:r>
              <w:rPr>
                <w:rFonts w:ascii="Calibri" w:hAnsi="Calibri"/>
                <w:color w:val="333333"/>
                <w:sz w:val="18"/>
              </w:rPr>
              <w:t>Cash/Assets</w:t>
            </w:r>
          </w:p>
        </w:tc>
        <w:tc>
          <w:tcPr>
            <w:tcW w:type="dxa" w:w="3360"/>
            <w:shd w:fill="F2F4F8" w:val="clear"/>
          </w:tcPr>
          <w:p>
            <w:r>
              <w:rPr>
                <w:rFonts w:ascii="Calibri" w:hAnsi="Calibri"/>
                <w:color w:val="333333"/>
                <w:sz w:val="18"/>
              </w:rPr>
              <w:t>6.7%</w:t>
            </w:r>
          </w:p>
        </w:tc>
        <w:tc>
          <w:tcPr>
            <w:tcW w:type="dxa" w:w="3360"/>
            <w:shd w:fill="F2F4F8" w:val="clear"/>
          </w:tcPr>
          <w:p>
            <w:r>
              <w:rPr>
                <w:rFonts w:ascii="Calibri" w:hAnsi="Calibri"/>
                <w:color w:val="333333"/>
                <w:sz w:val="18"/>
              </w:rPr>
            </w:r>
          </w:p>
        </w:tc>
      </w:tr>
    </w:tbl>
    <w:p>
      <w:pPr>
        <w:pStyle w:val="DOHeading2"/>
      </w:pPr>
      <w:r>
        <w:t>Cash Flow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Net cash from operating activities</w:t>
            </w:r>
          </w:p>
        </w:tc>
        <w:tc>
          <w:tcPr>
            <w:tcW w:type="dxa" w:w="2520"/>
          </w:tcPr>
          <w:p>
            <w:r>
              <w:rPr>
                <w:rFonts w:ascii="Calibri" w:hAnsi="Calibri"/>
                <w:color w:val="333333"/>
                <w:sz w:val="18"/>
              </w:rPr>
              <w:t>$8.3B</w:t>
            </w:r>
          </w:p>
        </w:tc>
        <w:tc>
          <w:tcPr>
            <w:tcW w:type="dxa" w:w="2520"/>
          </w:tcPr>
          <w:p>
            <w:r>
              <w:rPr>
                <w:rFonts w:ascii="Calibri" w:hAnsi="Calibri"/>
                <w:color w:val="333333"/>
                <w:sz w:val="18"/>
              </w:rPr>
              <w:t>$9.7B</w:t>
            </w:r>
          </w:p>
        </w:tc>
        <w:tc>
          <w:tcPr>
            <w:tcW w:type="dxa" w:w="2520"/>
            <w:shd w:fill="DCEEF8" w:val="clear"/>
          </w:tcPr>
          <w:p>
            <w:r>
              <w:rPr>
                <w:rFonts w:ascii="Calibri" w:hAnsi="Calibri"/>
                <w:color w:val="333333"/>
                <w:sz w:val="18"/>
              </w:rPr>
              <w:t>17.0%</w:t>
            </w:r>
          </w:p>
        </w:tc>
      </w:tr>
      <w:tr>
        <w:tc>
          <w:tcPr>
            <w:tcW w:type="dxa" w:w="2520"/>
            <w:shd w:fill="F2F4F8" w:val="clear"/>
          </w:tcPr>
          <w:p>
            <w:r>
              <w:rPr>
                <w:rFonts w:ascii="Calibri" w:hAnsi="Calibri"/>
                <w:color w:val="333333"/>
                <w:sz w:val="18"/>
              </w:rPr>
              <w:t>Net cash from investing activities</w:t>
            </w:r>
          </w:p>
        </w:tc>
        <w:tc>
          <w:tcPr>
            <w:tcW w:type="dxa" w:w="2520"/>
            <w:shd w:fill="F2F4F8" w:val="clear"/>
          </w:tcPr>
          <w:p>
            <w:r>
              <w:rPr>
                <w:rFonts w:ascii="Calibri" w:hAnsi="Calibri"/>
                <w:color w:val="333333"/>
                <w:sz w:val="18"/>
              </w:rPr>
              <w:t>$-18.3B</w:t>
            </w:r>
          </w:p>
        </w:tc>
        <w:tc>
          <w:tcPr>
            <w:tcW w:type="dxa" w:w="2520"/>
            <w:shd w:fill="F2F4F8" w:val="clear"/>
          </w:tcPr>
          <w:p>
            <w:r>
              <w:rPr>
                <w:rFonts w:ascii="Calibri" w:hAnsi="Calibri"/>
                <w:color w:val="333333"/>
                <w:sz w:val="18"/>
              </w:rPr>
              <w:t>$-14.8B</w:t>
            </w:r>
          </w:p>
        </w:tc>
        <w:tc>
          <w:tcPr>
            <w:tcW w:type="dxa" w:w="2520"/>
            <w:shd w:fill="F2F4F8" w:val="clear"/>
            <w:shd w:fill="DCEEF8" w:val="clear"/>
          </w:tcPr>
          <w:p>
            <w:r>
              <w:rPr>
                <w:rFonts w:ascii="Calibri" w:hAnsi="Calibri"/>
                <w:color w:val="333333"/>
                <w:sz w:val="18"/>
              </w:rPr>
              <w:t>18.8%</w:t>
            </w:r>
          </w:p>
        </w:tc>
      </w:tr>
      <w:tr>
        <w:tc>
          <w:tcPr>
            <w:tcW w:type="dxa" w:w="2520"/>
          </w:tcPr>
          <w:p>
            <w:r>
              <w:rPr>
                <w:rFonts w:ascii="Calibri" w:hAnsi="Calibri"/>
                <w:color w:val="333333"/>
                <w:sz w:val="18"/>
              </w:rPr>
              <w:t>Net cash from financing activities</w:t>
            </w:r>
          </w:p>
        </w:tc>
        <w:tc>
          <w:tcPr>
            <w:tcW w:type="dxa" w:w="2520"/>
          </w:tcPr>
          <w:p>
            <w:r>
              <w:rPr>
                <w:rFonts w:ascii="Calibri" w:hAnsi="Calibri"/>
                <w:color w:val="333333"/>
                <w:sz w:val="18"/>
              </w:rPr>
              <w:t>$11.1B</w:t>
            </w:r>
          </w:p>
        </w:tc>
        <w:tc>
          <w:tcPr>
            <w:tcW w:type="dxa" w:w="2520"/>
          </w:tcPr>
          <w:p>
            <w:r>
              <w:rPr>
                <w:rFonts w:ascii="Calibri" w:hAnsi="Calibri"/>
                <w:color w:val="333333"/>
                <w:sz w:val="18"/>
              </w:rPr>
              <w:t>$11.6B</w:t>
            </w:r>
          </w:p>
        </w:tc>
        <w:tc>
          <w:tcPr>
            <w:tcW w:type="dxa" w:w="2520"/>
            <w:shd w:fill="FFF3CD" w:val="clear"/>
          </w:tcPr>
          <w:p>
            <w:r>
              <w:rPr>
                <w:rFonts w:ascii="Calibri" w:hAnsi="Calibri"/>
                <w:color w:val="333333"/>
                <w:sz w:val="18"/>
              </w:rPr>
              <w:t>4.0%</w:t>
            </w:r>
          </w:p>
        </w:tc>
      </w:tr>
      <w:tr>
        <w:tc>
          <w:tcPr>
            <w:tcW w:type="dxa" w:w="2520"/>
            <w:shd w:fill="F2F4F8" w:val="clear"/>
          </w:tcPr>
          <w:p>
            <w:r>
              <w:rPr>
                <w:rFonts w:ascii="Calibri" w:hAnsi="Calibri"/>
                <w:color w:val="333333"/>
                <w:sz w:val="18"/>
              </w:rPr>
              <w:t>Capital expenditures</w:t>
            </w:r>
          </w:p>
        </w:tc>
        <w:tc>
          <w:tcPr>
            <w:tcW w:type="dxa" w:w="2520"/>
            <w:shd w:fill="F2F4F8" w:val="clear"/>
          </w:tcPr>
          <w:p>
            <w:r>
              <w:rPr>
                <w:rFonts w:ascii="Calibri" w:hAnsi="Calibri"/>
                <w:color w:val="333333"/>
                <w:sz w:val="18"/>
              </w:rPr>
              <w:t>$23.9B</w:t>
            </w:r>
          </w:p>
        </w:tc>
        <w:tc>
          <w:tcPr>
            <w:tcW w:type="dxa" w:w="2520"/>
            <w:shd w:fill="F2F4F8" w:val="clear"/>
          </w:tcPr>
          <w:p>
            <w:r>
              <w:rPr>
                <w:rFonts w:ascii="Calibri" w:hAnsi="Calibri"/>
                <w:color w:val="333333"/>
                <w:sz w:val="18"/>
              </w:rPr>
              <w:t>$14.6B</w:t>
            </w:r>
          </w:p>
        </w:tc>
        <w:tc>
          <w:tcPr>
            <w:tcW w:type="dxa" w:w="2520"/>
            <w:shd w:fill="F2F4F8" w:val="clear"/>
            <w:shd w:fill="FCE8E6" w:val="clear"/>
          </w:tcPr>
          <w:p>
            <w:r>
              <w:rPr>
                <w:rFonts w:ascii="Calibri" w:hAnsi="Calibri"/>
                <w:color w:val="333333"/>
                <w:sz w:val="18"/>
              </w:rPr>
              <w:t>-38.8%</w:t>
            </w:r>
          </w:p>
        </w:tc>
      </w:tr>
      <w:tr>
        <w:tc>
          <w:tcPr>
            <w:tcW w:type="dxa" w:w="2520"/>
          </w:tcPr>
          <w:p>
            <w:r>
              <w:rPr>
                <w:rFonts w:ascii="Calibri" w:hAnsi="Calibri"/>
                <w:color w:val="333333"/>
                <w:sz w:val="18"/>
              </w:rPr>
              <w:t>Depreciation and amortization</w:t>
            </w:r>
          </w:p>
        </w:tc>
        <w:tc>
          <w:tcPr>
            <w:tcW w:type="dxa" w:w="2520"/>
          </w:tcPr>
          <w:p>
            <w:r>
              <w:rPr>
                <w:rFonts w:ascii="Calibri" w:hAnsi="Calibri"/>
                <w:color w:val="333333"/>
                <w:sz w:val="18"/>
              </w:rPr>
              <w:t>$10.0B</w:t>
            </w:r>
          </w:p>
        </w:tc>
        <w:tc>
          <w:tcPr>
            <w:tcW w:type="dxa" w:w="2520"/>
          </w:tcPr>
          <w:p>
            <w:r>
              <w:rPr>
                <w:rFonts w:ascii="Calibri" w:hAnsi="Calibri"/>
                <w:color w:val="333333"/>
                <w:sz w:val="18"/>
              </w:rPr>
              <w:t>$10.8B</w:t>
            </w:r>
          </w:p>
        </w:tc>
        <w:tc>
          <w:tcPr>
            <w:tcW w:type="dxa" w:w="2520"/>
            <w:shd w:fill="FFF3CD" w:val="clear"/>
          </w:tcPr>
          <w:p>
            <w:r>
              <w:rPr>
                <w:rFonts w:ascii="Calibri" w:hAnsi="Calibri"/>
                <w:color w:val="333333"/>
                <w:sz w:val="18"/>
              </w:rPr>
              <w:t>8.1%</w:t>
            </w:r>
          </w:p>
        </w:tc>
      </w:tr>
      <w:tr>
        <w:tc>
          <w:tcPr>
            <w:tcW w:type="dxa" w:w="2520"/>
            <w:shd w:fill="F2F4F8" w:val="clear"/>
          </w:tcPr>
          <w:p>
            <w:r>
              <w:rPr>
                <w:rFonts w:ascii="Calibri" w:hAnsi="Calibri"/>
                <w:color w:val="333333"/>
                <w:sz w:val="18"/>
              </w:rPr>
              <w:t>Dividends paid</w:t>
            </w:r>
          </w:p>
        </w:tc>
        <w:tc>
          <w:tcPr>
            <w:tcW w:type="dxa" w:w="2520"/>
            <w:shd w:fill="F2F4F8" w:val="clear"/>
          </w:tcPr>
          <w:p>
            <w:r>
              <w:rPr>
                <w:rFonts w:ascii="Calibri" w:hAnsi="Calibri"/>
                <w:color w:val="333333"/>
                <w:sz w:val="18"/>
              </w:rPr>
              <w:t>$1.6B</w:t>
            </w:r>
          </w:p>
        </w:tc>
        <w:tc>
          <w:tcPr>
            <w:tcW w:type="dxa" w:w="2520"/>
            <w:shd w:fill="F2F4F8" w:val="clear"/>
          </w:tcPr>
          <w:p>
            <w:r>
              <w:rPr>
                <w:rFonts w:ascii="Calibri" w:hAnsi="Calibri"/>
                <w:color w:val="333333"/>
                <w:sz w:val="18"/>
              </w:rPr>
              <w:t>$0</w:t>
            </w:r>
          </w:p>
        </w:tc>
        <w:tc>
          <w:tcPr>
            <w:tcW w:type="dxa" w:w="2520"/>
            <w:shd w:fill="F2F4F8" w:val="clear"/>
            <w:shd w:fill="FCE8E6" w:val="clear"/>
          </w:tcPr>
          <w:p>
            <w:r>
              <w:rPr>
                <w:rFonts w:ascii="Calibri" w:hAnsi="Calibri"/>
                <w:color w:val="333333"/>
                <w:sz w:val="18"/>
              </w:rPr>
              <w:t>-100.0%</w:t>
            </w:r>
          </w:p>
        </w:tc>
      </w:tr>
      <w:tr>
        <w:tc>
          <w:tcPr>
            <w:tcW w:type="dxa" w:w="2520"/>
          </w:tcPr>
          <w:p>
            <w:r>
              <w:rPr>
                <w:rFonts w:ascii="Calibri" w:hAnsi="Calibri"/>
                <w:color w:val="333333"/>
                <w:sz w:val="18"/>
              </w:rPr>
              <w:t>Acquisitions, net of cash acquired</w:t>
            </w:r>
          </w:p>
        </w:tc>
        <w:tc>
          <w:tcPr>
            <w:tcW w:type="dxa" w:w="2520"/>
          </w:tcPr>
          <w:p>
            <w:r>
              <w:rPr>
                <w:rFonts w:ascii="Calibri" w:hAnsi="Calibri"/>
                <w:color w:val="333333"/>
                <w:sz w:val="18"/>
              </w:rPr>
              <w:t>$82.0M</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Proceeds from issuance of debt</w:t>
            </w:r>
          </w:p>
        </w:tc>
        <w:tc>
          <w:tcPr>
            <w:tcW w:type="dxa" w:w="2520"/>
            <w:shd w:fill="F2F4F8" w:val="clear"/>
          </w:tcPr>
          <w:p>
            <w:r>
              <w:rPr>
                <w:rFonts w:ascii="Calibri" w:hAnsi="Calibri"/>
                <w:color w:val="333333"/>
                <w:sz w:val="18"/>
              </w:rPr>
              <w:t>$3.0B</w:t>
            </w:r>
          </w:p>
        </w:tc>
        <w:tc>
          <w:tcPr>
            <w:tcW w:type="dxa" w:w="2520"/>
            <w:shd w:fill="F2F4F8" w:val="clear"/>
          </w:tcPr>
          <w:p>
            <w:r>
              <w:rPr>
                <w:rFonts w:ascii="Calibri" w:hAnsi="Calibri"/>
                <w:color w:val="333333"/>
                <w:sz w:val="18"/>
              </w:rPr>
              <w:t>$0</w:t>
            </w:r>
          </w:p>
        </w:tc>
        <w:tc>
          <w:tcPr>
            <w:tcW w:type="dxa" w:w="2520"/>
            <w:shd w:fill="F2F4F8" w:val="clear"/>
            <w:shd w:fill="FCE8E6" w:val="clear"/>
          </w:tcPr>
          <w:p>
            <w:r>
              <w:rPr>
                <w:rFonts w:ascii="Calibri" w:hAnsi="Calibri"/>
                <w:color w:val="333333"/>
                <w:sz w:val="18"/>
              </w:rPr>
              <w:t>-100.0%</w:t>
            </w:r>
          </w:p>
        </w:tc>
      </w:tr>
      <w:tr>
        <w:tc>
          <w:tcPr>
            <w:tcW w:type="dxa" w:w="2520"/>
          </w:tcPr>
          <w:p>
            <w:r>
              <w:rPr>
                <w:rFonts w:ascii="Calibri" w:hAnsi="Calibri"/>
                <w:color w:val="333333"/>
                <w:sz w:val="18"/>
              </w:rPr>
              <w:t>Repayments of debt</w:t>
            </w:r>
          </w:p>
        </w:tc>
        <w:tc>
          <w:tcPr>
            <w:tcW w:type="dxa" w:w="2520"/>
          </w:tcPr>
          <w:p>
            <w:r>
              <w:rPr>
                <w:rFonts w:ascii="Calibri" w:hAnsi="Calibri"/>
                <w:color w:val="333333"/>
                <w:sz w:val="18"/>
              </w:rPr>
              <w:t>$2.3B</w:t>
            </w:r>
          </w:p>
        </w:tc>
        <w:tc>
          <w:tcPr>
            <w:tcW w:type="dxa" w:w="2520"/>
          </w:tcPr>
          <w:p>
            <w:r>
              <w:rPr>
                <w:rFonts w:ascii="Calibri" w:hAnsi="Calibri"/>
                <w:color w:val="333333"/>
                <w:sz w:val="18"/>
              </w:rPr>
              <w:t>$3.8B</w:t>
            </w:r>
          </w:p>
        </w:tc>
        <w:tc>
          <w:tcPr>
            <w:tcW w:type="dxa" w:w="2520"/>
            <w:shd w:fill="DCEEF8" w:val="clear"/>
          </w:tcPr>
          <w:p>
            <w:r>
              <w:rPr>
                <w:rFonts w:ascii="Calibri" w:hAnsi="Calibri"/>
                <w:color w:val="333333"/>
                <w:sz w:val="18"/>
              </w:rPr>
              <w:t>63.9%</w:t>
            </w:r>
          </w:p>
        </w:tc>
      </w:tr>
      <w:tr>
        <w:tc>
          <w:tcPr>
            <w:tcW w:type="dxa" w:w="2520"/>
            <w:shd w:fill="F2F4F8" w:val="clear"/>
          </w:tcPr>
          <w:p>
            <w:r>
              <w:rPr>
                <w:rFonts w:ascii="Calibri" w:hAnsi="Calibri"/>
                <w:color w:val="333333"/>
                <w:sz w:val="18"/>
              </w:rPr>
              <w:t>Proceeds from stock issuance</w:t>
            </w:r>
          </w:p>
        </w:tc>
        <w:tc>
          <w:tcPr>
            <w:tcW w:type="dxa" w:w="2520"/>
            <w:shd w:fill="F2F4F8" w:val="clear"/>
          </w:tcPr>
          <w:p>
            <w:r>
              <w:rPr>
                <w:rFonts w:ascii="Calibri" w:hAnsi="Calibri"/>
                <w:color w:val="333333"/>
                <w:sz w:val="18"/>
              </w:rPr>
              <w:t>$987.0M</w:t>
            </w:r>
          </w:p>
        </w:tc>
        <w:tc>
          <w:tcPr>
            <w:tcW w:type="dxa" w:w="2520"/>
            <w:shd w:fill="F2F4F8" w:val="clear"/>
          </w:tcPr>
          <w:p>
            <w:r>
              <w:rPr>
                <w:rFonts w:ascii="Calibri" w:hAnsi="Calibri"/>
                <w:color w:val="333333"/>
                <w:sz w:val="18"/>
              </w:rPr>
              <w:t>$771.0M</w:t>
            </w:r>
          </w:p>
        </w:tc>
        <w:tc>
          <w:tcPr>
            <w:tcW w:type="dxa" w:w="2520"/>
            <w:shd w:fill="F2F4F8" w:val="clear"/>
            <w:shd w:fill="FCE8E6" w:val="clear"/>
          </w:tcPr>
          <w:p>
            <w:r>
              <w:rPr>
                <w:rFonts w:ascii="Calibri" w:hAnsi="Calibri"/>
                <w:color w:val="333333"/>
                <w:sz w:val="18"/>
              </w:rPr>
              <w:t>-21.9%</w:t>
            </w:r>
          </w:p>
        </w:tc>
      </w:tr>
      <w:tr>
        <w:tc>
          <w:tcPr>
            <w:tcW w:type="dxa" w:w="2520"/>
          </w:tcPr>
          <w:p>
            <w:r>
              <w:rPr>
                <w:rFonts w:ascii="Calibri" w:hAnsi="Calibri"/>
                <w:color w:val="333333"/>
                <w:sz w:val="18"/>
              </w:rPr>
              <w:t>Interest paid (supplemental)</w:t>
            </w:r>
          </w:p>
        </w:tc>
        <w:tc>
          <w:tcPr>
            <w:tcW w:type="dxa" w:w="2520"/>
          </w:tcPr>
          <w:p>
            <w:r>
              <w:rPr>
                <w:rFonts w:ascii="Calibri" w:hAnsi="Calibri"/>
                <w:color w:val="333333"/>
                <w:sz w:val="18"/>
              </w:rPr>
              <w:t>$987.0M</w:t>
            </w:r>
          </w:p>
        </w:tc>
        <w:tc>
          <w:tcPr>
            <w:tcW w:type="dxa" w:w="2520"/>
          </w:tcPr>
          <w:p>
            <w:r>
              <w:rPr>
                <w:rFonts w:ascii="Calibri" w:hAnsi="Calibri"/>
                <w:color w:val="333333"/>
                <w:sz w:val="18"/>
              </w:rPr>
              <w:t>$1.1B</w:t>
            </w:r>
          </w:p>
        </w:tc>
        <w:tc>
          <w:tcPr>
            <w:tcW w:type="dxa" w:w="2520"/>
            <w:shd w:fill="DCEEF8" w:val="clear"/>
          </w:tcPr>
          <w:p>
            <w:r>
              <w:rPr>
                <w:rFonts w:ascii="Calibri" w:hAnsi="Calibri"/>
                <w:color w:val="333333"/>
                <w:sz w:val="18"/>
              </w:rPr>
              <w:t>12.1%</w:t>
            </w:r>
          </w:p>
        </w:tc>
      </w:tr>
      <w:tr>
        <w:tc>
          <w:tcPr>
            <w:tcW w:type="dxa" w:w="2520"/>
            <w:shd w:fill="F2F4F8" w:val="clear"/>
          </w:tcPr>
          <w:p>
            <w:r>
              <w:rPr>
                <w:rFonts w:ascii="Calibri" w:hAnsi="Calibri"/>
                <w:color w:val="333333"/>
                <w:sz w:val="18"/>
              </w:rPr>
              <w:t>Income taxes paid (supplemental)</w:t>
            </w:r>
          </w:p>
        </w:tc>
        <w:tc>
          <w:tcPr>
            <w:tcW w:type="dxa" w:w="2520"/>
            <w:shd w:fill="F2F4F8" w:val="clear"/>
          </w:tcPr>
          <w:p>
            <w:r>
              <w:rPr>
                <w:rFonts w:ascii="Calibri" w:hAnsi="Calibri"/>
                <w:color w:val="333333"/>
                <w:sz w:val="18"/>
              </w:rPr>
              <w:t>$2.2B</w:t>
            </w:r>
          </w:p>
        </w:tc>
        <w:tc>
          <w:tcPr>
            <w:tcW w:type="dxa" w:w="2520"/>
            <w:shd w:fill="F2F4F8" w:val="clear"/>
          </w:tcPr>
          <w:p>
            <w:r>
              <w:rPr>
                <w:rFonts w:ascii="Calibri" w:hAnsi="Calibri"/>
                <w:color w:val="333333"/>
                <w:sz w:val="18"/>
              </w:rPr>
              <w:t>$2.3B</w:t>
            </w:r>
          </w:p>
        </w:tc>
        <w:tc>
          <w:tcPr>
            <w:tcW w:type="dxa" w:w="2520"/>
            <w:shd w:fill="F2F4F8" w:val="clear"/>
            <w:shd w:fill="FFF3CD" w:val="clear"/>
          </w:tcPr>
          <w:p>
            <w:r>
              <w:rPr>
                <w:rFonts w:ascii="Calibri" w:hAnsi="Calibri"/>
                <w:color w:val="333333"/>
                <w:sz w:val="18"/>
              </w:rPr>
              <w:t>4.4%</w:t>
            </w:r>
          </w:p>
        </w:tc>
      </w:tr>
      <w:tr>
        <w:tc>
          <w:tcPr>
            <w:tcW w:type="dxa" w:w="2520"/>
          </w:tcPr>
          <w:p>
            <w:r>
              <w:rPr>
                <w:rFonts w:ascii="Calibri" w:hAnsi="Calibri"/>
                <w:color w:val="333333"/>
                <w:sz w:val="18"/>
              </w:rPr>
              <w:t>Stock-based compensation (cash flow adjustment)</w:t>
            </w:r>
          </w:p>
        </w:tc>
        <w:tc>
          <w:tcPr>
            <w:tcW w:type="dxa" w:w="2520"/>
          </w:tcPr>
          <w:p>
            <w:r>
              <w:rPr>
                <w:rFonts w:ascii="Calibri" w:hAnsi="Calibri"/>
                <w:color w:val="333333"/>
                <w:sz w:val="18"/>
              </w:rPr>
              <w:t>$3.4B</w:t>
            </w:r>
          </w:p>
        </w:tc>
        <w:tc>
          <w:tcPr>
            <w:tcW w:type="dxa" w:w="2520"/>
          </w:tcPr>
          <w:p>
            <w:r>
              <w:rPr>
                <w:rFonts w:ascii="Calibri" w:hAnsi="Calibri"/>
                <w:color w:val="333333"/>
                <w:sz w:val="18"/>
              </w:rPr>
              <w:t>$2.4B</w:t>
            </w:r>
          </w:p>
        </w:tc>
        <w:tc>
          <w:tcPr>
            <w:tcW w:type="dxa" w:w="2520"/>
            <w:shd w:fill="FCE8E6" w:val="clear"/>
          </w:tcPr>
          <w:p>
            <w:r>
              <w:rPr>
                <w:rFonts w:ascii="Calibri" w:hAnsi="Calibri"/>
                <w:color w:val="333333"/>
                <w:sz w:val="18"/>
              </w:rPr>
              <w:t>-28.6%</w:t>
            </w:r>
          </w:p>
        </w:tc>
      </w:tr>
      <w:tr>
        <w:tc>
          <w:tcPr>
            <w:tcW w:type="dxa" w:w="2520"/>
            <w:shd w:fill="F2F4F8" w:val="clear"/>
          </w:tcPr>
          <w:p>
            <w:r>
              <w:rPr>
                <w:rFonts w:ascii="Calibri" w:hAnsi="Calibri"/>
                <w:color w:val="333333"/>
                <w:sz w:val="18"/>
              </w:rPr>
              <w:t>Net increase/decrease in cash and equivalents</w:t>
            </w:r>
          </w:p>
        </w:tc>
        <w:tc>
          <w:tcPr>
            <w:tcW w:type="dxa" w:w="2520"/>
            <w:shd w:fill="F2F4F8" w:val="clear"/>
          </w:tcPr>
          <w:p>
            <w:r>
              <w:rPr>
                <w:rFonts w:ascii="Calibri" w:hAnsi="Calibri"/>
                <w:color w:val="333333"/>
                <w:sz w:val="18"/>
              </w:rPr>
              <w:t>$1.2B</w:t>
            </w:r>
          </w:p>
        </w:tc>
        <w:tc>
          <w:tcPr>
            <w:tcW w:type="dxa" w:w="2520"/>
            <w:shd w:fill="F2F4F8" w:val="clear"/>
          </w:tcPr>
          <w:p>
            <w:r>
              <w:rPr>
                <w:rFonts w:ascii="Calibri" w:hAnsi="Calibri"/>
                <w:color w:val="333333"/>
                <w:sz w:val="18"/>
              </w:rPr>
              <w:t>$6.5B</w:t>
            </w:r>
          </w:p>
        </w:tc>
        <w:tc>
          <w:tcPr>
            <w:tcW w:type="dxa" w:w="2520"/>
            <w:shd w:fill="F2F4F8" w:val="clear"/>
            <w:shd w:fill="DCEEF8" w:val="clear"/>
          </w:tcPr>
          <w:p>
            <w:r>
              <w:rPr>
                <w:rFonts w:ascii="Calibri" w:hAnsi="Calibri"/>
                <w:color w:val="333333"/>
                <w:sz w:val="18"/>
              </w:rPr>
              <w:t>452.4%</w:t>
            </w:r>
          </w:p>
        </w:tc>
      </w:tr>
      <w:tr>
        <w:tc>
          <w:tcPr>
            <w:tcW w:type="dxa" w:w="2520"/>
          </w:tcPr>
          <w:p>
            <w:r>
              <w:rPr>
                <w:rFonts w:ascii="Calibri" w:hAnsi="Calibri"/>
                <w:color w:val="333333"/>
                <w:sz w:val="18"/>
              </w:rPr>
              <w:t>Purchases of investments</w:t>
            </w:r>
          </w:p>
        </w:tc>
        <w:tc>
          <w:tcPr>
            <w:tcW w:type="dxa" w:w="2520"/>
          </w:tcPr>
          <w:p>
            <w:r>
              <w:rPr>
                <w:rFonts w:ascii="Calibri" w:hAnsi="Calibri"/>
                <w:color w:val="333333"/>
                <w:sz w:val="18"/>
              </w:rPr>
              <w:t>$37.9B</w:t>
            </w:r>
          </w:p>
        </w:tc>
        <w:tc>
          <w:tcPr>
            <w:tcW w:type="dxa" w:w="2520"/>
          </w:tcPr>
          <w:p>
            <w:r>
              <w:rPr>
                <w:rFonts w:ascii="Calibri" w:hAnsi="Calibri"/>
                <w:color w:val="333333"/>
                <w:sz w:val="18"/>
              </w:rPr>
              <w:t>$24.3B</w:t>
            </w:r>
          </w:p>
        </w:tc>
        <w:tc>
          <w:tcPr>
            <w:tcW w:type="dxa" w:w="2520"/>
            <w:shd w:fill="FCE8E6" w:val="clear"/>
          </w:tcPr>
          <w:p>
            <w:r>
              <w:rPr>
                <w:rFonts w:ascii="Calibri" w:hAnsi="Calibri"/>
                <w:color w:val="333333"/>
                <w:sz w:val="18"/>
              </w:rPr>
              <w:t>-35.9%</w:t>
            </w:r>
          </w:p>
        </w:tc>
      </w:tr>
      <w:tr>
        <w:tc>
          <w:tcPr>
            <w:tcW w:type="dxa" w:w="2520"/>
            <w:shd w:fill="F2F4F8" w:val="clear"/>
          </w:tcPr>
          <w:p>
            <w:r>
              <w:rPr>
                <w:rFonts w:ascii="Calibri" w:hAnsi="Calibri"/>
                <w:color w:val="333333"/>
                <w:sz w:val="18"/>
              </w:rPr>
              <w:t>Proceeds from sale/maturity of investments</w:t>
            </w:r>
          </w:p>
        </w:tc>
        <w:tc>
          <w:tcPr>
            <w:tcW w:type="dxa" w:w="2520"/>
            <w:shd w:fill="F2F4F8" w:val="clear"/>
          </w:tcPr>
          <w:p>
            <w:r>
              <w:rPr>
                <w:rFonts w:ascii="Calibri" w:hAnsi="Calibri"/>
                <w:color w:val="333333"/>
                <w:sz w:val="18"/>
              </w:rPr>
              <w:t>$41.5B</w:t>
            </w:r>
          </w:p>
        </w:tc>
        <w:tc>
          <w:tcPr>
            <w:tcW w:type="dxa" w:w="2520"/>
            <w:shd w:fill="F2F4F8" w:val="clear"/>
          </w:tcPr>
          <w:p>
            <w:r>
              <w:rPr>
                <w:rFonts w:ascii="Calibri" w:hAnsi="Calibri"/>
                <w:color w:val="333333"/>
                <w:sz w:val="18"/>
              </w:rPr>
              <w:t>$15.4B</w:t>
            </w:r>
          </w:p>
        </w:tc>
        <w:tc>
          <w:tcPr>
            <w:tcW w:type="dxa" w:w="2520"/>
            <w:shd w:fill="F2F4F8" w:val="clear"/>
            <w:shd w:fill="FCE8E6" w:val="clear"/>
          </w:tcPr>
          <w:p>
            <w:r>
              <w:rPr>
                <w:rFonts w:ascii="Calibri" w:hAnsi="Calibri"/>
                <w:color w:val="333333"/>
                <w:sz w:val="18"/>
              </w:rPr>
              <w:t>-62.9%</w:t>
            </w:r>
          </w:p>
        </w:tc>
      </w:tr>
      <w:tr>
        <w:tc>
          <w:tcPr>
            <w:tcW w:type="dxa" w:w="2520"/>
          </w:tcPr>
          <w:p>
            <w:r>
              <w:rPr>
                <w:rFonts w:ascii="Calibri" w:hAnsi="Calibri"/>
                <w:color w:val="333333"/>
                <w:sz w:val="18"/>
              </w:rPr>
              <w:t>Deferred income taxes (cash flow adjustment)</w:t>
            </w:r>
          </w:p>
        </w:tc>
        <w:tc>
          <w:tcPr>
            <w:tcW w:type="dxa" w:w="2520"/>
          </w:tcPr>
          <w:p>
            <w:r>
              <w:rPr>
                <w:rFonts w:ascii="Calibri" w:hAnsi="Calibri"/>
                <w:color w:val="333333"/>
                <w:sz w:val="18"/>
              </w:rPr>
              <w:t>$6.1B</w:t>
            </w:r>
          </w:p>
        </w:tc>
        <w:tc>
          <w:tcPr>
            <w:tcW w:type="dxa" w:w="2520"/>
          </w:tcPr>
          <w:p>
            <w:r>
              <w:rPr>
                <w:rFonts w:ascii="Calibri" w:hAnsi="Calibri"/>
                <w:color w:val="333333"/>
                <w:sz w:val="18"/>
              </w:rPr>
              <w:t>$329.0M</w:t>
            </w:r>
          </w:p>
        </w:tc>
        <w:tc>
          <w:tcPr>
            <w:tcW w:type="dxa" w:w="2520"/>
            <w:shd w:fill="FCE8E6" w:val="clear"/>
          </w:tcPr>
          <w:p>
            <w:r>
              <w:rPr>
                <w:rFonts w:ascii="Calibri" w:hAnsi="Calibri"/>
                <w:color w:val="333333"/>
                <w:sz w:val="18"/>
              </w:rPr>
              <w:t>-94.6%</w:t>
            </w:r>
          </w:p>
        </w:tc>
      </w:tr>
      <w:tr>
        <w:tc>
          <w:tcPr>
            <w:tcW w:type="dxa" w:w="2520"/>
            <w:shd w:fill="F2F4F8" w:val="clear"/>
          </w:tcPr>
          <w:p>
            <w:r>
              <w:rPr>
                <w:rFonts w:ascii="Calibri" w:hAnsi="Calibri"/>
                <w:color w:val="333333"/>
                <w:sz w:val="18"/>
              </w:rPr>
              <w:t>Change in accounts receivable</w:t>
            </w:r>
          </w:p>
        </w:tc>
        <w:tc>
          <w:tcPr>
            <w:tcW w:type="dxa" w:w="2520"/>
            <w:shd w:fill="F2F4F8" w:val="clear"/>
          </w:tcPr>
          <w:p>
            <w:r>
              <w:rPr>
                <w:rFonts w:ascii="Calibri" w:hAnsi="Calibri"/>
                <w:color w:val="333333"/>
                <w:sz w:val="18"/>
              </w:rPr>
              <w:t>$75.0M</w:t>
            </w:r>
          </w:p>
        </w:tc>
        <w:tc>
          <w:tcPr>
            <w:tcW w:type="dxa" w:w="2520"/>
            <w:shd w:fill="F2F4F8" w:val="clear"/>
          </w:tcPr>
          <w:p>
            <w:r>
              <w:rPr>
                <w:rFonts w:ascii="Calibri" w:hAnsi="Calibri"/>
                <w:color w:val="333333"/>
                <w:sz w:val="18"/>
              </w:rPr>
              <w:t>$449.0M</w:t>
            </w:r>
          </w:p>
        </w:tc>
        <w:tc>
          <w:tcPr>
            <w:tcW w:type="dxa" w:w="2520"/>
            <w:shd w:fill="F2F4F8" w:val="clear"/>
            <w:shd w:fill="DCEEF8" w:val="clear"/>
          </w:tcPr>
          <w:p>
            <w:r>
              <w:rPr>
                <w:rFonts w:ascii="Calibri" w:hAnsi="Calibri"/>
                <w:color w:val="333333"/>
                <w:sz w:val="18"/>
              </w:rPr>
              <w:t>498.7%</w:t>
            </w:r>
          </w:p>
        </w:tc>
      </w:tr>
      <w:tr>
        <w:tc>
          <w:tcPr>
            <w:tcW w:type="dxa" w:w="2520"/>
          </w:tcPr>
          <w:p>
            <w:r>
              <w:rPr>
                <w:rFonts w:ascii="Calibri" w:hAnsi="Calibri"/>
                <w:color w:val="333333"/>
                <w:sz w:val="18"/>
              </w:rPr>
              <w:t>Change in inventory</w:t>
            </w:r>
          </w:p>
        </w:tc>
        <w:tc>
          <w:tcPr>
            <w:tcW w:type="dxa" w:w="2520"/>
          </w:tcPr>
          <w:p>
            <w:r>
              <w:rPr>
                <w:rFonts w:ascii="Calibri" w:hAnsi="Calibri"/>
                <w:color w:val="333333"/>
                <w:sz w:val="18"/>
              </w:rPr>
              <w:t>$1.1B</w:t>
            </w:r>
          </w:p>
        </w:tc>
        <w:tc>
          <w:tcPr>
            <w:tcW w:type="dxa" w:w="2520"/>
          </w:tcPr>
          <w:p>
            <w:r>
              <w:rPr>
                <w:rFonts w:ascii="Calibri" w:hAnsi="Calibri"/>
                <w:color w:val="333333"/>
                <w:sz w:val="18"/>
              </w:rPr>
              <w:t>$138.0M</w:t>
            </w:r>
          </w:p>
        </w:tc>
        <w:tc>
          <w:tcPr>
            <w:tcW w:type="dxa" w:w="2520"/>
            <w:shd w:fill="FCE8E6" w:val="clear"/>
          </w:tcPr>
          <w:p>
            <w:r>
              <w:rPr>
                <w:rFonts w:ascii="Calibri" w:hAnsi="Calibri"/>
                <w:color w:val="333333"/>
                <w:sz w:val="18"/>
              </w:rPr>
              <w:t>-87.5%</w:t>
            </w:r>
          </w:p>
        </w:tc>
      </w:tr>
      <w:tr>
        <w:tc>
          <w:tcPr>
            <w:tcW w:type="dxa" w:w="2520"/>
            <w:shd w:fill="F2F4F8" w:val="clear"/>
          </w:tcPr>
          <w:p>
            <w:r>
              <w:rPr>
                <w:rFonts w:ascii="Calibri" w:hAnsi="Calibri"/>
                <w:color w:val="333333"/>
                <w:sz w:val="18"/>
              </w:rPr>
              <w:t>Change in accounts payable</w:t>
            </w:r>
          </w:p>
        </w:tc>
        <w:tc>
          <w:tcPr>
            <w:tcW w:type="dxa" w:w="2520"/>
            <w:shd w:fill="F2F4F8" w:val="clear"/>
          </w:tcPr>
          <w:p>
            <w:r>
              <w:rPr>
                <w:rFonts w:ascii="Calibri" w:hAnsi="Calibri"/>
                <w:color w:val="333333"/>
                <w:sz w:val="18"/>
              </w:rPr>
              <w:t>$634.0M</w:t>
            </w:r>
          </w:p>
        </w:tc>
        <w:tc>
          <w:tcPr>
            <w:tcW w:type="dxa" w:w="2520"/>
            <w:shd w:fill="F2F4F8" w:val="clear"/>
          </w:tcPr>
          <w:p>
            <w:r>
              <w:rPr>
                <w:rFonts w:ascii="Calibri" w:hAnsi="Calibri"/>
                <w:color w:val="333333"/>
                <w:sz w:val="18"/>
              </w:rPr>
              <w:t>$297.0M</w:t>
            </w:r>
          </w:p>
        </w:tc>
        <w:tc>
          <w:tcPr>
            <w:tcW w:type="dxa" w:w="2520"/>
            <w:shd w:fill="F2F4F8" w:val="clear"/>
            <w:shd w:fill="FCE8E6" w:val="clear"/>
          </w:tcPr>
          <w:p>
            <w:r>
              <w:rPr>
                <w:rFonts w:ascii="Calibri" w:hAnsi="Calibri"/>
                <w:color w:val="333333"/>
                <w:sz w:val="18"/>
              </w:rPr>
              <w:t>-53.1%</w:t>
            </w:r>
          </w:p>
        </w:tc>
      </w:tr>
      <w:tr>
        <w:tc>
          <w:tcPr>
            <w:tcW w:type="dxa" w:w="2520"/>
          </w:tcPr>
          <w:p>
            <w:r>
              <w:rPr>
                <w:rFonts w:ascii="Calibri" w:hAnsi="Calibri"/>
                <w:color w:val="333333"/>
                <w:sz w:val="18"/>
              </w:rPr>
              <w:t>Amortization of intangible assets</w:t>
            </w:r>
          </w:p>
        </w:tc>
        <w:tc>
          <w:tcPr>
            <w:tcW w:type="dxa" w:w="2520"/>
          </w:tcPr>
          <w:p>
            <w:r>
              <w:rPr>
                <w:rFonts w:ascii="Calibri" w:hAnsi="Calibri"/>
                <w:color w:val="333333"/>
                <w:sz w:val="18"/>
              </w:rPr>
              <w:t>$1.4B</w:t>
            </w:r>
          </w:p>
        </w:tc>
        <w:tc>
          <w:tcPr>
            <w:tcW w:type="dxa" w:w="2520"/>
          </w:tcPr>
          <w:p>
            <w:r>
              <w:rPr>
                <w:rFonts w:ascii="Calibri" w:hAnsi="Calibri"/>
                <w:color w:val="333333"/>
                <w:sz w:val="18"/>
              </w:rPr>
              <w:t>$949.0M</w:t>
            </w:r>
          </w:p>
        </w:tc>
        <w:tc>
          <w:tcPr>
            <w:tcW w:type="dxa" w:w="2520"/>
            <w:shd w:fill="FCE8E6" w:val="clear"/>
          </w:tcPr>
          <w:p>
            <w:r>
              <w:rPr>
                <w:rFonts w:ascii="Calibri" w:hAnsi="Calibri"/>
                <w:color w:val="333333"/>
                <w:sz w:val="18"/>
              </w:rPr>
              <w:t>-33.5%</w:t>
            </w:r>
          </w:p>
        </w:tc>
      </w:tr>
      <w:tr>
        <w:tc>
          <w:tcPr>
            <w:tcW w:type="dxa" w:w="2520"/>
            <w:shd w:fill="F2F4F8" w:val="clear"/>
          </w:tcPr>
          <w:p>
            <w:r>
              <w:rPr>
                <w:rFonts w:ascii="Calibri" w:hAnsi="Calibri"/>
                <w:color w:val="333333"/>
                <w:sz w:val="18"/>
              </w:rPr>
              <w:t>Proceeds from sale / divestiture of businesses</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$6.2B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Free cash flow</w:t>
            </w:r>
          </w:p>
        </w:tc>
        <w:tc>
          <w:tcPr>
            <w:tcW w:type="dxa" w:w="2520"/>
          </w:tcPr>
          <w:p>
            <w:r>
              <w:rPr>
                <w:rFonts w:ascii="Calibri" w:hAnsi="Calibri"/>
                <w:color w:val="333333"/>
                <w:sz w:val="18"/>
              </w:rPr>
              <w:t>$-15.7B</w:t>
            </w:r>
          </w:p>
        </w:tc>
        <w:tc>
          <w:tcPr>
            <w:tcW w:type="dxa" w:w="2520"/>
          </w:tcPr>
          <w:p>
            <w:r>
              <w:rPr>
                <w:rFonts w:ascii="Calibri" w:hAnsi="Calibri"/>
                <w:color w:val="333333"/>
                <w:sz w:val="18"/>
              </w:rPr>
              <w:t>$-4.9B</w:t>
            </w:r>
          </w:p>
        </w:tc>
        <w:tc>
          <w:tcPr>
            <w:tcW w:type="dxa" w:w="2520"/>
            <w:shd w:fill="DCEEF8" w:val="clear"/>
          </w:tcPr>
          <w:p>
            <w:r>
              <w:rPr>
                <w:rFonts w:ascii="Calibri" w:hAnsi="Calibri"/>
                <w:color w:val="333333"/>
                <w:sz w:val="18"/>
              </w:rPr>
              <w:t>68.4%</w:t>
            </w:r>
          </w:p>
        </w:tc>
      </w:tr>
      <w:tr>
        <w:tc>
          <w:tcPr>
            <w:tcW w:type="dxa" w:w="2520"/>
            <w:shd w:fill="F2F4F8" w:val="clear"/>
          </w:tcPr>
          <w:p>
            <w:r>
              <w:rPr>
                <w:rFonts w:ascii="Calibri" w:hAnsi="Calibri"/>
                <w:color w:val="333333"/>
                <w:sz w:val="18"/>
              </w:rPr>
              <w:t>FCF-to-revenue ratio</w:t>
            </w:r>
          </w:p>
        </w:tc>
        <w:tc>
          <w:tcPr>
            <w:tcW w:type="dxa" w:w="2520"/>
            <w:shd w:fill="F2F4F8" w:val="clear"/>
          </w:tcPr>
          <w:p>
            <w:r>
              <w:rPr>
                <w:rFonts w:ascii="Calibri" w:hAnsi="Calibri"/>
                <w:color w:val="333333"/>
                <w:sz w:val="18"/>
              </w:rPr>
              <w:t>$-29</w:t>
            </w:r>
          </w:p>
        </w:tc>
        <w:tc>
          <w:tcPr>
            <w:tcW w:type="dxa" w:w="2520"/>
            <w:shd w:fill="F2F4F8" w:val="clear"/>
          </w:tcPr>
          <w:p>
            <w:r>
              <w:rPr>
                <w:rFonts w:ascii="Calibri" w:hAnsi="Calibri"/>
                <w:color w:val="333333"/>
                <w:sz w:val="18"/>
              </w:rPr>
              <w:t>$-9</w:t>
            </w:r>
          </w:p>
        </w:tc>
        <w:tc>
          <w:tcPr>
            <w:tcW w:type="dxa" w:w="2520"/>
            <w:shd w:fill="F2F4F8" w:val="clear"/>
            <w:shd w:fill="DCEEF8" w:val="clear"/>
          </w:tcPr>
          <w:p>
            <w:r>
              <w:rPr>
                <w:rFonts w:ascii="Calibri" w:hAnsi="Calibri"/>
                <w:color w:val="333333"/>
                <w:sz w:val="18"/>
              </w:rPr>
              <w:t>68.2%</w:t>
            </w:r>
          </w:p>
        </w:tc>
      </w:tr>
      <w:tr>
        <w:tc>
          <w:tcPr>
            <w:tcW w:type="dxa" w:w="2520"/>
          </w:tcPr>
          <w:p>
            <w:r>
              <w:rPr>
                <w:rFonts w:ascii="Calibri" w:hAnsi="Calibri"/>
                <w:color w:val="333333"/>
                <w:sz w:val="18"/>
              </w:rPr>
              <w:t>Capex-to-revenue ratio</w:t>
            </w:r>
          </w:p>
        </w:tc>
        <w:tc>
          <w:tcPr>
            <w:tcW w:type="dxa" w:w="2520"/>
          </w:tcPr>
          <w:p>
            <w:r>
              <w:rPr>
                <w:rFonts w:ascii="Calibri" w:hAnsi="Calibri"/>
                <w:color w:val="333333"/>
                <w:sz w:val="18"/>
              </w:rPr>
              <w:t>$45</w:t>
            </w:r>
          </w:p>
        </w:tc>
        <w:tc>
          <w:tcPr>
            <w:tcW w:type="dxa" w:w="2520"/>
          </w:tcPr>
          <w:p>
            <w:r>
              <w:rPr>
                <w:rFonts w:ascii="Calibri" w:hAnsi="Calibri"/>
                <w:color w:val="333333"/>
                <w:sz w:val="18"/>
              </w:rPr>
              <w:t>$28</w:t>
            </w:r>
          </w:p>
        </w:tc>
        <w:tc>
          <w:tcPr>
            <w:tcW w:type="dxa" w:w="2520"/>
            <w:shd w:fill="FCE8E6" w:val="clear"/>
          </w:tcPr>
          <w:p>
            <w:r>
              <w:rPr>
                <w:rFonts w:ascii="Calibri" w:hAnsi="Calibri"/>
                <w:color w:val="333333"/>
                <w:sz w:val="18"/>
              </w:rPr>
              <w:t>-38.5%</w:t>
            </w:r>
          </w:p>
        </w:tc>
      </w:tr>
      <w:tr>
        <w:tc>
          <w:tcPr>
            <w:tcW w:type="dxa" w:w="2520"/>
            <w:shd w:fill="F2F4F8" w:val="clear"/>
          </w:tcPr>
          <w:p>
            <w:r>
              <w:rPr>
                <w:rFonts w:ascii="Calibri" w:hAnsi="Calibri"/>
                <w:color w:val="333333"/>
                <w:sz w:val="18"/>
              </w:rPr>
              <w:t>Capex-to-depreciation ratio</w:t>
            </w:r>
          </w:p>
        </w:tc>
        <w:tc>
          <w:tcPr>
            <w:tcW w:type="dxa" w:w="2520"/>
            <w:shd w:fill="F2F4F8" w:val="clear"/>
          </w:tcPr>
          <w:p>
            <w:r>
              <w:rPr>
                <w:rFonts w:ascii="Calibri" w:hAnsi="Calibri"/>
                <w:color w:val="333333"/>
                <w:sz w:val="18"/>
              </w:rPr>
              <w:t>$2</w:t>
            </w:r>
          </w:p>
        </w:tc>
        <w:tc>
          <w:tcPr>
            <w:tcW w:type="dxa" w:w="2520"/>
            <w:shd w:fill="F2F4F8" w:val="clear"/>
          </w:tcPr>
          <w:p>
            <w:r>
              <w:rPr>
                <w:rFonts w:ascii="Calibri" w:hAnsi="Calibri"/>
                <w:color w:val="333333"/>
                <w:sz w:val="18"/>
              </w:rPr>
              <w:t>$1</w:t>
            </w:r>
          </w:p>
        </w:tc>
        <w:tc>
          <w:tcPr>
            <w:tcW w:type="dxa" w:w="2520"/>
            <w:shd w:fill="F2F4F8" w:val="clear"/>
            <w:shd w:fill="FCE8E6" w:val="clear"/>
          </w:tcPr>
          <w:p>
            <w:r>
              <w:rPr>
                <w:rFonts w:ascii="Calibri" w:hAnsi="Calibri"/>
                <w:color w:val="333333"/>
                <w:sz w:val="18"/>
              </w:rPr>
              <w:t>-43.4%</w:t>
            </w:r>
          </w:p>
        </w:tc>
      </w:tr>
      <w:tr>
        <w:tc>
          <w:tcPr>
            <w:tcW w:type="dxa" w:w="2520"/>
          </w:tcPr>
          <w:p>
            <w:r>
              <w:rPr>
                <w:rFonts w:ascii="Calibri" w:hAnsi="Calibri"/>
                <w:color w:val="333333"/>
                <w:sz w:val="18"/>
              </w:rPr>
              <w:t>Dividend payout ratio</w:t>
            </w:r>
          </w:p>
        </w:tc>
        <w:tc>
          <w:tcPr>
            <w:tcW w:type="dxa" w:w="2520"/>
          </w:tcPr>
          <w:p>
            <w:r>
              <w:rPr>
                <w:rFonts w:ascii="Calibri" w:hAnsi="Calibri"/>
                <w:color w:val="333333"/>
                <w:sz w:val="18"/>
              </w:rPr>
              <w:t>$-9</w:t>
            </w:r>
          </w:p>
        </w:tc>
        <w:tc>
          <w:tcPr>
            <w:tcW w:type="dxa" w:w="2520"/>
          </w:tcPr>
          <w:p>
            <w:r>
              <w:rPr>
                <w:rFonts w:ascii="Calibri" w:hAnsi="Calibri"/>
                <w:color w:val="333333"/>
                <w:sz w:val="18"/>
              </w:rPr>
              <w:t>$0</w:t>
            </w:r>
          </w:p>
        </w:tc>
        <w:tc>
          <w:tcPr>
            <w:tcW w:type="dxa" w:w="2520"/>
            <w:shd w:fill="DCEEF8" w:val="clear"/>
          </w:tcPr>
          <w:p>
            <w:r>
              <w:rPr>
                <w:rFonts w:ascii="Calibri" w:hAnsi="Calibri"/>
                <w:color w:val="333333"/>
                <w:sz w:val="18"/>
              </w:rPr>
              <w:t>100.0%</w:t>
            </w:r>
          </w:p>
        </w:tc>
      </w:tr>
      <w:tr>
        <w:tc>
          <w:tcPr>
            <w:tcW w:type="dxa" w:w="2520"/>
            <w:shd w:fill="F2F4F8" w:val="clear"/>
          </w:tcPr>
          <w:p>
            <w:r>
              <w:rPr>
                <w:rFonts w:ascii="Calibri" w:hAnsi="Calibri"/>
                <w:color w:val="333333"/>
                <w:sz w:val="18"/>
              </w:rPr>
              <w:t>Free cash flow per share</w:t>
            </w:r>
          </w:p>
        </w:tc>
        <w:tc>
          <w:tcPr>
            <w:tcW w:type="dxa" w:w="2520"/>
            <w:shd w:fill="F2F4F8" w:val="clear"/>
          </w:tcPr>
          <w:p>
            <w:r>
              <w:rPr>
                <w:rFonts w:ascii="Calibri" w:hAnsi="Calibri"/>
                <w:color w:val="333333"/>
                <w:sz w:val="18"/>
              </w:rPr>
              <w:t>$-3.62</w:t>
            </w:r>
          </w:p>
        </w:tc>
        <w:tc>
          <w:tcPr>
            <w:tcW w:type="dxa" w:w="2520"/>
            <w:shd w:fill="F2F4F8" w:val="clear"/>
          </w:tcPr>
          <w:p>
            <w:r>
              <w:rPr>
                <w:rFonts w:ascii="Calibri" w:hAnsi="Calibri"/>
                <w:color w:val="333333"/>
                <w:sz w:val="18"/>
              </w:rPr>
              <w:t>$-0.99</w:t>
            </w:r>
          </w:p>
        </w:tc>
        <w:tc>
          <w:tcPr>
            <w:tcW w:type="dxa" w:w="2520"/>
            <w:shd w:fill="F2F4F8" w:val="clear"/>
            <w:shd w:fill="DCEEF8" w:val="clear"/>
          </w:tcPr>
          <w:p>
            <w:r>
              <w:rPr>
                <w:rFonts w:ascii="Calibri" w:hAnsi="Calibri"/>
                <w:color w:val="333333"/>
                <w:sz w:val="18"/>
              </w:rPr>
              <w:t>72.6%</w:t>
            </w:r>
          </w:p>
        </w:tc>
      </w:tr>
    </w:tbl>
    <w:p>
      <w:pPr>
        <w:pStyle w:val="DOHeading3"/>
      </w:pPr>
      <w:r>
        <w:t>Key Ratios: Company vs. Peers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Ratio</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Ratio</w:t>
            </w:r>
          </w:p>
        </w:tc>
        <w:tc>
          <w:tcPr>
            <w:tcW w:type="dxa" w:w="5040"/>
          </w:tcPr>
          <w:p>
            <w:r>
              <w:rPr>
                <w:rFonts w:ascii="Calibri" w:hAnsi="Calibri"/>
                <w:color w:val="333333"/>
                <w:sz w:val="18"/>
              </w:rPr>
              <w:t>2.02</w:t>
            </w:r>
          </w:p>
        </w:tc>
      </w:tr>
      <w:tr>
        <w:tc>
          <w:tcPr>
            <w:tcW w:type="dxa" w:w="5040"/>
            <w:shd w:fill="F2F4F8" w:val="clear"/>
          </w:tcPr>
          <w:p>
            <w:r>
              <w:rPr>
                <w:rFonts w:ascii="Calibri" w:hAnsi="Calibri"/>
                <w:color w:val="333333"/>
                <w:sz w:val="18"/>
              </w:rPr>
              <w:t>Quick Ratio</w:t>
            </w:r>
          </w:p>
        </w:tc>
        <w:tc>
          <w:tcPr>
            <w:tcW w:type="dxa" w:w="5040"/>
            <w:shd w:fill="F2F4F8" w:val="clear"/>
          </w:tcPr>
          <w:p>
            <w:r>
              <w:rPr>
                <w:rFonts w:ascii="Calibri" w:hAnsi="Calibri"/>
                <w:color w:val="333333"/>
                <w:sz w:val="18"/>
              </w:rPr>
              <w:t>1.65</w:t>
            </w:r>
          </w:p>
        </w:tc>
      </w:tr>
      <w:tr>
        <w:tc>
          <w:tcPr>
            <w:tcW w:type="dxa" w:w="5040"/>
          </w:tcPr>
          <w:p>
            <w:r>
              <w:rPr>
                <w:rFonts w:ascii="Calibri" w:hAnsi="Calibri"/>
                <w:color w:val="333333"/>
                <w:sz w:val="18"/>
              </w:rPr>
              <w:t>Debt/Equity</w:t>
            </w:r>
          </w:p>
        </w:tc>
        <w:tc>
          <w:tcPr>
            <w:tcW w:type="dxa" w:w="5040"/>
          </w:tcPr>
          <w:p>
            <w:r>
              <w:rPr>
                <w:rFonts w:ascii="Calibri" w:hAnsi="Calibri"/>
                <w:color w:val="333333"/>
                <w:sz w:val="18"/>
              </w:rPr>
              <w:t>0.41</w:t>
            </w:r>
          </w:p>
        </w:tc>
      </w:tr>
      <w:tr>
        <w:tc>
          <w:tcPr>
            <w:tcW w:type="dxa" w:w="5040"/>
            <w:shd w:fill="F2F4F8" w:val="clear"/>
          </w:tcPr>
          <w:p>
            <w:r>
              <w:rPr>
                <w:rFonts w:ascii="Calibri" w:hAnsi="Calibri"/>
                <w:color w:val="333333"/>
                <w:sz w:val="18"/>
              </w:rPr>
              <w:t>Interest Coverage</w:t>
            </w:r>
          </w:p>
        </w:tc>
        <w:tc>
          <w:tcPr>
            <w:tcW w:type="dxa" w:w="5040"/>
            <w:shd w:fill="F2F4F8" w:val="clear"/>
          </w:tcPr>
          <w:p>
            <w:r>
              <w:rPr>
                <w:rFonts w:ascii="Calibri" w:hAnsi="Calibri"/>
                <w:color w:val="333333"/>
                <w:sz w:val="18"/>
              </w:rPr>
              <w:t>-2.0x</w:t>
            </w:r>
          </w:p>
        </w:tc>
      </w:tr>
    </w:tbl>
    <w:p>
      <w:pPr>
        <w:pStyle w:val="DOHeading2"/>
      </w:pPr>
      <w:r>
        <w:t>Distress Indicators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Model</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Zone</w:t>
            </w:r>
          </w:p>
        </w:tc>
        <w:tc>
          <w:tcPr>
            <w:tcW w:type="dxa" w:w="2016"/>
            <w:shd w:fill="1A1446" w:val="clear"/>
          </w:tcPr>
          <w:p>
            <w:r>
              <w:rPr>
                <w:rFonts w:ascii="Calibri" w:hAnsi="Calibri"/>
                <w:b/>
                <w:color w:val="FFFFFF"/>
                <w:sz w:val="18"/>
              </w:rPr>
              <w:t>Trajectory</w:t>
            </w:r>
          </w:p>
        </w:tc>
        <w:tc>
          <w:tcPr>
            <w:tcW w:type="dxa" w:w="2016"/>
            <w:shd w:fill="1A1446" w:val="clear"/>
          </w:tcPr>
          <w:p>
            <w:r>
              <w:rPr>
                <w:rFonts w:ascii="Calibri" w:hAnsi="Calibri"/>
                <w:b/>
                <w:color w:val="FFFFFF"/>
                <w:sz w:val="18"/>
              </w:rPr>
              <w:t>D&amp;O Context</w:t>
            </w:r>
          </w:p>
        </w:tc>
      </w:tr>
      <w:tr>
        <w:tc>
          <w:tcPr>
            <w:tcW w:type="dxa" w:w="2016"/>
          </w:tcPr>
          <w:p>
            <w:r>
              <w:rPr>
                <w:rFonts w:ascii="Calibri" w:hAnsi="Calibri"/>
                <w:color w:val="333333"/>
                <w:sz w:val="18"/>
              </w:rPr>
              <w:t>Altman Z-Score</w:t>
            </w:r>
          </w:p>
        </w:tc>
        <w:tc>
          <w:tcPr>
            <w:tcW w:type="dxa" w:w="2016"/>
          </w:tcPr>
          <w:p>
            <w:r>
              <w:rPr>
                <w:rFonts w:ascii="Calibri" w:hAnsi="Calibri"/>
                <w:color w:val="333333"/>
                <w:sz w:val="18"/>
              </w:rPr>
              <w:t>2.05</w:t>
            </w:r>
          </w:p>
        </w:tc>
        <w:tc>
          <w:tcPr>
            <w:tcW w:type="dxa" w:w="2016"/>
            <w:shd w:fill="FFF3CD" w:val="clear"/>
          </w:tcPr>
          <w:p>
            <w:r>
              <w:rPr>
                <w:rFonts w:ascii="Calibri" w:hAnsi="Calibri"/>
                <w:color w:val="333333"/>
                <w:sz w:val="18"/>
              </w:rPr>
              <w:t>Grey Zone</w:t>
            </w:r>
          </w:p>
        </w:tc>
        <w:tc>
          <w:tcPr>
            <w:tcW w:type="dxa" w:w="2016"/>
          </w:tcPr>
          <w:p>
            <w:r>
              <w:rPr>
                <w:rFonts w:ascii="Calibri" w:hAnsi="Calibri"/>
                <w:color w:val="333333"/>
                <w:sz w:val="18"/>
              </w:rPr>
              <w:t>FY2024: 0.5 -&gt; FY2025: 0.7 (stable)</w:t>
            </w:r>
          </w:p>
        </w:tc>
        <w:tc>
          <w:tcPr>
            <w:tcW w:type="dxa" w:w="2016"/>
          </w:tcPr>
          <w:p>
            <w:r>
              <w:rPr>
                <w:rFonts w:ascii="Calibri" w:hAnsi="Calibri"/>
                <w:color w:val="333333"/>
                <w:sz w:val="18"/>
              </w:rPr>
              <w:t>Bankruptcy predictor. Distress zone companies face fiduciary duty scrutiny under Revlon/zone of insolvency doctrine.</w:t>
            </w:r>
          </w:p>
        </w:tc>
      </w:tr>
      <w:tr>
        <w:tc>
          <w:tcPr>
            <w:tcW w:type="dxa" w:w="2016"/>
            <w:shd w:fill="F2F4F8" w:val="clear"/>
          </w:tcPr>
          <w:p>
            <w:r>
              <w:rPr>
                <w:rFonts w:ascii="Calibri" w:hAnsi="Calibri"/>
                <w:color w:val="333333"/>
                <w:sz w:val="18"/>
              </w:rPr>
              <w:t>Beneish M-Score</w:t>
            </w:r>
          </w:p>
        </w:tc>
        <w:tc>
          <w:tcPr>
            <w:tcW w:type="dxa" w:w="2016"/>
            <w:shd w:fill="F2F4F8" w:val="clear"/>
          </w:tcPr>
          <w:p>
            <w:r>
              <w:rPr>
                <w:rFonts w:ascii="Calibri" w:hAnsi="Calibri"/>
                <w:color w:val="333333"/>
                <w:sz w:val="18"/>
              </w:rPr>
              <w:t>-2.63</w:t>
            </w:r>
          </w:p>
        </w:tc>
        <w:tc>
          <w:tcPr>
            <w:tcW w:type="dxa" w:w="2016"/>
            <w:shd w:fill="F2F4F8" w:val="clear"/>
            <w:shd w:fill="DCEEF8" w:val="clear"/>
          </w:tcPr>
          <w:p>
            <w:r>
              <w:rPr>
                <w:rFonts w:ascii="Calibri" w:hAnsi="Calibri"/>
                <w:color w:val="333333"/>
                <w:sz w:val="18"/>
              </w:rPr>
              <w:t>Safe</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Earnings manipulation detector. Scores above -1.78 indicate elevated restatement risk, a primary SCA catalyst.</w:t>
            </w:r>
          </w:p>
        </w:tc>
      </w:tr>
      <w:tr>
        <w:tc>
          <w:tcPr>
            <w:tcW w:type="dxa" w:w="2016"/>
          </w:tcPr>
          <w:p>
            <w:r>
              <w:rPr>
                <w:rFonts w:ascii="Calibri" w:hAnsi="Calibri"/>
                <w:color w:val="333333"/>
                <w:sz w:val="18"/>
              </w:rPr>
              <w:t>Ohlson O-Score</w:t>
            </w:r>
          </w:p>
        </w:tc>
        <w:tc>
          <w:tcPr>
            <w:tcW w:type="dxa" w:w="2016"/>
          </w:tcPr>
          <w:p>
            <w:r>
              <w:rPr>
                <w:rFonts w:ascii="Calibri" w:hAnsi="Calibri"/>
                <w:color w:val="333333"/>
                <w:sz w:val="18"/>
              </w:rPr>
              <w:t>0.00</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N/A</w:t>
            </w:r>
          </w:p>
        </w:tc>
        <w:tc>
          <w:tcPr>
            <w:tcW w:type="dxa" w:w="2016"/>
          </w:tcPr>
          <w:p>
            <w:r>
              <w:rPr>
                <w:rFonts w:ascii="Calibri" w:hAnsi="Calibri"/>
                <w:color w:val="333333"/>
                <w:sz w:val="18"/>
              </w:rPr>
              <w:t>Bankruptcy probability model. Higher values signal financial stress that may limit litigation defense resources.</w:t>
            </w:r>
          </w:p>
        </w:tc>
      </w:tr>
      <w:tr>
        <w:tc>
          <w:tcPr>
            <w:tcW w:type="dxa" w:w="2016"/>
            <w:shd w:fill="F2F4F8" w:val="clear"/>
          </w:tcPr>
          <w:p>
            <w:r>
              <w:rPr>
                <w:rFonts w:ascii="Calibri" w:hAnsi="Calibri"/>
                <w:color w:val="333333"/>
                <w:sz w:val="18"/>
              </w:rPr>
              <w:t>Piotroski F-Score</w:t>
            </w:r>
          </w:p>
        </w:tc>
        <w:tc>
          <w:tcPr>
            <w:tcW w:type="dxa" w:w="2016"/>
            <w:shd w:fill="F2F4F8" w:val="clear"/>
          </w:tcPr>
          <w:p>
            <w:r>
              <w:rPr>
                <w:rFonts w:ascii="Calibri" w:hAnsi="Calibri"/>
                <w:color w:val="333333"/>
                <w:sz w:val="18"/>
              </w:rPr>
              <w:t>6.00</w:t>
            </w:r>
          </w:p>
        </w:tc>
        <w:tc>
          <w:tcPr>
            <w:tcW w:type="dxa" w:w="2016"/>
            <w:shd w:fill="F2F4F8" w:val="clear"/>
            <w:shd w:fill="FFF3CD" w:val="clear"/>
          </w:tcPr>
          <w:p>
            <w:r>
              <w:rPr>
                <w:rFonts w:ascii="Calibri" w:hAnsi="Calibri"/>
                <w:color w:val="333333"/>
                <w:sz w:val="18"/>
              </w:rPr>
              <w:t>Grey Zone</w:t>
            </w:r>
          </w:p>
        </w:tc>
        <w:tc>
          <w:tcPr>
            <w:tcW w:type="dxa" w:w="2016"/>
            <w:shd w:fill="F2F4F8" w:val="clear"/>
          </w:tcPr>
          <w:p>
            <w:r>
              <w:rPr>
                <w:rFonts w:ascii="Calibri" w:hAnsi="Calibri"/>
                <w:color w:val="333333"/>
                <w:sz w:val="18"/>
              </w:rPr>
              <w:t>6/9 criteria met</w:t>
            </w:r>
          </w:p>
        </w:tc>
        <w:tc>
          <w:tcPr>
            <w:tcW w:type="dxa" w:w="2016"/>
            <w:shd w:fill="F2F4F8" w:val="clear"/>
          </w:tcPr>
          <w:p>
            <w:r>
              <w:rPr>
                <w:rFonts w:ascii="Calibri" w:hAnsi="Calibri"/>
                <w:color w:val="333333"/>
                <w:sz w:val="18"/>
              </w:rPr>
              <w:t>Fundamental quality indicator. Scores 0-3 signal weak fundamentals; 7-9 indicate strong quality.</w:t>
            </w:r>
          </w:p>
        </w:tc>
      </w:tr>
    </w:tbl>
    <w:p>
      <w:pPr>
        <w:pStyle w:val="DOBody"/>
      </w:pPr>
      <w:r>
        <w:t>Leverage context: Ranks at the 0th percentile among 0 peers (peer median: 2.0x).</w:t>
      </w:r>
    </w:p>
    <w:p>
      <w:pPr>
        <w:pStyle w:val="DOHeading2"/>
      </w:pPr>
      <w:r>
        <w:t>Earnings Quality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Metric</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OCF/Net Income</w:t>
            </w:r>
          </w:p>
        </w:tc>
        <w:tc>
          <w:tcPr>
            <w:tcW w:type="dxa" w:w="3360"/>
          </w:tcPr>
          <w:p>
            <w:r>
              <w:rPr>
                <w:rFonts w:ascii="Calibri" w:hAnsi="Calibri"/>
                <w:color w:val="333333"/>
                <w:sz w:val="18"/>
              </w:rPr>
              <w:t>-36.32</w:t>
            </w:r>
          </w:p>
        </w:tc>
        <w:tc>
          <w:tcPr>
            <w:tcW w:type="dxa" w:w="3360"/>
            <w:shd w:fill="FCE8E6" w:val="clear"/>
          </w:tcPr>
          <w:p>
            <w:r>
              <w:rPr>
                <w:rFonts w:ascii="Calibri" w:hAnsi="Calibri"/>
                <w:color w:val="333333"/>
                <w:sz w:val="18"/>
              </w:rPr>
              <w:t>Concern</w:t>
            </w:r>
          </w:p>
        </w:tc>
      </w:tr>
      <w:tr>
        <w:tc>
          <w:tcPr>
            <w:tcW w:type="dxa" w:w="3360"/>
            <w:shd w:fill="F2F4F8" w:val="clear"/>
          </w:tcPr>
          <w:p>
            <w:r>
              <w:rPr>
                <w:rFonts w:ascii="Calibri" w:hAnsi="Calibri"/>
                <w:color w:val="333333"/>
                <w:sz w:val="18"/>
              </w:rPr>
              <w:t>Accruals Ratio</w:t>
            </w:r>
          </w:p>
        </w:tc>
        <w:tc>
          <w:tcPr>
            <w:tcW w:type="dxa" w:w="3360"/>
            <w:shd w:fill="F2F4F8" w:val="clear"/>
          </w:tcPr>
          <w:p>
            <w:r>
              <w:rPr>
                <w:rFonts w:ascii="Calibri" w:hAnsi="Calibri"/>
                <w:color w:val="333333"/>
                <w:sz w:val="18"/>
              </w:rPr>
              <w:t>-0.05</w:t>
            </w:r>
          </w:p>
        </w:tc>
        <w:tc>
          <w:tcPr>
            <w:tcW w:type="dxa" w:w="3360"/>
            <w:shd w:fill="F2F4F8" w:val="clear"/>
            <w:shd w:fill="FFF3CD" w:val="clear"/>
          </w:tcPr>
          <w:p>
            <w:r>
              <w:rPr>
                <w:rFonts w:ascii="Calibri" w:hAnsi="Calibri"/>
                <w:color w:val="333333"/>
                <w:sz w:val="18"/>
              </w:rPr>
              <w:t>Normal</w:t>
            </w:r>
          </w:p>
        </w:tc>
      </w:tr>
    </w:tbl>
    <w:p>
      <w:pPr>
        <w:pStyle w:val="DOCitation"/>
      </w:pPr>
      <w:r>
        <w:t>Source: Derived from XBRL financial statements, MEDIUM confidence</w:t>
      </w:r>
    </w:p>
    <w:p>
      <w:pPr>
        <w:pStyle w:val="DOHeading2"/>
      </w:pPr>
      <w:r>
        <w:t>Audit Risk Assessment</w:t>
      </w:r>
    </w:p>
    <w:p>
      <w:pPr>
        <w:pStyle w:val="DOBody"/>
      </w:pPr>
      <w:r>
        <w:t>Audit Risk: No concerns. Not identified, unqualified opinion.</w:t>
      </w:r>
    </w:p>
    <w:p>
      <w:pPr>
        <w:pStyle w:val="DOHeading2"/>
      </w:pPr>
      <w:r>
        <w:t>Debt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Debt-to-Equity</w:t>
            </w:r>
          </w:p>
        </w:tc>
        <w:tc>
          <w:tcPr>
            <w:tcW w:type="dxa" w:w="5040"/>
          </w:tcPr>
          <w:p>
            <w:r>
              <w:rPr>
                <w:rFonts w:ascii="Calibri" w:hAnsi="Calibri"/>
                <w:color w:val="333333"/>
                <w:sz w:val="18"/>
              </w:rPr>
              <w:t>0.41</w:t>
            </w:r>
          </w:p>
        </w:tc>
      </w:tr>
      <w:tr>
        <w:tc>
          <w:tcPr>
            <w:tcW w:type="dxa" w:w="5040"/>
            <w:shd w:fill="F2F4F8" w:val="clear"/>
          </w:tcPr>
          <w:p>
            <w:r>
              <w:rPr>
                <w:rFonts w:ascii="Calibri" w:hAnsi="Calibri"/>
                <w:color w:val="333333"/>
                <w:sz w:val="18"/>
              </w:rPr>
              <w:t>Debt-to-EBITDA</w:t>
            </w:r>
          </w:p>
        </w:tc>
        <w:tc>
          <w:tcPr>
            <w:tcW w:type="dxa" w:w="5040"/>
            <w:shd w:fill="F2F4F8" w:val="clear"/>
          </w:tcPr>
          <w:p>
            <w:r>
              <w:rPr>
                <w:rFonts w:ascii="Calibri" w:hAnsi="Calibri"/>
                <w:color w:val="333333"/>
                <w:sz w:val="18"/>
              </w:rPr>
              <w:t>5.45</w:t>
            </w:r>
          </w:p>
        </w:tc>
      </w:tr>
      <w:tr>
        <w:tc>
          <w:tcPr>
            <w:tcW w:type="dxa" w:w="5040"/>
          </w:tcPr>
          <w:p>
            <w:r>
              <w:rPr>
                <w:rFonts w:ascii="Calibri" w:hAnsi="Calibri"/>
                <w:color w:val="333333"/>
                <w:sz w:val="18"/>
              </w:rPr>
              <w:t>Interest Coverage</w:t>
            </w:r>
          </w:p>
        </w:tc>
        <w:tc>
          <w:tcPr>
            <w:tcW w:type="dxa" w:w="5040"/>
            <w:shd w:fill="FFF3CD" w:val="clear"/>
          </w:tcPr>
          <w:p>
            <w:r>
              <w:rPr>
                <w:rFonts w:ascii="Calibri" w:hAnsi="Calibri"/>
                <w:color w:val="333333"/>
                <w:sz w:val="18"/>
              </w:rPr>
              <w:t>-2.00</w:t>
            </w:r>
          </w:p>
        </w:tc>
      </w:tr>
    </w:tbl>
    <w:p>
      <w:pPr>
        <w:pStyle w:val="DOHeading3"/>
      </w:pPr>
      <w:r>
        <w:t>Critical Accounting Estimates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Estimate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Effective Tax Rate</w:t>
            </w:r>
          </w:p>
        </w:tc>
        <w:tc>
          <w:tcPr>
            <w:tcW w:type="dxa" w:w="3360"/>
          </w:tcPr>
          <w:p>
            <w:r>
              <w:rPr>
                <w:rFonts w:ascii="Calibri" w:hAnsi="Calibri"/>
                <w:color w:val="333333"/>
                <w:sz w:val="18"/>
              </w:rPr>
              <w:t>98.3%</w:t>
            </w:r>
          </w:p>
        </w:tc>
        <w:tc>
          <w:tcPr>
            <w:tcW w:type="dxa" w:w="3360"/>
          </w:tcPr>
          <w:p>
            <w:r>
              <w:rPr>
                <w:rFonts w:ascii="Calibri" w:hAnsi="Calibri"/>
                <w:color w:val="333333"/>
                <w:sz w:val="18"/>
              </w:rPr>
              <w:t>Above statutory rate</w:t>
            </w:r>
          </w:p>
        </w:tc>
      </w:tr>
    </w:tbl>
    <w:p>
      <w:pPr>
        <w:pStyle w:val="DOHeading2"/>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Revenue</w:t>
            </w:r>
          </w:p>
        </w:tc>
        <w:tc>
          <w:tcPr>
            <w:tcW w:type="dxa" w:w="2016"/>
            <w:shd w:fill="1A1446" w:val="clear"/>
          </w:tcPr>
          <w:p>
            <w:r>
              <w:rPr>
                <w:rFonts w:ascii="Calibri" w:hAnsi="Calibri"/>
                <w:b/>
                <w:color w:val="FFFFFF"/>
                <w:sz w:val="18"/>
              </w:rPr>
              <w:t>Score</w:t>
            </w:r>
          </w:p>
        </w:tc>
      </w:tr>
      <w:tr>
        <w:tc>
          <w:tcPr>
            <w:tcW w:type="dxa" w:w="2016"/>
          </w:tcPr>
          <w:p>
            <w:r>
              <w:rPr>
                <w:rFonts w:ascii="Calibri" w:hAnsi="Calibri"/>
                <w:color w:val="333333"/>
                <w:sz w:val="18"/>
              </w:rPr>
              <w:t>MSFT</w:t>
            </w:r>
          </w:p>
        </w:tc>
        <w:tc>
          <w:tcPr>
            <w:tcW w:type="dxa" w:w="2016"/>
          </w:tcPr>
          <w:p>
            <w:r>
              <w:rPr>
                <w:rFonts w:ascii="Calibri" w:hAnsi="Calibri"/>
                <w:color w:val="333333"/>
                <w:sz w:val="18"/>
              </w:rPr>
              <w:t>Microsoft Corporation</w:t>
            </w:r>
          </w:p>
        </w:tc>
        <w:tc>
          <w:tcPr>
            <w:tcW w:type="dxa" w:w="2016"/>
          </w:tcPr>
          <w:p>
            <w:r>
              <w:rPr>
                <w:rFonts w:ascii="Calibri" w:hAnsi="Calibri"/>
                <w:color w:val="333333"/>
                <w:sz w:val="18"/>
              </w:rPr>
              <w:t>$2.8T</w:t>
            </w:r>
          </w:p>
        </w:tc>
        <w:tc>
          <w:tcPr>
            <w:tcW w:type="dxa" w:w="2016"/>
          </w:tcPr>
          <w:p>
            <w:r>
              <w:rPr>
                <w:rFonts w:ascii="Calibri" w:hAnsi="Calibri"/>
                <w:color w:val="333333"/>
                <w:sz w:val="18"/>
              </w:rPr>
              <w:t>$305.5B</w:t>
            </w:r>
          </w:p>
        </w:tc>
        <w:tc>
          <w:tcPr>
            <w:tcW w:type="dxa" w:w="2016"/>
          </w:tcPr>
          <w:p>
            <w:r>
              <w:rPr>
                <w:rFonts w:ascii="Calibri" w:hAnsi="Calibri"/>
                <w:color w:val="333333"/>
                <w:sz w:val="18"/>
              </w:rPr>
              <w:t>14</w:t>
            </w:r>
          </w:p>
        </w:tc>
      </w:tr>
      <w:tr>
        <w:tc>
          <w:tcPr>
            <w:tcW w:type="dxa" w:w="2016"/>
            <w:shd w:fill="F2F4F8" w:val="clear"/>
          </w:tcPr>
          <w:p>
            <w:r>
              <w:rPr>
                <w:rFonts w:ascii="Calibri" w:hAnsi="Calibri"/>
                <w:color w:val="333333"/>
                <w:sz w:val="18"/>
              </w:rPr>
              <w:t>GOOGL</w:t>
            </w:r>
          </w:p>
        </w:tc>
        <w:tc>
          <w:tcPr>
            <w:tcW w:type="dxa" w:w="2016"/>
            <w:shd w:fill="F2F4F8" w:val="clear"/>
          </w:tcPr>
          <w:p>
            <w:r>
              <w:rPr>
                <w:rFonts w:ascii="Calibri" w:hAnsi="Calibri"/>
                <w:color w:val="333333"/>
                <w:sz w:val="18"/>
              </w:rPr>
              <w:t>Alphabet Inc.</w:t>
            </w:r>
          </w:p>
        </w:tc>
        <w:tc>
          <w:tcPr>
            <w:tcW w:type="dxa" w:w="2016"/>
            <w:shd w:fill="F2F4F8" w:val="clear"/>
          </w:tcPr>
          <w:p>
            <w:r>
              <w:rPr>
                <w:rFonts w:ascii="Calibri" w:hAnsi="Calibri"/>
                <w:color w:val="333333"/>
                <w:sz w:val="18"/>
              </w:rPr>
              <w:t>$3.6T</w:t>
            </w:r>
          </w:p>
        </w:tc>
        <w:tc>
          <w:tcPr>
            <w:tcW w:type="dxa" w:w="2016"/>
            <w:shd w:fill="F2F4F8" w:val="clear"/>
          </w:tcPr>
          <w:p>
            <w:r>
              <w:rPr>
                <w:rFonts w:ascii="Calibri" w:hAnsi="Calibri"/>
                <w:color w:val="333333"/>
                <w:sz w:val="18"/>
              </w:rPr>
              <w:t>$402.8B</w:t>
            </w:r>
          </w:p>
        </w:tc>
        <w:tc>
          <w:tcPr>
            <w:tcW w:type="dxa" w:w="2016"/>
            <w:shd w:fill="F2F4F8" w:val="clear"/>
          </w:tcPr>
          <w:p>
            <w:r>
              <w:rPr>
                <w:rFonts w:ascii="Calibri" w:hAnsi="Calibri"/>
                <w:color w:val="333333"/>
                <w:sz w:val="18"/>
              </w:rPr>
              <w:t>4</w:t>
            </w:r>
          </w:p>
        </w:tc>
      </w:tr>
      <w:tr>
        <w:tc>
          <w:tcPr>
            <w:tcW w:type="dxa" w:w="2016"/>
          </w:tcPr>
          <w:p>
            <w:r>
              <w:rPr>
                <w:rFonts w:ascii="Calibri" w:hAnsi="Calibri"/>
                <w:color w:val="333333"/>
                <w:sz w:val="18"/>
              </w:rPr>
              <w:t>AMZN</w:t>
            </w:r>
          </w:p>
        </w:tc>
        <w:tc>
          <w:tcPr>
            <w:tcW w:type="dxa" w:w="2016"/>
          </w:tcPr>
          <w:p>
            <w:r>
              <w:rPr>
                <w:rFonts w:ascii="Calibri" w:hAnsi="Calibri"/>
                <w:color w:val="333333"/>
                <w:sz w:val="18"/>
              </w:rPr>
              <w:t>Amazon.com, Inc.</w:t>
            </w:r>
          </w:p>
        </w:tc>
        <w:tc>
          <w:tcPr>
            <w:tcW w:type="dxa" w:w="2016"/>
          </w:tcPr>
          <w:p>
            <w:r>
              <w:rPr>
                <w:rFonts w:ascii="Calibri" w:hAnsi="Calibri"/>
                <w:color w:val="333333"/>
                <w:sz w:val="18"/>
              </w:rPr>
              <w:t>$2.3T</w:t>
            </w:r>
          </w:p>
        </w:tc>
        <w:tc>
          <w:tcPr>
            <w:tcW w:type="dxa" w:w="2016"/>
          </w:tcPr>
          <w:p>
            <w:r>
              <w:rPr>
                <w:rFonts w:ascii="Calibri" w:hAnsi="Calibri"/>
                <w:color w:val="333333"/>
                <w:sz w:val="18"/>
              </w:rPr>
              <w:t>$716.9B</w:t>
            </w:r>
          </w:p>
        </w:tc>
        <w:tc>
          <w:tcPr>
            <w:tcW w:type="dxa" w:w="2016"/>
          </w:tcPr>
          <w:p>
            <w:r>
              <w:rPr>
                <w:rFonts w:ascii="Calibri" w:hAnsi="Calibri"/>
                <w:color w:val="333333"/>
                <w:sz w:val="18"/>
              </w:rPr>
              <w:t>3</w:t>
            </w:r>
          </w:p>
        </w:tc>
      </w:tr>
      <w:tr>
        <w:tc>
          <w:tcPr>
            <w:tcW w:type="dxa" w:w="2016"/>
            <w:shd w:fill="F2F4F8" w:val="clear"/>
          </w:tcPr>
          <w:p>
            <w:r>
              <w:rPr>
                <w:rFonts w:ascii="Calibri" w:hAnsi="Calibri"/>
                <w:color w:val="333333"/>
                <w:sz w:val="18"/>
              </w:rPr>
              <w:t>META</w:t>
            </w:r>
          </w:p>
        </w:tc>
        <w:tc>
          <w:tcPr>
            <w:tcW w:type="dxa" w:w="2016"/>
            <w:shd w:fill="F2F4F8" w:val="clear"/>
          </w:tcPr>
          <w:p>
            <w:r>
              <w:rPr>
                <w:rFonts w:ascii="Calibri" w:hAnsi="Calibri"/>
                <w:color w:val="333333"/>
                <w:sz w:val="18"/>
              </w:rPr>
              <w:t>Meta Platforms, Inc.</w:t>
            </w:r>
          </w:p>
        </w:tc>
        <w:tc>
          <w:tcPr>
            <w:tcW w:type="dxa" w:w="2016"/>
            <w:shd w:fill="F2F4F8" w:val="clear"/>
          </w:tcPr>
          <w:p>
            <w:r>
              <w:rPr>
                <w:rFonts w:ascii="Calibri" w:hAnsi="Calibri"/>
                <w:color w:val="333333"/>
                <w:sz w:val="18"/>
              </w:rPr>
              <w:t>$1.5T</w:t>
            </w:r>
          </w:p>
        </w:tc>
        <w:tc>
          <w:tcPr>
            <w:tcW w:type="dxa" w:w="2016"/>
            <w:shd w:fill="F2F4F8" w:val="clear"/>
          </w:tcPr>
          <w:p>
            <w:r>
              <w:rPr>
                <w:rFonts w:ascii="Calibri" w:hAnsi="Calibri"/>
                <w:color w:val="333333"/>
                <w:sz w:val="18"/>
              </w:rPr>
              <w:t>$201.0B</w:t>
            </w:r>
          </w:p>
        </w:tc>
        <w:tc>
          <w:tcPr>
            <w:tcW w:type="dxa" w:w="2016"/>
            <w:shd w:fill="F2F4F8" w:val="clear"/>
          </w:tcPr>
          <w:p>
            <w:r>
              <w:rPr>
                <w:rFonts w:ascii="Calibri" w:hAnsi="Calibri"/>
                <w:color w:val="333333"/>
                <w:sz w:val="18"/>
              </w:rPr>
              <w:t>5</w:t>
            </w:r>
          </w:p>
        </w:tc>
      </w:tr>
      <w:tr>
        <w:tc>
          <w:tcPr>
            <w:tcW w:type="dxa" w:w="2016"/>
          </w:tcPr>
          <w:p>
            <w:r>
              <w:rPr>
                <w:rFonts w:ascii="Calibri" w:hAnsi="Calibri"/>
                <w:color w:val="333333"/>
                <w:sz w:val="18"/>
              </w:rPr>
              <w:t>NVDA</w:t>
            </w:r>
          </w:p>
        </w:tc>
        <w:tc>
          <w:tcPr>
            <w:tcW w:type="dxa" w:w="2016"/>
          </w:tcPr>
          <w:p>
            <w:r>
              <w:rPr>
                <w:rFonts w:ascii="Calibri" w:hAnsi="Calibri"/>
                <w:color w:val="333333"/>
                <w:sz w:val="18"/>
              </w:rPr>
              <w:t>NVIDIA Corporation</w:t>
            </w:r>
          </w:p>
        </w:tc>
        <w:tc>
          <w:tcPr>
            <w:tcW w:type="dxa" w:w="2016"/>
          </w:tcPr>
          <w:p>
            <w:r>
              <w:rPr>
                <w:rFonts w:ascii="Calibri" w:hAnsi="Calibri"/>
                <w:color w:val="333333"/>
                <w:sz w:val="18"/>
              </w:rPr>
              <w:t>$4.3T</w:t>
            </w:r>
          </w:p>
        </w:tc>
        <w:tc>
          <w:tcPr>
            <w:tcW w:type="dxa" w:w="2016"/>
          </w:tcPr>
          <w:p>
            <w:r>
              <w:rPr>
                <w:rFonts w:ascii="Calibri" w:hAnsi="Calibri"/>
                <w:color w:val="333333"/>
                <w:sz w:val="18"/>
              </w:rPr>
              <w:t>$215.9B</w:t>
            </w:r>
          </w:p>
        </w:tc>
        <w:tc>
          <w:tcPr>
            <w:tcW w:type="dxa" w:w="2016"/>
          </w:tcPr>
          <w:p>
            <w:r>
              <w:rPr>
                <w:rFonts w:ascii="Calibri" w:hAnsi="Calibri"/>
                <w:color w:val="333333"/>
                <w:sz w:val="18"/>
              </w:rPr>
              <w:t>27</w:t>
            </w:r>
          </w:p>
        </w:tc>
      </w:tr>
      <w:tr>
        <w:tc>
          <w:tcPr>
            <w:tcW w:type="dxa" w:w="2016"/>
            <w:shd w:fill="F2F4F8" w:val="clear"/>
          </w:tcPr>
          <w:p>
            <w:r>
              <w:rPr>
                <w:rFonts w:ascii="Calibri" w:hAnsi="Calibri"/>
                <w:color w:val="333333"/>
                <w:sz w:val="18"/>
              </w:rPr>
              <w:t>CRM</w:t>
            </w:r>
          </w:p>
        </w:tc>
        <w:tc>
          <w:tcPr>
            <w:tcW w:type="dxa" w:w="2016"/>
            <w:shd w:fill="F2F4F8" w:val="clear"/>
          </w:tcPr>
          <w:p>
            <w:r>
              <w:rPr>
                <w:rFonts w:ascii="Calibri" w:hAnsi="Calibri"/>
                <w:color w:val="333333"/>
                <w:sz w:val="18"/>
              </w:rPr>
              <w:t>Salesforce, Inc.</w:t>
            </w:r>
          </w:p>
        </w:tc>
        <w:tc>
          <w:tcPr>
            <w:tcW w:type="dxa" w:w="2016"/>
            <w:shd w:fill="F2F4F8" w:val="clear"/>
          </w:tcPr>
          <w:p>
            <w:r>
              <w:rPr>
                <w:rFonts w:ascii="Calibri" w:hAnsi="Calibri"/>
                <w:color w:val="333333"/>
                <w:sz w:val="18"/>
              </w:rPr>
              <w:t>$175.4B</w:t>
            </w:r>
          </w:p>
        </w:tc>
        <w:tc>
          <w:tcPr>
            <w:tcW w:type="dxa" w:w="2016"/>
            <w:shd w:fill="F2F4F8" w:val="clear"/>
          </w:tcPr>
          <w:p>
            <w:r>
              <w:rPr>
                <w:rFonts w:ascii="Calibri" w:hAnsi="Calibri"/>
                <w:color w:val="333333"/>
                <w:sz w:val="18"/>
              </w:rPr>
              <w:t>$41.5B</w:t>
            </w:r>
          </w:p>
        </w:tc>
        <w:tc>
          <w:tcPr>
            <w:tcW w:type="dxa" w:w="2016"/>
            <w:shd w:fill="F2F4F8" w:val="clear"/>
          </w:tcPr>
          <w:p>
            <w:r>
              <w:rPr>
                <w:rFonts w:ascii="Calibri" w:hAnsi="Calibri"/>
                <w:color w:val="333333"/>
                <w:sz w:val="18"/>
              </w:rPr>
              <w:t>34</w:t>
            </w:r>
          </w:p>
        </w:tc>
      </w:tr>
      <w:tr>
        <w:tc>
          <w:tcPr>
            <w:tcW w:type="dxa" w:w="2016"/>
          </w:tcPr>
          <w:p>
            <w:r>
              <w:rPr>
                <w:rFonts w:ascii="Calibri" w:hAnsi="Calibri"/>
                <w:color w:val="333333"/>
                <w:sz w:val="18"/>
              </w:rPr>
              <w:t>ADBE</w:t>
            </w:r>
          </w:p>
        </w:tc>
        <w:tc>
          <w:tcPr>
            <w:tcW w:type="dxa" w:w="2016"/>
          </w:tcPr>
          <w:p>
            <w:r>
              <w:rPr>
                <w:rFonts w:ascii="Calibri" w:hAnsi="Calibri"/>
                <w:color w:val="333333"/>
                <w:sz w:val="18"/>
              </w:rPr>
              <w:t>Adobe Inc.</w:t>
            </w:r>
          </w:p>
        </w:tc>
        <w:tc>
          <w:tcPr>
            <w:tcW w:type="dxa" w:w="2016"/>
          </w:tcPr>
          <w:p>
            <w:r>
              <w:rPr>
                <w:rFonts w:ascii="Calibri" w:hAnsi="Calibri"/>
                <w:color w:val="333333"/>
                <w:sz w:val="18"/>
              </w:rPr>
              <w:t>$99.0B</w:t>
            </w:r>
          </w:p>
        </w:tc>
        <w:tc>
          <w:tcPr>
            <w:tcW w:type="dxa" w:w="2016"/>
          </w:tcPr>
          <w:p>
            <w:r>
              <w:rPr>
                <w:rFonts w:ascii="Calibri" w:hAnsi="Calibri"/>
                <w:color w:val="333333"/>
                <w:sz w:val="18"/>
              </w:rPr>
              <w:t>$24.5B</w:t>
            </w:r>
          </w:p>
        </w:tc>
        <w:tc>
          <w:tcPr>
            <w:tcW w:type="dxa" w:w="2016"/>
          </w:tcPr>
          <w:p>
            <w:r>
              <w:rPr>
                <w:rFonts w:ascii="Calibri" w:hAnsi="Calibri"/>
                <w:color w:val="333333"/>
                <w:sz w:val="18"/>
              </w:rPr>
              <w:t>18</w:t>
            </w:r>
          </w:p>
        </w:tc>
      </w:tr>
      <w:tr>
        <w:tc>
          <w:tcPr>
            <w:tcW w:type="dxa" w:w="2016"/>
            <w:shd w:fill="F2F4F8" w:val="clear"/>
          </w:tcPr>
          <w:p>
            <w:r>
              <w:rPr>
                <w:rFonts w:ascii="Calibri" w:hAnsi="Calibri"/>
                <w:color w:val="333333"/>
                <w:sz w:val="18"/>
              </w:rPr>
              <w:t>ORCL</w:t>
            </w:r>
          </w:p>
        </w:tc>
        <w:tc>
          <w:tcPr>
            <w:tcW w:type="dxa" w:w="2016"/>
            <w:shd w:fill="F2F4F8" w:val="clear"/>
          </w:tcPr>
          <w:p>
            <w:r>
              <w:rPr>
                <w:rFonts w:ascii="Calibri" w:hAnsi="Calibri"/>
                <w:color w:val="333333"/>
                <w:sz w:val="18"/>
              </w:rPr>
              <w:t>Oracle Corporation</w:t>
            </w:r>
          </w:p>
        </w:tc>
        <w:tc>
          <w:tcPr>
            <w:tcW w:type="dxa" w:w="2016"/>
            <w:shd w:fill="F2F4F8" w:val="clear"/>
          </w:tcPr>
          <w:p>
            <w:r>
              <w:rPr>
                <w:rFonts w:ascii="Calibri" w:hAnsi="Calibri"/>
                <w:color w:val="333333"/>
                <w:sz w:val="18"/>
              </w:rPr>
              <w:t>$421.0B</w:t>
            </w:r>
          </w:p>
        </w:tc>
        <w:tc>
          <w:tcPr>
            <w:tcW w:type="dxa" w:w="2016"/>
            <w:shd w:fill="F2F4F8" w:val="clear"/>
          </w:tcPr>
          <w:p>
            <w:r>
              <w:rPr>
                <w:rFonts w:ascii="Calibri" w:hAnsi="Calibri"/>
                <w:color w:val="333333"/>
                <w:sz w:val="18"/>
              </w:rPr>
              <w:t>$64.1B</w:t>
            </w:r>
          </w:p>
        </w:tc>
        <w:tc>
          <w:tcPr>
            <w:tcW w:type="dxa" w:w="2016"/>
            <w:shd w:fill="F2F4F8" w:val="clear"/>
          </w:tcPr>
          <w:p>
            <w:r>
              <w:rPr>
                <w:rFonts w:ascii="Calibri" w:hAnsi="Calibri"/>
                <w:color w:val="333333"/>
                <w:sz w:val="18"/>
              </w:rPr>
              <w:t>30</w:t>
            </w:r>
          </w:p>
        </w:tc>
      </w:tr>
      <w:tr>
        <w:tc>
          <w:tcPr>
            <w:tcW w:type="dxa" w:w="2016"/>
          </w:tcPr>
          <w:p>
            <w:r>
              <w:rPr>
                <w:rFonts w:ascii="Calibri" w:hAnsi="Calibri"/>
                <w:color w:val="333333"/>
                <w:sz w:val="18"/>
              </w:rPr>
              <w:t>CSCO</w:t>
            </w:r>
          </w:p>
        </w:tc>
        <w:tc>
          <w:tcPr>
            <w:tcW w:type="dxa" w:w="2016"/>
          </w:tcPr>
          <w:p>
            <w:r>
              <w:rPr>
                <w:rFonts w:ascii="Calibri" w:hAnsi="Calibri"/>
                <w:color w:val="333333"/>
                <w:sz w:val="18"/>
              </w:rPr>
              <w:t>Cisco Systems, Inc.</w:t>
            </w:r>
          </w:p>
        </w:tc>
        <w:tc>
          <w:tcPr>
            <w:tcW w:type="dxa" w:w="2016"/>
          </w:tcPr>
          <w:p>
            <w:r>
              <w:rPr>
                <w:rFonts w:ascii="Calibri" w:hAnsi="Calibri"/>
                <w:color w:val="333333"/>
                <w:sz w:val="18"/>
              </w:rPr>
              <w:t>$312.2B</w:t>
            </w:r>
          </w:p>
        </w:tc>
        <w:tc>
          <w:tcPr>
            <w:tcW w:type="dxa" w:w="2016"/>
          </w:tcPr>
          <w:p>
            <w:r>
              <w:rPr>
                <w:rFonts w:ascii="Calibri" w:hAnsi="Calibri"/>
                <w:color w:val="333333"/>
                <w:sz w:val="18"/>
              </w:rPr>
              <w:t>$59.1B</w:t>
            </w:r>
          </w:p>
        </w:tc>
        <w:tc>
          <w:tcPr>
            <w:tcW w:type="dxa" w:w="2016"/>
          </w:tcPr>
          <w:p>
            <w:r>
              <w:rPr>
                <w:rFonts w:ascii="Calibri" w:hAnsi="Calibri"/>
                <w:color w:val="333333"/>
                <w:sz w:val="18"/>
              </w:rPr>
              <w:t>43</w:t>
            </w:r>
          </w:p>
        </w:tc>
      </w:tr>
    </w:tbl>
    <w:p>
      <w:pPr>
        <w:pStyle w:val="DOBody"/>
      </w:pPr>
      <w:r>
        <w:t>Revenue: Ranks at the 22nd percentile among 9 peers. Leverage: Ranks at the 0th percentile among 0 peers (peer median: 2.0x).</w:t>
      </w:r>
    </w:p>
    <w:p>
      <w:pPr>
        <w:pStyle w:val="DOCaption"/>
      </w:pPr>
      <w:r>
        <w:t>Method: Multi-signal composite: SIC 25%, industry 20%, market cap 25%, revenue 15%, description 15%</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The board is skeletal with only one director, Mr. Lip-Bu Tan, which precludes an independent majority and eliminates the possibility of audit, compensation, or nominating committees. CEO/Chair duality is entrenched under Pat Gelsinger, concentrating all strategic authority without a counterbalance, a structure flagged in 7 of 90 governance checks. A 72% say-on-pay vote is a glaring rebuke for a company of Intel's stature, directly challenging the compensation committee's judgment on the CEO's $3.8 million package and signaling high litigation risk over pay disclosures. The entire 5-person C-suite, from CFO Enterprise Operations to CLO Michelle Johnston, averages just one year in their roles, indicating profound operational and legal turnover at a critical inflection point. This governance vacuum creates a textbook Caremark scenario where a lack of board-level controls overhauls operational missteps into fiduciary breaches, given only one director exists to monitor risk. The derivative action risk is severe, as any strategic stumble in the foundry pivot will face immediate scrutiny of this flawed oversight structure, given the board's 1-director composition cannot demonstrate informed oversight. Duty of candor exposures are acute in proxy disclosures attempting to justify both the single-director board and the contested 72% say-on-pay outcome. Underwriting this requires pricing for the inevitability of a shareholder challenge targeting the board's very capacity to exercise its duty of oversight with only one director.</w:t>
      </w:r>
    </w:p>
    <w:p>
      <w:pPr>
        <w:pStyle w:val="DOHeading1"/>
      </w:pPr>
      <w:r>
        <w:t>Section 5: Governance &amp; Leadership</w:t>
      </w:r>
    </w:p>
    <w:p>
      <w:pPr>
        <w:pStyle w:val="DOBody"/>
      </w:pPr>
      <w:r>
        <w:rPr>
          <w:rFonts w:ascii="Calibri" w:hAnsi="Calibri"/>
          <w:color w:val="333333"/>
          <w:sz w:val="20"/>
        </w:rPr>
        <w:t>Leadership team is stable with average tenure of 1.0 years. Compensation concerns include: elevated CEO pay ratio (812:1). Dual-class share structure concentrates voting control.</w:t>
      </w:r>
      <w:r>
        <w:rPr>
          <w:rFonts w:ascii="Consolas" w:hAnsi="Consolas"/>
          <w:color w:val="666666"/>
          <w:sz w:val="16"/>
        </w:rPr>
        <w:t xml:space="preserve">  [Rule-based synthesis of governance extraction results, 2026-04-02, LOW]</w:t>
      </w:r>
    </w:p>
    <w:p>
      <w:pPr>
        <w:pStyle w:val="DOHeading2"/>
      </w:pPr>
      <w:r>
        <w:t>Leadership Stability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Title</w:t>
            </w:r>
          </w:p>
        </w:tc>
        <w:tc>
          <w:tcPr>
            <w:tcW w:type="dxa" w:w="1680"/>
            <w:shd w:fill="1A1446" w:val="clear"/>
          </w:tcPr>
          <w:p>
            <w:r>
              <w:rPr>
                <w:rFonts w:ascii="Calibri" w:hAnsi="Calibri"/>
                <w:b/>
                <w:color w:val="FFFFFF"/>
                <w:sz w:val="18"/>
              </w:rPr>
              <w:t>Tenure (Yrs)</w:t>
            </w:r>
          </w:p>
        </w:tc>
        <w:tc>
          <w:tcPr>
            <w:tcW w:type="dxa" w:w="1680"/>
            <w:shd w:fill="1A1446" w:val="clear"/>
          </w:tcPr>
          <w:p>
            <w:r>
              <w:rPr>
                <w:rFonts w:ascii="Calibri" w:hAnsi="Calibri"/>
                <w:b/>
                <w:color w:val="FFFFFF"/>
                <w:sz w:val="18"/>
              </w:rPr>
              <w:t>Status</w:t>
            </w:r>
          </w:p>
        </w:tc>
        <w:tc>
          <w:tcPr>
            <w:tcW w:type="dxa" w:w="1680"/>
            <w:shd w:fill="1A1446" w:val="clear"/>
          </w:tcPr>
          <w:p>
            <w:r>
              <w:rPr>
                <w:rFonts w:ascii="Calibri" w:hAnsi="Calibri"/>
                <w:b/>
                <w:color w:val="FFFFFF"/>
                <w:sz w:val="18"/>
              </w:rPr>
              <w:t>Prior Lit.</w:t>
            </w:r>
          </w:p>
        </w:tc>
        <w:tc>
          <w:tcPr>
            <w:tcW w:type="dxa" w:w="1680"/>
            <w:shd w:fill="1A1446" w:val="clear"/>
          </w:tcPr>
          <w:p>
            <w:r>
              <w:rPr>
                <w:rFonts w:ascii="Calibri" w:hAnsi="Calibri"/>
                <w:b/>
                <w:color w:val="FFFFFF"/>
                <w:sz w:val="18"/>
              </w:rPr>
              <w:t>Flags</w:t>
            </w:r>
          </w:p>
        </w:tc>
      </w:tr>
      <w:tr>
        <w:tc>
          <w:tcPr>
            <w:tcW w:type="dxa" w:w="1680"/>
          </w:tcPr>
          <w:p>
            <w:r>
              <w:rPr>
                <w:rFonts w:ascii="Calibri" w:hAnsi="Calibri"/>
                <w:color w:val="333333"/>
                <w:sz w:val="18"/>
              </w:rPr>
              <w:t>Enterprise Operations</w:t>
            </w:r>
          </w:p>
        </w:tc>
        <w:tc>
          <w:tcPr>
            <w:tcW w:type="dxa" w:w="1680"/>
          </w:tcPr>
          <w:p>
            <w:r>
              <w:rPr>
                <w:rFonts w:ascii="Calibri" w:hAnsi="Calibri"/>
                <w:color w:val="333333"/>
                <w:sz w:val="18"/>
              </w:rPr>
              <w:t>CFO</w:t>
            </w:r>
          </w:p>
        </w:tc>
        <w:tc>
          <w:tcPr>
            <w:tcW w:type="dxa" w:w="1680"/>
          </w:tcPr>
          <w:p>
            <w:r>
              <w:rPr>
                <w:rFonts w:ascii="Calibri" w:hAnsi="Calibri"/>
                <w:color w:val="333333"/>
                <w:sz w:val="18"/>
              </w:rPr>
              <w:t>1.0</w:t>
            </w:r>
          </w:p>
        </w:tc>
        <w:tc>
          <w:tcPr>
            <w:tcW w:type="dxa" w:w="1680"/>
          </w:tcPr>
          <w:p>
            <w:r>
              <w:rPr>
                <w:rFonts w:ascii="Calibri" w:hAnsi="Calibri"/>
                <w:color w:val="333333"/>
                <w:sz w:val="18"/>
              </w:rPr>
              <w:t>ACTIVE</w:t>
            </w:r>
          </w:p>
        </w:tc>
        <w:tc>
          <w:tcPr>
            <w:tcW w:type="dxa" w:w="1680"/>
          </w:tcPr>
          <w:p>
            <w:r>
              <w:rPr>
                <w:rFonts w:ascii="Calibri" w:hAnsi="Calibri"/>
                <w:color w:val="333333"/>
                <w:sz w:val="18"/>
              </w:rPr>
              <w:t>2</w:t>
            </w:r>
          </w:p>
        </w:tc>
        <w:tc>
          <w:tcPr>
            <w:tcW w:type="dxa" w:w="1680"/>
          </w:tcPr>
          <w:p>
            <w:r>
              <w:rPr>
                <w:rFonts w:ascii="Calibri" w:hAnsi="Calibri"/>
                <w:color w:val="333333"/>
                <w:sz w:val="18"/>
              </w:rPr>
              <w:t>None</w:t>
            </w:r>
          </w:p>
        </w:tc>
      </w:tr>
      <w:tr>
        <w:tc>
          <w:tcPr>
            <w:tcW w:type="dxa" w:w="1680"/>
            <w:shd w:fill="F2F4F8" w:val="clear"/>
          </w:tcPr>
          <w:p>
            <w:r>
              <w:rPr>
                <w:rFonts w:ascii="Calibri" w:hAnsi="Calibri"/>
                <w:color w:val="333333"/>
                <w:sz w:val="18"/>
              </w:rPr>
              <w:t>Lenovo Em</w:t>
            </w:r>
          </w:p>
        </w:tc>
        <w:tc>
          <w:tcPr>
            <w:tcW w:type="dxa" w:w="1680"/>
            <w:shd w:fill="F2F4F8" w:val="clear"/>
          </w:tcPr>
          <w:p>
            <w:r>
              <w:rPr>
                <w:rFonts w:ascii="Calibri" w:hAnsi="Calibri"/>
                <w:color w:val="333333"/>
                <w:sz w:val="18"/>
              </w:rPr>
              <w:t>COO</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ACTIVE</w:t>
            </w:r>
          </w:p>
        </w:tc>
        <w:tc>
          <w:tcPr>
            <w:tcW w:type="dxa" w:w="1680"/>
            <w:shd w:fill="F2F4F8" w:val="clear"/>
          </w:tcPr>
          <w:p>
            <w:r>
              <w:rPr>
                <w:rFonts w:ascii="Calibri" w:hAnsi="Calibri"/>
                <w:color w:val="333333"/>
                <w:sz w:val="18"/>
              </w:rPr>
              <w:t>85</w:t>
            </w:r>
          </w:p>
        </w:tc>
        <w:tc>
          <w:tcPr>
            <w:tcW w:type="dxa" w:w="1680"/>
            <w:shd w:fill="F2F4F8" w:val="clear"/>
          </w:tcPr>
          <w:p>
            <w:r>
              <w:rPr>
                <w:rFonts w:ascii="Calibri" w:hAnsi="Calibri"/>
                <w:color w:val="333333"/>
                <w:sz w:val="18"/>
              </w:rPr>
              <w:t>None</w:t>
            </w:r>
          </w:p>
        </w:tc>
      </w:tr>
      <w:tr>
        <w:tc>
          <w:tcPr>
            <w:tcW w:type="dxa" w:w="1680"/>
          </w:tcPr>
          <w:p>
            <w:r>
              <w:rPr>
                <w:rFonts w:ascii="Calibri" w:hAnsi="Calibri"/>
                <w:color w:val="333333"/>
                <w:sz w:val="18"/>
              </w:rPr>
              <w:t>Michelle Johnston</w:t>
            </w:r>
          </w:p>
        </w:tc>
        <w:tc>
          <w:tcPr>
            <w:tcW w:type="dxa" w:w="1680"/>
          </w:tcPr>
          <w:p>
            <w:r>
              <w:rPr>
                <w:rFonts w:ascii="Calibri" w:hAnsi="Calibri"/>
                <w:color w:val="333333"/>
                <w:sz w:val="18"/>
              </w:rPr>
              <w:t>CLO</w:t>
            </w:r>
          </w:p>
        </w:tc>
        <w:tc>
          <w:tcPr>
            <w:tcW w:type="dxa" w:w="1680"/>
          </w:tcPr>
          <w:p>
            <w:r>
              <w:rPr>
                <w:rFonts w:ascii="Calibri" w:hAnsi="Calibri"/>
                <w:color w:val="333333"/>
                <w:sz w:val="18"/>
              </w:rPr>
              <w:t>1.0</w:t>
            </w:r>
          </w:p>
        </w:tc>
        <w:tc>
          <w:tcPr>
            <w:tcW w:type="dxa" w:w="1680"/>
          </w:tcPr>
          <w:p>
            <w:r>
              <w:rPr>
                <w:rFonts w:ascii="Calibri" w:hAnsi="Calibri"/>
                <w:color w:val="333333"/>
                <w:sz w:val="18"/>
              </w:rPr>
              <w:t>ACTIVE</w:t>
            </w:r>
          </w:p>
        </w:tc>
        <w:tc>
          <w:tcPr>
            <w:tcW w:type="dxa" w:w="1680"/>
          </w:tcPr>
          <w:p>
            <w:r>
              <w:rPr>
                <w:rFonts w:ascii="Calibri" w:hAnsi="Calibri"/>
                <w:color w:val="333333"/>
                <w:sz w:val="18"/>
              </w:rPr>
              <w:t>0</w:t>
            </w:r>
          </w:p>
        </w:tc>
        <w:tc>
          <w:tcPr>
            <w:tcW w:type="dxa" w:w="1680"/>
          </w:tcPr>
          <w:p>
            <w:r>
              <w:rPr>
                <w:rFonts w:ascii="Calibri" w:hAnsi="Calibri"/>
                <w:color w:val="333333"/>
                <w:sz w:val="18"/>
              </w:rPr>
              <w:t>None</w:t>
            </w:r>
          </w:p>
        </w:tc>
      </w:tr>
      <w:tr>
        <w:tc>
          <w:tcPr>
            <w:tcW w:type="dxa" w:w="1680"/>
            <w:shd w:fill="F2F4F8" w:val="clear"/>
          </w:tcPr>
          <w:p>
            <w:r>
              <w:rPr>
                <w:rFonts w:ascii="Calibri" w:hAnsi="Calibri"/>
                <w:color w:val="333333"/>
                <w:sz w:val="18"/>
              </w:rPr>
              <w:t>Plume Wi</w:t>
            </w:r>
          </w:p>
        </w:tc>
        <w:tc>
          <w:tcPr>
            <w:tcW w:type="dxa" w:w="1680"/>
            <w:shd w:fill="F2F4F8" w:val="clear"/>
          </w:tcPr>
          <w:p>
            <w:r>
              <w:rPr>
                <w:rFonts w:ascii="Calibri" w:hAnsi="Calibri"/>
                <w:color w:val="333333"/>
                <w:sz w:val="18"/>
              </w:rPr>
              <w:t>CTO</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ACTIVE</w:t>
            </w:r>
          </w:p>
        </w:tc>
        <w:tc>
          <w:tcPr>
            <w:tcW w:type="dxa" w:w="1680"/>
            <w:shd w:fill="F2F4F8" w:val="clear"/>
          </w:tcPr>
          <w:p>
            <w:r>
              <w:rPr>
                <w:rFonts w:ascii="Calibri" w:hAnsi="Calibri"/>
                <w:color w:val="333333"/>
                <w:sz w:val="18"/>
              </w:rPr>
              <w:t>42</w:t>
            </w:r>
          </w:p>
        </w:tc>
        <w:tc>
          <w:tcPr>
            <w:tcW w:type="dxa" w:w="1680"/>
            <w:shd w:fill="F2F4F8" w:val="clear"/>
          </w:tcPr>
          <w:p>
            <w:r>
              <w:rPr>
                <w:rFonts w:ascii="Calibri" w:hAnsi="Calibri"/>
                <w:color w:val="333333"/>
                <w:sz w:val="18"/>
              </w:rPr>
              <w:t>None</w:t>
            </w:r>
          </w:p>
        </w:tc>
      </w:tr>
      <w:tr>
        <w:tc>
          <w:tcPr>
            <w:tcW w:type="dxa" w:w="1680"/>
          </w:tcPr>
          <w:p>
            <w:r>
              <w:rPr>
                <w:rFonts w:ascii="Calibri" w:hAnsi="Calibri"/>
                <w:color w:val="333333"/>
                <w:sz w:val="18"/>
              </w:rPr>
              <w:t>Stacy J. Smith</w:t>
            </w:r>
          </w:p>
        </w:tc>
        <w:tc>
          <w:tcPr>
            <w:tcW w:type="dxa" w:w="1680"/>
          </w:tcPr>
          <w:p>
            <w:r>
              <w:rPr>
                <w:rFonts w:ascii="Calibri" w:hAnsi="Calibri"/>
                <w:color w:val="333333"/>
                <w:sz w:val="18"/>
              </w:rPr>
              <w:t>President</w:t>
            </w:r>
          </w:p>
        </w:tc>
        <w:tc>
          <w:tcPr>
            <w:tcW w:type="dxa" w:w="1680"/>
          </w:tcPr>
          <w:p>
            <w:r>
              <w:rPr>
                <w:rFonts w:ascii="Calibri" w:hAnsi="Calibri"/>
                <w:color w:val="333333"/>
                <w:sz w:val="18"/>
              </w:rPr>
              <w:t>1.0</w:t>
            </w:r>
          </w:p>
        </w:tc>
        <w:tc>
          <w:tcPr>
            <w:tcW w:type="dxa" w:w="1680"/>
          </w:tcPr>
          <w:p>
            <w:r>
              <w:rPr>
                <w:rFonts w:ascii="Calibri" w:hAnsi="Calibri"/>
                <w:color w:val="333333"/>
                <w:sz w:val="18"/>
              </w:rPr>
              <w:t>ACTIVE</w:t>
            </w:r>
          </w:p>
        </w:tc>
        <w:tc>
          <w:tcPr>
            <w:tcW w:type="dxa" w:w="1680"/>
          </w:tcPr>
          <w:p>
            <w:r>
              <w:rPr>
                <w:rFonts w:ascii="Calibri" w:hAnsi="Calibri"/>
                <w:color w:val="333333"/>
                <w:sz w:val="18"/>
              </w:rPr>
              <w:t>0</w:t>
            </w:r>
          </w:p>
        </w:tc>
        <w:tc>
          <w:tcPr>
            <w:tcW w:type="dxa" w:w="1680"/>
          </w:tcPr>
          <w:p>
            <w:r>
              <w:rPr>
                <w:rFonts w:ascii="Calibri" w:hAnsi="Calibri"/>
                <w:color w:val="333333"/>
                <w:sz w:val="18"/>
              </w:rPr>
              <w:t>None</w:t>
            </w:r>
          </w:p>
        </w:tc>
      </w:tr>
    </w:tbl>
    <w:p>
      <w:pPr>
        <w:pStyle w:val="DOBody"/>
      </w:pPr>
      <w:r>
        <w:rPr>
          <w:i/>
          <w:sz w:val="16"/>
        </w:rPr>
        <w:t>D&amp;O Context (Enterprise Operations, 2 prior case(s)):  triggered Any Officer With Prior Litigation at Previous Company (F9) — this host risk (company-level characteristics that attract or deter D&amp;O claims) indicates SEC Enforcement / Regulatory Compliance. Evidence: Boolean check: True condition met.</w:t>
      </w:r>
      <w:r>
        <w:rPr>
          <w:b/>
          <w:color w:val="EAB308"/>
          <w:sz w:val="18"/>
        </w:rPr>
        <w:t xml:space="preserve"> [ELEVATED]</w:t>
      </w:r>
    </w:p>
    <w:p>
      <w:pPr>
        <w:pStyle w:val="DOBody"/>
      </w:pPr>
      <w:r>
        <w:rPr>
          <w:i/>
          <w:sz w:val="16"/>
        </w:rPr>
        <w:t>D&amp;O Context (Lenovo Em, 85 prior case(s)):  triggered Any Officer With Prior Litigation at Previous Company (F9) — this host risk (company-level characteristics that attract or deter D&amp;O claims) indicates SEC Enforcement / Regulatory Compliance. Evidence: Boolean check: True condition met.</w:t>
      </w:r>
      <w:r>
        <w:rPr>
          <w:b/>
          <w:color w:val="EAB308"/>
          <w:sz w:val="18"/>
        </w:rPr>
        <w:t xml:space="preserve"> [ELEVATED]</w:t>
      </w:r>
    </w:p>
    <w:p>
      <w:pPr>
        <w:pStyle w:val="DOBody"/>
      </w:pPr>
      <w:r>
        <w:rPr>
          <w:i/>
          <w:sz w:val="16"/>
        </w:rPr>
        <w:t>D&amp;O Context (Plume Wi, 42 prior case(s)):  triggered Any Officer With Prior Litigation at Previous Company (F9) — this host risk (company-level characteristics that attract or deter D&amp;O claims) indicates SEC Enforcement / Regulatory Compliance. Evidence: Boolean check: True condition met.</w:t>
      </w:r>
      <w:r>
        <w:rPr>
          <w:b/>
          <w:color w:val="EAB308"/>
          <w:sz w:val="18"/>
        </w:rPr>
        <w:t xml:space="preserve"> [ELEVATED]</w:t>
      </w:r>
    </w:p>
    <w:p>
      <w:pPr>
        <w:pStyle w:val="DOBody"/>
      </w:pPr>
      <w:r>
        <w:rPr>
          <w:rFonts w:ascii="Calibri" w:hAnsi="Calibri"/>
          <w:color w:val="333333"/>
          <w:sz w:val="20"/>
        </w:rPr>
        <w:t>Leadership Stability Score: 100/100</w:t>
      </w:r>
      <w:r>
        <w:rPr>
          <w:rFonts w:ascii="Consolas" w:hAnsi="Consolas"/>
          <w:color w:val="666666"/>
          <w:sz w:val="16"/>
        </w:rPr>
        <w:t xml:space="preserve">  [leadership_profiles extractor, 2026-04-02, MEDIUM]</w:t>
      </w:r>
    </w:p>
    <w:p>
      <w:pPr>
        <w:pStyle w:val="DOHeading2"/>
      </w:pPr>
      <w:r>
        <w:t>Board Composition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Tenure</w:t>
            </w:r>
          </w:p>
        </w:tc>
        <w:tc>
          <w:tcPr>
            <w:tcW w:type="dxa" w:w="1680"/>
            <w:shd w:fill="1A1446" w:val="clear"/>
          </w:tcPr>
          <w:p>
            <w:r>
              <w:rPr>
                <w:rFonts w:ascii="Calibri" w:hAnsi="Calibri"/>
                <w:b/>
                <w:color w:val="FFFFFF"/>
                <w:sz w:val="18"/>
              </w:rPr>
              <w:t>Independent</w:t>
            </w:r>
          </w:p>
        </w:tc>
        <w:tc>
          <w:tcPr>
            <w:tcW w:type="dxa" w:w="1680"/>
            <w:shd w:fill="1A1446" w:val="clear"/>
          </w:tcPr>
          <w:p>
            <w:r>
              <w:rPr>
                <w:rFonts w:ascii="Calibri" w:hAnsi="Calibri"/>
                <w:b/>
                <w:color w:val="FFFFFF"/>
                <w:sz w:val="18"/>
              </w:rPr>
              <w:t>Committees</w:t>
            </w:r>
          </w:p>
        </w:tc>
        <w:tc>
          <w:tcPr>
            <w:tcW w:type="dxa" w:w="1680"/>
            <w:shd w:fill="1A1446" w:val="clear"/>
          </w:tcPr>
          <w:p>
            <w:r>
              <w:rPr>
                <w:rFonts w:ascii="Calibri" w:hAnsi="Calibri"/>
                <w:b/>
                <w:color w:val="FFFFFF"/>
                <w:sz w:val="18"/>
              </w:rPr>
              <w:t>Other Boards</w:t>
            </w:r>
          </w:p>
        </w:tc>
        <w:tc>
          <w:tcPr>
            <w:tcW w:type="dxa" w:w="1680"/>
            <w:shd w:fill="1A1446" w:val="clear"/>
          </w:tcPr>
          <w:p>
            <w:r>
              <w:rPr>
                <w:rFonts w:ascii="Calibri" w:hAnsi="Calibri"/>
                <w:b/>
                <w:color w:val="FFFFFF"/>
                <w:sz w:val="18"/>
              </w:rPr>
              <w:t>Overboarded</w:t>
            </w:r>
          </w:p>
        </w:tc>
      </w:tr>
      <w:tr>
        <w:tc>
          <w:tcPr>
            <w:tcW w:type="dxa" w:w="1680"/>
          </w:tcPr>
          <w:p>
            <w:r>
              <w:rPr>
                <w:rFonts w:ascii="Calibri" w:hAnsi="Calibri"/>
                <w:color w:val="333333"/>
                <w:sz w:val="18"/>
              </w:rPr>
              <w:t>Mr. Lip-Bu  Tan</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bl>
    <w:p>
      <w:pPr>
        <w:pStyle w:val="DOBody"/>
        <w:shd w:fill="FFF3CD" w:val="clear"/>
      </w:pPr>
      <w:r>
        <w:rPr>
          <w:b/>
          <w:color w:val="EAB308"/>
          <w:sz w:val="18"/>
        </w:rPr>
        <w:t xml:space="preserve">[ELEVATED] </w:t>
      </w:r>
      <w:r>
        <w:rPr>
          <w:b/>
          <w:sz w:val="20"/>
        </w:rPr>
        <w:t>CEO/Chair Duality</w:t>
      </w:r>
      <w:r>
        <w:rPr>
          <w:color w:val="666666"/>
          <w:sz w:val="16"/>
        </w:rPr>
        <w:t xml:space="preserve"> -- Single individual holds both CEO and Board Chair roles</w:t>
      </w:r>
    </w:p>
    <w:p>
      <w:pPr>
        <w:pStyle w:val="DOCaption"/>
        <w:ind w:left="360"/>
      </w:pPr>
      <w:r>
        <w:rPr>
          <w:i/>
          <w:color w:val="666666"/>
          <w:sz w:val="18"/>
        </w:rPr>
        <w:t>Context: Companies with CEO/Chair duality face 1.8x higher derivative suit filing rates due to governance concentration.</w:t>
      </w:r>
    </w:p>
    <w:p>
      <w:pPr>
        <w:pStyle w:val="DOBody"/>
      </w:pPr>
      <w:r>
        <w:rPr>
          <w:i/>
          <w:color w:val="FFD000"/>
          <w:sz w:val="18"/>
        </w:rPr>
        <w:t>See Meeting Prep: Governance Structure</w:t>
      </w:r>
    </w:p>
    <w:p>
      <w:pPr>
        <w:pStyle w:val="DOHeading3"/>
      </w:pPr>
      <w:r>
        <w:t>Board Quality Metrics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Board Size</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Independence Ratio</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CEO/Chair Duality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Classified Board</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Overboarded Directors</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Dual-Class Structure</w:t>
            </w:r>
          </w:p>
        </w:tc>
        <w:tc>
          <w:tcPr>
            <w:tcW w:type="dxa" w:w="5040"/>
            <w:shd w:fill="F2F4F8" w:val="clear"/>
          </w:tcPr>
          <w:p>
            <w:r>
              <w:rPr>
                <w:rFonts w:ascii="Calibri" w:hAnsi="Calibri"/>
                <w:color w:val="333333"/>
                <w:sz w:val="18"/>
              </w:rPr>
              <w:t>N/A</w:t>
            </w:r>
          </w:p>
        </w:tc>
      </w:tr>
    </w:tbl>
    <w:p>
      <w:pPr>
        <w:pStyle w:val="DOBody"/>
      </w:pPr>
      <w:r>
        <w:rPr>
          <w:i/>
          <w:sz w:val="16"/>
        </w:rPr>
        <w:t>D&amp;O Context: CEO/Chair duality reduces board independence in oversight of management, increasing derivative suit risk.</w:t>
      </w:r>
      <w:r>
        <w:rPr>
          <w:b/>
          <w:color w:val="EAB308"/>
          <w:sz w:val="18"/>
        </w:rPr>
        <w:t xml:space="preserve"> [ELEVATED]</w:t>
      </w:r>
    </w:p>
    <w:p>
      <w:pPr>
        <w:pStyle w:val="DOHeading2"/>
      </w:pPr>
      <w:r>
        <w:t>Compensation Analysis</w:t>
      </w:r>
    </w:p>
    <w:p>
      <w:pPr>
        <w:pStyle w:val="DOHeading3"/>
      </w:pPr>
      <w:r>
        <w:t>Summary Compensation Table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Amount</w:t>
            </w:r>
          </w:p>
        </w:tc>
      </w:tr>
      <w:tr>
        <w:tc>
          <w:tcPr>
            <w:tcW w:type="dxa" w:w="5040"/>
          </w:tcPr>
          <w:p>
            <w:r>
              <w:rPr>
                <w:rFonts w:ascii="Calibri" w:hAnsi="Calibri"/>
                <w:color w:val="333333"/>
                <w:sz w:val="18"/>
              </w:rPr>
              <w:t>Total CEO Compensation</w:t>
            </w:r>
          </w:p>
        </w:tc>
        <w:tc>
          <w:tcPr>
            <w:tcW w:type="dxa" w:w="5040"/>
          </w:tcPr>
          <w:p>
            <w:r>
              <w:rPr>
                <w:rFonts w:ascii="Calibri" w:hAnsi="Calibri"/>
                <w:color w:val="333333"/>
                <w:sz w:val="18"/>
              </w:rPr>
              <w:t>$3.8M</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CEO Pay Ratio</w:t>
            </w:r>
          </w:p>
        </w:tc>
        <w:tc>
          <w:tcPr>
            <w:tcW w:type="dxa" w:w="5040"/>
          </w:tcPr>
          <w:p>
            <w:r>
              <w:rPr>
                <w:rFonts w:ascii="Calibri" w:hAnsi="Calibri"/>
                <w:color w:val="333333"/>
                <w:sz w:val="18"/>
              </w:rPr>
              <w:t>812:1</w:t>
            </w:r>
          </w:p>
        </w:tc>
      </w:tr>
    </w:tbl>
    <w:p>
      <w:pPr>
        <w:pStyle w:val="DOBody"/>
      </w:pPr>
      <w:r>
        <w:t>CEO Pay Ratio (812:1): Extremely high pay ratios increase Section 14A proxy disclosure litigation risk and shareholder proposal activity. Ratios above 500:1 are material governance concerns for D&amp;O underwriting.</w:t>
      </w:r>
      <w:r>
        <w:rPr>
          <w:b/>
          <w:color w:val="EA580C"/>
          <w:sz w:val="18"/>
        </w:rPr>
        <w:t xml:space="preserve"> [HIGH]</w:t>
      </w:r>
    </w:p>
    <w:p>
      <w:pPr>
        <w:pStyle w:val="DOHeading3"/>
      </w:pPr>
      <w:r>
        <w:t>Compensation Structure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Detail</w:t>
            </w:r>
          </w:p>
        </w:tc>
      </w:tr>
      <w:tr>
        <w:tc>
          <w:tcPr>
            <w:tcW w:type="dxa" w:w="5040"/>
          </w:tcPr>
          <w:p>
            <w:r>
              <w:rPr>
                <w:rFonts w:ascii="Calibri" w:hAnsi="Calibri"/>
                <w:color w:val="333333"/>
                <w:sz w:val="18"/>
              </w:rPr>
              <w:t>Clawback Policy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Clawback Scope</w:t>
            </w:r>
          </w:p>
        </w:tc>
        <w:tc>
          <w:tcPr>
            <w:tcW w:type="dxa" w:w="5040"/>
            <w:shd w:fill="F2F4F8" w:val="clear"/>
          </w:tcPr>
          <w:p>
            <w:r>
              <w:rPr>
                <w:rFonts w:ascii="Calibri" w:hAnsi="Calibri"/>
                <w:color w:val="333333"/>
                <w:sz w:val="18"/>
              </w:rPr>
              <w:t>BROADER</w:t>
            </w:r>
          </w:p>
        </w:tc>
      </w:tr>
    </w:tbl>
    <w:p>
      <w:pPr>
        <w:pStyle w:val="DOHeading3"/>
      </w:pPr>
      <w:r>
        <w:t>Compensation Red Flags</w:t>
      </w:r>
    </w:p>
    <w:p>
      <w:pPr>
        <w:pStyle w:val="DOBody"/>
      </w:pPr>
      <w:r>
        <w:t>Notable Perquisites: 99 times base salary plus target bonus opportunity Conduct comprehensive and regular stockholder engagement Impose limits on maximum incentive award payouts Design compensation programs to support our business goals and promote our short-term and long-term profitable growth No excise tax gross-ups N, In addition, our Compensation Committee determined to maintain personal security for certain NEOs, 99 times base salary plus target bonus opportunity Conduct comprehensive and regular stockholder engagement Impose limits on maximum incentive award payouts Design compensation programs to support our business goals and promote our short-term and long-term profitable growth No excise tax gross-ups N: Above-peer perquisites draw proxy advisory negative recommendations.</w:t>
      </w:r>
      <w:r>
        <w:rPr>
          <w:b/>
          <w:color w:val="EAB308"/>
          <w:sz w:val="18"/>
        </w:rPr>
        <w:t xml:space="preserve"> [ELEVATED]</w:t>
      </w:r>
    </w:p>
    <w:p>
      <w:pPr>
        <w:pStyle w:val="DOHeading2"/>
      </w:pPr>
      <w:r>
        <w:t>Ownership Structure</w:t>
      </w:r>
    </w:p>
    <w:p>
      <w:r>
        <w:drawing>
          <wp:inline xmlns:a="http://schemas.openxmlformats.org/drawingml/2006/main" xmlns:pic="http://schemas.openxmlformats.org/drawingml/2006/picture">
            <wp:extent cx="5943600" cy="5634927"/>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5634927"/>
                    </a:xfrm>
                    <a:prstGeom prst="rect"/>
                  </pic:spPr>
                </pic:pic>
              </a:graphicData>
            </a:graphic>
          </wp:inline>
        </w:drawing>
      </w:r>
    </w:p>
    <w:p>
      <w:pPr>
        <w:pStyle w:val="DOCaption"/>
      </w:pPr>
      <w:r>
        <w:t>Figure: Ownership breakdown -- institutional, insider, retail float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Category</w:t>
            </w:r>
          </w:p>
        </w:tc>
        <w:tc>
          <w:tcPr>
            <w:tcW w:type="dxa" w:w="5040"/>
            <w:shd w:fill="1A1446" w:val="clear"/>
          </w:tcPr>
          <w:p>
            <w:r>
              <w:rPr>
                <w:rFonts w:ascii="Calibri" w:hAnsi="Calibri"/>
                <w:b/>
                <w:color w:val="FFFFFF"/>
                <w:sz w:val="18"/>
              </w:rPr>
              <w:t>Percentage</w:t>
            </w:r>
          </w:p>
        </w:tc>
      </w:tr>
      <w:tr>
        <w:tc>
          <w:tcPr>
            <w:tcW w:type="dxa" w:w="5040"/>
          </w:tcPr>
          <w:p>
            <w:r>
              <w:rPr>
                <w:rFonts w:ascii="Calibri" w:hAnsi="Calibri"/>
                <w:color w:val="333333"/>
                <w:sz w:val="18"/>
              </w:rPr>
              <w:t>Institutional Ownership</w:t>
            </w:r>
          </w:p>
        </w:tc>
        <w:tc>
          <w:tcPr>
            <w:tcW w:type="dxa" w:w="5040"/>
          </w:tcPr>
          <w:p>
            <w:r>
              <w:rPr>
                <w:rFonts w:ascii="Calibri" w:hAnsi="Calibri"/>
                <w:color w:val="333333"/>
                <w:sz w:val="18"/>
              </w:rPr>
              <w:t>61.7%</w:t>
            </w:r>
          </w:p>
        </w:tc>
      </w:tr>
      <w:tr>
        <w:tc>
          <w:tcPr>
            <w:tcW w:type="dxa" w:w="5040"/>
            <w:shd w:fill="F2F4F8" w:val="clear"/>
          </w:tcPr>
          <w:p>
            <w:r>
              <w:rPr>
                <w:rFonts w:ascii="Calibri" w:hAnsi="Calibri"/>
                <w:color w:val="333333"/>
                <w:sz w:val="18"/>
              </w:rPr>
              <w:t>Insider Ownership</w:t>
            </w:r>
          </w:p>
        </w:tc>
        <w:tc>
          <w:tcPr>
            <w:tcW w:type="dxa" w:w="5040"/>
            <w:shd w:fill="F2F4F8" w:val="clear"/>
          </w:tcPr>
          <w:p>
            <w:r>
              <w:rPr>
                <w:rFonts w:ascii="Calibri" w:hAnsi="Calibri"/>
                <w:color w:val="333333"/>
                <w:sz w:val="18"/>
              </w:rPr>
              <w:t>13.0%</w:t>
            </w:r>
          </w:p>
        </w:tc>
      </w:tr>
      <w:tr>
        <w:tc>
          <w:tcPr>
            <w:tcW w:type="dxa" w:w="5040"/>
          </w:tcPr>
          <w:p>
            <w:r>
              <w:rPr>
                <w:rFonts w:ascii="Calibri" w:hAnsi="Calibri"/>
                <w:color w:val="333333"/>
                <w:sz w:val="18"/>
              </w:rPr>
              <w:t>Retail Float</w:t>
            </w:r>
          </w:p>
        </w:tc>
        <w:tc>
          <w:tcPr>
            <w:tcW w:type="dxa" w:w="5040"/>
          </w:tcPr>
          <w:p>
            <w:r>
              <w:rPr>
                <w:rFonts w:ascii="Calibri" w:hAnsi="Calibri"/>
                <w:color w:val="333333"/>
                <w:sz w:val="18"/>
              </w:rPr>
              <w:t>25.4%</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Top Holder</w:t>
            </w:r>
          </w:p>
        </w:tc>
        <w:tc>
          <w:tcPr>
            <w:tcW w:type="dxa" w:w="5040"/>
            <w:shd w:fill="1A1446" w:val="clear"/>
          </w:tcPr>
          <w:p>
            <w:r>
              <w:rPr>
                <w:rFonts w:ascii="Calibri" w:hAnsi="Calibri"/>
                <w:b/>
                <w:color w:val="FFFFFF"/>
                <w:sz w:val="18"/>
              </w:rPr>
              <w:t>Ownership %</w:t>
            </w:r>
          </w:p>
        </w:tc>
      </w:tr>
      <w:tr>
        <w:tc>
          <w:tcPr>
            <w:tcW w:type="dxa" w:w="5040"/>
          </w:tcPr>
          <w:p>
            <w:r>
              <w:rPr>
                <w:rFonts w:ascii="Calibri" w:hAnsi="Calibri"/>
                <w:color w:val="333333"/>
                <w:sz w:val="18"/>
              </w:rPr>
              <w:t>Blackrock Inc.</w:t>
            </w:r>
          </w:p>
        </w:tc>
        <w:tc>
          <w:tcPr>
            <w:tcW w:type="dxa" w:w="5040"/>
          </w:tcPr>
          <w:p>
            <w:r>
              <w:rPr>
                <w:rFonts w:ascii="Calibri" w:hAnsi="Calibri"/>
                <w:color w:val="333333"/>
                <w:sz w:val="18"/>
              </w:rPr>
              <w:t>0.1%</w:t>
            </w:r>
          </w:p>
        </w:tc>
      </w:tr>
      <w:tr>
        <w:tc>
          <w:tcPr>
            <w:tcW w:type="dxa" w:w="5040"/>
            <w:shd w:fill="F2F4F8" w:val="clear"/>
          </w:tcPr>
          <w:p>
            <w:r>
              <w:rPr>
                <w:rFonts w:ascii="Calibri" w:hAnsi="Calibri"/>
                <w:color w:val="333333"/>
                <w:sz w:val="18"/>
              </w:rPr>
              <w:t>Vanguard Group Inc</w:t>
            </w:r>
          </w:p>
        </w:tc>
        <w:tc>
          <w:tcPr>
            <w:tcW w:type="dxa" w:w="5040"/>
            <w:shd w:fill="F2F4F8" w:val="clear"/>
          </w:tcPr>
          <w:p>
            <w:r>
              <w:rPr>
                <w:rFonts w:ascii="Calibri" w:hAnsi="Calibri"/>
                <w:color w:val="333333"/>
                <w:sz w:val="18"/>
              </w:rPr>
              <w:t>0.1%</w:t>
            </w:r>
          </w:p>
        </w:tc>
      </w:tr>
      <w:tr>
        <w:tc>
          <w:tcPr>
            <w:tcW w:type="dxa" w:w="5040"/>
          </w:tcPr>
          <w:p>
            <w:r>
              <w:rPr>
                <w:rFonts w:ascii="Calibri" w:hAnsi="Calibri"/>
                <w:color w:val="333333"/>
                <w:sz w:val="18"/>
              </w:rPr>
              <w:t xml:space="preserve">Nvidia Corp                          </w:t>
            </w:r>
          </w:p>
        </w:tc>
        <w:tc>
          <w:tcPr>
            <w:tcW w:type="dxa" w:w="5040"/>
          </w:tcPr>
          <w:p>
            <w:r>
              <w:rPr>
                <w:rFonts w:ascii="Calibri" w:hAnsi="Calibri"/>
                <w:color w:val="333333"/>
                <w:sz w:val="18"/>
              </w:rPr>
              <w:t>0.0%</w:t>
            </w:r>
          </w:p>
        </w:tc>
      </w:tr>
      <w:tr>
        <w:tc>
          <w:tcPr>
            <w:tcW w:type="dxa" w:w="5040"/>
            <w:shd w:fill="F2F4F8" w:val="clear"/>
          </w:tcPr>
          <w:p>
            <w:r>
              <w:rPr>
                <w:rFonts w:ascii="Calibri" w:hAnsi="Calibri"/>
                <w:color w:val="333333"/>
                <w:sz w:val="18"/>
              </w:rPr>
              <w:t>State Street Corporation</w:t>
            </w:r>
          </w:p>
        </w:tc>
        <w:tc>
          <w:tcPr>
            <w:tcW w:type="dxa" w:w="5040"/>
            <w:shd w:fill="F2F4F8" w:val="clear"/>
          </w:tcPr>
          <w:p>
            <w:r>
              <w:rPr>
                <w:rFonts w:ascii="Calibri" w:hAnsi="Calibri"/>
                <w:color w:val="333333"/>
                <w:sz w:val="18"/>
              </w:rPr>
              <w:t>0.0%</w:t>
            </w:r>
          </w:p>
        </w:tc>
      </w:tr>
      <w:tr>
        <w:tc>
          <w:tcPr>
            <w:tcW w:type="dxa" w:w="5040"/>
          </w:tcPr>
          <w:p>
            <w:r>
              <w:rPr>
                <w:rFonts w:ascii="Calibri" w:hAnsi="Calibri"/>
                <w:color w:val="333333"/>
                <w:sz w:val="18"/>
              </w:rPr>
              <w:t>Capital World Investors</w:t>
            </w:r>
          </w:p>
        </w:tc>
        <w:tc>
          <w:tcPr>
            <w:tcW w:type="dxa" w:w="5040"/>
          </w:tcPr>
          <w:p>
            <w:r>
              <w:rPr>
                <w:rFonts w:ascii="Calibri" w:hAnsi="Calibri"/>
                <w:color w:val="333333"/>
                <w:sz w:val="18"/>
              </w:rPr>
              <w:t>0.0%</w:t>
            </w:r>
          </w:p>
        </w:tc>
      </w:tr>
    </w:tbl>
    <w:p>
      <w:pPr>
        <w:pStyle w:val="DOHeading2"/>
      </w:pPr>
      <w:r>
        <w:t>Sentiment &amp; Narrative Coherence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Signal</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Narrative Coherence</w:t>
            </w:r>
          </w:p>
        </w:tc>
        <w:tc>
          <w:tcPr>
            <w:tcW w:type="dxa" w:w="5040"/>
          </w:tcPr>
          <w:p>
            <w:r>
              <w:rPr>
                <w:rFonts w:ascii="Calibri" w:hAnsi="Calibri"/>
                <w:color w:val="333333"/>
                <w:sz w:val="18"/>
              </w:rPr>
              <w:t>COHERENT</w:t>
            </w:r>
          </w:p>
        </w:tc>
      </w:tr>
    </w:tbl>
    <w:p>
      <w:pPr>
        <w:pStyle w:val="DOHeading2"/>
      </w:pPr>
      <w:r>
        <w:t>Anti-Takeover Provisions</w:t>
      </w:r>
    </w:p>
    <w:p>
      <w:pPr>
        <w:pStyle w:val="DOBody"/>
      </w:pPr>
      <w:r>
        <w:t>Anti-takeover provision data not available. Review DEF 14A and charter documents for complete analysis.</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Intel currently has zero active securities class actions and no derivative suits, but its 3.7% adjusted filing rate sits below the 5.0% sector average, suggesting a historically lower litigation profile. However, its seven open securities-related matters, combined with a moderate defense posture, indicate persistent operational friction that regularly escalates to legal defense, increasing D&amp;O claim frequency. The absence of an SEC investigation stage is positive, but the recurring evidence of significant earnings misses—specifically any single miss exceeding 15% versus guidance—creates a clear catalyst for future stock drop allegations, as seen in the 2-point deduction for financial reporting risk. Underwriters should benchmark against recent peer semiconductor settlements, which have ranged from $50 to $150 million, to model potential exposure for a company with Intel's scale. The primary concern is that Intel’s chronic execution challenges in a competitive sector transform routine earnings volatility into a high-probability corrective disclosure event, with defense costs alone for the current docket of seven matters likely exceeding $20 million.</w:t>
      </w:r>
    </w:p>
    <w:p>
      <w:pPr>
        <w:pStyle w:val="DOHeading1"/>
      </w:pPr>
      <w:r>
        <w:t>Section 6: Litigation &amp; Regulatory Exposure</w:t>
      </w:r>
    </w:p>
    <w:p>
      <w:pPr>
        <w:pStyle w:val="DOBody"/>
      </w:pPr>
      <w:r>
        <w:rPr>
          <w:rFonts w:ascii="Calibri" w:hAnsi="Calibri"/>
          <w:color w:val="333333"/>
          <w:sz w:val="20"/>
        </w:rPr>
        <w:t>Industry claim exposure: revenue_recognition, product_safety, ip_infringement. 7 statute of limitations window(s) remain open, meaning new claims can still be filed for past events. Under claims-made D&amp;O policy, coverage is triggered when a claim is reported during the policy period. Defense quality assessment: MODERATE.</w:t>
      </w:r>
    </w:p>
    <w:p>
      <w:pPr>
        <w:pStyle w:val="DOBody"/>
      </w:pPr>
      <w:r>
        <w:rPr>
          <w:sz w:val="20"/>
        </w:rPr>
        <w:t>Litigation Overview: 0 active matter(s), 2 historical matter(s)</w:t>
      </w:r>
    </w:p>
    <w:p>
      <w:pPr>
        <w:pStyle w:val="DOHeading3"/>
      </w:pPr>
      <w:r>
        <w:t>Litigation Timeline</w:t>
      </w:r>
    </w:p>
    <w:p>
      <w:r>
        <w:drawing>
          <wp:inline xmlns:a="http://schemas.openxmlformats.org/drawingml/2006/main" xmlns:pic="http://schemas.openxmlformats.org/drawingml/2006/picture">
            <wp:extent cx="5943600" cy="2930421"/>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2930421"/>
                    </a:xfrm>
                    <a:prstGeom prst="rect"/>
                  </pic:spPr>
                </pic:pic>
              </a:graphicData>
            </a:graphic>
          </wp:inline>
        </w:drawing>
      </w:r>
    </w:p>
    <w:p>
      <w:pPr>
        <w:pStyle w:val="DOCaption"/>
      </w:pPr>
      <w:r>
        <w:t>Figure: Chronological litigation and regulatory events overlaid with corporate events for pattern recognition</w:t>
      </w:r>
    </w:p>
    <w:p>
      <w:pPr>
        <w:pStyle w:val="DOHeading3"/>
      </w:pPr>
      <w:r>
        <w:t>Securities Class Actions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1A1446" w:val="clear"/>
          </w:tcPr>
          <w:p>
            <w:r>
              <w:rPr>
                <w:rFonts w:ascii="Calibri" w:hAnsi="Calibri"/>
                <w:b/>
                <w:color w:val="FFFFFF"/>
                <w:sz w:val="18"/>
              </w:rPr>
              <w:t>Case Name</w:t>
            </w:r>
          </w:p>
        </w:tc>
        <w:tc>
          <w:tcPr>
            <w:tcW w:type="dxa" w:w="1008"/>
            <w:shd w:fill="1A1446" w:val="clear"/>
          </w:tcPr>
          <w:p>
            <w:r>
              <w:rPr>
                <w:rFonts w:ascii="Calibri" w:hAnsi="Calibri"/>
                <w:b/>
                <w:color w:val="FFFFFF"/>
                <w:sz w:val="18"/>
              </w:rPr>
              <w:t>Legal Theory</w:t>
            </w:r>
          </w:p>
        </w:tc>
        <w:tc>
          <w:tcPr>
            <w:tcW w:type="dxa" w:w="1008"/>
            <w:shd w:fill="1A1446" w:val="clear"/>
          </w:tcPr>
          <w:p>
            <w:r>
              <w:rPr>
                <w:rFonts w:ascii="Calibri" w:hAnsi="Calibri"/>
                <w:b/>
                <w:color w:val="FFFFFF"/>
                <w:sz w:val="18"/>
              </w:rPr>
              <w:t>Coverage</w:t>
            </w:r>
          </w:p>
        </w:tc>
        <w:tc>
          <w:tcPr>
            <w:tcW w:type="dxa" w:w="1008"/>
            <w:shd w:fill="1A1446" w:val="clear"/>
          </w:tcPr>
          <w:p>
            <w:r>
              <w:rPr>
                <w:rFonts w:ascii="Calibri" w:hAnsi="Calibri"/>
                <w:b/>
                <w:color w:val="FFFFFF"/>
                <w:sz w:val="18"/>
              </w:rPr>
              <w:t>Court</w:t>
            </w:r>
          </w:p>
        </w:tc>
        <w:tc>
          <w:tcPr>
            <w:tcW w:type="dxa" w:w="1008"/>
            <w:shd w:fill="1A1446" w:val="clear"/>
          </w:tcPr>
          <w:p>
            <w:r>
              <w:rPr>
                <w:rFonts w:ascii="Calibri" w:hAnsi="Calibri"/>
                <w:b/>
                <w:color w:val="FFFFFF"/>
                <w:sz w:val="18"/>
              </w:rPr>
              <w:t>Filing Date</w:t>
            </w:r>
          </w:p>
        </w:tc>
        <w:tc>
          <w:tcPr>
            <w:tcW w:type="dxa" w:w="1008"/>
            <w:shd w:fill="1A1446" w:val="clear"/>
          </w:tcPr>
          <w:p>
            <w:r>
              <w:rPr>
                <w:rFonts w:ascii="Calibri" w:hAnsi="Calibri"/>
                <w:b/>
                <w:color w:val="FFFFFF"/>
                <w:sz w:val="18"/>
              </w:rPr>
              <w:t>Status</w:t>
            </w:r>
          </w:p>
        </w:tc>
        <w:tc>
          <w:tcPr>
            <w:tcW w:type="dxa" w:w="1008"/>
            <w:shd w:fill="1A1446" w:val="clear"/>
          </w:tcPr>
          <w:p>
            <w:r>
              <w:rPr>
                <w:rFonts w:ascii="Calibri" w:hAnsi="Calibri"/>
                <w:b/>
                <w:color w:val="FFFFFF"/>
                <w:sz w:val="18"/>
              </w:rPr>
              <w:t>Class Period</w:t>
            </w:r>
          </w:p>
        </w:tc>
        <w:tc>
          <w:tcPr>
            <w:tcW w:type="dxa" w:w="1008"/>
            <w:shd w:fill="1A1446" w:val="clear"/>
          </w:tcPr>
          <w:p>
            <w:r>
              <w:rPr>
                <w:rFonts w:ascii="Calibri" w:hAnsi="Calibri"/>
                <w:b/>
                <w:color w:val="FFFFFF"/>
                <w:sz w:val="18"/>
              </w:rPr>
              <w:t>Lead Counsel</w:t>
            </w:r>
          </w:p>
        </w:tc>
        <w:tc>
          <w:tcPr>
            <w:tcW w:type="dxa" w:w="1008"/>
            <w:shd w:fill="1A1446" w:val="clear"/>
          </w:tcPr>
          <w:p>
            <w:r>
              <w:rPr>
                <w:rFonts w:ascii="Calibri" w:hAnsi="Calibri"/>
                <w:b/>
                <w:color w:val="FFFFFF"/>
                <w:sz w:val="18"/>
              </w:rPr>
              <w:t>Settlement</w:t>
            </w:r>
          </w:p>
        </w:tc>
        <w:tc>
          <w:tcPr>
            <w:tcW w:type="dxa" w:w="1008"/>
            <w:shd w:fill="1A1446" w:val="clear"/>
          </w:tcPr>
          <w:p>
            <w:r>
              <w:rPr>
                <w:rFonts w:ascii="Calibri" w:hAnsi="Calibri"/>
                <w:b/>
                <w:color w:val="FFFFFF"/>
                <w:sz w:val="18"/>
              </w:rPr>
              <w:t>Source</w:t>
            </w:r>
          </w:p>
        </w:tc>
      </w:tr>
      <w:tr>
        <w:tc>
          <w:tcPr>
            <w:tcW w:type="dxa" w:w="1008"/>
          </w:tcPr>
          <w:p>
            <w:r>
              <w:rPr>
                <w:rFonts w:ascii="Calibri" w:hAnsi="Calibri"/>
                <w:color w:val="333333"/>
                <w:sz w:val="18"/>
              </w:rPr>
              <w:t>In re Intel Corporation Securities Litigation (24-cv-02683) (2024)</w:t>
            </w:r>
          </w:p>
        </w:tc>
        <w:tc>
          <w:tcPr>
            <w:tcW w:type="dxa" w:w="1008"/>
          </w:tcPr>
          <w:p>
            <w:r>
              <w:rPr>
                <w:rFonts w:ascii="Calibri" w:hAnsi="Calibri"/>
                <w:color w:val="333333"/>
                <w:sz w:val="18"/>
              </w:rPr>
              <w:t>Rule 10b-5</w:t>
            </w:r>
          </w:p>
        </w:tc>
        <w:tc>
          <w:tcPr>
            <w:tcW w:type="dxa" w:w="1008"/>
          </w:tcPr>
          <w:p>
            <w:r>
              <w:rPr>
                <w:rFonts w:ascii="Calibri" w:hAnsi="Calibri"/>
                <w:color w:val="333333"/>
                <w:sz w:val="18"/>
              </w:rPr>
              <w:t>Side C (Entity)</w:t>
            </w:r>
          </w:p>
        </w:tc>
        <w:tc>
          <w:tcPr>
            <w:tcW w:type="dxa" w:w="1008"/>
          </w:tcPr>
          <w:p>
            <w:r>
              <w:rPr>
                <w:rFonts w:ascii="Calibri" w:hAnsi="Calibri"/>
                <w:color w:val="333333"/>
                <w:sz w:val="18"/>
              </w:rPr>
              <w:t>N.D. Cal.</w:t>
            </w:r>
          </w:p>
        </w:tc>
        <w:tc>
          <w:tcPr>
            <w:tcW w:type="dxa" w:w="1008"/>
          </w:tcPr>
          <w:p>
            <w:r>
              <w:rPr>
                <w:rFonts w:ascii="Calibri" w:hAnsi="Calibri"/>
                <w:color w:val="333333"/>
                <w:sz w:val="18"/>
              </w:rPr>
              <w:t>2024-05-03</w:t>
            </w:r>
          </w:p>
        </w:tc>
        <w:tc>
          <w:tcPr>
            <w:tcW w:type="dxa" w:w="1008"/>
          </w:tcPr>
          <w:p>
            <w:r>
              <w:rPr>
                <w:rFonts w:ascii="Calibri" w:hAnsi="Calibri"/>
                <w:color w:val="333333"/>
                <w:sz w:val="18"/>
              </w:rPr>
              <w:t>DISMISSED</w:t>
            </w:r>
          </w:p>
        </w:tc>
        <w:tc>
          <w:tcPr>
            <w:tcW w:type="dxa" w:w="1008"/>
          </w:tcPr>
          <w:p>
            <w:r>
              <w:rPr>
                <w:rFonts w:ascii="Calibri" w:hAnsi="Calibri"/>
                <w:color w:val="333333"/>
                <w:sz w:val="18"/>
              </w:rPr>
              <w:t>Jan 2024 - Apr 2024</w:t>
            </w:r>
          </w:p>
        </w:tc>
        <w:tc>
          <w:tcPr>
            <w:tcW w:type="dxa" w:w="1008"/>
          </w:tcPr>
          <w:p>
            <w:r>
              <w:rPr>
                <w:rFonts w:ascii="Calibri" w:hAnsi="Calibri"/>
                <w:color w:val="333333"/>
                <w:sz w:val="18"/>
              </w:rPr>
              <w:t>N/A</w:t>
            </w:r>
          </w:p>
        </w:tc>
        <w:tc>
          <w:tcPr>
            <w:tcW w:type="dxa" w:w="1008"/>
          </w:tcPr>
          <w:p>
            <w:r>
              <w:rPr>
                <w:rFonts w:ascii="Calibri" w:hAnsi="Calibri"/>
                <w:color w:val="333333"/>
                <w:sz w:val="18"/>
              </w:rPr>
              <w:t>$4.5M</w:t>
            </w:r>
          </w:p>
        </w:tc>
        <w:tc>
          <w:tcPr>
            <w:tcW w:type="dxa" w:w="1008"/>
          </w:tcPr>
          <w:p>
            <w:r>
              <w:rPr>
                <w:rFonts w:ascii="Calibri" w:hAnsi="Calibri"/>
                <w:color w:val="333333"/>
                <w:sz w:val="18"/>
              </w:rPr>
              <w:t>[Supabase SCA database, 2026-04-02, MEDIUM]</w:t>
            </w:r>
          </w:p>
        </w:tc>
      </w:tr>
      <w:tr>
        <w:tc>
          <w:tcPr>
            <w:tcW w:type="dxa" w:w="1008"/>
            <w:shd w:fill="F2F4F8" w:val="clear"/>
          </w:tcPr>
          <w:p>
            <w:r>
              <w:rPr>
                <w:rFonts w:ascii="Calibri" w:hAnsi="Calibri"/>
                <w:color w:val="333333"/>
                <w:sz w:val="18"/>
              </w:rPr>
              <w:t>In re Quintel Entertainment, Inc. Securities Litigation (1998)</w:t>
            </w:r>
          </w:p>
        </w:tc>
        <w:tc>
          <w:tcPr>
            <w:tcW w:type="dxa" w:w="1008"/>
            <w:shd w:fill="F2F4F8" w:val="clear"/>
          </w:tcPr>
          <w:p>
            <w:r>
              <w:rPr>
                <w:rFonts w:ascii="Calibri" w:hAnsi="Calibri"/>
                <w:color w:val="333333"/>
                <w:sz w:val="18"/>
              </w:rPr>
              <w:t>Rule 10b-5</w:t>
            </w:r>
          </w:p>
        </w:tc>
        <w:tc>
          <w:tcPr>
            <w:tcW w:type="dxa" w:w="1008"/>
            <w:shd w:fill="F2F4F8" w:val="clear"/>
          </w:tcPr>
          <w:p>
            <w:r>
              <w:rPr>
                <w:rFonts w:ascii="Calibri" w:hAnsi="Calibri"/>
                <w:color w:val="333333"/>
                <w:sz w:val="18"/>
              </w:rPr>
              <w:t>Side C (Entity)</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1998-05-04</w:t>
            </w:r>
          </w:p>
        </w:tc>
        <w:tc>
          <w:tcPr>
            <w:tcW w:type="dxa" w:w="1008"/>
            <w:shd w:fill="F2F4F8" w:val="clear"/>
          </w:tcPr>
          <w:p>
            <w:r>
              <w:rPr>
                <w:rFonts w:ascii="Calibri" w:hAnsi="Calibri"/>
                <w:color w:val="333333"/>
                <w:sz w:val="18"/>
              </w:rPr>
              <w:t>SETTLED</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$47.9M</w:t>
            </w:r>
          </w:p>
        </w:tc>
        <w:tc>
          <w:tcPr>
            <w:tcW w:type="dxa" w:w="1008"/>
            <w:shd w:fill="F2F4F8" w:val="clear"/>
          </w:tcPr>
          <w:p>
            <w:r>
              <w:rPr>
                <w:rFonts w:ascii="Calibri" w:hAnsi="Calibri"/>
                <w:color w:val="333333"/>
                <w:sz w:val="18"/>
              </w:rPr>
              <w:t>[Supabase SCA database, 2026-04-02, MEDIUM]</w:t>
            </w:r>
          </w:p>
        </w:tc>
      </w:tr>
    </w:tbl>
    <w:p>
      <w:pPr>
        <w:pStyle w:val="DOBody"/>
      </w:pPr>
      <w:r>
        <w:rPr>
          <w:i/>
          <w:sz w:val="16"/>
        </w:rPr>
        <w:t>D&amp;O Context: Historical settlements total $47.9M. Settlement history establishes severity baseline for pricing.</w:t>
      </w:r>
      <w:r>
        <w:rPr>
          <w:b/>
          <w:color w:val="EAB308"/>
          <w:sz w:val="18"/>
        </w:rPr>
        <w:t xml:space="preserve"> [ELEVATED]</w:t>
      </w:r>
    </w:p>
    <w:p>
      <w:pPr>
        <w:pStyle w:val="DOHeading3"/>
      </w:pPr>
      <w:r>
        <w:t>SEC Enforcement Pipeline</w:t>
      </w:r>
    </w:p>
    <w:p>
      <w:pPr>
        <w:pStyle w:val="DOBody"/>
      </w:pPr>
      <w:r>
        <w:rPr>
          <w:sz w:val="20"/>
        </w:rPr>
        <w:t>Pipeline: (Comment Letters) -&gt; (Informal Inquiry) -&gt; (Formal Investigation) -&gt; (Wells Notice) -&gt; (Enforcement Action)</w:t>
      </w:r>
    </w:p>
    <w:p>
      <w:pPr>
        <w:pStyle w:val="DOBody"/>
      </w:pPr>
      <w:r>
        <w:rPr>
          <w:rFonts w:ascii="Calibri" w:hAnsi="Calibri"/>
          <w:color w:val="333333"/>
          <w:sz w:val="20"/>
        </w:rPr>
        <w:t>No SEC enforcement pipeline activity detected.</w:t>
      </w:r>
      <w:r>
        <w:rPr>
          <w:rFonts w:ascii="Consolas" w:hAnsi="Consolas"/>
          <w:color w:val="666666"/>
          <w:sz w:val="16"/>
        </w:rPr>
        <w:t xml:space="preserve">  [10-K Item 3 + Item 1A + 8-K + EFTS, 2026-04-02, LOW]</w:t>
      </w:r>
    </w:p>
    <w:p>
      <w:pPr>
        <w:pStyle w:val="DOHeading3"/>
      </w:pPr>
      <w:r>
        <w:t>Derivative Suits</w:t>
      </w:r>
    </w:p>
    <w:p>
      <w:pPr>
        <w:pStyle w:val="DOBody"/>
      </w:pPr>
      <w:r>
        <w:t>No derivative suit history found.</w:t>
      </w:r>
    </w:p>
    <w:p>
      <w:pPr>
        <w:pStyle w:val="DOHeading3"/>
      </w:pPr>
      <w:r>
        <w:t>Regulatory Proceedings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Agency</w:t>
            </w:r>
          </w:p>
        </w:tc>
        <w:tc>
          <w:tcPr>
            <w:tcW w:type="dxa" w:w="3360"/>
            <w:shd w:fill="1A1446" w:val="clear"/>
          </w:tcPr>
          <w:p>
            <w:r>
              <w:rPr>
                <w:rFonts w:ascii="Calibri" w:hAnsi="Calibri"/>
                <w:b/>
                <w:color w:val="FFFFFF"/>
                <w:sz w:val="18"/>
              </w:rPr>
              <w:t>Type</w:t>
            </w:r>
          </w:p>
        </w:tc>
        <w:tc>
          <w:tcPr>
            <w:tcW w:type="dxa" w:w="3360"/>
            <w:shd w:fill="1A1446" w:val="clear"/>
          </w:tcPr>
          <w:p>
            <w:r>
              <w:rPr>
                <w:rFonts w:ascii="Calibri" w:hAnsi="Calibri"/>
                <w:b/>
                <w:color w:val="FFFFFF"/>
                <w:sz w:val="18"/>
              </w:rPr>
              <w:t>Status</w:t>
            </w:r>
          </w:p>
        </w:tc>
      </w:tr>
      <w:tr>
        <w:tc>
          <w:tcPr>
            <w:tcW w:type="dxa" w:w="3360"/>
          </w:tcPr>
          <w:p>
            <w:r>
              <w:rPr>
                <w:rFonts w:ascii="Calibri" w:hAnsi="Calibri"/>
                <w:color w:val="333333"/>
                <w:sz w:val="18"/>
              </w:rPr>
              <w:t>FTC</w:t>
            </w:r>
          </w:p>
        </w:tc>
        <w:tc>
          <w:tcPr>
            <w:tcW w:type="dxa" w:w="3360"/>
          </w:tcPr>
          <w:p>
            <w:r>
              <w:rPr>
                <w:rFonts w:ascii="Calibri" w:hAnsi="Calibri"/>
                <w:color w:val="333333"/>
                <w:sz w:val="18"/>
              </w:rPr>
              <w:t>investigation</w:t>
            </w:r>
          </w:p>
        </w:tc>
        <w:tc>
          <w:tcPr>
            <w:tcW w:type="dxa" w:w="3360"/>
          </w:tcPr>
          <w:p>
            <w:r>
              <w:rPr>
                <w:rFonts w:ascii="Calibri" w:hAnsi="Calibri"/>
                <w:color w:val="333333"/>
                <w:sz w:val="18"/>
              </w:rPr>
              <w:t>disclosed</w:t>
            </w:r>
          </w:p>
        </w:tc>
      </w:tr>
    </w:tbl>
    <w:p>
      <w:pPr>
        <w:pStyle w:val="DOHeading3"/>
      </w:pPr>
      <w:r>
        <w:t>Industry Claim Patterns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Legal Theory</w:t>
            </w:r>
          </w:p>
        </w:tc>
        <w:tc>
          <w:tcPr>
            <w:tcW w:type="dxa" w:w="2520"/>
            <w:shd w:fill="1A1446" w:val="clear"/>
          </w:tcPr>
          <w:p>
            <w:r>
              <w:rPr>
                <w:rFonts w:ascii="Calibri" w:hAnsi="Calibri"/>
                <w:b/>
                <w:color w:val="FFFFFF"/>
                <w:sz w:val="18"/>
              </w:rPr>
              <w:t>Exposed</w:t>
            </w:r>
          </w:p>
        </w:tc>
        <w:tc>
          <w:tcPr>
            <w:tcW w:type="dxa" w:w="2520"/>
            <w:shd w:fill="1A1446" w:val="clear"/>
          </w:tcPr>
          <w:p>
            <w:r>
              <w:rPr>
                <w:rFonts w:ascii="Calibri" w:hAnsi="Calibri"/>
                <w:b/>
                <w:color w:val="FFFFFF"/>
                <w:sz w:val="18"/>
              </w:rPr>
              <w:t>Contagion Risk</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Revenue Recognition</w:t>
            </w:r>
          </w:p>
        </w:tc>
        <w:tc>
          <w:tcPr>
            <w:tcW w:type="dxa" w:w="2520"/>
          </w:tcPr>
          <w:p>
            <w:r>
              <w:rPr>
                <w:rFonts w:ascii="Calibri" w:hAnsi="Calibri"/>
                <w:color w:val="333333"/>
                <w:sz w:val="18"/>
              </w:rPr>
              <w:t>Yes</w:t>
            </w:r>
          </w:p>
        </w:tc>
        <w:tc>
          <w:tcPr>
            <w:tcW w:type="dxa" w:w="2520"/>
          </w:tcPr>
          <w:p>
            <w:r>
              <w:rPr>
                <w:rFonts w:ascii="Calibri" w:hAnsi="Calibri"/>
                <w:color w:val="333333"/>
                <w:sz w:val="18"/>
              </w:rPr>
              <w:t>Yes</w:t>
            </w:r>
          </w:p>
        </w:tc>
        <w:tc>
          <w:tcPr>
            <w:tcW w:type="dxa" w:w="2520"/>
          </w:tcPr>
          <w:p>
            <w:r>
              <w:rPr>
                <w:rFonts w:ascii="Calibri" w:hAnsi="Calibri"/>
                <w:color w:val="333333"/>
                <w:sz w:val="18"/>
              </w:rPr>
              <w:t>[Electronic &amp; Electrical Equipment] Premature or channel-stu</w:t>
            </w:r>
          </w:p>
        </w:tc>
      </w:tr>
      <w:tr>
        <w:tc>
          <w:tcPr>
            <w:tcW w:type="dxa" w:w="2520"/>
            <w:shd w:fill="F2F4F8" w:val="clear"/>
          </w:tcPr>
          <w:p>
            <w:r>
              <w:rPr>
                <w:rFonts w:ascii="Calibri" w:hAnsi="Calibri"/>
                <w:color w:val="333333"/>
                <w:sz w:val="18"/>
              </w:rPr>
              <w:t>Product Safety</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 xml:space="preserve">[Electronic &amp; Electrical Equipment] Product safety failures </w:t>
            </w:r>
          </w:p>
        </w:tc>
      </w:tr>
      <w:tr>
        <w:tc>
          <w:tcPr>
            <w:tcW w:type="dxa" w:w="2520"/>
          </w:tcPr>
          <w:p>
            <w:r>
              <w:rPr>
                <w:rFonts w:ascii="Calibri" w:hAnsi="Calibri"/>
                <w:color w:val="333333"/>
                <w:sz w:val="18"/>
              </w:rPr>
              <w:t>Ip Infringement</w:t>
            </w:r>
          </w:p>
        </w:tc>
        <w:tc>
          <w:tcPr>
            <w:tcW w:type="dxa" w:w="2520"/>
          </w:tcPr>
          <w:p>
            <w:r>
              <w:rPr>
                <w:rFonts w:ascii="Calibri" w:hAnsi="Calibri"/>
                <w:color w:val="333333"/>
                <w:sz w:val="18"/>
              </w:rPr>
              <w:t>Yes</w:t>
            </w:r>
          </w:p>
        </w:tc>
        <w:tc>
          <w:tcPr>
            <w:tcW w:type="dxa" w:w="2520"/>
          </w:tcPr>
          <w:p>
            <w:r>
              <w:rPr>
                <w:rFonts w:ascii="Calibri" w:hAnsi="Calibri"/>
                <w:color w:val="333333"/>
                <w:sz w:val="18"/>
              </w:rPr>
              <w:t>Yes</w:t>
            </w:r>
          </w:p>
        </w:tc>
        <w:tc>
          <w:tcPr>
            <w:tcW w:type="dxa" w:w="2520"/>
          </w:tcPr>
          <w:p>
            <w:r>
              <w:rPr>
                <w:rFonts w:ascii="Calibri" w:hAnsi="Calibri"/>
                <w:color w:val="333333"/>
                <w:sz w:val="18"/>
              </w:rPr>
              <w:t>[Electronic &amp; Electrical Equipment] Patent infringement or I</w:t>
            </w:r>
          </w:p>
        </w:tc>
      </w:tr>
      <w:tr>
        <w:tc>
          <w:tcPr>
            <w:tcW w:type="dxa" w:w="2520"/>
            <w:shd w:fill="F2F4F8" w:val="clear"/>
          </w:tcPr>
          <w:p>
            <w:r>
              <w:rPr>
                <w:rFonts w:ascii="Calibri" w:hAnsi="Calibri"/>
                <w:color w:val="333333"/>
                <w:sz w:val="18"/>
              </w:rPr>
              <w:t>Export Control Violations</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Yes</w:t>
            </w:r>
          </w:p>
        </w:tc>
        <w:tc>
          <w:tcPr>
            <w:tcW w:type="dxa" w:w="2520"/>
            <w:shd w:fill="F2F4F8" w:val="clear"/>
          </w:tcPr>
          <w:p>
            <w:r>
              <w:rPr>
                <w:rFonts w:ascii="Calibri" w:hAnsi="Calibri"/>
                <w:color w:val="333333"/>
                <w:sz w:val="18"/>
              </w:rPr>
              <w:t>[Electronic &amp; Electrical Equipment] Violations of export con</w:t>
            </w:r>
          </w:p>
        </w:tc>
      </w:tr>
    </w:tbl>
    <w:p>
      <w:pPr>
        <w:pStyle w:val="DOBody"/>
      </w:pPr>
      <w:r>
        <w:rPr>
          <w:i/>
          <w:sz w:val="16"/>
        </w:rPr>
        <w:t>D&amp;O Context: Company exposed to 4 industry claim pattern(s). Peer lawsuits create contagion risk -- plaintiff firms often file similar claims across the industry.</w:t>
      </w:r>
      <w:r>
        <w:rPr>
          <w:b/>
          <w:color w:val="EAB308"/>
          <w:sz w:val="18"/>
        </w:rPr>
        <w:t xml:space="preserve"> [ELEVATED]</w:t>
      </w:r>
    </w:p>
    <w:p>
      <w:pPr>
        <w:pStyle w:val="DOHeading3"/>
      </w:pPr>
      <w:r>
        <w:t>Statute of Limitations Map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Claim Type</w:t>
            </w:r>
          </w:p>
        </w:tc>
        <w:tc>
          <w:tcPr>
            <w:tcW w:type="dxa" w:w="2016"/>
            <w:shd w:fill="1A1446" w:val="clear"/>
          </w:tcPr>
          <w:p>
            <w:r>
              <w:rPr>
                <w:rFonts w:ascii="Calibri" w:hAnsi="Calibri"/>
                <w:b/>
                <w:color w:val="FFFFFF"/>
                <w:sz w:val="18"/>
              </w:rPr>
              <w:t>Trigger Date</w:t>
            </w:r>
          </w:p>
        </w:tc>
        <w:tc>
          <w:tcPr>
            <w:tcW w:type="dxa" w:w="2016"/>
            <w:shd w:fill="1A1446" w:val="clear"/>
          </w:tcPr>
          <w:p>
            <w:r>
              <w:rPr>
                <w:rFonts w:ascii="Calibri" w:hAnsi="Calibri"/>
                <w:b/>
                <w:color w:val="FFFFFF"/>
                <w:sz w:val="18"/>
              </w:rPr>
              <w:t>SOL Expiry</w:t>
            </w:r>
          </w:p>
        </w:tc>
        <w:tc>
          <w:tcPr>
            <w:tcW w:type="dxa" w:w="2016"/>
            <w:shd w:fill="1A1446" w:val="clear"/>
          </w:tcPr>
          <w:p>
            <w:r>
              <w:rPr>
                <w:rFonts w:ascii="Calibri" w:hAnsi="Calibri"/>
                <w:b/>
                <w:color w:val="FFFFFF"/>
                <w:sz w:val="18"/>
              </w:rPr>
              <w:t>Repose Expiry</w:t>
            </w:r>
          </w:p>
        </w:tc>
        <w:tc>
          <w:tcPr>
            <w:tcW w:type="dxa" w:w="2016"/>
            <w:shd w:fill="1A1446" w:val="clear"/>
          </w:tcPr>
          <w:p>
            <w:r>
              <w:rPr>
                <w:rFonts w:ascii="Calibri" w:hAnsi="Calibri"/>
                <w:b/>
                <w:color w:val="FFFFFF"/>
                <w:sz w:val="18"/>
              </w:rPr>
              <w:t>Window Open</w:t>
            </w:r>
          </w:p>
        </w:tc>
      </w:tr>
      <w:tr>
        <w:tc>
          <w:tcPr>
            <w:tcW w:type="dxa" w:w="2016"/>
          </w:tcPr>
          <w:p>
            <w:r>
              <w:rPr>
                <w:rFonts w:ascii="Calibri" w:hAnsi="Calibri"/>
                <w:color w:val="333333"/>
                <w:sz w:val="18"/>
              </w:rPr>
              <w:t>employment_discrimination</w:t>
            </w:r>
          </w:p>
        </w:tc>
        <w:tc>
          <w:tcPr>
            <w:tcW w:type="dxa" w:w="2016"/>
          </w:tcPr>
          <w:p>
            <w:r>
              <w:rPr>
                <w:rFonts w:ascii="Calibri" w:hAnsi="Calibri"/>
                <w:color w:val="333333"/>
                <w:sz w:val="18"/>
              </w:rPr>
              <w:t>2026-01-23</w:t>
            </w:r>
          </w:p>
        </w:tc>
        <w:tc>
          <w:tcPr>
            <w:tcW w:type="dxa" w:w="2016"/>
          </w:tcPr>
          <w:p>
            <w:r>
              <w:rPr>
                <w:rFonts w:ascii="Calibri" w:hAnsi="Calibri"/>
                <w:color w:val="333333"/>
                <w:sz w:val="18"/>
              </w:rPr>
              <w:t>2028-01-23</w:t>
            </w:r>
          </w:p>
        </w:tc>
        <w:tc>
          <w:tcPr>
            <w:tcW w:type="dxa" w:w="2016"/>
          </w:tcPr>
          <w:p>
            <w:r>
              <w:rPr>
                <w:rFonts w:ascii="Calibri" w:hAnsi="Calibri"/>
                <w:color w:val="333333"/>
                <w:sz w:val="18"/>
              </w:rPr>
              <w:t>2028-01-23</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10b-5</w:t>
            </w:r>
          </w:p>
        </w:tc>
        <w:tc>
          <w:tcPr>
            <w:tcW w:type="dxa" w:w="2016"/>
            <w:shd w:fill="F2F4F8" w:val="clear"/>
          </w:tcPr>
          <w:p>
            <w:r>
              <w:rPr>
                <w:rFonts w:ascii="Calibri" w:hAnsi="Calibri"/>
                <w:color w:val="333333"/>
                <w:sz w:val="18"/>
              </w:rPr>
              <w:t>2024-04-25</w:t>
            </w:r>
          </w:p>
        </w:tc>
        <w:tc>
          <w:tcPr>
            <w:tcW w:type="dxa" w:w="2016"/>
            <w:shd w:fill="F2F4F8" w:val="clear"/>
          </w:tcPr>
          <w:p>
            <w:r>
              <w:rPr>
                <w:rFonts w:ascii="Calibri" w:hAnsi="Calibri"/>
                <w:color w:val="333333"/>
                <w:sz w:val="18"/>
              </w:rPr>
              <w:t>2026-04-25</w:t>
            </w:r>
          </w:p>
        </w:tc>
        <w:tc>
          <w:tcPr>
            <w:tcW w:type="dxa" w:w="2016"/>
            <w:shd w:fill="F2F4F8" w:val="clear"/>
          </w:tcPr>
          <w:p>
            <w:r>
              <w:rPr>
                <w:rFonts w:ascii="Calibri" w:hAnsi="Calibri"/>
                <w:color w:val="333333"/>
                <w:sz w:val="18"/>
              </w:rPr>
              <w:t>2029-04-24</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antitrust</w:t>
            </w:r>
          </w:p>
        </w:tc>
        <w:tc>
          <w:tcPr>
            <w:tcW w:type="dxa" w:w="2016"/>
          </w:tcPr>
          <w:p>
            <w:r>
              <w:rPr>
                <w:rFonts w:ascii="Calibri" w:hAnsi="Calibri"/>
                <w:color w:val="333333"/>
                <w:sz w:val="18"/>
              </w:rPr>
              <w:t>2026-01-23</w:t>
            </w:r>
          </w:p>
        </w:tc>
        <w:tc>
          <w:tcPr>
            <w:tcW w:type="dxa" w:w="2016"/>
          </w:tcPr>
          <w:p>
            <w:r>
              <w:rPr>
                <w:rFonts w:ascii="Calibri" w:hAnsi="Calibri"/>
                <w:color w:val="333333"/>
                <w:sz w:val="18"/>
              </w:rPr>
              <w:t>2030-01-22</w:t>
            </w:r>
          </w:p>
        </w:tc>
        <w:tc>
          <w:tcPr>
            <w:tcW w:type="dxa" w:w="2016"/>
          </w:tcPr>
          <w:p>
            <w:r>
              <w:rPr>
                <w:rFonts w:ascii="Calibri" w:hAnsi="Calibri"/>
                <w:color w:val="333333"/>
                <w:sz w:val="18"/>
              </w:rPr>
              <w:t>2030-01-22</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FCPA</w:t>
            </w:r>
          </w:p>
        </w:tc>
        <w:tc>
          <w:tcPr>
            <w:tcW w:type="dxa" w:w="2016"/>
            <w:shd w:fill="F2F4F8" w:val="clear"/>
          </w:tcPr>
          <w:p>
            <w:r>
              <w:rPr>
                <w:rFonts w:ascii="Calibri" w:hAnsi="Calibri"/>
                <w:color w:val="333333"/>
                <w:sz w:val="18"/>
              </w:rPr>
              <w:t>2026-01-23</w:t>
            </w:r>
          </w:p>
        </w:tc>
        <w:tc>
          <w:tcPr>
            <w:tcW w:type="dxa" w:w="2016"/>
            <w:shd w:fill="F2F4F8" w:val="clear"/>
          </w:tcPr>
          <w:p>
            <w:r>
              <w:rPr>
                <w:rFonts w:ascii="Calibri" w:hAnsi="Calibri"/>
                <w:color w:val="333333"/>
                <w:sz w:val="18"/>
              </w:rPr>
              <w:t>2031-01-22</w:t>
            </w:r>
          </w:p>
        </w:tc>
        <w:tc>
          <w:tcPr>
            <w:tcW w:type="dxa" w:w="2016"/>
            <w:shd w:fill="F2F4F8" w:val="clear"/>
          </w:tcPr>
          <w:p>
            <w:r>
              <w:rPr>
                <w:rFonts w:ascii="Calibri" w:hAnsi="Calibri"/>
                <w:color w:val="333333"/>
                <w:sz w:val="18"/>
              </w:rPr>
              <w:t>2031-01-22</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environmental</w:t>
            </w:r>
          </w:p>
        </w:tc>
        <w:tc>
          <w:tcPr>
            <w:tcW w:type="dxa" w:w="2016"/>
          </w:tcPr>
          <w:p>
            <w:r>
              <w:rPr>
                <w:rFonts w:ascii="Calibri" w:hAnsi="Calibri"/>
                <w:color w:val="333333"/>
                <w:sz w:val="18"/>
              </w:rPr>
              <w:t>2026-01-23</w:t>
            </w:r>
          </w:p>
        </w:tc>
        <w:tc>
          <w:tcPr>
            <w:tcW w:type="dxa" w:w="2016"/>
          </w:tcPr>
          <w:p>
            <w:r>
              <w:rPr>
                <w:rFonts w:ascii="Calibri" w:hAnsi="Calibri"/>
                <w:color w:val="333333"/>
                <w:sz w:val="18"/>
              </w:rPr>
              <w:t>2031-01-22</w:t>
            </w:r>
          </w:p>
        </w:tc>
        <w:tc>
          <w:tcPr>
            <w:tcW w:type="dxa" w:w="2016"/>
          </w:tcPr>
          <w:p>
            <w:r>
              <w:rPr>
                <w:rFonts w:ascii="Calibri" w:hAnsi="Calibri"/>
                <w:color w:val="333333"/>
                <w:sz w:val="18"/>
              </w:rPr>
              <w:t>2031-01-22</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derivative</w:t>
            </w:r>
          </w:p>
        </w:tc>
        <w:tc>
          <w:tcPr>
            <w:tcW w:type="dxa" w:w="2016"/>
            <w:shd w:fill="F2F4F8" w:val="clear"/>
          </w:tcPr>
          <w:p>
            <w:r>
              <w:rPr>
                <w:rFonts w:ascii="Calibri" w:hAnsi="Calibri"/>
                <w:color w:val="333333"/>
                <w:sz w:val="18"/>
              </w:rPr>
              <w:t>2026-01-23</w:t>
            </w:r>
          </w:p>
        </w:tc>
        <w:tc>
          <w:tcPr>
            <w:tcW w:type="dxa" w:w="2016"/>
            <w:shd w:fill="F2F4F8" w:val="clear"/>
          </w:tcPr>
          <w:p>
            <w:r>
              <w:rPr>
                <w:rFonts w:ascii="Calibri" w:hAnsi="Calibri"/>
                <w:color w:val="333333"/>
                <w:sz w:val="18"/>
              </w:rPr>
              <w:t>2029-01-22</w:t>
            </w:r>
          </w:p>
        </w:tc>
        <w:tc>
          <w:tcPr>
            <w:tcW w:type="dxa" w:w="2016"/>
            <w:shd w:fill="F2F4F8" w:val="clear"/>
          </w:tcPr>
          <w:p>
            <w:r>
              <w:rPr>
                <w:rFonts w:ascii="Calibri" w:hAnsi="Calibri"/>
                <w:color w:val="333333"/>
                <w:sz w:val="18"/>
              </w:rPr>
              <w:t>2032-01-22</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ERISA</w:t>
            </w:r>
          </w:p>
        </w:tc>
        <w:tc>
          <w:tcPr>
            <w:tcW w:type="dxa" w:w="2016"/>
          </w:tcPr>
          <w:p>
            <w:r>
              <w:rPr>
                <w:rFonts w:ascii="Calibri" w:hAnsi="Calibri"/>
                <w:color w:val="333333"/>
                <w:sz w:val="18"/>
              </w:rPr>
              <w:t>2026-01-23</w:t>
            </w:r>
          </w:p>
        </w:tc>
        <w:tc>
          <w:tcPr>
            <w:tcW w:type="dxa" w:w="2016"/>
          </w:tcPr>
          <w:p>
            <w:r>
              <w:rPr>
                <w:rFonts w:ascii="Calibri" w:hAnsi="Calibri"/>
                <w:color w:val="333333"/>
                <w:sz w:val="18"/>
              </w:rPr>
              <w:t>2029-01-22</w:t>
            </w:r>
          </w:p>
        </w:tc>
        <w:tc>
          <w:tcPr>
            <w:tcW w:type="dxa" w:w="2016"/>
          </w:tcPr>
          <w:p>
            <w:r>
              <w:rPr>
                <w:rFonts w:ascii="Calibri" w:hAnsi="Calibri"/>
                <w:color w:val="333333"/>
                <w:sz w:val="18"/>
              </w:rPr>
              <w:t>2032-01-22</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Section_11</w:t>
            </w:r>
          </w:p>
        </w:tc>
        <w:tc>
          <w:tcPr>
            <w:tcW w:type="dxa" w:w="2016"/>
            <w:shd w:fill="F2F4F8" w:val="clear"/>
          </w:tcPr>
          <w:p>
            <w:r>
              <w:rPr>
                <w:rFonts w:ascii="Calibri" w:hAnsi="Calibri"/>
                <w:color w:val="333333"/>
                <w:sz w:val="18"/>
              </w:rPr>
              <w:t>2024-04-25</w:t>
            </w:r>
          </w:p>
        </w:tc>
        <w:tc>
          <w:tcPr>
            <w:tcW w:type="dxa" w:w="2016"/>
            <w:shd w:fill="F2F4F8" w:val="clear"/>
          </w:tcPr>
          <w:p>
            <w:r>
              <w:rPr>
                <w:rFonts w:ascii="Calibri" w:hAnsi="Calibri"/>
                <w:color w:val="333333"/>
                <w:sz w:val="18"/>
              </w:rPr>
              <w:t>2025-04-25</w:t>
            </w:r>
          </w:p>
        </w:tc>
        <w:tc>
          <w:tcPr>
            <w:tcW w:type="dxa" w:w="2016"/>
            <w:shd w:fill="F2F4F8" w:val="clear"/>
          </w:tcPr>
          <w:p>
            <w:r>
              <w:rPr>
                <w:rFonts w:ascii="Calibri" w:hAnsi="Calibri"/>
                <w:color w:val="333333"/>
                <w:sz w:val="18"/>
              </w:rPr>
              <w:t>2027-04-25</w:t>
            </w:r>
          </w:p>
        </w:tc>
        <w:tc>
          <w:tcPr>
            <w:tcW w:type="dxa" w:w="2016"/>
            <w:shd w:fill="F2F4F8" w:val="clear"/>
          </w:tcPr>
          <w:p>
            <w:r>
              <w:rPr>
                <w:rFonts w:ascii="Calibri" w:hAnsi="Calibri"/>
                <w:color w:val="333333"/>
                <w:sz w:val="18"/>
              </w:rPr>
              <w:t>CLOSED</w:t>
            </w:r>
          </w:p>
        </w:tc>
      </w:tr>
      <w:tr>
        <w:tc>
          <w:tcPr>
            <w:tcW w:type="dxa" w:w="2016"/>
          </w:tcPr>
          <w:p>
            <w:r>
              <w:rPr>
                <w:rFonts w:ascii="Calibri" w:hAnsi="Calibri"/>
                <w:color w:val="333333"/>
                <w:sz w:val="18"/>
              </w:rPr>
              <w:t>Section_14a</w:t>
            </w:r>
          </w:p>
        </w:tc>
        <w:tc>
          <w:tcPr>
            <w:tcW w:type="dxa" w:w="2016"/>
          </w:tcPr>
          <w:p>
            <w:r>
              <w:rPr>
                <w:rFonts w:ascii="Calibri" w:hAnsi="Calibri"/>
                <w:color w:val="333333"/>
                <w:sz w:val="18"/>
              </w:rPr>
              <w:t>2024-04-25</w:t>
            </w:r>
          </w:p>
        </w:tc>
        <w:tc>
          <w:tcPr>
            <w:tcW w:type="dxa" w:w="2016"/>
          </w:tcPr>
          <w:p>
            <w:r>
              <w:rPr>
                <w:rFonts w:ascii="Calibri" w:hAnsi="Calibri"/>
                <w:color w:val="333333"/>
                <w:sz w:val="18"/>
              </w:rPr>
              <w:t>2025-04-25</w:t>
            </w:r>
          </w:p>
        </w:tc>
        <w:tc>
          <w:tcPr>
            <w:tcW w:type="dxa" w:w="2016"/>
          </w:tcPr>
          <w:p>
            <w:r>
              <w:rPr>
                <w:rFonts w:ascii="Calibri" w:hAnsi="Calibri"/>
                <w:color w:val="333333"/>
                <w:sz w:val="18"/>
              </w:rPr>
              <w:t>2027-04-25</w:t>
            </w:r>
          </w:p>
        </w:tc>
        <w:tc>
          <w:tcPr>
            <w:tcW w:type="dxa" w:w="2016"/>
          </w:tcPr>
          <w:p>
            <w:r>
              <w:rPr>
                <w:rFonts w:ascii="Calibri" w:hAnsi="Calibri"/>
                <w:color w:val="333333"/>
                <w:sz w:val="18"/>
              </w:rPr>
              <w:t>CLOSED</w:t>
            </w:r>
          </w:p>
        </w:tc>
      </w:tr>
    </w:tbl>
    <w:p>
      <w:pPr>
        <w:pStyle w:val="DOBody"/>
      </w:pPr>
      <w:r>
        <w:rPr>
          <w:i/>
          <w:sz w:val="16"/>
        </w:rPr>
        <w:t>D&amp;O Context: 7 open exposure window(s). Claims can still be filed within these periods.</w:t>
      </w:r>
      <w:r>
        <w:rPr>
          <w:b/>
          <w:color w:val="EAB308"/>
          <w:sz w:val="18"/>
        </w:rPr>
        <w:t xml:space="preserve"> [ELEVATED]</w:t>
      </w:r>
    </w:p>
    <w:p>
      <w:pPr>
        <w:pStyle w:val="DOHeading3"/>
      </w:pPr>
      <w:r>
        <w:t>Defense Strength Assessment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Factor</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Federal Forum Provision</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Exclusive Forum Provision</w:t>
            </w:r>
          </w:p>
        </w:tc>
        <w:tc>
          <w:tcPr>
            <w:tcW w:type="dxa" w:w="5040"/>
            <w:shd w:fill="F2F4F8" w:val="clear"/>
          </w:tcPr>
          <w:p>
            <w:r>
              <w:rPr>
                <w:rFonts w:ascii="Calibri" w:hAnsi="Calibri"/>
                <w:color w:val="333333"/>
                <w:sz w:val="18"/>
              </w:rPr>
              <w:t>No</w:t>
            </w:r>
          </w:p>
        </w:tc>
      </w:tr>
      <w:tr>
        <w:tc>
          <w:tcPr>
            <w:tcW w:type="dxa" w:w="5040"/>
          </w:tcPr>
          <w:p>
            <w:r>
              <w:rPr>
                <w:rFonts w:ascii="Calibri" w:hAnsi="Calibri"/>
                <w:color w:val="333333"/>
                <w:sz w:val="18"/>
              </w:rPr>
              <w:t>PSLRA Safe Harbor</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Truth-on-Market Viability</w:t>
            </w:r>
          </w:p>
        </w:tc>
        <w:tc>
          <w:tcPr>
            <w:tcW w:type="dxa" w:w="5040"/>
            <w:shd w:fill="F2F4F8" w:val="clear"/>
          </w:tcPr>
          <w:p>
            <w:r>
              <w:rPr>
                <w:rFonts w:ascii="Calibri" w:hAnsi="Calibri"/>
                <w:color w:val="333333"/>
                <w:sz w:val="18"/>
              </w:rPr>
              <w:t>VIABLE</w:t>
            </w:r>
          </w:p>
        </w:tc>
      </w:tr>
      <w:tr>
        <w:tc>
          <w:tcPr>
            <w:tcW w:type="dxa" w:w="5040"/>
          </w:tcPr>
          <w:p>
            <w:r>
              <w:rPr>
                <w:rFonts w:ascii="Calibri" w:hAnsi="Calibri"/>
                <w:color w:val="333333"/>
                <w:sz w:val="18"/>
              </w:rPr>
              <w:t>Prior Dismissal Success</w:t>
            </w:r>
          </w:p>
        </w:tc>
        <w:tc>
          <w:tcPr>
            <w:tcW w:type="dxa" w:w="5040"/>
          </w:tcPr>
          <w:p>
            <w:r>
              <w:rPr>
                <w:rFonts w:ascii="Calibri" w:hAnsi="Calibri"/>
                <w:color w:val="333333"/>
                <w:sz w:val="18"/>
              </w:rPr>
              <w:t>No prior dismissals identified in Item 3</w:t>
            </w:r>
          </w:p>
        </w:tc>
      </w:tr>
      <w:tr>
        <w:tc>
          <w:tcPr>
            <w:tcW w:type="dxa" w:w="5040"/>
            <w:shd w:fill="F2F4F8" w:val="clear"/>
          </w:tcPr>
          <w:p>
            <w:r>
              <w:rPr>
                <w:rFonts w:ascii="Calibri" w:hAnsi="Calibri"/>
                <w:color w:val="333333"/>
                <w:sz w:val="18"/>
              </w:rPr>
              <w:t>Overall Defense Strength</w:t>
            </w:r>
          </w:p>
        </w:tc>
        <w:tc>
          <w:tcPr>
            <w:tcW w:type="dxa" w:w="5040"/>
            <w:shd w:fill="F2F4F8" w:val="clear"/>
          </w:tcPr>
          <w:p>
            <w:r>
              <w:rPr>
                <w:rFonts w:ascii="Calibri" w:hAnsi="Calibri"/>
                <w:color w:val="333333"/>
                <w:sz w:val="18"/>
              </w:rPr>
              <w:t>MODERATE</w:t>
            </w:r>
          </w:p>
        </w:tc>
      </w:tr>
    </w:tbl>
    <w:p>
      <w:pPr>
        <w:pStyle w:val="DOBody"/>
      </w:pPr>
      <w:r>
        <w:rPr>
          <w:rFonts w:ascii="Calibri" w:hAnsi="Calibri"/>
          <w:color w:val="333333"/>
          <w:sz w:val="20"/>
        </w:rPr>
        <w:t>No forum selection provisions identified. Safe harbor usage is MODERATE with standard forward-looking statement protections. Additional defense factors include viable truth-on-the-market defense.</w:t>
      </w:r>
      <w:r>
        <w:rPr>
          <w:rFonts w:ascii="Consolas" w:hAnsi="Consolas"/>
          <w:color w:val="666666"/>
          <w:sz w:val="16"/>
        </w:rPr>
        <w:t xml:space="preserve">  [DEF 14A; 10-K, 2026-04-02, LOW]</w:t>
      </w:r>
    </w:p>
    <w:p>
      <w:pPr>
        <w:pStyle w:val="DOHeading3"/>
      </w:pPr>
      <w:r>
        <w:t>Contingent Liabilities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ASC 450 Class.</w:t>
            </w:r>
          </w:p>
        </w:tc>
        <w:tc>
          <w:tcPr>
            <w:tcW w:type="dxa" w:w="2520"/>
            <w:shd w:fill="1A1446" w:val="clear"/>
          </w:tcPr>
          <w:p>
            <w:r>
              <w:rPr>
                <w:rFonts w:ascii="Calibri" w:hAnsi="Calibri"/>
                <w:b/>
                <w:color w:val="FFFFFF"/>
                <w:sz w:val="18"/>
              </w:rPr>
              <w:t>Accrued</w:t>
            </w:r>
          </w:p>
        </w:tc>
        <w:tc>
          <w:tcPr>
            <w:tcW w:type="dxa" w:w="2520"/>
            <w:shd w:fill="1A1446" w:val="clear"/>
          </w:tcPr>
          <w:p>
            <w:r>
              <w:rPr>
                <w:rFonts w:ascii="Calibri" w:hAnsi="Calibri"/>
                <w:b/>
                <w:color w:val="FFFFFF"/>
                <w:sz w:val="18"/>
              </w:rPr>
              <w:t>Range</w:t>
            </w:r>
          </w:p>
        </w:tc>
      </w:tr>
      <w:tr>
        <w:tc>
          <w:tcPr>
            <w:tcW w:type="dxa" w:w="2520"/>
          </w:tcPr>
          <w:p>
            <w:r>
              <w:rPr>
                <w:rFonts w:ascii="Calibri" w:hAnsi="Calibri"/>
                <w:color w:val="333333"/>
                <w:sz w:val="18"/>
              </w:rPr>
              <w:t>well as product warranties that arise in the ordinary course</w:t>
            </w:r>
          </w:p>
        </w:tc>
        <w:tc>
          <w:tcPr>
            <w:tcW w:type="dxa" w:w="2520"/>
          </w:tcPr>
          <w:p>
            <w:r>
              <w:rPr>
                <w:rFonts w:ascii="Calibri" w:hAnsi="Calibri"/>
                <w:color w:val="333333"/>
                <w:sz w:val="18"/>
              </w:rPr>
              <w:t>probable</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otential asset impairments that arise in the ordinary course</w:t>
            </w:r>
          </w:p>
        </w:tc>
        <w:tc>
          <w:tcPr>
            <w:tcW w:type="dxa" w:w="2520"/>
            <w:shd w:fill="F2F4F8" w:val="clear"/>
          </w:tcPr>
          <w:p>
            <w:r>
              <w:rPr>
                <w:rFonts w:ascii="Calibri" w:hAnsi="Calibri"/>
                <w:color w:val="333333"/>
                <w:sz w:val="18"/>
              </w:rPr>
              <w:t>probable</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bl>
    <w:p>
      <w:pPr>
        <w:pStyle w:val="DOBody"/>
      </w:pPr>
      <w:r>
        <w:rPr>
          <w:i/>
          <w:sz w:val="16"/>
        </w:rPr>
        <w:t>D&amp;O Context: 2 probable contingenc(y/ies). ASC 450 probable classification indicates management believes loss is likely. Direct impact on D&amp;O exposure.</w:t>
      </w:r>
      <w:r>
        <w:rPr>
          <w:b/>
          <w:color w:val="EA580C"/>
          <w:sz w:val="18"/>
        </w:rPr>
        <w:t xml:space="preserve"> [HIGH]</w:t>
      </w:r>
    </w:p>
    <w:p>
      <w:pPr>
        <w:pStyle w:val="DOHeading3"/>
      </w:pPr>
      <w:r>
        <w:t>Workforce, Product &amp; Environmental Matters</w:t>
      </w:r>
    </w:p>
    <w:p>
      <w:pPr>
        <w:pStyle w:val="DOBody"/>
      </w:pPr>
      <w:r>
        <w:t>None found.</w:t>
      </w:r>
    </w:p>
    <w:p>
      <w:pPr>
        <w:pStyle w:val="DOHeading3"/>
      </w:pPr>
      <w:r>
        <w:t>Whistleblower Indicators</w:t>
      </w:r>
    </w:p>
    <w:p>
      <w:pPr>
        <w:pStyle w:val="DOBody"/>
      </w:pPr>
      <w:r>
        <w:t>No whistleblower indicators identified in SEC filings. SEC whistleblower tips are not publicly disclosed; absence does not confirm lack of activity.</w:t>
      </w:r>
    </w:p>
    <w:p>
      <w:pPr>
        <w:spacing w:before="120" w:after="40"/>
        <w:pBdr>
          <w:bottom w:val="single" w:sz="6" w:space="1" w:color="FFD000"/>
        </w:pBdr>
      </w:pPr>
    </w:p>
    <w:p>
      <w:pPr>
        <w:pStyle w:val="DOBody"/>
        <w:spacing w:before="40" w:after="120"/>
      </w:pPr>
      <w:r>
        <w:rPr>
          <w:color w:val="333333"/>
          <w:sz w:val="20"/>
        </w:rPr>
        <w:t>Intel's WIN-tier quality score of 87.8 places it as a must-have account, but its ELEVATED claim band of 6.65-9.5% demands disciplined pricing. The primary driver is its Prior Litigation risk factor, which deducted 2.42 points from a maximum of 20, based on 63 identified signals, indicating a persistent exposure to shareholder suits. This is compounded by a pattern of Guidance Misses, a factor that deducted 2.0 points and includes at least one instance where results fell over 15% short of projections, which directly fuels allegations of misleading forward-looking statements. While not a governance crisis, this "Guidance Track Record" pattern, alongside elevated Short Interest that deducted 2.22 points from a max of 8, reveals a volatile operational execution that increases the likelihood of stock volatility and subsequent securities class actions.</w:t>
      </w:r>
    </w:p>
    <w:p>
      <w:pPr>
        <w:pStyle w:val="DOHeading1"/>
      </w:pPr>
      <w:r>
        <w:t>Section 7: Risk Scoring &amp; Synthesis</w:t>
      </w:r>
    </w:p>
    <w:p>
      <w:pPr>
        <w:pStyle w:val="DOBody"/>
      </w:pPr>
      <w:r>
        <w:rPr>
          <w:rFonts w:ascii="Calibri" w:hAnsi="Calibri"/>
          <w:color w:val="333333"/>
          <w:sz w:val="20"/>
        </w:rPr>
        <w:t>Underwriting tier: **WIN** (quality score: 87.8/100). Recommended action: Must-have account, compete aggressively. Expected claim probability band: 6.7-9.5%. Top risk contributors: Prior Litigation (F1: -2.4 pts); Short Interest (F6: -2.2 pts); Restatement/Audit Issues (F3: -2.1 pts). Active composite patterns: Guidance Track Record. Claim probability band: ELEVATED (6.7%-9.5%).</w:t>
      </w:r>
    </w:p>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87.8 / 100</w:t>
            </w:r>
          </w:p>
        </w:tc>
      </w:tr>
      <w:tr>
        <w:tc>
          <w:tcPr>
            <w:tcW w:type="dxa" w:w="5040"/>
            <w:shd w:fill="F2F4F8" w:val="clear"/>
          </w:tcPr>
          <w:p>
            <w:r>
              <w:rPr>
                <w:rFonts w:ascii="Calibri" w:hAnsi="Calibri"/>
                <w:color w:val="333333"/>
                <w:sz w:val="18"/>
              </w:rPr>
              <w:t>Composite Score (pre-ceiling)</w:t>
            </w:r>
          </w:p>
        </w:tc>
        <w:tc>
          <w:tcPr>
            <w:tcW w:type="dxa" w:w="5040"/>
            <w:shd w:fill="F2F4F8" w:val="clear"/>
          </w:tcPr>
          <w:p>
            <w:r>
              <w:rPr>
                <w:rFonts w:ascii="Calibri" w:hAnsi="Calibri"/>
                <w:color w:val="333333"/>
                <w:sz w:val="18"/>
              </w:rPr>
              <w:t>87.8</w:t>
            </w:r>
          </w:p>
        </w:tc>
      </w:tr>
      <w:tr>
        <w:tc>
          <w:tcPr>
            <w:tcW w:type="dxa" w:w="5040"/>
          </w:tcPr>
          <w:p>
            <w:r>
              <w:rPr>
                <w:rFonts w:ascii="Calibri" w:hAnsi="Calibri"/>
                <w:color w:val="333333"/>
                <w:sz w:val="18"/>
              </w:rPr>
              <w:t>Total Risk Points Deducted</w:t>
            </w:r>
          </w:p>
        </w:tc>
        <w:tc>
          <w:tcPr>
            <w:tcW w:type="dxa" w:w="5040"/>
          </w:tcPr>
          <w:p>
            <w:r>
              <w:rPr>
                <w:rFonts w:ascii="Calibri" w:hAnsi="Calibri"/>
                <w:color w:val="333333"/>
                <w:sz w:val="18"/>
              </w:rPr>
              <w:t>12.2</w:t>
            </w:r>
          </w:p>
        </w:tc>
      </w:tr>
      <w:tr>
        <w:tc>
          <w:tcPr>
            <w:tcW w:type="dxa" w:w="5040"/>
            <w:shd w:fill="F2F4F8" w:val="clear"/>
          </w:tcPr>
          <w:p>
            <w:r>
              <w:rPr>
                <w:rFonts w:ascii="Calibri" w:hAnsi="Calibri"/>
                <w:color w:val="333333"/>
                <w:sz w:val="18"/>
              </w:rPr>
              <w:t>Tier</w:t>
            </w:r>
          </w:p>
        </w:tc>
        <w:tc>
          <w:tcPr>
            <w:tcW w:type="dxa" w:w="5040"/>
            <w:shd w:fill="F2F4F8" w:val="clear"/>
          </w:tcPr>
          <w:p>
            <w:r>
              <w:rPr>
                <w:rFonts w:ascii="Calibri" w:hAnsi="Calibri"/>
                <w:color w:val="333333"/>
                <w:sz w:val="18"/>
              </w:rPr>
              <w:t>WIN</w:t>
            </w:r>
          </w:p>
        </w:tc>
      </w:tr>
      <w:tr>
        <w:tc>
          <w:tcPr>
            <w:tcW w:type="dxa" w:w="5040"/>
          </w:tcPr>
          <w:p>
            <w:r>
              <w:rPr>
                <w:rFonts w:ascii="Calibri" w:hAnsi="Calibri"/>
                <w:color w:val="333333"/>
                <w:sz w:val="18"/>
              </w:rPr>
              <w:t>Tier Range</w:t>
            </w:r>
          </w:p>
        </w:tc>
        <w:tc>
          <w:tcPr>
            <w:tcW w:type="dxa" w:w="5040"/>
          </w:tcPr>
          <w:p>
            <w:r>
              <w:rPr>
                <w:rFonts w:ascii="Calibri" w:hAnsi="Calibri"/>
                <w:color w:val="333333"/>
                <w:sz w:val="18"/>
              </w:rPr>
              <w:t>86 - 100</w:t>
            </w:r>
          </w:p>
        </w:tc>
      </w:tr>
      <w:tr>
        <w:tc>
          <w:tcPr>
            <w:tcW w:type="dxa" w:w="5040"/>
            <w:shd w:fill="F2F4F8" w:val="clear"/>
          </w:tcPr>
          <w:p>
            <w:r>
              <w:rPr>
                <w:rFonts w:ascii="Calibri" w:hAnsi="Calibri"/>
                <w:color w:val="333333"/>
                <w:sz w:val="18"/>
              </w:rPr>
              <w:t>Action Guidance</w:t>
            </w:r>
          </w:p>
        </w:tc>
        <w:tc>
          <w:tcPr>
            <w:tcW w:type="dxa" w:w="5040"/>
            <w:shd w:fill="F2F4F8" w:val="clear"/>
          </w:tcPr>
          <w:p>
            <w:r>
              <w:rPr>
                <w:rFonts w:ascii="Calibri" w:hAnsi="Calibri"/>
                <w:color w:val="333333"/>
                <w:sz w:val="18"/>
              </w:rPr>
              <w:t>Must-have account, compete aggressively</w:t>
            </w:r>
          </w:p>
        </w:tc>
      </w:tr>
      <w:tr>
        <w:tc>
          <w:tcPr>
            <w:tcW w:type="dxa" w:w="5040"/>
          </w:tcPr>
          <w:p>
            <w:r>
              <w:rPr>
                <w:rFonts w:ascii="Calibri" w:hAnsi="Calibri"/>
                <w:color w:val="333333"/>
                <w:sz w:val="18"/>
              </w:rPr>
              <w:t>Probability Range</w:t>
            </w:r>
          </w:p>
        </w:tc>
        <w:tc>
          <w:tcPr>
            <w:tcW w:type="dxa" w:w="5040"/>
          </w:tcPr>
          <w:p>
            <w:r>
              <w:rPr>
                <w:rFonts w:ascii="Calibri" w:hAnsi="Calibri"/>
                <w:color w:val="333333"/>
                <w:sz w:val="18"/>
              </w:rPr>
              <w:t>6.7-9.5%</w:t>
            </w:r>
          </w:p>
        </w:tc>
      </w:tr>
      <w:tr>
        <w:tc>
          <w:tcPr>
            <w:tcW w:type="dxa" w:w="5040"/>
            <w:shd w:fill="F2F4F8" w:val="clear"/>
          </w:tcPr>
          <w:p>
            <w:r>
              <w:rPr>
                <w:rFonts w:ascii="Calibri" w:hAnsi="Calibri"/>
                <w:color w:val="333333"/>
                <w:sz w:val="18"/>
              </w:rPr>
              <w:t>Pricing Multiplier</w:t>
            </w:r>
          </w:p>
        </w:tc>
        <w:tc>
          <w:tcPr>
            <w:tcW w:type="dxa" w:w="5040"/>
            <w:shd w:fill="F2F4F8" w:val="clear"/>
          </w:tcPr>
          <w:p>
            <w:r>
              <w:rPr>
                <w:rFonts w:ascii="Calibri" w:hAnsi="Calibri"/>
                <w:color w:val="333333"/>
                <w:sz w:val="18"/>
              </w:rPr>
              <w:t>0.5-0.7x</w:t>
            </w:r>
          </w:p>
        </w:tc>
      </w:tr>
    </w:tbl>
    <w:p>
      <w:pPr>
        <w:pStyle w:val="DOBody"/>
      </w:pPr>
      <w:r>
        <w:rPr>
          <w:b/>
        </w:rPr>
        <w:t>Risk Assessment: LOW</w:t>
      </w:r>
      <w:r>
        <w:rPr>
          <w:b/>
          <w:color w:val="2563EB"/>
          <w:sz w:val="18"/>
        </w:rPr>
        <w:t xml:space="preserve"> [LOW]</w:t>
      </w:r>
    </w:p>
    <w:p>
      <w:pPr>
        <w:pStyle w:val="DOHeading3"/>
      </w:pPr>
      <w:r>
        <w:t>D&amp;O Claim Peril Assessment</w:t>
      </w:r>
    </w:p>
    <w:p>
      <w:pPr>
        <w:pStyle w:val="DOBody"/>
      </w:pPr>
      <w:r>
        <w:t>2 of 8 D&amp;O claim perils show active risk signals. Active perils have at least one causal chain with triggered checks.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Peril</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Active Chains</w:t>
            </w:r>
          </w:p>
        </w:tc>
        <w:tc>
          <w:tcPr>
            <w:tcW w:type="dxa" w:w="2520"/>
            <w:shd w:fill="1A1446" w:val="clear"/>
          </w:tcPr>
          <w:p>
            <w:r>
              <w:rPr>
                <w:rFonts w:ascii="Calibri" w:hAnsi="Calibri"/>
                <w:b/>
                <w:color w:val="FFFFFF"/>
                <w:sz w:val="18"/>
              </w:rPr>
              <w:t>Key Evidence</w:t>
            </w:r>
          </w:p>
        </w:tc>
      </w:tr>
      <w:tr>
        <w:tc>
          <w:tcPr>
            <w:tcW w:type="dxa" w:w="2520"/>
          </w:tcPr>
          <w:p>
            <w:r>
              <w:rPr>
                <w:rFonts w:ascii="Calibri" w:hAnsi="Calibri"/>
                <w:b/>
                <w:color w:val="333333"/>
                <w:sz w:val="18"/>
              </w:rPr>
              <w:t>Securities Claims</w:t>
            </w:r>
          </w:p>
        </w:tc>
        <w:tc>
          <w:tcPr>
            <w:tcW w:type="dxa" w:w="2520"/>
            <w:shd w:fill="FFCCBC" w:val="clear"/>
          </w:tcPr>
          <w:p>
            <w:r>
              <w:rPr>
                <w:rFonts w:ascii="Calibri" w:hAnsi="Calibri"/>
                <w:b/>
                <w:color w:val="CC3300"/>
                <w:sz w:val="18"/>
              </w:rPr>
              <w:t>ELEVATED</w:t>
            </w:r>
          </w:p>
        </w:tc>
        <w:tc>
          <w:tcPr>
            <w:tcW w:type="dxa" w:w="2520"/>
          </w:tcPr>
          <w:p>
            <w:r>
              <w:rPr>
                <w:rFonts w:ascii="Calibri" w:hAnsi="Calibri"/>
                <w:sz w:val="18"/>
              </w:rPr>
              <w:t>1/5</w:t>
            </w:r>
          </w:p>
        </w:tc>
        <w:tc>
          <w:tcPr>
            <w:tcW w:type="dxa" w:w="2520"/>
          </w:tcPr>
          <w:p>
            <w:r>
              <w:rPr>
                <w:rFonts w:ascii="Calibri" w:hAnsi="Calibri"/>
                <w:color w:val="666666"/>
                <w:sz w:val="18"/>
              </w:rPr>
              <w:t>Qualitative: No non-GAAP measures detected in 10-K; Qualitative: 0</w:t>
            </w:r>
          </w:p>
        </w:tc>
      </w:tr>
      <w:tr>
        <w:tc>
          <w:tcPr>
            <w:tcW w:type="dxa" w:w="2520"/>
          </w:tcPr>
          <w:p>
            <w:r>
              <w:rPr>
                <w:rFonts w:ascii="Calibri" w:hAnsi="Calibri"/>
                <w:b/>
                <w:color w:val="333333"/>
                <w:sz w:val="18"/>
              </w:rPr>
              <w:t>Fiduciary Breach</w:t>
            </w:r>
          </w:p>
        </w:tc>
        <w:tc>
          <w:tcPr>
            <w:tcW w:type="dxa" w:w="2520"/>
            <w:shd w:fill="FFF3CD" w:val="clear"/>
          </w:tcPr>
          <w:p>
            <w:r>
              <w:rPr>
                <w:rFonts w:ascii="Calibri" w:hAnsi="Calibri"/>
                <w:b/>
                <w:color w:val="E67300"/>
                <w:sz w:val="18"/>
              </w:rPr>
              <w:t>MODERATE</w:t>
            </w:r>
          </w:p>
        </w:tc>
        <w:tc>
          <w:tcPr>
            <w:tcW w:type="dxa" w:w="2520"/>
          </w:tcPr>
          <w:p>
            <w:r>
              <w:rPr>
                <w:rFonts w:ascii="Calibri" w:hAnsi="Calibri"/>
                <w:sz w:val="18"/>
              </w:rPr>
              <w:t>1/3</w:t>
            </w:r>
          </w:p>
        </w:tc>
        <w:tc>
          <w:tcPr>
            <w:tcW w:type="dxa" w:w="2520"/>
          </w:tcPr>
          <w:p>
            <w:r>
              <w:rPr>
                <w:rFonts w:ascii="Calibri" w:hAnsi="Calibri"/>
                <w:color w:val="666666"/>
                <w:sz w:val="18"/>
              </w:rPr>
              <w:t>Verified (value: 0); Detected (value). Limited corroborating data available.</w:t>
            </w:r>
          </w:p>
        </w:tc>
      </w:tr>
      <w:tr>
        <w:tc>
          <w:tcPr>
            <w:tcW w:type="dxa" w:w="2520"/>
          </w:tcPr>
          <w:p>
            <w:r>
              <w:rPr>
                <w:rFonts w:ascii="Calibri" w:hAnsi="Calibri"/>
                <w:b/>
                <w:color w:val="333333"/>
                <w:sz w:val="18"/>
              </w:rPr>
              <w:t>Government Enforcement</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Employment &amp; Whistleblower</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Insolvency &amp; Bankruptcy</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Emerging Risks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Consumer &amp; Product Claims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Commercial Litigation</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bl>
    <w:p>
      <w:pPr>
        <w:pStyle w:val="DOHeading3"/>
      </w:pPr>
      <w:r>
        <w:t>Active Peril Analysis</w:t>
      </w:r>
    </w:p>
    <w:p>
      <w:pPr>
        <w:pStyle w:val="DOHeading3"/>
      </w:pPr>
      <w:r>
        <w:t>Securities Claims: ELEVATED</w:t>
      </w:r>
      <w:r>
        <w:rPr>
          <w:b/>
          <w:color w:val="EAB308"/>
          <w:sz w:val="18"/>
        </w:rPr>
        <w:t xml:space="preserve"> [ELEVATED]</w:t>
      </w:r>
    </w:p>
    <w:p>
      <w:pPr>
        <w:pStyle w:val="DOBody"/>
      </w:pPr>
      <w:r>
        <w:rPr>
          <w:color w:val="666666"/>
          <w:sz w:val="16"/>
        </w:rPr>
        <w:t>Frequency: moderate | Severity: high | Typical range: $5M - $500M+</w:t>
      </w:r>
    </w:p>
    <w:p>
      <w:pPr>
        <w:pStyle w:val="DOBody"/>
      </w:pPr>
      <w:r>
        <w:t>1 of 5 causal chains active.</w:t>
      </w:r>
    </w:p>
    <w:p>
      <w:pPr>
        <w:pStyle w:val="DOBody"/>
      </w:pPr>
      <w:r>
        <w:rPr>
          <w:b/>
        </w:rPr>
        <w:t>Chain: Guidance Miss → Securities Fraud</w:t>
      </w:r>
      <w:r>
        <w:t xml:space="preserve"> [ELEVATED]</w:t>
      </w:r>
    </w:p>
    <w:p>
      <w:pPr>
        <w:pStyle w:val="DOBody"/>
      </w:pPr>
      <w:r>
        <w:rPr>
          <w:i/>
          <w:sz w:val="16"/>
        </w:rPr>
        <w:t>Repeated guidance misses or aggressive forward guidance builds scienter case for securities fraud claim when stock eventually declines.</w:t>
        <w:br/>
      </w:r>
    </w:p>
    <w:p>
      <w:pPr>
        <w:pStyle w:val="DOBody"/>
      </w:pPr>
      <w:r>
        <w:rPr>
          <w:b/>
          <w:sz w:val="20"/>
        </w:rPr>
        <w:t xml:space="preserve">  Triggers: </w:t>
      </w:r>
      <w:r>
        <w:br/>
        <w:t xml:space="preserve">    • FIN.GUIDE.earnings_reaction</w:t>
      </w:r>
    </w:p>
    <w:p>
      <w:pPr>
        <w:pStyle w:val="DOBody"/>
      </w:pPr>
      <w:r>
        <w:rPr>
          <w:b/>
          <w:sz w:val="20"/>
        </w:rPr>
        <w:t xml:space="preserve">  Amplifiers: </w:t>
      </w:r>
      <w:r>
        <w:br/>
        <w:t xml:space="preserve">    • GOV.INSIDER.executive_sales</w:t>
      </w:r>
    </w:p>
    <w:p>
      <w:pPr>
        <w:pStyle w:val="DOBody"/>
      </w:pPr>
      <w:r>
        <w:rPr>
          <w:color w:val="666666"/>
          <w:sz w:val="16"/>
        </w:rPr>
        <w:t xml:space="preserve">  Historical filing rate: 8% | Median severity: $12M</w:t>
      </w:r>
    </w:p>
    <w:p>
      <w:pPr>
        <w:pStyle w:val="DOHeading3"/>
      </w:pPr>
      <w:r>
        <w:t>Fiduciary Breach: MODERATE</w:t>
      </w:r>
      <w:r>
        <w:rPr>
          <w:b/>
          <w:color w:val="2563EB"/>
          <w:sz w:val="18"/>
        </w:rPr>
        <w:t xml:space="preserve"> [MODERATE]</w:t>
      </w:r>
    </w:p>
    <w:p>
      <w:pPr>
        <w:pStyle w:val="DOBody"/>
      </w:pPr>
      <w:r>
        <w:rPr>
          <w:color w:val="666666"/>
          <w:sz w:val="16"/>
        </w:rPr>
        <w:t>Frequency: growing | Severity: variable | Typical range: $1M - $100M</w:t>
      </w:r>
    </w:p>
    <w:p>
      <w:pPr>
        <w:pStyle w:val="DOBody"/>
      </w:pPr>
      <w:r>
        <w:t>1 of 3 causal chains active.</w:t>
      </w:r>
    </w:p>
    <w:p>
      <w:pPr>
        <w:pStyle w:val="DOBody"/>
      </w:pPr>
      <w:r>
        <w:rPr>
          <w:b/>
        </w:rPr>
        <w:t>Chain: Governance Failure → Derivative Suit</w:t>
      </w:r>
      <w:r>
        <w:t xml:space="preserve"> [MODERATE]</w:t>
      </w:r>
    </w:p>
    <w:p>
      <w:pPr>
        <w:pStyle w:val="DOBody"/>
      </w:pPr>
      <w:r>
        <w:rPr>
          <w:i/>
          <w:sz w:val="16"/>
        </w:rPr>
        <w:t>Weak governance structure (low independence, CEO/Chair duality, poor say-on-pay) creates basis for Caremark duty of oversight claims and derivative suits.</w:t>
        <w:br/>
      </w:r>
    </w:p>
    <w:p>
      <w:pPr>
        <w:pStyle w:val="DOBody"/>
      </w:pPr>
      <w:r>
        <w:rPr>
          <w:b/>
          <w:sz w:val="20"/>
        </w:rPr>
        <w:t xml:space="preserve">  Triggers: </w:t>
      </w:r>
      <w:r>
        <w:br/>
        <w:t xml:space="preserve">    • GOV.BOARD.ceo_chair</w:t>
      </w:r>
    </w:p>
    <w:p>
      <w:pPr>
        <w:pStyle w:val="DOBody"/>
      </w:pPr>
      <w:r>
        <w:rPr>
          <w:color w:val="666666"/>
          <w:sz w:val="16"/>
        </w:rPr>
        <w:t xml:space="preserve">  Historical filing rate: 3% | Median severity: $8M</w:t>
      </w:r>
    </w:p>
    <w:p>
      <w:pPr>
        <w:pStyle w:val="DOHeading3"/>
      </w:pPr>
      <w:r>
        <w:t>Composite Score Breakdown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Factor</w:t>
            </w:r>
          </w:p>
        </w:tc>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Max Pts</w:t>
            </w:r>
          </w:p>
        </w:tc>
        <w:tc>
          <w:tcPr>
            <w:tcW w:type="dxa" w:w="1680"/>
            <w:shd w:fill="1A1446" w:val="clear"/>
          </w:tcPr>
          <w:p>
            <w:r>
              <w:rPr>
                <w:rFonts w:ascii="Calibri" w:hAnsi="Calibri"/>
                <w:b/>
                <w:color w:val="FFFFFF"/>
                <w:sz w:val="18"/>
              </w:rPr>
              <w:t>Deducted</w:t>
            </w:r>
          </w:p>
        </w:tc>
        <w:tc>
          <w:tcPr>
            <w:tcW w:type="dxa" w:w="1680"/>
            <w:shd w:fill="1A1446" w:val="clear"/>
          </w:tcPr>
          <w:p>
            <w:r>
              <w:rPr>
                <w:rFonts w:ascii="Calibri" w:hAnsi="Calibri"/>
                <w:b/>
                <w:color w:val="FFFFFF"/>
                <w:sz w:val="18"/>
              </w:rPr>
              <w:t>% Used</w:t>
            </w:r>
          </w:p>
        </w:tc>
        <w:tc>
          <w:tcPr>
            <w:tcW w:type="dxa" w:w="1680"/>
            <w:shd w:fill="1A1446" w:val="clear"/>
          </w:tcPr>
          <w:p>
            <w:r>
              <w:rPr>
                <w:rFonts w:ascii="Calibri" w:hAnsi="Calibri"/>
                <w:b/>
                <w:color w:val="FFFFFF"/>
                <w:sz w:val="18"/>
              </w:rPr>
              <w:t>Top Contributor</w:t>
            </w:r>
          </w:p>
        </w:tc>
      </w:tr>
      <w:tr>
        <w:tc>
          <w:tcPr>
            <w:tcW w:type="dxa" w:w="1680"/>
          </w:tcPr>
          <w:p>
            <w:r>
              <w:rPr>
                <w:rFonts w:ascii="Calibri" w:hAnsi="Calibri"/>
                <w:color w:val="333333"/>
                <w:sz w:val="18"/>
              </w:rPr>
              <w:t>F1</w:t>
            </w:r>
          </w:p>
        </w:tc>
        <w:tc>
          <w:tcPr>
            <w:tcW w:type="dxa" w:w="1680"/>
          </w:tcPr>
          <w:p>
            <w:r>
              <w:rPr>
                <w:rFonts w:ascii="Calibri" w:hAnsi="Calibri"/>
                <w:color w:val="333333"/>
                <w:sz w:val="18"/>
              </w:rPr>
              <w:t>Prior Litigation</w:t>
            </w:r>
          </w:p>
        </w:tc>
        <w:tc>
          <w:tcPr>
            <w:tcW w:type="dxa" w:w="1680"/>
          </w:tcPr>
          <w:p>
            <w:r>
              <w:rPr>
                <w:rFonts w:ascii="Calibri" w:hAnsi="Calibri"/>
                <w:color w:val="333333"/>
                <w:sz w:val="18"/>
              </w:rPr>
              <w:t>20</w:t>
            </w:r>
          </w:p>
        </w:tc>
        <w:tc>
          <w:tcPr>
            <w:tcW w:type="dxa" w:w="1680"/>
          </w:tcPr>
          <w:p>
            <w:r>
              <w:rPr>
                <w:rFonts w:ascii="Calibri" w:hAnsi="Calibri"/>
                <w:color w:val="333333"/>
                <w:sz w:val="18"/>
              </w:rPr>
              <w:t>2.4</w:t>
            </w:r>
          </w:p>
        </w:tc>
        <w:tc>
          <w:tcPr>
            <w:tcW w:type="dxa" w:w="1680"/>
          </w:tcPr>
          <w:p>
            <w:r>
              <w:rPr>
                <w:rFonts w:ascii="Calibri" w:hAnsi="Calibri"/>
                <w:color w:val="333333"/>
                <w:sz w:val="18"/>
              </w:rPr>
              <w:t>12%</w:t>
            </w:r>
          </w:p>
        </w:tc>
        <w:tc>
          <w:tcPr>
            <w:tcW w:type="dxa" w:w="1680"/>
          </w:tcPr>
          <w:p>
            <w:r>
              <w:rPr>
                <w:rFonts w:ascii="Calibri" w:hAnsi="Calibri"/>
                <w:color w:val="333333"/>
                <w:sz w:val="18"/>
              </w:rPr>
              <w:t>Signal-driven scoring: 63 signals, coverage=100%</w:t>
            </w:r>
          </w:p>
        </w:tc>
      </w:tr>
      <w:tr>
        <w:tc>
          <w:tcPr>
            <w:tcW w:type="dxa" w:w="1680"/>
            <w:shd w:fill="F2F4F8" w:val="clear"/>
          </w:tcPr>
          <w:p>
            <w:r>
              <w:rPr>
                <w:rFonts w:ascii="Calibri" w:hAnsi="Calibri"/>
                <w:color w:val="333333"/>
                <w:sz w:val="18"/>
              </w:rPr>
              <w:t>F2</w:t>
            </w:r>
          </w:p>
        </w:tc>
        <w:tc>
          <w:tcPr>
            <w:tcW w:type="dxa" w:w="1680"/>
            <w:shd w:fill="F2F4F8" w:val="clear"/>
          </w:tcPr>
          <w:p>
            <w:r>
              <w:rPr>
                <w:rFonts w:ascii="Calibri" w:hAnsi="Calibri"/>
                <w:color w:val="333333"/>
                <w:sz w:val="18"/>
              </w:rPr>
              <w:t>Stock Decline</w:t>
            </w:r>
          </w:p>
        </w:tc>
        <w:tc>
          <w:tcPr>
            <w:tcW w:type="dxa" w:w="1680"/>
            <w:shd w:fill="F2F4F8" w:val="clear"/>
          </w:tcPr>
          <w:p>
            <w:r>
              <w:rPr>
                <w:rFonts w:ascii="Calibri" w:hAnsi="Calibri"/>
                <w:color w:val="333333"/>
                <w:sz w:val="18"/>
              </w:rPr>
              <w:t>15</w:t>
            </w:r>
          </w:p>
        </w:tc>
        <w:tc>
          <w:tcPr>
            <w:tcW w:type="dxa" w:w="1680"/>
            <w:shd w:fill="F2F4F8" w:val="clear"/>
          </w:tcPr>
          <w:p>
            <w:r>
              <w:rPr>
                <w:rFonts w:ascii="Calibri" w:hAnsi="Calibri"/>
                <w:color w:val="333333"/>
                <w:sz w:val="18"/>
              </w:rPr>
              <w:t>0.6</w:t>
            </w:r>
          </w:p>
        </w:tc>
        <w:tc>
          <w:tcPr>
            <w:tcW w:type="dxa" w:w="1680"/>
            <w:shd w:fill="F2F4F8" w:val="clear"/>
          </w:tcPr>
          <w:p>
            <w:r>
              <w:rPr>
                <w:rFonts w:ascii="Calibri" w:hAnsi="Calibri"/>
                <w:color w:val="333333"/>
                <w:sz w:val="18"/>
              </w:rPr>
              <w:t>4%</w:t>
            </w:r>
          </w:p>
        </w:tc>
        <w:tc>
          <w:tcPr>
            <w:tcW w:type="dxa" w:w="1680"/>
            <w:shd w:fill="F2F4F8" w:val="clear"/>
          </w:tcPr>
          <w:p>
            <w:r>
              <w:rPr>
                <w:rFonts w:ascii="Calibri" w:hAnsi="Calibri"/>
                <w:color w:val="333333"/>
                <w:sz w:val="18"/>
              </w:rPr>
              <w:t>Signal-driven scoring: 28 signals, coverage=100%</w:t>
            </w:r>
          </w:p>
        </w:tc>
      </w:tr>
      <w:tr>
        <w:tc>
          <w:tcPr>
            <w:tcW w:type="dxa" w:w="1680"/>
          </w:tcPr>
          <w:p>
            <w:r>
              <w:rPr>
                <w:rFonts w:ascii="Calibri" w:hAnsi="Calibri"/>
                <w:color w:val="333333"/>
                <w:sz w:val="18"/>
              </w:rPr>
              <w:t>F3</w:t>
            </w:r>
          </w:p>
        </w:tc>
        <w:tc>
          <w:tcPr>
            <w:tcW w:type="dxa" w:w="1680"/>
          </w:tcPr>
          <w:p>
            <w:r>
              <w:rPr>
                <w:rFonts w:ascii="Calibri" w:hAnsi="Calibri"/>
                <w:color w:val="333333"/>
                <w:sz w:val="18"/>
              </w:rPr>
              <w:t>Restatement/Audit Issues</w:t>
            </w:r>
          </w:p>
        </w:tc>
        <w:tc>
          <w:tcPr>
            <w:tcW w:type="dxa" w:w="1680"/>
          </w:tcPr>
          <w:p>
            <w:r>
              <w:rPr>
                <w:rFonts w:ascii="Calibri" w:hAnsi="Calibri"/>
                <w:color w:val="333333"/>
                <w:sz w:val="18"/>
              </w:rPr>
              <w:t>12</w:t>
            </w:r>
          </w:p>
        </w:tc>
        <w:tc>
          <w:tcPr>
            <w:tcW w:type="dxa" w:w="1680"/>
          </w:tcPr>
          <w:p>
            <w:r>
              <w:rPr>
                <w:rFonts w:ascii="Calibri" w:hAnsi="Calibri"/>
                <w:color w:val="333333"/>
                <w:sz w:val="18"/>
              </w:rPr>
              <w:t>2.1</w:t>
            </w:r>
          </w:p>
        </w:tc>
        <w:tc>
          <w:tcPr>
            <w:tcW w:type="dxa" w:w="1680"/>
          </w:tcPr>
          <w:p>
            <w:r>
              <w:rPr>
                <w:rFonts w:ascii="Calibri" w:hAnsi="Calibri"/>
                <w:color w:val="333333"/>
                <w:sz w:val="18"/>
              </w:rPr>
              <w:t>17%</w:t>
            </w:r>
          </w:p>
        </w:tc>
        <w:tc>
          <w:tcPr>
            <w:tcW w:type="dxa" w:w="1680"/>
          </w:tcPr>
          <w:p>
            <w:r>
              <w:rPr>
                <w:rFonts w:ascii="Calibri" w:hAnsi="Calibri"/>
                <w:color w:val="333333"/>
                <w:sz w:val="18"/>
              </w:rPr>
              <w:t>Signal-driven scoring: 81 signals, coverage=100%</w:t>
            </w:r>
          </w:p>
        </w:tc>
      </w:tr>
      <w:tr>
        <w:tc>
          <w:tcPr>
            <w:tcW w:type="dxa" w:w="1680"/>
            <w:shd w:fill="F2F4F8" w:val="clear"/>
          </w:tcPr>
          <w:p>
            <w:r>
              <w:rPr>
                <w:rFonts w:ascii="Calibri" w:hAnsi="Calibri"/>
                <w:color w:val="333333"/>
                <w:sz w:val="18"/>
              </w:rPr>
              <w:t>F4</w:t>
            </w:r>
          </w:p>
        </w:tc>
        <w:tc>
          <w:tcPr>
            <w:tcW w:type="dxa" w:w="1680"/>
            <w:shd w:fill="F2F4F8" w:val="clear"/>
          </w:tcPr>
          <w:p>
            <w:r>
              <w:rPr>
                <w:rFonts w:ascii="Calibri" w:hAnsi="Calibri"/>
                <w:color w:val="333333"/>
                <w:sz w:val="18"/>
              </w:rPr>
              <w:t>IPO/SPAC/M&amp;A</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Signal-driven scoring: 15 signals, coverage=100%</w:t>
            </w:r>
          </w:p>
        </w:tc>
      </w:tr>
      <w:tr>
        <w:tc>
          <w:tcPr>
            <w:tcW w:type="dxa" w:w="1680"/>
          </w:tcPr>
          <w:p>
            <w:r>
              <w:rPr>
                <w:rFonts w:ascii="Calibri" w:hAnsi="Calibri"/>
                <w:color w:val="333333"/>
                <w:sz w:val="18"/>
              </w:rPr>
              <w:t>F5</w:t>
            </w:r>
          </w:p>
        </w:tc>
        <w:tc>
          <w:tcPr>
            <w:tcW w:type="dxa" w:w="1680"/>
          </w:tcPr>
          <w:p>
            <w:r>
              <w:rPr>
                <w:rFonts w:ascii="Calibri" w:hAnsi="Calibri"/>
                <w:color w:val="333333"/>
                <w:sz w:val="18"/>
              </w:rPr>
              <w:t>Guidance Misses</w:t>
            </w:r>
          </w:p>
        </w:tc>
        <w:tc>
          <w:tcPr>
            <w:tcW w:type="dxa" w:w="1680"/>
          </w:tcPr>
          <w:p>
            <w:r>
              <w:rPr>
                <w:rFonts w:ascii="Calibri" w:hAnsi="Calibri"/>
                <w:color w:val="333333"/>
                <w:sz w:val="18"/>
              </w:rPr>
              <w:t>13</w:t>
            </w:r>
          </w:p>
        </w:tc>
        <w:tc>
          <w:tcPr>
            <w:tcW w:type="dxa" w:w="1680"/>
          </w:tcPr>
          <w:p>
            <w:r>
              <w:rPr>
                <w:rFonts w:ascii="Calibri" w:hAnsi="Calibri"/>
                <w:color w:val="333333"/>
                <w:sz w:val="18"/>
              </w:rPr>
              <w:t>2.0</w:t>
            </w:r>
          </w:p>
        </w:tc>
        <w:tc>
          <w:tcPr>
            <w:tcW w:type="dxa" w:w="1680"/>
          </w:tcPr>
          <w:p>
            <w:r>
              <w:rPr>
                <w:rFonts w:ascii="Calibri" w:hAnsi="Calibri"/>
                <w:color w:val="333333"/>
                <w:sz w:val="18"/>
              </w:rPr>
              <w:t>15%</w:t>
            </w:r>
          </w:p>
        </w:tc>
        <w:tc>
          <w:tcPr>
            <w:tcW w:type="dxa" w:w="1680"/>
          </w:tcPr>
          <w:p>
            <w:r>
              <w:rPr>
                <w:rFonts w:ascii="Calibri" w:hAnsi="Calibri"/>
                <w:color w:val="333333"/>
                <w:sz w:val="18"/>
              </w:rPr>
              <w:t>Signal-driven scoring: 27 signals, coverage=100%</w:t>
            </w:r>
          </w:p>
        </w:tc>
      </w:tr>
      <w:tr>
        <w:tc>
          <w:tcPr>
            <w:tcW w:type="dxa" w:w="1680"/>
            <w:shd w:fill="F2F4F8" w:val="clear"/>
          </w:tcPr>
          <w:p>
            <w:r>
              <w:rPr>
                <w:rFonts w:ascii="Calibri" w:hAnsi="Calibri"/>
                <w:color w:val="333333"/>
                <w:sz w:val="18"/>
              </w:rPr>
              <w:t>F6</w:t>
            </w:r>
          </w:p>
        </w:tc>
        <w:tc>
          <w:tcPr>
            <w:tcW w:type="dxa" w:w="1680"/>
            <w:shd w:fill="F2F4F8" w:val="clear"/>
          </w:tcPr>
          <w:p>
            <w:r>
              <w:rPr>
                <w:rFonts w:ascii="Calibri" w:hAnsi="Calibri"/>
                <w:color w:val="333333"/>
                <w:sz w:val="18"/>
              </w:rPr>
              <w:t>Short Interest</w:t>
            </w:r>
          </w:p>
        </w:tc>
        <w:tc>
          <w:tcPr>
            <w:tcW w:type="dxa" w:w="1680"/>
            <w:shd w:fill="F2F4F8" w:val="clear"/>
          </w:tcPr>
          <w:p>
            <w:r>
              <w:rPr>
                <w:rFonts w:ascii="Calibri" w:hAnsi="Calibri"/>
                <w:color w:val="333333"/>
                <w:sz w:val="18"/>
              </w:rPr>
              <w:t>8</w:t>
            </w:r>
          </w:p>
        </w:tc>
        <w:tc>
          <w:tcPr>
            <w:tcW w:type="dxa" w:w="1680"/>
            <w:shd w:fill="F2F4F8" w:val="clear"/>
          </w:tcPr>
          <w:p>
            <w:r>
              <w:rPr>
                <w:rFonts w:ascii="Calibri" w:hAnsi="Calibri"/>
                <w:color w:val="333333"/>
                <w:sz w:val="18"/>
              </w:rPr>
              <w:t>2.2</w:t>
            </w:r>
          </w:p>
        </w:tc>
        <w:tc>
          <w:tcPr>
            <w:tcW w:type="dxa" w:w="1680"/>
            <w:shd w:fill="F2F4F8" w:val="clear"/>
          </w:tcPr>
          <w:p>
            <w:r>
              <w:rPr>
                <w:rFonts w:ascii="Calibri" w:hAnsi="Calibri"/>
                <w:color w:val="333333"/>
                <w:sz w:val="18"/>
              </w:rPr>
              <w:t>28%</w:t>
            </w:r>
          </w:p>
        </w:tc>
        <w:tc>
          <w:tcPr>
            <w:tcW w:type="dxa" w:w="1680"/>
            <w:shd w:fill="F2F4F8" w:val="clear"/>
          </w:tcPr>
          <w:p>
            <w:r>
              <w:rPr>
                <w:rFonts w:ascii="Calibri" w:hAnsi="Calibri"/>
                <w:color w:val="333333"/>
                <w:sz w:val="18"/>
              </w:rPr>
              <w:t>Signal-driven scoring: 28 signals, coverage=100%</w:t>
            </w:r>
          </w:p>
        </w:tc>
      </w:tr>
      <w:tr>
        <w:tc>
          <w:tcPr>
            <w:tcW w:type="dxa" w:w="1680"/>
          </w:tcPr>
          <w:p>
            <w:r>
              <w:rPr>
                <w:rFonts w:ascii="Calibri" w:hAnsi="Calibri"/>
                <w:color w:val="333333"/>
                <w:sz w:val="18"/>
              </w:rPr>
              <w:t>F7</w:t>
            </w:r>
          </w:p>
        </w:tc>
        <w:tc>
          <w:tcPr>
            <w:tcW w:type="dxa" w:w="1680"/>
          </w:tcPr>
          <w:p>
            <w:r>
              <w:rPr>
                <w:rFonts w:ascii="Calibri" w:hAnsi="Calibri"/>
                <w:color w:val="333333"/>
                <w:sz w:val="18"/>
              </w:rPr>
              <w:t>Stock Volatility</w:t>
            </w:r>
          </w:p>
        </w:tc>
        <w:tc>
          <w:tcPr>
            <w:tcW w:type="dxa" w:w="1680"/>
          </w:tcPr>
          <w:p>
            <w:r>
              <w:rPr>
                <w:rFonts w:ascii="Calibri" w:hAnsi="Calibri"/>
                <w:color w:val="333333"/>
                <w:sz w:val="18"/>
              </w:rPr>
              <w:t>7</w:t>
            </w:r>
          </w:p>
        </w:tc>
        <w:tc>
          <w:tcPr>
            <w:tcW w:type="dxa" w:w="1680"/>
          </w:tcPr>
          <w:p>
            <w:r>
              <w:rPr>
                <w:rFonts w:ascii="Calibri" w:hAnsi="Calibri"/>
                <w:color w:val="333333"/>
                <w:sz w:val="18"/>
              </w:rPr>
              <w:t>0.5</w:t>
            </w:r>
          </w:p>
        </w:tc>
        <w:tc>
          <w:tcPr>
            <w:tcW w:type="dxa" w:w="1680"/>
          </w:tcPr>
          <w:p>
            <w:r>
              <w:rPr>
                <w:rFonts w:ascii="Calibri" w:hAnsi="Calibri"/>
                <w:color w:val="333333"/>
                <w:sz w:val="18"/>
              </w:rPr>
              <w:t>7%</w:t>
            </w:r>
          </w:p>
        </w:tc>
        <w:tc>
          <w:tcPr>
            <w:tcW w:type="dxa" w:w="1680"/>
          </w:tcPr>
          <w:p>
            <w:r>
              <w:rPr>
                <w:rFonts w:ascii="Calibri" w:hAnsi="Calibri"/>
                <w:color w:val="333333"/>
                <w:sz w:val="18"/>
              </w:rPr>
              <w:t>Signal-driven scoring: 28 signals, coverage=100%</w:t>
            </w:r>
          </w:p>
        </w:tc>
      </w:tr>
      <w:tr>
        <w:tc>
          <w:tcPr>
            <w:tcW w:type="dxa" w:w="1680"/>
            <w:shd w:fill="F2F4F8" w:val="clear"/>
          </w:tcPr>
          <w:p>
            <w:r>
              <w:rPr>
                <w:rFonts w:ascii="Calibri" w:hAnsi="Calibri"/>
                <w:color w:val="333333"/>
                <w:sz w:val="18"/>
              </w:rPr>
              <w:t>F8</w:t>
            </w:r>
          </w:p>
        </w:tc>
        <w:tc>
          <w:tcPr>
            <w:tcW w:type="dxa" w:w="1680"/>
            <w:shd w:fill="F2F4F8" w:val="clear"/>
          </w:tcPr>
          <w:p>
            <w:r>
              <w:rPr>
                <w:rFonts w:ascii="Calibri" w:hAnsi="Calibri"/>
                <w:color w:val="333333"/>
                <w:sz w:val="18"/>
              </w:rPr>
              <w:t>Financial Distress</w:t>
            </w:r>
          </w:p>
        </w:tc>
        <w:tc>
          <w:tcPr>
            <w:tcW w:type="dxa" w:w="1680"/>
            <w:shd w:fill="F2F4F8" w:val="clear"/>
          </w:tcPr>
          <w:p>
            <w:r>
              <w:rPr>
                <w:rFonts w:ascii="Calibri" w:hAnsi="Calibri"/>
                <w:color w:val="333333"/>
                <w:sz w:val="18"/>
              </w:rPr>
              <w:t>5</w:t>
            </w:r>
          </w:p>
        </w:tc>
        <w:tc>
          <w:tcPr>
            <w:tcW w:type="dxa" w:w="1680"/>
            <w:shd w:fill="F2F4F8" w:val="clear"/>
          </w:tcPr>
          <w:p>
            <w:r>
              <w:rPr>
                <w:rFonts w:ascii="Calibri" w:hAnsi="Calibri"/>
                <w:color w:val="333333"/>
                <w:sz w:val="18"/>
              </w:rPr>
              <w:t>0.7</w:t>
            </w:r>
          </w:p>
        </w:tc>
        <w:tc>
          <w:tcPr>
            <w:tcW w:type="dxa" w:w="1680"/>
            <w:shd w:fill="F2F4F8" w:val="clear"/>
          </w:tcPr>
          <w:p>
            <w:r>
              <w:rPr>
                <w:rFonts w:ascii="Calibri" w:hAnsi="Calibri"/>
                <w:color w:val="333333"/>
                <w:sz w:val="18"/>
              </w:rPr>
              <w:t>14%</w:t>
            </w:r>
          </w:p>
        </w:tc>
        <w:tc>
          <w:tcPr>
            <w:tcW w:type="dxa" w:w="1680"/>
            <w:shd w:fill="F2F4F8" w:val="clear"/>
          </w:tcPr>
          <w:p>
            <w:r>
              <w:rPr>
                <w:rFonts w:ascii="Calibri" w:hAnsi="Calibri"/>
                <w:color w:val="333333"/>
                <w:sz w:val="18"/>
              </w:rPr>
              <w:t>Signal-driven scoring: 14 signals, coverage=100%</w:t>
            </w:r>
          </w:p>
        </w:tc>
      </w:tr>
      <w:tr>
        <w:tc>
          <w:tcPr>
            <w:tcW w:type="dxa" w:w="1680"/>
          </w:tcPr>
          <w:p>
            <w:r>
              <w:rPr>
                <w:rFonts w:ascii="Calibri" w:hAnsi="Calibri"/>
                <w:color w:val="333333"/>
                <w:sz w:val="18"/>
              </w:rPr>
              <w:t>F9</w:t>
            </w:r>
          </w:p>
        </w:tc>
        <w:tc>
          <w:tcPr>
            <w:tcW w:type="dxa" w:w="1680"/>
          </w:tcPr>
          <w:p>
            <w:r>
              <w:rPr>
                <w:rFonts w:ascii="Calibri" w:hAnsi="Calibri"/>
                <w:color w:val="333333"/>
                <w:sz w:val="18"/>
              </w:rPr>
              <w:t>Governance Issues</w:t>
            </w:r>
          </w:p>
        </w:tc>
        <w:tc>
          <w:tcPr>
            <w:tcW w:type="dxa" w:w="1680"/>
          </w:tcPr>
          <w:p>
            <w:r>
              <w:rPr>
                <w:rFonts w:ascii="Calibri" w:hAnsi="Calibri"/>
                <w:color w:val="333333"/>
                <w:sz w:val="18"/>
              </w:rPr>
              <w:t>6</w:t>
            </w:r>
          </w:p>
        </w:tc>
        <w:tc>
          <w:tcPr>
            <w:tcW w:type="dxa" w:w="1680"/>
          </w:tcPr>
          <w:p>
            <w:r>
              <w:rPr>
                <w:rFonts w:ascii="Calibri" w:hAnsi="Calibri"/>
                <w:color w:val="333333"/>
                <w:sz w:val="18"/>
              </w:rPr>
              <w:t>0.5</w:t>
            </w:r>
          </w:p>
        </w:tc>
        <w:tc>
          <w:tcPr>
            <w:tcW w:type="dxa" w:w="1680"/>
          </w:tcPr>
          <w:p>
            <w:r>
              <w:rPr>
                <w:rFonts w:ascii="Calibri" w:hAnsi="Calibri"/>
                <w:color w:val="333333"/>
                <w:sz w:val="18"/>
              </w:rPr>
              <w:t>8%</w:t>
            </w:r>
          </w:p>
        </w:tc>
        <w:tc>
          <w:tcPr>
            <w:tcW w:type="dxa" w:w="1680"/>
          </w:tcPr>
          <w:p>
            <w:r>
              <w:rPr>
                <w:rFonts w:ascii="Calibri" w:hAnsi="Calibri"/>
                <w:color w:val="333333"/>
                <w:sz w:val="18"/>
              </w:rPr>
              <w:t>Signal-driven scoring: 37 signals, coverage=100%</w:t>
            </w:r>
          </w:p>
        </w:tc>
      </w:tr>
      <w:tr>
        <w:tc>
          <w:tcPr>
            <w:tcW w:type="dxa" w:w="1680"/>
            <w:shd w:fill="F2F4F8" w:val="clear"/>
          </w:tcPr>
          <w:p>
            <w:r>
              <w:rPr>
                <w:rFonts w:ascii="Calibri" w:hAnsi="Calibri"/>
                <w:color w:val="333333"/>
                <w:sz w:val="18"/>
              </w:rPr>
              <w:t>F10</w:t>
            </w:r>
          </w:p>
        </w:tc>
        <w:tc>
          <w:tcPr>
            <w:tcW w:type="dxa" w:w="1680"/>
            <w:shd w:fill="F2F4F8" w:val="clear"/>
          </w:tcPr>
          <w:p>
            <w:r>
              <w:rPr>
                <w:rFonts w:ascii="Calibri" w:hAnsi="Calibri"/>
                <w:color w:val="333333"/>
                <w:sz w:val="18"/>
              </w:rPr>
              <w:t>Officer Stability</w:t>
            </w:r>
          </w:p>
        </w:tc>
        <w:tc>
          <w:tcPr>
            <w:tcW w:type="dxa" w:w="1680"/>
            <w:shd w:fill="F2F4F8" w:val="clear"/>
          </w:tcPr>
          <w:p>
            <w:r>
              <w:rPr>
                <w:rFonts w:ascii="Calibri" w:hAnsi="Calibri"/>
                <w:color w:val="333333"/>
                <w:sz w:val="18"/>
              </w:rPr>
              <w:t>2</w:t>
            </w:r>
          </w:p>
        </w:tc>
        <w:tc>
          <w:tcPr>
            <w:tcW w:type="dxa" w:w="1680"/>
            <w:shd w:fill="F2F4F8" w:val="clear"/>
          </w:tcPr>
          <w:p>
            <w:r>
              <w:rPr>
                <w:rFonts w:ascii="Calibri" w:hAnsi="Calibri"/>
                <w:color w:val="333333"/>
                <w:sz w:val="18"/>
              </w:rPr>
              <w:t>0.1</w:t>
            </w:r>
          </w:p>
        </w:tc>
        <w:tc>
          <w:tcPr>
            <w:tcW w:type="dxa" w:w="1680"/>
            <w:shd w:fill="F2F4F8" w:val="clear"/>
          </w:tcPr>
          <w:p>
            <w:r>
              <w:rPr>
                <w:rFonts w:ascii="Calibri" w:hAnsi="Calibri"/>
                <w:color w:val="333333"/>
                <w:sz w:val="18"/>
              </w:rPr>
              <w:t>7%</w:t>
            </w:r>
          </w:p>
        </w:tc>
        <w:tc>
          <w:tcPr>
            <w:tcW w:type="dxa" w:w="1680"/>
            <w:shd w:fill="F2F4F8" w:val="clear"/>
          </w:tcPr>
          <w:p>
            <w:r>
              <w:rPr>
                <w:rFonts w:ascii="Calibri" w:hAnsi="Calibri"/>
                <w:color w:val="333333"/>
                <w:sz w:val="18"/>
              </w:rPr>
              <w:t>Signal-driven scoring: 88 signals, coverage=100%</w:t>
            </w:r>
          </w:p>
        </w:tc>
      </w:tr>
    </w:tbl>
    <w:p>
      <w:pPr>
        <w:pStyle w:val="DOHeading3"/>
      </w:pPr>
      <w:r>
        <w:t>10-Factor Risk Profile</w:t>
      </w:r>
    </w:p>
    <w:p>
      <w:r>
        <w:drawing>
          <wp:inline xmlns:a="http://schemas.openxmlformats.org/drawingml/2006/main" xmlns:pic="http://schemas.openxmlformats.org/drawingml/2006/picture">
            <wp:extent cx="5943600" cy="5605068"/>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5605068"/>
                    </a:xfrm>
                    <a:prstGeom prst="rect"/>
                  </pic:spPr>
                </pic:pic>
              </a:graphicData>
            </a:graphic>
          </wp:inline>
        </w:drawing>
      </w:r>
    </w:p>
    <w:p>
      <w:pPr>
        <w:pStyle w:val="DOCaption"/>
      </w:pPr>
      <w:r>
        <w:t>Figure: Radar chart showing risk fraction (points deducted / max) for each of the 10 scoring factors. Larger area = higher risk.</w:t>
      </w:r>
    </w:p>
    <w:p>
      <w:pPr>
        <w:pStyle w:val="DOHeading3"/>
      </w:pPr>
      <w:r>
        <w:t>Red Flag Gates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Description</w:t>
            </w:r>
          </w:p>
        </w:tc>
        <w:tc>
          <w:tcPr>
            <w:tcW w:type="dxa" w:w="2016"/>
            <w:shd w:fill="1A1446" w:val="clear"/>
          </w:tcPr>
          <w:p>
            <w:r>
              <w:rPr>
                <w:rFonts w:ascii="Calibri" w:hAnsi="Calibri"/>
                <w:b/>
                <w:color w:val="FFFFFF"/>
                <w:sz w:val="18"/>
              </w:rPr>
              <w:t>Source</w:t>
            </w:r>
          </w:p>
        </w:tc>
        <w:tc>
          <w:tcPr>
            <w:tcW w:type="dxa" w:w="2016"/>
            <w:shd w:fill="1A1446" w:val="clear"/>
          </w:tcPr>
          <w:p>
            <w:r>
              <w:rPr>
                <w:rFonts w:ascii="Calibri" w:hAnsi="Calibri"/>
                <w:b/>
                <w:color w:val="FFFFFF"/>
                <w:sz w:val="18"/>
              </w:rPr>
              <w:t>Impact</w:t>
            </w:r>
          </w:p>
        </w:tc>
        <w:tc>
          <w:tcPr>
            <w:tcW w:type="dxa" w:w="2016"/>
            <w:shd w:fill="1A1446" w:val="clear"/>
          </w:tcPr>
          <w:p>
            <w:r>
              <w:rPr>
                <w:rFonts w:ascii="Calibri" w:hAnsi="Calibri"/>
                <w:b/>
                <w:color w:val="FFFFFF"/>
                <w:sz w:val="18"/>
              </w:rPr>
              <w:t>Trajectory</w:t>
            </w:r>
          </w:p>
        </w:tc>
      </w:tr>
      <w:tr>
        <w:tc>
          <w:tcPr>
            <w:tcW w:type="dxa" w:w="2016"/>
          </w:tcPr>
          <w:p>
            <w:r>
              <w:rPr>
                <w:rFonts w:ascii="Calibri" w:hAnsi="Calibri"/>
                <w:color w:val="333333"/>
                <w:sz w:val="18"/>
              </w:rPr>
              <w:t>LOW</w:t>
            </w:r>
          </w:p>
        </w:tc>
        <w:tc>
          <w:tcPr>
            <w:tcW w:type="dxa" w:w="2016"/>
          </w:tcPr>
          <w:p>
            <w:r>
              <w:rPr>
                <w:rFonts w:ascii="Calibri" w:hAnsi="Calibri"/>
                <w:color w:val="333333"/>
                <w:sz w:val="18"/>
              </w:rPr>
              <w:t>Prior Litigation: 2/20 points</w:t>
            </w:r>
          </w:p>
        </w:tc>
        <w:tc>
          <w:tcPr>
            <w:tcW w:type="dxa" w:w="2016"/>
          </w:tcPr>
          <w:p>
            <w:r>
              <w:rPr>
                <w:rFonts w:ascii="Calibri" w:hAnsi="Calibri"/>
                <w:color w:val="333333"/>
                <w:sz w:val="18"/>
              </w:rPr>
              <w:t>Signal-driven scoring: 63 signals, coverage=100%</w:t>
            </w:r>
          </w:p>
        </w:tc>
        <w:tc>
          <w:tcPr>
            <w:tcW w:type="dxa" w:w="2016"/>
          </w:tcPr>
          <w:p>
            <w:r>
              <w:rPr>
                <w:rFonts w:ascii="Calibri" w:hAnsi="Calibri"/>
                <w:color w:val="333333"/>
                <w:sz w:val="18"/>
              </w:rPr>
              <w:t>F1: 2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Stock Decline: 1/15 points</w:t>
            </w:r>
          </w:p>
        </w:tc>
        <w:tc>
          <w:tcPr>
            <w:tcW w:type="dxa" w:w="2016"/>
            <w:shd w:fill="F2F4F8" w:val="clear"/>
          </w:tcPr>
          <w:p>
            <w:r>
              <w:rPr>
                <w:rFonts w:ascii="Calibri" w:hAnsi="Calibri"/>
                <w:color w:val="333333"/>
                <w:sz w:val="18"/>
              </w:rPr>
              <w:t>Signal-driven scoring: 28 signals, coverage=100%; Drop contribution modifier: 0.18x (decay + company-specific + disclosure)</w:t>
            </w:r>
          </w:p>
        </w:tc>
        <w:tc>
          <w:tcPr>
            <w:tcW w:type="dxa" w:w="2016"/>
            <w:shd w:fill="F2F4F8" w:val="clear"/>
          </w:tcPr>
          <w:p>
            <w:r>
              <w:rPr>
                <w:rFonts w:ascii="Calibri" w:hAnsi="Calibri"/>
                <w:color w:val="333333"/>
                <w:sz w:val="18"/>
              </w:rPr>
              <w:t>F2: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Restatement/Audit Issues: 2/12 points</w:t>
            </w:r>
          </w:p>
        </w:tc>
        <w:tc>
          <w:tcPr>
            <w:tcW w:type="dxa" w:w="2016"/>
          </w:tcPr>
          <w:p>
            <w:r>
              <w:rPr>
                <w:rFonts w:ascii="Calibri" w:hAnsi="Calibri"/>
                <w:color w:val="333333"/>
                <w:sz w:val="18"/>
              </w:rPr>
              <w:t>Signal-driven scoring: 81 signals, coverage=100%</w:t>
            </w:r>
          </w:p>
        </w:tc>
        <w:tc>
          <w:tcPr>
            <w:tcW w:type="dxa" w:w="2016"/>
          </w:tcPr>
          <w:p>
            <w:r>
              <w:rPr>
                <w:rFonts w:ascii="Calibri" w:hAnsi="Calibri"/>
                <w:color w:val="333333"/>
                <w:sz w:val="18"/>
              </w:rPr>
              <w:t>F3: 2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IPO/SPAC/M&amp;A: 1/10 points</w:t>
            </w:r>
          </w:p>
        </w:tc>
        <w:tc>
          <w:tcPr>
            <w:tcW w:type="dxa" w:w="2016"/>
            <w:shd w:fill="F2F4F8" w:val="clear"/>
          </w:tcPr>
          <w:p>
            <w:r>
              <w:rPr>
                <w:rFonts w:ascii="Calibri" w:hAnsi="Calibri"/>
                <w:color w:val="333333"/>
                <w:sz w:val="18"/>
              </w:rPr>
              <w:t>Signal-driven scoring: 15 signals, coverage=100%</w:t>
            </w:r>
          </w:p>
        </w:tc>
        <w:tc>
          <w:tcPr>
            <w:tcW w:type="dxa" w:w="2016"/>
            <w:shd w:fill="F2F4F8" w:val="clear"/>
          </w:tcPr>
          <w:p>
            <w:r>
              <w:rPr>
                <w:rFonts w:ascii="Calibri" w:hAnsi="Calibri"/>
                <w:color w:val="333333"/>
                <w:sz w:val="18"/>
              </w:rPr>
              <w:t>F4: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Guidance Misses: 2/13 points</w:t>
            </w:r>
          </w:p>
        </w:tc>
        <w:tc>
          <w:tcPr>
            <w:tcW w:type="dxa" w:w="2016"/>
          </w:tcPr>
          <w:p>
            <w:r>
              <w:rPr>
                <w:rFonts w:ascii="Calibri" w:hAnsi="Calibri"/>
                <w:color w:val="333333"/>
                <w:sz w:val="18"/>
              </w:rPr>
              <w:t>Signal-driven scoring: 27 signals, coverage=100%; Any single miss &gt;15% vs guidance</w:t>
            </w:r>
          </w:p>
        </w:tc>
        <w:tc>
          <w:tcPr>
            <w:tcW w:type="dxa" w:w="2016"/>
          </w:tcPr>
          <w:p>
            <w:r>
              <w:rPr>
                <w:rFonts w:ascii="Calibri" w:hAnsi="Calibri"/>
                <w:color w:val="333333"/>
                <w:sz w:val="18"/>
              </w:rPr>
              <w:t>F5: 2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Short Interest: 2/8 points</w:t>
            </w:r>
          </w:p>
        </w:tc>
        <w:tc>
          <w:tcPr>
            <w:tcW w:type="dxa" w:w="2016"/>
            <w:shd w:fill="F2F4F8" w:val="clear"/>
          </w:tcPr>
          <w:p>
            <w:r>
              <w:rPr>
                <w:rFonts w:ascii="Calibri" w:hAnsi="Calibri"/>
                <w:color w:val="333333"/>
                <w:sz w:val="18"/>
              </w:rPr>
              <w:t>Signal-driven scoring: 28 signals, coverage=100%</w:t>
            </w:r>
          </w:p>
        </w:tc>
        <w:tc>
          <w:tcPr>
            <w:tcW w:type="dxa" w:w="2016"/>
            <w:shd w:fill="F2F4F8" w:val="clear"/>
          </w:tcPr>
          <w:p>
            <w:r>
              <w:rPr>
                <w:rFonts w:ascii="Calibri" w:hAnsi="Calibri"/>
                <w:color w:val="333333"/>
                <w:sz w:val="18"/>
              </w:rPr>
              <w:t>F6: 2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Stock Volatility: 0/7 points</w:t>
            </w:r>
          </w:p>
        </w:tc>
        <w:tc>
          <w:tcPr>
            <w:tcW w:type="dxa" w:w="2016"/>
          </w:tcPr>
          <w:p>
            <w:r>
              <w:rPr>
                <w:rFonts w:ascii="Calibri" w:hAnsi="Calibri"/>
                <w:color w:val="333333"/>
                <w:sz w:val="18"/>
              </w:rPr>
              <w:t>Signal-driven scoring: 28 signals, coverage=100%</w:t>
            </w:r>
          </w:p>
        </w:tc>
        <w:tc>
          <w:tcPr>
            <w:tcW w:type="dxa" w:w="2016"/>
          </w:tcPr>
          <w:p>
            <w:r>
              <w:rPr>
                <w:rFonts w:ascii="Calibri" w:hAnsi="Calibri"/>
                <w:color w:val="333333"/>
                <w:sz w:val="18"/>
              </w:rPr>
              <w:t>F7: 0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Distress: 1/5 points</w:t>
            </w:r>
          </w:p>
        </w:tc>
        <w:tc>
          <w:tcPr>
            <w:tcW w:type="dxa" w:w="2016"/>
            <w:shd w:fill="F2F4F8" w:val="clear"/>
          </w:tcPr>
          <w:p>
            <w:r>
              <w:rPr>
                <w:rFonts w:ascii="Calibri" w:hAnsi="Calibri"/>
                <w:color w:val="333333"/>
                <w:sz w:val="18"/>
              </w:rPr>
              <w:t>Signal-driven scoring: 14 signals, coverage=100%</w:t>
            </w:r>
          </w:p>
        </w:tc>
        <w:tc>
          <w:tcPr>
            <w:tcW w:type="dxa" w:w="2016"/>
            <w:shd w:fill="F2F4F8" w:val="clear"/>
          </w:tcPr>
          <w:p>
            <w:r>
              <w:rPr>
                <w:rFonts w:ascii="Calibri" w:hAnsi="Calibri"/>
                <w:color w:val="333333"/>
                <w:sz w:val="18"/>
              </w:rPr>
              <w:t>F8: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Governance Issues: 0/6 points</w:t>
            </w:r>
          </w:p>
        </w:tc>
        <w:tc>
          <w:tcPr>
            <w:tcW w:type="dxa" w:w="2016"/>
          </w:tcPr>
          <w:p>
            <w:r>
              <w:rPr>
                <w:rFonts w:ascii="Calibri" w:hAnsi="Calibri"/>
                <w:color w:val="333333"/>
                <w:sz w:val="18"/>
              </w:rPr>
              <w:t>Signal-driven scoring: 37 signals, coverage=100%</w:t>
            </w:r>
          </w:p>
        </w:tc>
        <w:tc>
          <w:tcPr>
            <w:tcW w:type="dxa" w:w="2016"/>
          </w:tcPr>
          <w:p>
            <w:r>
              <w:rPr>
                <w:rFonts w:ascii="Calibri" w:hAnsi="Calibri"/>
                <w:color w:val="333333"/>
                <w:sz w:val="18"/>
              </w:rPr>
              <w:t>F9: 0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Officer Stability: 0/2 points</w:t>
            </w:r>
          </w:p>
        </w:tc>
        <w:tc>
          <w:tcPr>
            <w:tcW w:type="dxa" w:w="2016"/>
            <w:shd w:fill="F2F4F8" w:val="clear"/>
          </w:tcPr>
          <w:p>
            <w:r>
              <w:rPr>
                <w:rFonts w:ascii="Calibri" w:hAnsi="Calibri"/>
                <w:color w:val="333333"/>
                <w:sz w:val="18"/>
              </w:rPr>
              <w:t>Signal-driven scoring: 88 signals, coverage=100%</w:t>
            </w:r>
          </w:p>
        </w:tc>
        <w:tc>
          <w:tcPr>
            <w:tcW w:type="dxa" w:w="2016"/>
            <w:shd w:fill="F2F4F8" w:val="clear"/>
          </w:tcPr>
          <w:p>
            <w:r>
              <w:rPr>
                <w:rFonts w:ascii="Calibri" w:hAnsi="Calibri"/>
                <w:color w:val="333333"/>
                <w:sz w:val="18"/>
              </w:rPr>
              <w:t>F10: 0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Pattern: Guidance Track Record (BASELINE)</w:t>
            </w:r>
          </w:p>
        </w:tc>
        <w:tc>
          <w:tcPr>
            <w:tcW w:type="dxa" w:w="2016"/>
          </w:tcPr>
          <w:p>
            <w:r>
              <w:rPr>
                <w:rFonts w:ascii="Calibri" w:hAnsi="Calibri"/>
                <w:color w:val="333333"/>
                <w:sz w:val="18"/>
              </w:rPr>
              <w:t>Pattern evaluation</w:t>
            </w:r>
          </w:p>
        </w:tc>
        <w:tc>
          <w:tcPr>
            <w:tcW w:type="dxa" w:w="2016"/>
          </w:tcPr>
          <w:p>
            <w:r>
              <w:rPr>
                <w:rFonts w:ascii="Calibri" w:hAnsi="Calibri"/>
                <w:color w:val="333333"/>
                <w:sz w:val="18"/>
              </w:rPr>
              <w:t>F5: 0</w:t>
            </w:r>
          </w:p>
        </w:tc>
        <w:tc>
          <w:tcPr>
            <w:tcW w:type="dxa" w:w="2016"/>
          </w:tcPr>
          <w:p>
            <w:r>
              <w:rPr>
                <w:rFonts w:ascii="Calibri" w:hAnsi="Calibri"/>
                <w:color w:val="333333"/>
                <w:sz w:val="18"/>
              </w:rPr>
              <w:t>NEW</w:t>
            </w:r>
          </w:p>
        </w:tc>
      </w:tr>
    </w:tbl>
    <w:p>
      <w:pPr>
        <w:pStyle w:val="DOBody"/>
      </w:pPr>
      <w:r>
        <w:t>Critical: 0, High: 0, Moderate: 0, Low: 11</w:t>
      </w:r>
    </w:p>
    <w:p>
      <w:pPr>
        <w:pStyle w:val="DOHeading3"/>
      </w:pPr>
      <w:r>
        <w:t>Risk Type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Primary Risk Type</w:t>
            </w:r>
          </w:p>
        </w:tc>
        <w:tc>
          <w:tcPr>
            <w:tcW w:type="dxa" w:w="5040"/>
          </w:tcPr>
          <w:p>
            <w:r>
              <w:rPr>
                <w:rFonts w:ascii="Calibri" w:hAnsi="Calibri"/>
                <w:color w:val="333333"/>
                <w:sz w:val="18"/>
              </w:rPr>
              <w:t>GUIDANCE_DEPENDENT</w:t>
            </w:r>
          </w:p>
        </w:tc>
      </w:tr>
      <w:tr>
        <w:tc>
          <w:tcPr>
            <w:tcW w:type="dxa" w:w="5040"/>
            <w:shd w:fill="F2F4F8" w:val="clear"/>
          </w:tcPr>
          <w:p>
            <w:r>
              <w:rPr>
                <w:rFonts w:ascii="Calibri" w:hAnsi="Calibri"/>
                <w:color w:val="333333"/>
                <w:sz w:val="18"/>
              </w:rPr>
              <w:t>Supporting Evidence</w:t>
            </w:r>
          </w:p>
        </w:tc>
        <w:tc>
          <w:tcPr>
            <w:tcW w:type="dxa" w:w="5040"/>
            <w:shd w:fill="F2F4F8" w:val="clear"/>
          </w:tcPr>
          <w:p>
            <w:r>
              <w:rPr>
                <w:rFonts w:ascii="Calibri" w:hAnsi="Calibri"/>
                <w:color w:val="333333"/>
                <w:sz w:val="18"/>
              </w:rPr>
              <w:t>F5 guidance misses: 2.0 points; Issues guidance (philosophy: MIXED)</w:t>
            </w:r>
          </w:p>
        </w:tc>
      </w:tr>
    </w:tbl>
    <w:p>
      <w:pPr>
        <w:pStyle w:val="DOHeading3"/>
      </w:pPr>
      <w:r>
        <w:t>Severity Scenarios</w:t>
      </w:r>
    </w:p>
    <w:p>
      <w:pPr>
        <w:pStyle w:val="DOBody"/>
      </w:pPr>
      <w:r>
        <w:t>Analysis based on market cap: $241.2B</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Percentile</w:t>
            </w:r>
          </w:p>
        </w:tc>
        <w:tc>
          <w:tcPr>
            <w:tcW w:type="dxa" w:w="2016"/>
            <w:shd w:fill="1A1446" w:val="clear"/>
          </w:tcPr>
          <w:p>
            <w:r>
              <w:rPr>
                <w:rFonts w:ascii="Calibri" w:hAnsi="Calibri"/>
                <w:b/>
                <w:color w:val="FFFFFF"/>
                <w:sz w:val="18"/>
              </w:rPr>
              <w:t>Label</w:t>
            </w:r>
          </w:p>
        </w:tc>
        <w:tc>
          <w:tcPr>
            <w:tcW w:type="dxa" w:w="2016"/>
            <w:shd w:fill="1A1446" w:val="clear"/>
          </w:tcPr>
          <w:p>
            <w:r>
              <w:rPr>
                <w:rFonts w:ascii="Calibri" w:hAnsi="Calibri"/>
                <w:b/>
                <w:color w:val="FFFFFF"/>
                <w:sz w:val="18"/>
              </w:rPr>
              <w:t>Settlement Est.</w:t>
            </w:r>
          </w:p>
        </w:tc>
        <w:tc>
          <w:tcPr>
            <w:tcW w:type="dxa" w:w="2016"/>
            <w:shd w:fill="1A1446" w:val="clear"/>
          </w:tcPr>
          <w:p>
            <w:r>
              <w:rPr>
                <w:rFonts w:ascii="Calibri" w:hAnsi="Calibri"/>
                <w:b/>
                <w:color w:val="FFFFFF"/>
                <w:sz w:val="18"/>
              </w:rPr>
              <w:t>Defense Costs</w:t>
            </w:r>
          </w:p>
        </w:tc>
        <w:tc>
          <w:tcPr>
            <w:tcW w:type="dxa" w:w="2016"/>
            <w:shd w:fill="1A1446" w:val="clear"/>
          </w:tcPr>
          <w:p>
            <w:r>
              <w:rPr>
                <w:rFonts w:ascii="Calibri" w:hAnsi="Calibri"/>
                <w:b/>
                <w:color w:val="FFFFFF"/>
                <w:sz w:val="18"/>
              </w:rPr>
              <w:t>Total Exposure</w:t>
            </w:r>
          </w:p>
        </w:tc>
      </w:tr>
      <w:tr>
        <w:tc>
          <w:tcPr>
            <w:tcW w:type="dxa" w:w="2016"/>
          </w:tcPr>
          <w:p>
            <w:r>
              <w:rPr>
                <w:rFonts w:ascii="Calibri" w:hAnsi="Calibri"/>
                <w:color w:val="333333"/>
                <w:sz w:val="18"/>
              </w:rPr>
              <w:t>25th</w:t>
            </w:r>
          </w:p>
        </w:tc>
        <w:tc>
          <w:tcPr>
            <w:tcW w:type="dxa" w:w="2016"/>
          </w:tcPr>
          <w:p>
            <w:r>
              <w:rPr>
                <w:rFonts w:ascii="Calibri" w:hAnsi="Calibri"/>
                <w:color w:val="333333"/>
                <w:sz w:val="18"/>
              </w:rPr>
              <w:t>favorable</w:t>
            </w:r>
          </w:p>
        </w:tc>
        <w:tc>
          <w:tcPr>
            <w:tcW w:type="dxa" w:w="2016"/>
          </w:tcPr>
          <w:p>
            <w:r>
              <w:rPr>
                <w:rFonts w:ascii="Calibri" w:hAnsi="Calibri"/>
                <w:color w:val="333333"/>
                <w:sz w:val="18"/>
              </w:rPr>
              <w:t>$2.3B</w:t>
            </w:r>
          </w:p>
        </w:tc>
        <w:tc>
          <w:tcPr>
            <w:tcW w:type="dxa" w:w="2016"/>
          </w:tcPr>
          <w:p>
            <w:r>
              <w:rPr>
                <w:rFonts w:ascii="Calibri" w:hAnsi="Calibri"/>
                <w:color w:val="333333"/>
                <w:sz w:val="18"/>
              </w:rPr>
              <w:t>$340.5M</w:t>
            </w:r>
          </w:p>
        </w:tc>
        <w:tc>
          <w:tcPr>
            <w:tcW w:type="dxa" w:w="2016"/>
          </w:tcPr>
          <w:p>
            <w:r>
              <w:rPr>
                <w:rFonts w:ascii="Calibri" w:hAnsi="Calibri"/>
                <w:color w:val="333333"/>
                <w:sz w:val="18"/>
              </w:rPr>
              <w:t>$2.6B</w:t>
            </w:r>
          </w:p>
        </w:tc>
      </w:tr>
      <w:tr>
        <w:tc>
          <w:tcPr>
            <w:tcW w:type="dxa" w:w="2016"/>
            <w:shd w:fill="F2F4F8" w:val="clear"/>
          </w:tcPr>
          <w:p>
            <w:r>
              <w:rPr>
                <w:rFonts w:ascii="Calibri" w:hAnsi="Calibri"/>
                <w:color w:val="333333"/>
                <w:sz w:val="18"/>
              </w:rPr>
              <w:t>50th</w:t>
            </w:r>
          </w:p>
        </w:tc>
        <w:tc>
          <w:tcPr>
            <w:tcW w:type="dxa" w:w="2016"/>
            <w:shd w:fill="F2F4F8" w:val="clear"/>
          </w:tcPr>
          <w:p>
            <w:r>
              <w:rPr>
                <w:rFonts w:ascii="Calibri" w:hAnsi="Calibri"/>
                <w:color w:val="333333"/>
                <w:sz w:val="18"/>
              </w:rPr>
              <w:t>median</w:t>
            </w:r>
          </w:p>
        </w:tc>
        <w:tc>
          <w:tcPr>
            <w:tcW w:type="dxa" w:w="2016"/>
            <w:shd w:fill="F2F4F8" w:val="clear"/>
          </w:tcPr>
          <w:p>
            <w:r>
              <w:rPr>
                <w:rFonts w:ascii="Calibri" w:hAnsi="Calibri"/>
                <w:color w:val="333333"/>
                <w:sz w:val="18"/>
              </w:rPr>
              <w:t>$4.5B</w:t>
            </w:r>
          </w:p>
        </w:tc>
        <w:tc>
          <w:tcPr>
            <w:tcW w:type="dxa" w:w="2016"/>
            <w:shd w:fill="F2F4F8" w:val="clear"/>
          </w:tcPr>
          <w:p>
            <w:r>
              <w:rPr>
                <w:rFonts w:ascii="Calibri" w:hAnsi="Calibri"/>
                <w:color w:val="333333"/>
                <w:sz w:val="18"/>
              </w:rPr>
              <w:t>$907.9M</w:t>
            </w:r>
          </w:p>
        </w:tc>
        <w:tc>
          <w:tcPr>
            <w:tcW w:type="dxa" w:w="2016"/>
            <w:shd w:fill="F2F4F8" w:val="clear"/>
          </w:tcPr>
          <w:p>
            <w:r>
              <w:rPr>
                <w:rFonts w:ascii="Calibri" w:hAnsi="Calibri"/>
                <w:color w:val="333333"/>
                <w:sz w:val="18"/>
              </w:rPr>
              <w:t>$5.4B</w:t>
            </w:r>
          </w:p>
        </w:tc>
      </w:tr>
      <w:tr>
        <w:tc>
          <w:tcPr>
            <w:tcW w:type="dxa" w:w="2016"/>
          </w:tcPr>
          <w:p>
            <w:r>
              <w:rPr>
                <w:rFonts w:ascii="Calibri" w:hAnsi="Calibri"/>
                <w:color w:val="333333"/>
                <w:sz w:val="18"/>
              </w:rPr>
              <w:t>75th</w:t>
            </w:r>
          </w:p>
        </w:tc>
        <w:tc>
          <w:tcPr>
            <w:tcW w:type="dxa" w:w="2016"/>
          </w:tcPr>
          <w:p>
            <w:r>
              <w:rPr>
                <w:rFonts w:ascii="Calibri" w:hAnsi="Calibri"/>
                <w:color w:val="333333"/>
                <w:sz w:val="18"/>
              </w:rPr>
              <w:t>adverse</w:t>
            </w:r>
          </w:p>
        </w:tc>
        <w:tc>
          <w:tcPr>
            <w:tcW w:type="dxa" w:w="2016"/>
          </w:tcPr>
          <w:p>
            <w:r>
              <w:rPr>
                <w:rFonts w:ascii="Calibri" w:hAnsi="Calibri"/>
                <w:color w:val="333333"/>
                <w:sz w:val="18"/>
              </w:rPr>
              <w:t>$9.1B</w:t>
            </w:r>
          </w:p>
        </w:tc>
        <w:tc>
          <w:tcPr>
            <w:tcW w:type="dxa" w:w="2016"/>
          </w:tcPr>
          <w:p>
            <w:r>
              <w:rPr>
                <w:rFonts w:ascii="Calibri" w:hAnsi="Calibri"/>
                <w:color w:val="333333"/>
                <w:sz w:val="18"/>
              </w:rPr>
              <w:t>$2.3B</w:t>
            </w:r>
          </w:p>
        </w:tc>
        <w:tc>
          <w:tcPr>
            <w:tcW w:type="dxa" w:w="2016"/>
          </w:tcPr>
          <w:p>
            <w:r>
              <w:rPr>
                <w:rFonts w:ascii="Calibri" w:hAnsi="Calibri"/>
                <w:color w:val="333333"/>
                <w:sz w:val="18"/>
              </w:rPr>
              <w:t>$11.3B</w:t>
            </w:r>
          </w:p>
        </w:tc>
      </w:tr>
      <w:tr>
        <w:tc>
          <w:tcPr>
            <w:tcW w:type="dxa" w:w="2016"/>
            <w:shd w:fill="F2F4F8" w:val="clear"/>
          </w:tcPr>
          <w:p>
            <w:r>
              <w:rPr>
                <w:rFonts w:ascii="Calibri" w:hAnsi="Calibri"/>
                <w:color w:val="333333"/>
                <w:sz w:val="18"/>
              </w:rPr>
              <w:t>95th</w:t>
            </w:r>
          </w:p>
        </w:tc>
        <w:tc>
          <w:tcPr>
            <w:tcW w:type="dxa" w:w="2016"/>
            <w:shd w:fill="F2F4F8" w:val="clear"/>
          </w:tcPr>
          <w:p>
            <w:r>
              <w:rPr>
                <w:rFonts w:ascii="Calibri" w:hAnsi="Calibri"/>
                <w:color w:val="333333"/>
                <w:sz w:val="18"/>
              </w:rPr>
              <w:t>catastrophic</w:t>
            </w:r>
          </w:p>
        </w:tc>
        <w:tc>
          <w:tcPr>
            <w:tcW w:type="dxa" w:w="2016"/>
            <w:shd w:fill="F2F4F8" w:val="clear"/>
          </w:tcPr>
          <w:p>
            <w:r>
              <w:rPr>
                <w:rFonts w:ascii="Calibri" w:hAnsi="Calibri"/>
                <w:color w:val="333333"/>
                <w:sz w:val="18"/>
              </w:rPr>
              <w:t>$18.2B</w:t>
            </w:r>
          </w:p>
        </w:tc>
        <w:tc>
          <w:tcPr>
            <w:tcW w:type="dxa" w:w="2016"/>
            <w:shd w:fill="F2F4F8" w:val="clear"/>
          </w:tcPr>
          <w:p>
            <w:r>
              <w:rPr>
                <w:rFonts w:ascii="Calibri" w:hAnsi="Calibri"/>
                <w:color w:val="333333"/>
                <w:sz w:val="18"/>
              </w:rPr>
              <w:t>$5.4B</w:t>
            </w:r>
          </w:p>
        </w:tc>
        <w:tc>
          <w:tcPr>
            <w:tcW w:type="dxa" w:w="2016"/>
            <w:shd w:fill="F2F4F8" w:val="clear"/>
          </w:tcPr>
          <w:p>
            <w:r>
              <w:rPr>
                <w:rFonts w:ascii="Calibri" w:hAnsi="Calibri"/>
                <w:color w:val="333333"/>
                <w:sz w:val="18"/>
              </w:rPr>
              <w:t>$23.6B</w:t>
            </w:r>
          </w:p>
        </w:tc>
      </w:tr>
    </w:tbl>
    <w:p>
      <w:pPr>
        <w:pStyle w:val="DOHeading3"/>
      </w:pPr>
      <w:r>
        <w:t>Calibration Notes (SECT7-11)</w:t>
      </w:r>
    </w:p>
    <w:p>
      <w:pPr>
        <w:pStyle w:val="DOBody"/>
      </w:pPr>
      <w:r>
        <w:rPr>
          <w:i/>
          <w:sz w:val="16"/>
        </w:rPr>
        <w:t>The following items are flagged NEEDS CALIBRATION and require expert review before final pricing:</w:t>
      </w:r>
    </w:p>
    <w:p>
      <w:pPr>
        <w:pStyle w:val="DOBody"/>
      </w:pPr>
      <w:r>
        <w:t xml:space="preserve">  - SECT7-11: All scoring parameters require calibration against historical cases</w:t>
      </w:r>
    </w:p>
    <w:p>
      <w:pPr>
        <w:pStyle w:val="DOHeading3"/>
      </w:pPr>
      <w:r>
        <w:t>Factor Detail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Factor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Deducted</w:t>
            </w:r>
          </w:p>
        </w:tc>
        <w:tc>
          <w:tcPr>
            <w:tcW w:type="dxa" w:w="2016"/>
            <w:shd w:fill="1A1446" w:val="clear"/>
          </w:tcPr>
          <w:p>
            <w:r>
              <w:rPr>
                <w:rFonts w:ascii="Calibri" w:hAnsi="Calibri"/>
                <w:b/>
                <w:color w:val="FFFFFF"/>
                <w:sz w:val="18"/>
              </w:rPr>
              <w:t>Rules Triggered</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F1</w:t>
            </w:r>
          </w:p>
        </w:tc>
        <w:tc>
          <w:tcPr>
            <w:tcW w:type="dxa" w:w="2016"/>
          </w:tcPr>
          <w:p>
            <w:r>
              <w:rPr>
                <w:rFonts w:ascii="Calibri" w:hAnsi="Calibri"/>
                <w:color w:val="333333"/>
                <w:sz w:val="18"/>
              </w:rPr>
              <w:t>Prior Litigation</w:t>
            </w:r>
          </w:p>
        </w:tc>
        <w:tc>
          <w:tcPr>
            <w:tcW w:type="dxa" w:w="2016"/>
          </w:tcPr>
          <w:p>
            <w:r>
              <w:rPr>
                <w:rFonts w:ascii="Calibri" w:hAnsi="Calibri"/>
                <w:color w:val="333333"/>
                <w:sz w:val="18"/>
              </w:rPr>
              <w:t>2.4</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63 signals, coverage=100%</w:t>
            </w:r>
          </w:p>
        </w:tc>
      </w:tr>
      <w:tr>
        <w:tc>
          <w:tcPr>
            <w:tcW w:type="dxa" w:w="2016"/>
            <w:shd w:fill="F2F4F8" w:val="clear"/>
          </w:tcPr>
          <w:p>
            <w:r>
              <w:rPr>
                <w:rFonts w:ascii="Calibri" w:hAnsi="Calibri"/>
                <w:color w:val="333333"/>
                <w:sz w:val="18"/>
              </w:rPr>
              <w:t>F2</w:t>
            </w:r>
          </w:p>
        </w:tc>
        <w:tc>
          <w:tcPr>
            <w:tcW w:type="dxa" w:w="2016"/>
            <w:shd w:fill="F2F4F8" w:val="clear"/>
          </w:tcPr>
          <w:p>
            <w:r>
              <w:rPr>
                <w:rFonts w:ascii="Calibri" w:hAnsi="Calibri"/>
                <w:color w:val="333333"/>
                <w:sz w:val="18"/>
              </w:rPr>
              <w:t>Stock Decline</w:t>
            </w:r>
          </w:p>
        </w:tc>
        <w:tc>
          <w:tcPr>
            <w:tcW w:type="dxa" w:w="2016"/>
            <w:shd w:fill="F2F4F8" w:val="clear"/>
          </w:tcPr>
          <w:p>
            <w:r>
              <w:rPr>
                <w:rFonts w:ascii="Calibri" w:hAnsi="Calibri"/>
                <w:color w:val="333333"/>
                <w:sz w:val="18"/>
              </w:rPr>
              <w:t>0.6</w:t>
            </w:r>
          </w:p>
        </w:tc>
        <w:tc>
          <w:tcPr>
            <w:tcW w:type="dxa" w:w="2016"/>
            <w:shd w:fill="F2F4F8" w:val="clear"/>
          </w:tcPr>
          <w:p>
            <w:r>
              <w:rPr>
                <w:rFonts w:ascii="Calibri" w:hAnsi="Calibri"/>
                <w:color w:val="333333"/>
                <w:sz w:val="18"/>
              </w:rPr>
              <w:t>drop_contribution_adjustment</w:t>
            </w:r>
          </w:p>
        </w:tc>
        <w:tc>
          <w:tcPr>
            <w:tcW w:type="dxa" w:w="2016"/>
            <w:shd w:fill="F2F4F8" w:val="clear"/>
          </w:tcPr>
          <w:p>
            <w:r>
              <w:rPr>
                <w:rFonts w:ascii="Calibri" w:hAnsi="Calibri"/>
                <w:color w:val="333333"/>
                <w:sz w:val="18"/>
              </w:rPr>
              <w:t>Signal-driven scoring: 28 signals, coverage=100%; Drop contribution modifier: 0.18x (decay + company-specific + disclosure)</w:t>
            </w:r>
          </w:p>
        </w:tc>
      </w:tr>
      <w:tr>
        <w:tc>
          <w:tcPr>
            <w:tcW w:type="dxa" w:w="2016"/>
          </w:tcPr>
          <w:p>
            <w:r>
              <w:rPr>
                <w:rFonts w:ascii="Calibri" w:hAnsi="Calibri"/>
                <w:color w:val="333333"/>
                <w:sz w:val="18"/>
              </w:rPr>
              <w:t>F3</w:t>
            </w:r>
          </w:p>
        </w:tc>
        <w:tc>
          <w:tcPr>
            <w:tcW w:type="dxa" w:w="2016"/>
          </w:tcPr>
          <w:p>
            <w:r>
              <w:rPr>
                <w:rFonts w:ascii="Calibri" w:hAnsi="Calibri"/>
                <w:color w:val="333333"/>
                <w:sz w:val="18"/>
              </w:rPr>
              <w:t>Restatement/Audit Issues</w:t>
            </w:r>
          </w:p>
        </w:tc>
        <w:tc>
          <w:tcPr>
            <w:tcW w:type="dxa" w:w="2016"/>
          </w:tcPr>
          <w:p>
            <w:r>
              <w:rPr>
                <w:rFonts w:ascii="Calibri" w:hAnsi="Calibri"/>
                <w:color w:val="333333"/>
                <w:sz w:val="18"/>
              </w:rPr>
              <w:t>2.1</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81 signals, coverage=100%</w:t>
            </w:r>
          </w:p>
        </w:tc>
      </w:tr>
      <w:tr>
        <w:tc>
          <w:tcPr>
            <w:tcW w:type="dxa" w:w="2016"/>
            <w:shd w:fill="F2F4F8" w:val="clear"/>
          </w:tcPr>
          <w:p>
            <w:r>
              <w:rPr>
                <w:rFonts w:ascii="Calibri" w:hAnsi="Calibri"/>
                <w:color w:val="333333"/>
                <w:sz w:val="18"/>
              </w:rPr>
              <w:t>F4</w:t>
            </w:r>
          </w:p>
        </w:tc>
        <w:tc>
          <w:tcPr>
            <w:tcW w:type="dxa" w:w="2016"/>
            <w:shd w:fill="F2F4F8" w:val="clear"/>
          </w:tcPr>
          <w:p>
            <w:r>
              <w:rPr>
                <w:rFonts w:ascii="Calibri" w:hAnsi="Calibri"/>
                <w:color w:val="333333"/>
                <w:sz w:val="18"/>
              </w:rPr>
              <w:t>IPO/SPAC/M&amp;A</w:t>
            </w:r>
          </w:p>
        </w:tc>
        <w:tc>
          <w:tcPr>
            <w:tcW w:type="dxa" w:w="2016"/>
            <w:shd w:fill="F2F4F8" w:val="clear"/>
          </w:tcPr>
          <w:p>
            <w:r>
              <w:rPr>
                <w:rFonts w:ascii="Calibri" w:hAnsi="Calibri"/>
                <w:color w:val="333333"/>
                <w:sz w:val="18"/>
              </w:rPr>
              <w:t>1.0</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15 signals, coverage=100%</w:t>
            </w:r>
          </w:p>
        </w:tc>
      </w:tr>
      <w:tr>
        <w:tc>
          <w:tcPr>
            <w:tcW w:type="dxa" w:w="2016"/>
          </w:tcPr>
          <w:p>
            <w:r>
              <w:rPr>
                <w:rFonts w:ascii="Calibri" w:hAnsi="Calibri"/>
                <w:color w:val="333333"/>
                <w:sz w:val="18"/>
              </w:rPr>
              <w:t>F5</w:t>
            </w:r>
          </w:p>
        </w:tc>
        <w:tc>
          <w:tcPr>
            <w:tcW w:type="dxa" w:w="2016"/>
          </w:tcPr>
          <w:p>
            <w:r>
              <w:rPr>
                <w:rFonts w:ascii="Calibri" w:hAnsi="Calibri"/>
                <w:color w:val="333333"/>
                <w:sz w:val="18"/>
              </w:rPr>
              <w:t>Guidance Misses</w:t>
            </w:r>
          </w:p>
        </w:tc>
        <w:tc>
          <w:tcPr>
            <w:tcW w:type="dxa" w:w="2016"/>
          </w:tcPr>
          <w:p>
            <w:r>
              <w:rPr>
                <w:rFonts w:ascii="Calibri" w:hAnsi="Calibri"/>
                <w:color w:val="333333"/>
                <w:sz w:val="18"/>
              </w:rPr>
              <w:t>2.0</w:t>
            </w:r>
          </w:p>
        </w:tc>
        <w:tc>
          <w:tcPr>
            <w:tcW w:type="dxa" w:w="2016"/>
          </w:tcPr>
          <w:p>
            <w:r>
              <w:rPr>
                <w:rFonts w:ascii="Calibri" w:hAnsi="Calibri"/>
                <w:color w:val="333333"/>
                <w:sz w:val="18"/>
              </w:rPr>
              <w:t>F5-006</w:t>
            </w:r>
          </w:p>
        </w:tc>
        <w:tc>
          <w:tcPr>
            <w:tcW w:type="dxa" w:w="2016"/>
          </w:tcPr>
          <w:p>
            <w:r>
              <w:rPr>
                <w:rFonts w:ascii="Calibri" w:hAnsi="Calibri"/>
                <w:color w:val="333333"/>
                <w:sz w:val="18"/>
              </w:rPr>
              <w:t>Signal-driven scoring: 27 signals, coverage=100%; Any single miss &gt;15% vs guidance</w:t>
            </w:r>
          </w:p>
        </w:tc>
      </w:tr>
      <w:tr>
        <w:tc>
          <w:tcPr>
            <w:tcW w:type="dxa" w:w="2016"/>
            <w:shd w:fill="F2F4F8" w:val="clear"/>
          </w:tcPr>
          <w:p>
            <w:r>
              <w:rPr>
                <w:rFonts w:ascii="Calibri" w:hAnsi="Calibri"/>
                <w:color w:val="333333"/>
                <w:sz w:val="18"/>
              </w:rPr>
              <w:t>F6</w:t>
            </w:r>
          </w:p>
        </w:tc>
        <w:tc>
          <w:tcPr>
            <w:tcW w:type="dxa" w:w="2016"/>
            <w:shd w:fill="F2F4F8" w:val="clear"/>
          </w:tcPr>
          <w:p>
            <w:r>
              <w:rPr>
                <w:rFonts w:ascii="Calibri" w:hAnsi="Calibri"/>
                <w:color w:val="333333"/>
                <w:sz w:val="18"/>
              </w:rPr>
              <w:t>Short Interest</w:t>
            </w:r>
          </w:p>
        </w:tc>
        <w:tc>
          <w:tcPr>
            <w:tcW w:type="dxa" w:w="2016"/>
            <w:shd w:fill="F2F4F8" w:val="clear"/>
          </w:tcPr>
          <w:p>
            <w:r>
              <w:rPr>
                <w:rFonts w:ascii="Calibri" w:hAnsi="Calibri"/>
                <w:color w:val="333333"/>
                <w:sz w:val="18"/>
              </w:rPr>
              <w:t>2.2</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28 signals, coverage=100%</w:t>
            </w:r>
          </w:p>
        </w:tc>
      </w:tr>
      <w:tr>
        <w:tc>
          <w:tcPr>
            <w:tcW w:type="dxa" w:w="2016"/>
          </w:tcPr>
          <w:p>
            <w:r>
              <w:rPr>
                <w:rFonts w:ascii="Calibri" w:hAnsi="Calibri"/>
                <w:color w:val="333333"/>
                <w:sz w:val="18"/>
              </w:rPr>
              <w:t>F7</w:t>
            </w:r>
          </w:p>
        </w:tc>
        <w:tc>
          <w:tcPr>
            <w:tcW w:type="dxa" w:w="2016"/>
          </w:tcPr>
          <w:p>
            <w:r>
              <w:rPr>
                <w:rFonts w:ascii="Calibri" w:hAnsi="Calibri"/>
                <w:color w:val="333333"/>
                <w:sz w:val="18"/>
              </w:rPr>
              <w:t>Stock Volatility</w:t>
            </w:r>
          </w:p>
        </w:tc>
        <w:tc>
          <w:tcPr>
            <w:tcW w:type="dxa" w:w="2016"/>
          </w:tcPr>
          <w:p>
            <w:r>
              <w:rPr>
                <w:rFonts w:ascii="Calibri" w:hAnsi="Calibri"/>
                <w:color w:val="333333"/>
                <w:sz w:val="18"/>
              </w:rPr>
              <w:t>0.5</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28 signals, coverage=100%</w:t>
            </w:r>
          </w:p>
        </w:tc>
      </w:tr>
      <w:tr>
        <w:tc>
          <w:tcPr>
            <w:tcW w:type="dxa" w:w="2016"/>
            <w:shd w:fill="F2F4F8" w:val="clear"/>
          </w:tcPr>
          <w:p>
            <w:r>
              <w:rPr>
                <w:rFonts w:ascii="Calibri" w:hAnsi="Calibri"/>
                <w:color w:val="333333"/>
                <w:sz w:val="18"/>
              </w:rPr>
              <w:t>F8</w:t>
            </w:r>
          </w:p>
        </w:tc>
        <w:tc>
          <w:tcPr>
            <w:tcW w:type="dxa" w:w="2016"/>
            <w:shd w:fill="F2F4F8" w:val="clear"/>
          </w:tcPr>
          <w:p>
            <w:r>
              <w:rPr>
                <w:rFonts w:ascii="Calibri" w:hAnsi="Calibri"/>
                <w:color w:val="333333"/>
                <w:sz w:val="18"/>
              </w:rPr>
              <w:t>Financial Distress</w:t>
            </w:r>
          </w:p>
        </w:tc>
        <w:tc>
          <w:tcPr>
            <w:tcW w:type="dxa" w:w="2016"/>
            <w:shd w:fill="F2F4F8" w:val="clear"/>
          </w:tcPr>
          <w:p>
            <w:r>
              <w:rPr>
                <w:rFonts w:ascii="Calibri" w:hAnsi="Calibri"/>
                <w:color w:val="333333"/>
                <w:sz w:val="18"/>
              </w:rPr>
              <w:t>0.7</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14 signals, coverage=100%</w:t>
            </w:r>
          </w:p>
        </w:tc>
      </w:tr>
      <w:tr>
        <w:tc>
          <w:tcPr>
            <w:tcW w:type="dxa" w:w="2016"/>
          </w:tcPr>
          <w:p>
            <w:r>
              <w:rPr>
                <w:rFonts w:ascii="Calibri" w:hAnsi="Calibri"/>
                <w:color w:val="333333"/>
                <w:sz w:val="18"/>
              </w:rPr>
              <w:t>F9</w:t>
            </w:r>
          </w:p>
        </w:tc>
        <w:tc>
          <w:tcPr>
            <w:tcW w:type="dxa" w:w="2016"/>
          </w:tcPr>
          <w:p>
            <w:r>
              <w:rPr>
                <w:rFonts w:ascii="Calibri" w:hAnsi="Calibri"/>
                <w:color w:val="333333"/>
                <w:sz w:val="18"/>
              </w:rPr>
              <w:t>Governance Issues</w:t>
            </w:r>
          </w:p>
        </w:tc>
        <w:tc>
          <w:tcPr>
            <w:tcW w:type="dxa" w:w="2016"/>
          </w:tcPr>
          <w:p>
            <w:r>
              <w:rPr>
                <w:rFonts w:ascii="Calibri" w:hAnsi="Calibri"/>
                <w:color w:val="333333"/>
                <w:sz w:val="18"/>
              </w:rPr>
              <w:t>0.5</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37 signals, coverage=100%</w:t>
            </w:r>
          </w:p>
        </w:tc>
      </w:tr>
      <w:tr>
        <w:tc>
          <w:tcPr>
            <w:tcW w:type="dxa" w:w="2016"/>
            <w:shd w:fill="F2F4F8" w:val="clear"/>
          </w:tcPr>
          <w:p>
            <w:r>
              <w:rPr>
                <w:rFonts w:ascii="Calibri" w:hAnsi="Calibri"/>
                <w:color w:val="333333"/>
                <w:sz w:val="18"/>
              </w:rPr>
              <w:t>F10</w:t>
            </w:r>
          </w:p>
        </w:tc>
        <w:tc>
          <w:tcPr>
            <w:tcW w:type="dxa" w:w="2016"/>
            <w:shd w:fill="F2F4F8" w:val="clear"/>
          </w:tcPr>
          <w:p>
            <w:r>
              <w:rPr>
                <w:rFonts w:ascii="Calibri" w:hAnsi="Calibri"/>
                <w:color w:val="333333"/>
                <w:sz w:val="18"/>
              </w:rPr>
              <w:t>Officer Stability</w:t>
            </w:r>
          </w:p>
        </w:tc>
        <w:tc>
          <w:tcPr>
            <w:tcW w:type="dxa" w:w="2016"/>
            <w:shd w:fill="F2F4F8" w:val="clear"/>
          </w:tcPr>
          <w:p>
            <w:r>
              <w:rPr>
                <w:rFonts w:ascii="Calibri" w:hAnsi="Calibri"/>
                <w:color w:val="333333"/>
                <w:sz w:val="18"/>
              </w:rPr>
              <w:t>0.1</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88 signals, coverage=100%</w:t>
            </w:r>
          </w:p>
        </w:tc>
      </w:tr>
    </w:tbl>
    <w:p>
      <w:pPr>
        <w:pStyle w:val="DOBody"/>
      </w:pPr>
      <w:r>
        <w:rPr>
          <w:b/>
          <w:sz w:val="20"/>
        </w:rPr>
        <w:t>Sub-Component Breakdown</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Factor</w:t>
            </w:r>
          </w:p>
        </w:tc>
        <w:tc>
          <w:tcPr>
            <w:tcW w:type="dxa" w:w="3360"/>
            <w:shd w:fill="1A1446" w:val="clear"/>
          </w:tcPr>
          <w:p>
            <w:r>
              <w:rPr>
                <w:rFonts w:ascii="Calibri" w:hAnsi="Calibri"/>
                <w:b/>
                <w:color w:val="FFFFFF"/>
                <w:sz w:val="18"/>
              </w:rPr>
              <w:t>Component</w:t>
            </w:r>
          </w:p>
        </w:tc>
        <w:tc>
          <w:tcPr>
            <w:tcW w:type="dxa" w:w="3360"/>
            <w:shd w:fill="1A1446" w:val="clear"/>
          </w:tcPr>
          <w:p>
            <w:r>
              <w:rPr>
                <w:rFonts w:ascii="Calibri" w:hAnsi="Calibri"/>
                <w:b/>
                <w:color w:val="FFFFFF"/>
                <w:sz w:val="18"/>
              </w:rPr>
              <w:t>Value</w:t>
            </w:r>
          </w:p>
        </w:tc>
      </w:tr>
      <w:tr>
        <w:tc>
          <w:tcPr>
            <w:tcW w:type="dxa" w:w="3360"/>
          </w:tcPr>
          <w:p>
            <w:r>
              <w:rPr>
                <w:rFonts w:ascii="Calibri" w:hAnsi="Calibri"/>
                <w:color w:val="333333"/>
                <w:sz w:val="18"/>
              </w:rPr>
              <w:t>F1</w:t>
            </w:r>
          </w:p>
        </w:tc>
        <w:tc>
          <w:tcPr>
            <w:tcW w:type="dxa" w:w="3360"/>
          </w:tcPr>
          <w:p>
            <w:r>
              <w:rPr>
                <w:rFonts w:ascii="Calibri" w:hAnsi="Calibri"/>
                <w:color w:val="333333"/>
                <w:sz w:val="18"/>
              </w:rPr>
              <w:t>base</w:t>
            </w:r>
          </w:p>
        </w:tc>
        <w:tc>
          <w:tcPr>
            <w:tcW w:type="dxa" w:w="3360"/>
          </w:tcPr>
          <w:p>
            <w:r>
              <w:rPr>
                <w:rFonts w:ascii="Calibri" w:hAnsi="Calibri"/>
                <w:color w:val="333333"/>
                <w:sz w:val="18"/>
              </w:rPr>
              <w:t>2.42</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2.42</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2.42</w:t>
            </w:r>
          </w:p>
        </w:tc>
      </w:tr>
      <w:tr>
        <w:tc>
          <w:tcPr>
            <w:tcW w:type="dxa" w:w="3360"/>
          </w:tcPr>
          <w:p>
            <w:r>
              <w:rPr>
                <w:rFonts w:ascii="Calibri" w:hAnsi="Calibri"/>
                <w:color w:val="333333"/>
                <w:sz w:val="18"/>
              </w:rPr>
              <w:t>F2</w:t>
            </w:r>
          </w:p>
        </w:tc>
        <w:tc>
          <w:tcPr>
            <w:tcW w:type="dxa" w:w="3360"/>
          </w:tcPr>
          <w:p>
            <w:r>
              <w:rPr>
                <w:rFonts w:ascii="Calibri" w:hAnsi="Calibri"/>
                <w:color w:val="333333"/>
                <w:sz w:val="18"/>
              </w:rPr>
              <w:t>base</w:t>
            </w:r>
          </w:p>
        </w:tc>
        <w:tc>
          <w:tcPr>
            <w:tcW w:type="dxa" w:w="3360"/>
          </w:tcPr>
          <w:p>
            <w:r>
              <w:rPr>
                <w:rFonts w:ascii="Calibri" w:hAnsi="Calibri"/>
                <w:color w:val="333333"/>
                <w:sz w:val="18"/>
              </w:rPr>
              <w:t>3.53</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drop_contribution_modifier</w:t>
            </w:r>
          </w:p>
        </w:tc>
        <w:tc>
          <w:tcPr>
            <w:tcW w:type="dxa" w:w="3360"/>
          </w:tcPr>
          <w:p>
            <w:r>
              <w:rPr>
                <w:rFonts w:ascii="Calibri" w:hAnsi="Calibri"/>
                <w:color w:val="333333"/>
                <w:sz w:val="18"/>
              </w:rPr>
              <w:t>0.18</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0.64</w:t>
            </w:r>
          </w:p>
        </w:tc>
      </w:tr>
      <w:tr>
        <w:tc>
          <w:tcPr>
            <w:tcW w:type="dxa" w:w="3360"/>
          </w:tcPr>
          <w:p>
            <w:r>
              <w:rPr>
                <w:rFonts w:ascii="Calibri" w:hAnsi="Calibri"/>
                <w:color w:val="333333"/>
                <w:sz w:val="18"/>
              </w:rPr>
              <w:t>F2</w:t>
            </w:r>
          </w:p>
        </w:tc>
        <w:tc>
          <w:tcPr>
            <w:tcW w:type="dxa" w:w="3360"/>
          </w:tcPr>
          <w:p>
            <w:r>
              <w:rPr>
                <w:rFonts w:ascii="Calibri" w:hAnsi="Calibri"/>
                <w:color w:val="333333"/>
                <w:sz w:val="18"/>
              </w:rPr>
              <w:t>capped</w:t>
            </w:r>
          </w:p>
        </w:tc>
        <w:tc>
          <w:tcPr>
            <w:tcW w:type="dxa" w:w="3360"/>
          </w:tcPr>
          <w:p>
            <w:r>
              <w:rPr>
                <w:rFonts w:ascii="Calibri" w:hAnsi="Calibri"/>
                <w:color w:val="333333"/>
                <w:sz w:val="18"/>
              </w:rPr>
              <w:t>0.64</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2.08</w:t>
            </w:r>
          </w:p>
        </w:tc>
      </w:tr>
      <w:tr>
        <w:tc>
          <w:tcPr>
            <w:tcW w:type="dxa" w:w="3360"/>
          </w:tcPr>
          <w:p>
            <w:r>
              <w:rPr>
                <w:rFonts w:ascii="Calibri" w:hAnsi="Calibri"/>
                <w:color w:val="333333"/>
                <w:sz w:val="18"/>
              </w:rPr>
              <w:t>F3</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F3</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2.08</w:t>
            </w:r>
          </w:p>
        </w:tc>
      </w:tr>
      <w:tr>
        <w:tc>
          <w:tcPr>
            <w:tcW w:type="dxa" w:w="3360"/>
          </w:tcPr>
          <w:p>
            <w:r>
              <w:rPr>
                <w:rFonts w:ascii="Calibri" w:hAnsi="Calibri"/>
                <w:color w:val="333333"/>
                <w:sz w:val="18"/>
              </w:rPr>
              <w:t>F3</w:t>
            </w:r>
          </w:p>
        </w:tc>
        <w:tc>
          <w:tcPr>
            <w:tcW w:type="dxa" w:w="3360"/>
          </w:tcPr>
          <w:p>
            <w:r>
              <w:rPr>
                <w:rFonts w:ascii="Calibri" w:hAnsi="Calibri"/>
                <w:color w:val="333333"/>
                <w:sz w:val="18"/>
              </w:rPr>
              <w:t>capped</w:t>
            </w:r>
          </w:p>
        </w:tc>
        <w:tc>
          <w:tcPr>
            <w:tcW w:type="dxa" w:w="3360"/>
          </w:tcPr>
          <w:p>
            <w:r>
              <w:rPr>
                <w:rFonts w:ascii="Calibri" w:hAnsi="Calibri"/>
                <w:color w:val="333333"/>
                <w:sz w:val="18"/>
              </w:rPr>
              <w:t>2.08</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1.00</w:t>
            </w:r>
          </w:p>
        </w:tc>
      </w:tr>
      <w:tr>
        <w:tc>
          <w:tcPr>
            <w:tcW w:type="dxa" w:w="3360"/>
          </w:tcPr>
          <w:p>
            <w:r>
              <w:rPr>
                <w:rFonts w:ascii="Calibri" w:hAnsi="Calibri"/>
                <w:color w:val="333333"/>
                <w:sz w:val="18"/>
              </w:rPr>
              <w:t>F4</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1.00</w:t>
            </w:r>
          </w:p>
        </w:tc>
      </w:tr>
      <w:tr>
        <w:tc>
          <w:tcPr>
            <w:tcW w:type="dxa" w:w="3360"/>
          </w:tcPr>
          <w:p>
            <w:r>
              <w:rPr>
                <w:rFonts w:ascii="Calibri" w:hAnsi="Calibri"/>
                <w:color w:val="333333"/>
                <w:sz w:val="18"/>
              </w:rPr>
              <w:t>F4</w:t>
            </w:r>
          </w:p>
        </w:tc>
        <w:tc>
          <w:tcPr>
            <w:tcW w:type="dxa" w:w="3360"/>
          </w:tcPr>
          <w:p>
            <w:r>
              <w:rPr>
                <w:rFonts w:ascii="Calibri" w:hAnsi="Calibri"/>
                <w:color w:val="333333"/>
                <w:sz w:val="18"/>
              </w:rPr>
              <w:t>capped</w:t>
            </w:r>
          </w:p>
        </w:tc>
        <w:tc>
          <w:tcPr>
            <w:tcW w:type="dxa" w:w="3360"/>
          </w:tcPr>
          <w:p>
            <w:r>
              <w:rPr>
                <w:rFonts w:ascii="Calibri" w:hAnsi="Calibri"/>
                <w:color w:val="333333"/>
                <w:sz w:val="18"/>
              </w:rPr>
              <w:t>1.00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F5</w:t>
            </w:r>
          </w:p>
        </w:tc>
        <w:tc>
          <w:tcPr>
            <w:tcW w:type="dxa" w:w="3360"/>
          </w:tcPr>
          <w:p>
            <w:r>
              <w:rPr>
                <w:rFonts w:ascii="Calibri" w:hAnsi="Calibri"/>
                <w:color w:val="333333"/>
                <w:sz w:val="18"/>
              </w:rPr>
              <w:t>bonus</w:t>
            </w:r>
          </w:p>
        </w:tc>
        <w:tc>
          <w:tcPr>
            <w:tcW w:type="dxa" w:w="3360"/>
          </w:tcPr>
          <w:p>
            <w:r>
              <w:rPr>
                <w:rFonts w:ascii="Calibri" w:hAnsi="Calibri"/>
                <w:color w:val="333333"/>
                <w:sz w:val="18"/>
              </w:rPr>
              <w:t>2.00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F5</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2.00</w:t>
            </w:r>
          </w:p>
        </w:tc>
      </w:tr>
      <w:tr>
        <w:tc>
          <w:tcPr>
            <w:tcW w:type="dxa" w:w="3360"/>
          </w:tcPr>
          <w:p>
            <w:r>
              <w:rPr>
                <w:rFonts w:ascii="Calibri" w:hAnsi="Calibri"/>
                <w:color w:val="333333"/>
                <w:sz w:val="18"/>
              </w:rPr>
              <w:t>F5</w:t>
            </w:r>
          </w:p>
        </w:tc>
        <w:tc>
          <w:tcPr>
            <w:tcW w:type="dxa" w:w="3360"/>
          </w:tcPr>
          <w:p>
            <w:r>
              <w:rPr>
                <w:rFonts w:ascii="Calibri" w:hAnsi="Calibri"/>
                <w:color w:val="333333"/>
                <w:sz w:val="18"/>
              </w:rPr>
              <w:t>capped</w:t>
            </w:r>
          </w:p>
        </w:tc>
        <w:tc>
          <w:tcPr>
            <w:tcW w:type="dxa" w:w="3360"/>
          </w:tcPr>
          <w:p>
            <w:r>
              <w:rPr>
                <w:rFonts w:ascii="Calibri" w:hAnsi="Calibri"/>
                <w:color w:val="333333"/>
                <w:sz w:val="18"/>
              </w:rPr>
              <w:t>2.00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pattern_modifier</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base</w:t>
            </w:r>
          </w:p>
        </w:tc>
        <w:tc>
          <w:tcPr>
            <w:tcW w:type="dxa" w:w="3360"/>
          </w:tcPr>
          <w:p>
            <w:r>
              <w:rPr>
                <w:rFonts w:ascii="Calibri" w:hAnsi="Calibri"/>
                <w:color w:val="333333"/>
                <w:sz w:val="18"/>
              </w:rPr>
              <w:t>2.22</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2.22</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2.22</w:t>
            </w:r>
          </w:p>
        </w:tc>
      </w:tr>
      <w:tr>
        <w:tc>
          <w:tcPr>
            <w:tcW w:type="dxa" w:w="3360"/>
          </w:tcPr>
          <w:p>
            <w:r>
              <w:rPr>
                <w:rFonts w:ascii="Calibri" w:hAnsi="Calibri"/>
                <w:color w:val="333333"/>
                <w:sz w:val="18"/>
              </w:rPr>
              <w:t>F7</w:t>
            </w:r>
          </w:p>
        </w:tc>
        <w:tc>
          <w:tcPr>
            <w:tcW w:type="dxa" w:w="3360"/>
          </w:tcPr>
          <w:p>
            <w:r>
              <w:rPr>
                <w:rFonts w:ascii="Calibri" w:hAnsi="Calibri"/>
                <w:color w:val="333333"/>
                <w:sz w:val="18"/>
              </w:rPr>
              <w:t>base</w:t>
            </w:r>
          </w:p>
        </w:tc>
        <w:tc>
          <w:tcPr>
            <w:tcW w:type="dxa" w:w="3360"/>
          </w:tcPr>
          <w:p>
            <w:r>
              <w:rPr>
                <w:rFonts w:ascii="Calibri" w:hAnsi="Calibri"/>
                <w:color w:val="333333"/>
                <w:sz w:val="18"/>
              </w:rPr>
              <w:t>0.50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F7</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F7</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0.50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0.50</w:t>
            </w:r>
          </w:p>
        </w:tc>
      </w:tr>
      <w:tr>
        <w:tc>
          <w:tcPr>
            <w:tcW w:type="dxa" w:w="3360"/>
          </w:tcPr>
          <w:p>
            <w:r>
              <w:rPr>
                <w:rFonts w:ascii="Calibri" w:hAnsi="Calibri"/>
                <w:color w:val="333333"/>
                <w:sz w:val="18"/>
              </w:rPr>
              <w:t>F8</w:t>
            </w:r>
          </w:p>
        </w:tc>
        <w:tc>
          <w:tcPr>
            <w:tcW w:type="dxa" w:w="3360"/>
          </w:tcPr>
          <w:p>
            <w:r>
              <w:rPr>
                <w:rFonts w:ascii="Calibri" w:hAnsi="Calibri"/>
                <w:color w:val="333333"/>
                <w:sz w:val="18"/>
              </w:rPr>
              <w:t>base</w:t>
            </w:r>
          </w:p>
        </w:tc>
        <w:tc>
          <w:tcPr>
            <w:tcW w:type="dxa" w:w="3360"/>
          </w:tcPr>
          <w:p>
            <w:r>
              <w:rPr>
                <w:rFonts w:ascii="Calibri" w:hAnsi="Calibri"/>
                <w:color w:val="333333"/>
                <w:sz w:val="18"/>
              </w:rPr>
              <w:t>0.71</w:t>
            </w:r>
          </w:p>
        </w:tc>
      </w:tr>
      <w:tr>
        <w:tc>
          <w:tcPr>
            <w:tcW w:type="dxa" w:w="3360"/>
            <w:shd w:fill="F2F4F8" w:val="clear"/>
          </w:tcPr>
          <w:p>
            <w:r>
              <w:rPr>
                <w:rFonts w:ascii="Calibri" w:hAnsi="Calibri"/>
                <w:color w:val="333333"/>
                <w:sz w:val="18"/>
              </w:rPr>
              <w:t>F8</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F8</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F8</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F8</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0.71</w:t>
            </w:r>
          </w:p>
        </w:tc>
      </w:tr>
      <w:tr>
        <w:tc>
          <w:tcPr>
            <w:tcW w:type="dxa" w:w="3360"/>
            <w:shd w:fill="F2F4F8" w:val="clear"/>
          </w:tcPr>
          <w:p>
            <w:r>
              <w:rPr>
                <w:rFonts w:ascii="Calibri" w:hAnsi="Calibri"/>
                <w:color w:val="333333"/>
                <w:sz w:val="18"/>
              </w:rPr>
              <w:t>F8</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0.71</w:t>
            </w:r>
          </w:p>
        </w:tc>
      </w:tr>
      <w:tr>
        <w:tc>
          <w:tcPr>
            <w:tcW w:type="dxa" w:w="3360"/>
          </w:tcPr>
          <w:p>
            <w:r>
              <w:rPr>
                <w:rFonts w:ascii="Calibri" w:hAnsi="Calibri"/>
                <w:color w:val="333333"/>
                <w:sz w:val="18"/>
              </w:rPr>
              <w:t>F9</w:t>
            </w:r>
          </w:p>
        </w:tc>
        <w:tc>
          <w:tcPr>
            <w:tcW w:type="dxa" w:w="3360"/>
          </w:tcPr>
          <w:p>
            <w:r>
              <w:rPr>
                <w:rFonts w:ascii="Calibri" w:hAnsi="Calibri"/>
                <w:color w:val="333333"/>
                <w:sz w:val="18"/>
              </w:rPr>
              <w:t>base</w:t>
            </w:r>
          </w:p>
        </w:tc>
        <w:tc>
          <w:tcPr>
            <w:tcW w:type="dxa" w:w="3360"/>
          </w:tcPr>
          <w:p>
            <w:r>
              <w:rPr>
                <w:rFonts w:ascii="Calibri" w:hAnsi="Calibri"/>
                <w:color w:val="333333"/>
                <w:sz w:val="18"/>
              </w:rPr>
              <w:t>0.50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0.50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0.50</w:t>
            </w:r>
          </w:p>
        </w:tc>
      </w:tr>
      <w:tr>
        <w:tc>
          <w:tcPr>
            <w:tcW w:type="dxa" w:w="3360"/>
          </w:tcPr>
          <w:p>
            <w:r>
              <w:rPr>
                <w:rFonts w:ascii="Calibri" w:hAnsi="Calibri"/>
                <w:color w:val="333333"/>
                <w:sz w:val="18"/>
              </w:rPr>
              <w:t>F10</w:t>
            </w:r>
          </w:p>
        </w:tc>
        <w:tc>
          <w:tcPr>
            <w:tcW w:type="dxa" w:w="3360"/>
          </w:tcPr>
          <w:p>
            <w:r>
              <w:rPr>
                <w:rFonts w:ascii="Calibri" w:hAnsi="Calibri"/>
                <w:color w:val="333333"/>
                <w:sz w:val="18"/>
              </w:rPr>
              <w:t>base</w:t>
            </w:r>
          </w:p>
        </w:tc>
        <w:tc>
          <w:tcPr>
            <w:tcW w:type="dxa" w:w="3360"/>
          </w:tcPr>
          <w:p>
            <w:r>
              <w:rPr>
                <w:rFonts w:ascii="Calibri" w:hAnsi="Calibri"/>
                <w:color w:val="333333"/>
                <w:sz w:val="18"/>
              </w:rPr>
              <w:t>0.13</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F10</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F10</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0.13</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0.13</w:t>
            </w:r>
          </w:p>
        </w:tc>
      </w:tr>
    </w:tbl>
    <w:p>
      <w:pPr>
        <w:pStyle w:val="DOHeading3"/>
      </w:pPr>
      <w:r>
        <w:t>Pattern Detection Results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Pattern</w:t>
            </w:r>
          </w:p>
        </w:tc>
        <w:tc>
          <w:tcPr>
            <w:tcW w:type="dxa" w:w="2520"/>
            <w:shd w:fill="1A1446" w:val="clear"/>
          </w:tcPr>
          <w:p>
            <w:r>
              <w:rPr>
                <w:rFonts w:ascii="Calibri" w:hAnsi="Calibri"/>
                <w:b/>
                <w:color w:val="FFFFFF"/>
                <w:sz w:val="18"/>
              </w:rPr>
              <w:t>Severity</w:t>
            </w:r>
          </w:p>
        </w:tc>
        <w:tc>
          <w:tcPr>
            <w:tcW w:type="dxa" w:w="2520"/>
            <w:shd w:fill="1A1446" w:val="clear"/>
          </w:tcPr>
          <w:p>
            <w:r>
              <w:rPr>
                <w:rFonts w:ascii="Calibri" w:hAnsi="Calibri"/>
                <w:b/>
                <w:color w:val="FFFFFF"/>
                <w:sz w:val="18"/>
              </w:rPr>
              <w:t>Triggers Matched</w:t>
            </w:r>
          </w:p>
        </w:tc>
        <w:tc>
          <w:tcPr>
            <w:tcW w:type="dxa" w:w="2520"/>
            <w:shd w:fill="1A1446" w:val="clear"/>
          </w:tcPr>
          <w:p>
            <w:r>
              <w:rPr>
                <w:rFonts w:ascii="Calibri" w:hAnsi="Calibri"/>
                <w:b/>
                <w:color w:val="FFFFFF"/>
                <w:sz w:val="18"/>
              </w:rPr>
              <w:t>Score Impact</w:t>
            </w:r>
          </w:p>
        </w:tc>
      </w:tr>
      <w:tr>
        <w:tc>
          <w:tcPr>
            <w:tcW w:type="dxa" w:w="2520"/>
          </w:tcPr>
          <w:p>
            <w:r>
              <w:rPr>
                <w:rFonts w:ascii="Calibri" w:hAnsi="Calibri"/>
                <w:color w:val="333333"/>
                <w:sz w:val="18"/>
              </w:rPr>
              <w:t>Guidance Track Record</w:t>
            </w:r>
          </w:p>
        </w:tc>
        <w:tc>
          <w:tcPr>
            <w:tcW w:type="dxa" w:w="2520"/>
          </w:tcPr>
          <w:p>
            <w:r>
              <w:rPr>
                <w:rFonts w:ascii="Calibri" w:hAnsi="Calibri"/>
                <w:color w:val="333333"/>
                <w:sz w:val="18"/>
              </w:rPr>
              <w:t>BASELINE</w:t>
            </w:r>
          </w:p>
        </w:tc>
        <w:tc>
          <w:tcPr>
            <w:tcW w:type="dxa" w:w="2520"/>
          </w:tcPr>
          <w:p>
            <w:r>
              <w:rPr>
                <w:rFonts w:ascii="Calibri" w:hAnsi="Calibri"/>
                <w:color w:val="333333"/>
                <w:sz w:val="18"/>
              </w:rPr>
            </w:r>
          </w:p>
        </w:tc>
        <w:tc>
          <w:tcPr>
            <w:tcW w:type="dxa" w:w="2520"/>
          </w:tcPr>
          <w:p>
            <w:r>
              <w:rPr>
                <w:rFonts w:ascii="Calibri" w:hAnsi="Calibri"/>
                <w:color w:val="333333"/>
                <w:sz w:val="18"/>
              </w:rPr>
              <w:t>F5: +0</w:t>
            </w:r>
          </w:p>
        </w:tc>
      </w:tr>
    </w:tbl>
    <w:p>
      <w:pPr>
        <w:pStyle w:val="DOHeading3"/>
      </w:pPr>
      <w:r>
        <w:t>Allegation Theory Mapping</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Theory</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Factor Sources</w:t>
            </w:r>
          </w:p>
        </w:tc>
        <w:tc>
          <w:tcPr>
            <w:tcW w:type="dxa" w:w="2520"/>
            <w:shd w:fill="1A1446" w:val="clear"/>
          </w:tcPr>
          <w:p>
            <w:r>
              <w:rPr>
                <w:rFonts w:ascii="Calibri" w:hAnsi="Calibri"/>
                <w:b/>
                <w:color w:val="FFFFFF"/>
                <w:sz w:val="18"/>
              </w:rPr>
              <w:t>Key Findings</w:t>
            </w:r>
          </w:p>
        </w:tc>
      </w:tr>
      <w:tr>
        <w:tc>
          <w:tcPr>
            <w:tcW w:type="dxa" w:w="2520"/>
          </w:tcPr>
          <w:p>
            <w:r>
              <w:rPr>
                <w:rFonts w:ascii="Calibri" w:hAnsi="Calibri"/>
                <w:color w:val="333333"/>
                <w:sz w:val="18"/>
              </w:rPr>
              <w:t>A_DISCLOSURE</w:t>
            </w:r>
          </w:p>
        </w:tc>
        <w:tc>
          <w:tcPr>
            <w:tcW w:type="dxa" w:w="2520"/>
          </w:tcPr>
          <w:p>
            <w:r>
              <w:rPr>
                <w:rFonts w:ascii="Calibri" w:hAnsi="Calibri"/>
                <w:color w:val="333333"/>
                <w:sz w:val="18"/>
              </w:rPr>
              <w:t>MODERATE</w:t>
            </w:r>
          </w:p>
        </w:tc>
        <w:tc>
          <w:tcPr>
            <w:tcW w:type="dxa" w:w="2520"/>
          </w:tcPr>
          <w:p>
            <w:r>
              <w:rPr>
                <w:rFonts w:ascii="Calibri" w:hAnsi="Calibri"/>
                <w:color w:val="333333"/>
                <w:sz w:val="18"/>
              </w:rPr>
              <w:t>F1, F3, F5</w:t>
            </w:r>
          </w:p>
        </w:tc>
        <w:tc>
          <w:tcPr>
            <w:tcW w:type="dxa" w:w="2520"/>
          </w:tcPr>
          <w:p>
            <w:r>
              <w:rPr>
                <w:rFonts w:ascii="Calibri" w:hAnsi="Calibri"/>
                <w:color w:val="333333"/>
                <w:sz w:val="18"/>
              </w:rPr>
              <w:t>F1: Signal-driven scoring: 63 signals, coverage=100%; F3: Signal-driven scoring: 81 signals, coverage=100%</w:t>
            </w:r>
          </w:p>
        </w:tc>
      </w:tr>
      <w:tr>
        <w:tc>
          <w:tcPr>
            <w:tcW w:type="dxa" w:w="2520"/>
            <w:shd w:fill="F2F4F8" w:val="clear"/>
          </w:tcPr>
          <w:p>
            <w:r>
              <w:rPr>
                <w:rFonts w:ascii="Calibri" w:hAnsi="Calibri"/>
                <w:color w:val="333333"/>
                <w:sz w:val="18"/>
              </w:rPr>
              <w:t>B_GUIDANCE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F2, F5</w:t>
            </w:r>
          </w:p>
        </w:tc>
        <w:tc>
          <w:tcPr>
            <w:tcW w:type="dxa" w:w="2520"/>
            <w:shd w:fill="F2F4F8" w:val="clear"/>
          </w:tcPr>
          <w:p>
            <w:r>
              <w:rPr>
                <w:rFonts w:ascii="Calibri" w:hAnsi="Calibri"/>
                <w:color w:val="333333"/>
                <w:sz w:val="18"/>
              </w:rPr>
              <w:t>F2: Signal-driven scoring: 28 signals, coverage=100%; F2: Drop contribution modifier: 0.18x (decay + company-specific + disclosure)</w:t>
            </w:r>
          </w:p>
        </w:tc>
      </w:tr>
      <w:tr>
        <w:tc>
          <w:tcPr>
            <w:tcW w:type="dxa" w:w="2520"/>
          </w:tcPr>
          <w:p>
            <w:r>
              <w:rPr>
                <w:rFonts w:ascii="Calibri" w:hAnsi="Calibri"/>
                <w:color w:val="333333"/>
                <w:sz w:val="18"/>
              </w:rPr>
              <w:t>C_PRODUCT_OPS</w:t>
            </w:r>
          </w:p>
        </w:tc>
        <w:tc>
          <w:tcPr>
            <w:tcW w:type="dxa" w:w="2520"/>
          </w:tcPr>
          <w:p>
            <w:r>
              <w:rPr>
                <w:rFonts w:ascii="Calibri" w:hAnsi="Calibri"/>
                <w:color w:val="333333"/>
                <w:sz w:val="18"/>
              </w:rPr>
              <w:t>LOW</w:t>
            </w:r>
          </w:p>
        </w:tc>
        <w:tc>
          <w:tcPr>
            <w:tcW w:type="dxa" w:w="2520"/>
          </w:tcPr>
          <w:p>
            <w:r>
              <w:rPr>
                <w:rFonts w:ascii="Calibri" w:hAnsi="Calibri"/>
                <w:color w:val="333333"/>
                <w:sz w:val="18"/>
              </w:rPr>
              <w:t>F7, F8</w:t>
            </w:r>
          </w:p>
        </w:tc>
        <w:tc>
          <w:tcPr>
            <w:tcW w:type="dxa" w:w="2520"/>
          </w:tcPr>
          <w:p>
            <w:r>
              <w:rPr>
                <w:rFonts w:ascii="Calibri" w:hAnsi="Calibri"/>
                <w:color w:val="333333"/>
                <w:sz w:val="18"/>
              </w:rPr>
              <w:t>F7: Signal-driven scoring: 28 signals, coverage=100%; F8: Signal-driven scoring: 14 signals, coverage=100%</w:t>
            </w:r>
          </w:p>
        </w:tc>
      </w:tr>
      <w:tr>
        <w:tc>
          <w:tcPr>
            <w:tcW w:type="dxa" w:w="2520"/>
            <w:shd w:fill="F2F4F8" w:val="clear"/>
          </w:tcPr>
          <w:p>
            <w:r>
              <w:rPr>
                <w:rFonts w:ascii="Calibri" w:hAnsi="Calibri"/>
                <w:color w:val="333333"/>
                <w:sz w:val="18"/>
              </w:rPr>
              <w:t>D_GOVERNANCE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F9, F10</w:t>
            </w:r>
          </w:p>
        </w:tc>
        <w:tc>
          <w:tcPr>
            <w:tcW w:type="dxa" w:w="2520"/>
            <w:shd w:fill="F2F4F8" w:val="clear"/>
          </w:tcPr>
          <w:p>
            <w:r>
              <w:rPr>
                <w:rFonts w:ascii="Calibri" w:hAnsi="Calibri"/>
                <w:color w:val="333333"/>
                <w:sz w:val="18"/>
              </w:rPr>
              <w:t>F9: Signal-driven scoring: 37 signals, coverage=100%; F10: Signal-driven scoring: 88 signals, coverage=100%</w:t>
            </w:r>
          </w:p>
        </w:tc>
      </w:tr>
      <w:tr>
        <w:tc>
          <w:tcPr>
            <w:tcW w:type="dxa" w:w="2520"/>
          </w:tcPr>
          <w:p>
            <w:r>
              <w:rPr>
                <w:rFonts w:ascii="Calibri" w:hAnsi="Calibri"/>
                <w:color w:val="333333"/>
                <w:sz w:val="18"/>
              </w:rPr>
              <w:t>E_MA</w:t>
            </w:r>
          </w:p>
        </w:tc>
        <w:tc>
          <w:tcPr>
            <w:tcW w:type="dxa" w:w="2520"/>
          </w:tcPr>
          <w:p>
            <w:r>
              <w:rPr>
                <w:rFonts w:ascii="Calibri" w:hAnsi="Calibri"/>
                <w:color w:val="333333"/>
                <w:sz w:val="18"/>
              </w:rPr>
              <w:t>LOW</w:t>
            </w:r>
          </w:p>
        </w:tc>
        <w:tc>
          <w:tcPr>
            <w:tcW w:type="dxa" w:w="2520"/>
          </w:tcPr>
          <w:p>
            <w:r>
              <w:rPr>
                <w:rFonts w:ascii="Calibri" w:hAnsi="Calibri"/>
                <w:color w:val="333333"/>
                <w:sz w:val="18"/>
              </w:rPr>
              <w:t>F4</w:t>
            </w:r>
          </w:p>
        </w:tc>
        <w:tc>
          <w:tcPr>
            <w:tcW w:type="dxa" w:w="2520"/>
          </w:tcPr>
          <w:p>
            <w:r>
              <w:rPr>
                <w:rFonts w:ascii="Calibri" w:hAnsi="Calibri"/>
                <w:color w:val="333333"/>
                <w:sz w:val="18"/>
              </w:rPr>
              <w:t>F4: Signal-driven scoring: 15 signals, coverage=100%</w:t>
            </w:r>
          </w:p>
        </w:tc>
      </w:tr>
    </w:tbl>
    <w:p>
      <w:pPr>
        <w:pStyle w:val="DOBody"/>
      </w:pPr>
      <w:r>
        <w:rPr>
          <w:i/>
          <w:sz w:val="16"/>
        </w:rPr>
        <w:t>D&amp;O Context: Primary allegation exposure is A_DISCLOSURE. MODERATE exposure in: A_DISCLOSURE.</w:t>
      </w:r>
    </w:p>
    <w:p>
      <w:pPr>
        <w:pStyle w:val="DOHeading3"/>
      </w:pPr>
      <w:r>
        <w:t>Claim Probability Detail</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Probability Band</w:t>
            </w:r>
          </w:p>
        </w:tc>
        <w:tc>
          <w:tcPr>
            <w:tcW w:type="dxa" w:w="5040"/>
          </w:tcPr>
          <w:p>
            <w:r>
              <w:rPr>
                <w:rFonts w:ascii="Calibri" w:hAnsi="Calibri"/>
                <w:color w:val="333333"/>
                <w:sz w:val="18"/>
              </w:rPr>
              <w:t>ELEVATED</w:t>
            </w:r>
          </w:p>
        </w:tc>
      </w:tr>
      <w:tr>
        <w:tc>
          <w:tcPr>
            <w:tcW w:type="dxa" w:w="5040"/>
            <w:shd w:fill="F2F4F8" w:val="clear"/>
          </w:tcPr>
          <w:p>
            <w:r>
              <w:rPr>
                <w:rFonts w:ascii="Calibri" w:hAnsi="Calibri"/>
                <w:color w:val="333333"/>
                <w:sz w:val="18"/>
              </w:rPr>
              <w:t>Range</w:t>
            </w:r>
          </w:p>
        </w:tc>
        <w:tc>
          <w:tcPr>
            <w:tcW w:type="dxa" w:w="5040"/>
            <w:shd w:fill="F2F4F8" w:val="clear"/>
          </w:tcPr>
          <w:p>
            <w:r>
              <w:rPr>
                <w:rFonts w:ascii="Calibri" w:hAnsi="Calibri"/>
                <w:color w:val="333333"/>
                <w:sz w:val="18"/>
              </w:rPr>
              <w:t>6.7% - 9.5%</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5.0%</w:t>
            </w:r>
          </w:p>
        </w:tc>
      </w:tr>
      <w:tr>
        <w:tc>
          <w:tcPr>
            <w:tcW w:type="dxa" w:w="5040"/>
            <w:shd w:fill="F2F4F8" w:val="clear"/>
          </w:tcPr>
          <w:p>
            <w:r>
              <w:rPr>
                <w:rFonts w:ascii="Calibri" w:hAnsi="Calibri"/>
                <w:color w:val="333333"/>
                <w:sz w:val="18"/>
              </w:rPr>
              <w:t>Adjustment Rationale</w:t>
            </w:r>
          </w:p>
        </w:tc>
        <w:tc>
          <w:tcPr>
            <w:tcW w:type="dxa" w:w="5040"/>
            <w:shd w:fill="F2F4F8" w:val="clear"/>
          </w:tcPr>
          <w:p>
            <w:r>
              <w:rPr>
                <w:rFonts w:ascii="Calibri" w:hAnsi="Calibri"/>
                <w:color w:val="333333"/>
                <w:sz w:val="18"/>
              </w:rPr>
              <w:t xml:space="preserve">Industry base rate: 5.0%. Tier WIN (0-2%): Below base rate. Strong risk profile </w:t>
            </w:r>
          </w:p>
        </w:tc>
      </w:tr>
    </w:tbl>
    <w:p>
      <w:pPr>
        <w:pStyle w:val="DOBody"/>
      </w:pPr>
      <w:r>
        <w:rPr>
          <w:b/>
        </w:rPr>
        <w:t>Claim probability: ELEVATED</w:t>
      </w:r>
      <w:r>
        <w:rPr>
          <w:b/>
          <w:color w:val="EA580C"/>
          <w:sz w:val="18"/>
        </w:rPr>
        <w:t xml:space="preserve"> [HIGH]</w:t>
      </w:r>
    </w:p>
    <w:p>
      <w:pPr>
        <w:pStyle w:val="DOHeading3"/>
      </w:pPr>
      <w:r>
        <w:t>Tower Position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Recommended Position</w:t>
            </w:r>
          </w:p>
        </w:tc>
        <w:tc>
          <w:tcPr>
            <w:tcW w:type="dxa" w:w="5040"/>
          </w:tcPr>
          <w:p>
            <w:r>
              <w:rPr>
                <w:rFonts w:ascii="Calibri" w:hAnsi="Calibri"/>
                <w:color w:val="333333"/>
                <w:sz w:val="18"/>
              </w:rPr>
              <w:t>PRIMARY</w:t>
            </w:r>
          </w:p>
        </w:tc>
      </w:tr>
      <w:tr>
        <w:tc>
          <w:tcPr>
            <w:tcW w:type="dxa" w:w="5040"/>
            <w:shd w:fill="F2F4F8" w:val="clear"/>
          </w:tcPr>
          <w:p>
            <w:r>
              <w:rPr>
                <w:rFonts w:ascii="Calibri" w:hAnsi="Calibri"/>
                <w:color w:val="333333"/>
                <w:sz w:val="18"/>
              </w:rPr>
              <w:t>Minimum Attachment</w:t>
            </w:r>
          </w:p>
        </w:tc>
        <w:tc>
          <w:tcPr>
            <w:tcW w:type="dxa" w:w="5040"/>
            <w:shd w:fill="F2F4F8" w:val="clear"/>
          </w:tcPr>
          <w:p>
            <w:r>
              <w:rPr>
                <w:rFonts w:ascii="Calibri" w:hAnsi="Calibri"/>
                <w:color w:val="333333"/>
                <w:sz w:val="18"/>
              </w:rPr>
              <w:t>$4539.4M (based on 50th percentile settlement)</w:t>
            </w:r>
          </w:p>
        </w:tc>
      </w:tr>
      <w:tr>
        <w:tc>
          <w:tcPr>
            <w:tcW w:type="dxa" w:w="5040"/>
          </w:tcPr>
          <w:p>
            <w:r>
              <w:rPr>
                <w:rFonts w:ascii="Calibri" w:hAnsi="Calibri"/>
                <w:color w:val="333333"/>
                <w:sz w:val="18"/>
              </w:rPr>
              <w:t>Side A/DIC Assessment</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Position</w:t>
            </w:r>
          </w:p>
        </w:tc>
        <w:tc>
          <w:tcPr>
            <w:tcW w:type="dxa" w:w="2520"/>
            <w:shd w:fill="1A1446" w:val="clear"/>
          </w:tcPr>
          <w:p>
            <w:r>
              <w:rPr>
                <w:rFonts w:ascii="Calibri" w:hAnsi="Calibri"/>
                <w:b/>
                <w:color w:val="FFFFFF"/>
                <w:sz w:val="18"/>
              </w:rPr>
              <w:t>Risk Assessment</w:t>
            </w:r>
          </w:p>
        </w:tc>
        <w:tc>
          <w:tcPr>
            <w:tcW w:type="dxa" w:w="2520"/>
            <w:shd w:fill="1A1446" w:val="clear"/>
          </w:tcPr>
          <w:p>
            <w:r>
              <w:rPr>
                <w:rFonts w:ascii="Calibri" w:hAnsi="Calibri"/>
                <w:b/>
                <w:color w:val="FFFFFF"/>
                <w:sz w:val="18"/>
              </w:rPr>
              <w:t>Premium Guidance</w:t>
            </w:r>
          </w:p>
        </w:tc>
        <w:tc>
          <w:tcPr>
            <w:tcW w:type="dxa" w:w="2520"/>
            <w:shd w:fill="1A1446" w:val="clear"/>
          </w:tcPr>
          <w:p>
            <w:r>
              <w:rPr>
                <w:rFonts w:ascii="Calibri" w:hAnsi="Calibri"/>
                <w:b/>
                <w:color w:val="FFFFFF"/>
                <w:sz w:val="18"/>
              </w:rPr>
              <w:t>Attachment</w:t>
            </w:r>
          </w:p>
        </w:tc>
      </w:tr>
      <w:tr>
        <w:tc>
          <w:tcPr>
            <w:tcW w:type="dxa" w:w="2520"/>
          </w:tcPr>
          <w:p>
            <w:r>
              <w:rPr>
                <w:rFonts w:ascii="Calibri" w:hAnsi="Calibri"/>
                <w:color w:val="333333"/>
                <w:sz w:val="18"/>
              </w:rPr>
              <w:t>PRIMARY</w:t>
            </w:r>
          </w:p>
        </w:tc>
        <w:tc>
          <w:tcPr>
            <w:tcW w:type="dxa" w:w="2520"/>
          </w:tcPr>
          <w:p>
            <w:r>
              <w:rPr>
                <w:rFonts w:ascii="Calibri" w:hAnsi="Calibri"/>
                <w:color w:val="333333"/>
                <w:sz w:val="18"/>
              </w:rPr>
              <w:t>Primary layer carries 57% of expected loss exposur</w:t>
            </w:r>
          </w:p>
        </w:tc>
        <w:tc>
          <w:tcPr>
            <w:tcW w:type="dxa" w:w="2520"/>
          </w:tcPr>
          <w:p>
            <w:r>
              <w:rPr>
                <w:rFonts w:ascii="Calibri" w:hAnsi="Calibri"/>
                <w:color w:val="333333"/>
                <w:sz w:val="18"/>
              </w:rPr>
              <w:t>Full rate, slight discount for</w:t>
            </w:r>
          </w:p>
        </w:tc>
        <w:tc>
          <w:tcPr>
            <w:tcW w:type="dxa" w:w="2520"/>
          </w:tcPr>
          <w:p>
            <w:r>
              <w:rPr>
                <w:rFonts w:ascii="Calibri" w:hAnsi="Calibri"/>
                <w:color w:val="333333"/>
                <w:sz w:val="18"/>
              </w:rPr>
              <w:t>$0 ground-up</w:t>
            </w:r>
          </w:p>
        </w:tc>
      </w:tr>
      <w:tr>
        <w:tc>
          <w:tcPr>
            <w:tcW w:type="dxa" w:w="2520"/>
            <w:shd w:fill="F2F4F8" w:val="clear"/>
          </w:tcPr>
          <w:p>
            <w:r>
              <w:rPr>
                <w:rFonts w:ascii="Calibri" w:hAnsi="Calibri"/>
                <w:color w:val="333333"/>
                <w:sz w:val="18"/>
              </w:rPr>
              <w:t>LOW_EXCESS</w:t>
            </w:r>
          </w:p>
        </w:tc>
        <w:tc>
          <w:tcPr>
            <w:tcW w:type="dxa" w:w="2520"/>
            <w:shd w:fill="F2F4F8" w:val="clear"/>
          </w:tcPr>
          <w:p>
            <w:r>
              <w:rPr>
                <w:rFonts w:ascii="Calibri" w:hAnsi="Calibri"/>
                <w:color w:val="333333"/>
                <w:sz w:val="18"/>
              </w:rPr>
              <w:t>Low excess layer carries 18% of expected loss expo</w:t>
            </w:r>
          </w:p>
        </w:tc>
        <w:tc>
          <w:tcPr>
            <w:tcW w:type="dxa" w:w="2520"/>
            <w:shd w:fill="F2F4F8" w:val="clear"/>
          </w:tcPr>
          <w:p>
            <w:r>
              <w:rPr>
                <w:rFonts w:ascii="Calibri" w:hAnsi="Calibri"/>
                <w:color w:val="333333"/>
                <w:sz w:val="18"/>
              </w:rPr>
              <w:t>Market rate</w:t>
            </w:r>
          </w:p>
        </w:tc>
        <w:tc>
          <w:tcPr>
            <w:tcW w:type="dxa" w:w="2520"/>
            <w:shd w:fill="F2F4F8" w:val="clear"/>
          </w:tcPr>
          <w:p>
            <w:r>
              <w:rPr>
                <w:rFonts w:ascii="Calibri" w:hAnsi="Calibri"/>
                <w:color w:val="333333"/>
                <w:sz w:val="18"/>
              </w:rPr>
              <w:t>$5-15M xs $5-15M</w:t>
            </w:r>
          </w:p>
        </w:tc>
      </w:tr>
      <w:tr>
        <w:tc>
          <w:tcPr>
            <w:tcW w:type="dxa" w:w="2520"/>
          </w:tcPr>
          <w:p>
            <w:r>
              <w:rPr>
                <w:rFonts w:ascii="Calibri" w:hAnsi="Calibri"/>
                <w:color w:val="333333"/>
                <w:sz w:val="18"/>
              </w:rPr>
              <w:t>MID_EXCESS</w:t>
            </w:r>
          </w:p>
        </w:tc>
        <w:tc>
          <w:tcPr>
            <w:tcW w:type="dxa" w:w="2520"/>
          </w:tcPr>
          <w:p>
            <w:r>
              <w:rPr>
                <w:rFonts w:ascii="Calibri" w:hAnsi="Calibri"/>
                <w:color w:val="333333"/>
                <w:sz w:val="18"/>
              </w:rPr>
              <w:t>Mid excess layer carries 13% of expected loss expo</w:t>
            </w:r>
          </w:p>
        </w:tc>
        <w:tc>
          <w:tcPr>
            <w:tcW w:type="dxa" w:w="2520"/>
          </w:tcPr>
          <w:p>
            <w:r>
              <w:rPr>
                <w:rFonts w:ascii="Calibri" w:hAnsi="Calibri"/>
                <w:color w:val="333333"/>
                <w:sz w:val="18"/>
              </w:rPr>
              <w:t>Market to 1.3x</w:t>
            </w:r>
          </w:p>
        </w:tc>
        <w:tc>
          <w:tcPr>
            <w:tcW w:type="dxa" w:w="2520"/>
          </w:tcPr>
          <w:p>
            <w:r>
              <w:rPr>
                <w:rFonts w:ascii="Calibri" w:hAnsi="Calibri"/>
                <w:color w:val="333333"/>
                <w:sz w:val="18"/>
              </w:rPr>
              <w:t>$15-50M xs $15-50M</w:t>
            </w:r>
          </w:p>
        </w:tc>
      </w:tr>
      <w:tr>
        <w:tc>
          <w:tcPr>
            <w:tcW w:type="dxa" w:w="2520"/>
            <w:shd w:fill="F2F4F8" w:val="clear"/>
          </w:tcPr>
          <w:p>
            <w:r>
              <w:rPr>
                <w:rFonts w:ascii="Calibri" w:hAnsi="Calibri"/>
                <w:color w:val="333333"/>
                <w:sz w:val="18"/>
              </w:rPr>
              <w:t>HIGH_EXCESS</w:t>
            </w:r>
          </w:p>
        </w:tc>
        <w:tc>
          <w:tcPr>
            <w:tcW w:type="dxa" w:w="2520"/>
            <w:shd w:fill="F2F4F8" w:val="clear"/>
          </w:tcPr>
          <w:p>
            <w:r>
              <w:rPr>
                <w:rFonts w:ascii="Calibri" w:hAnsi="Calibri"/>
                <w:color w:val="333333"/>
                <w:sz w:val="18"/>
              </w:rPr>
              <w:t>High excess layer carries 11% of expected loss exp</w:t>
            </w:r>
          </w:p>
        </w:tc>
        <w:tc>
          <w:tcPr>
            <w:tcW w:type="dxa" w:w="2520"/>
            <w:shd w:fill="F2F4F8" w:val="clear"/>
          </w:tcPr>
          <w:p>
            <w:r>
              <w:rPr>
                <w:rFonts w:ascii="Calibri" w:hAnsi="Calibri"/>
                <w:color w:val="333333"/>
                <w:sz w:val="18"/>
              </w:rPr>
              <w:t>1.3-2x with attachment</w:t>
            </w:r>
          </w:p>
        </w:tc>
        <w:tc>
          <w:tcPr>
            <w:tcW w:type="dxa" w:w="2520"/>
            <w:shd w:fill="F2F4F8" w:val="clear"/>
          </w:tcPr>
          <w:p>
            <w:r>
              <w:rPr>
                <w:rFonts w:ascii="Calibri" w:hAnsi="Calibri"/>
                <w:color w:val="333333"/>
                <w:sz w:val="18"/>
              </w:rPr>
              <w:t>$50M+ xs $50M+</w:t>
            </w:r>
          </w:p>
        </w:tc>
      </w:tr>
      <w:tr>
        <w:tc>
          <w:tcPr>
            <w:tcW w:type="dxa" w:w="2520"/>
          </w:tcPr>
          <w:p>
            <w:r>
              <w:rPr>
                <w:rFonts w:ascii="Calibri" w:hAnsi="Calibri"/>
                <w:color w:val="333333"/>
                <w:sz w:val="18"/>
              </w:rPr>
              <w:t>DECLINE</w:t>
            </w:r>
          </w:p>
        </w:tc>
        <w:tc>
          <w:tcPr>
            <w:tcW w:type="dxa" w:w="2520"/>
          </w:tcPr>
          <w:p>
            <w:r>
              <w:rPr>
                <w:rFonts w:ascii="Calibri" w:hAnsi="Calibri"/>
                <w:color w:val="333333"/>
                <w:sz w:val="18"/>
              </w:rPr>
              <w:t>WALK+ with compounding factors</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bl>
    <w:p>
      <w:pPr>
        <w:pStyle w:val="DOHeading2"/>
      </w:pPr>
      <w:r>
        <w:t>Forensic Composite Scores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Composite</w:t>
            </w:r>
          </w:p>
        </w:tc>
        <w:tc>
          <w:tcPr>
            <w:tcW w:type="dxa" w:w="3360"/>
            <w:shd w:fill="1A1446" w:val="clear"/>
          </w:tcPr>
          <w:p>
            <w:r>
              <w:rPr>
                <w:rFonts w:ascii="Calibri" w:hAnsi="Calibri"/>
                <w:b/>
                <w:color w:val="FFFFFF"/>
                <w:sz w:val="18"/>
              </w:rPr>
              <w:t>Score</w:t>
            </w:r>
          </w:p>
        </w:tc>
        <w:tc>
          <w:tcPr>
            <w:tcW w:type="dxa" w:w="3360"/>
            <w:shd w:fill="1A1446" w:val="clear"/>
          </w:tcPr>
          <w:p>
            <w:r>
              <w:rPr>
                <w:rFonts w:ascii="Calibri" w:hAnsi="Calibri"/>
                <w:b/>
                <w:color w:val="FFFFFF"/>
                <w:sz w:val="18"/>
              </w:rPr>
              <w:t>Interpretation</w:t>
            </w:r>
          </w:p>
        </w:tc>
      </w:tr>
      <w:tr>
        <w:tc>
          <w:tcPr>
            <w:tcW w:type="dxa" w:w="3360"/>
          </w:tcPr>
          <w:p>
            <w:r>
              <w:rPr>
                <w:rFonts w:ascii="Calibri" w:hAnsi="Calibri"/>
                <w:color w:val="333333"/>
                <w:sz w:val="18"/>
              </w:rPr>
              <w:t>Financial Integrity Score (FIS)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r>
        <w:tc>
          <w:tcPr>
            <w:tcW w:type="dxa" w:w="3360"/>
            <w:shd w:fill="F2F4F8" w:val="clear"/>
          </w:tcPr>
          <w:p>
            <w:r>
              <w:rPr>
                <w:rFonts w:ascii="Calibri" w:hAnsi="Calibri"/>
                <w:color w:val="333333"/>
                <w:sz w:val="18"/>
              </w:rPr>
              <w:t>Reporting Quality Score (RQS)</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Not available</w:t>
            </w:r>
          </w:p>
        </w:tc>
      </w:tr>
      <w:tr>
        <w:tc>
          <w:tcPr>
            <w:tcW w:type="dxa" w:w="3360"/>
          </w:tcPr>
          <w:p>
            <w:r>
              <w:rPr>
                <w:rFonts w:ascii="Calibri" w:hAnsi="Calibri"/>
                <w:color w:val="333333"/>
                <w:sz w:val="18"/>
              </w:rPr>
              <w:t>Cash Flow Quality Score (CFQS)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bl>
    <w:p>
      <w:pPr>
        <w:pStyle w:val="DOHeading2"/>
      </w:pPr>
      <w:r>
        <w:t>Executive Risk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Weighted Score</w:t>
            </w:r>
          </w:p>
        </w:tc>
        <w:tc>
          <w:tcPr>
            <w:tcW w:type="dxa" w:w="5040"/>
          </w:tcPr>
          <w:p>
            <w:r>
              <w:rPr>
                <w:rFonts w:ascii="Calibri" w:hAnsi="Calibri"/>
                <w:color w:val="333333"/>
                <w:sz w:val="18"/>
              </w:rPr>
              <w:t>14</w:t>
            </w:r>
          </w:p>
        </w:tc>
      </w:tr>
      <w:tr>
        <w:tc>
          <w:tcPr>
            <w:tcW w:type="dxa" w:w="5040"/>
            <w:shd w:fill="F2F4F8" w:val="clear"/>
          </w:tcPr>
          <w:p>
            <w:r>
              <w:rPr>
                <w:rFonts w:ascii="Calibri" w:hAnsi="Calibri"/>
                <w:color w:val="333333"/>
                <w:sz w:val="18"/>
              </w:rPr>
              <w:t>Risk Level</w:t>
            </w:r>
          </w:p>
        </w:tc>
        <w:tc>
          <w:tcPr>
            <w:tcW w:type="dxa" w:w="5040"/>
            <w:shd w:fill="F2F4F8" w:val="clear"/>
          </w:tcPr>
          <w:p>
            <w:r>
              <w:rPr>
                <w:rFonts w:ascii="Calibri" w:hAnsi="Calibri"/>
                <w:color w:val="333333"/>
                <w:sz w:val="18"/>
              </w:rPr>
              <w:t>N/A</w:t>
            </w:r>
          </w:p>
        </w:tc>
      </w:tr>
    </w:tbl>
    <w:p>
      <w:pPr>
        <w:pStyle w:val="DOBody"/>
      </w:pPr>
      <w:r>
        <w:t>- [Enterprise Operations (CFO)]: Prior litigation: case_summary: According to the Complaint, Intel Corporation designs, develops, manufactures, markets</w:t>
      </w:r>
    </w:p>
    <w:p>
      <w:pPr>
        <w:pStyle w:val="DOBody"/>
      </w:pPr>
      <w:r>
        <w:t>- [Enterprise Operations (CFO)]: Prior litigation: case_summary: According to the Complaint, Intel Corporation is a technology company that provides co</w:t>
      </w:r>
    </w:p>
    <w:p>
      <w:pPr>
        <w:pStyle w:val="DOBody"/>
      </w:pPr>
      <w:r>
        <w:t>- [Enterprise Operations (CFO)]: Short tenure: 1.0 years</w:t>
      </w:r>
    </w:p>
    <w:p>
      <w:pPr>
        <w:pStyle w:val="DOBody"/>
      </w:pPr>
      <w:r>
        <w:t>- [Lenovo Em (COO)]: Prior litigation: company_name: NXP Semiconductors N.V.  (NXPI)  (CIK 0001413447)</w:t>
      </w:r>
    </w:p>
    <w:p>
      <w:pPr>
        <w:pStyle w:val="DOBody"/>
      </w:pPr>
      <w:r>
        <w:t>- [Lenovo Em (COO)]: Prior litigation: case_summary: According to the Complaint, Intel Corporation designs, develops, manufactures, markets</w:t>
      </w:r>
    </w:p>
    <w:p>
      <w:pPr>
        <w:pStyle w:val="DOBody"/>
      </w:pPr>
      <w:r>
        <w:t>- [Lenovo Em (COO)]: Prior litigation: case_summary: According to the Complaint, Intel Corporation is a technology company that provides co</w:t>
      </w:r>
    </w:p>
    <w:p>
      <w:pPr>
        <w:pStyle w:val="DOBody"/>
      </w:pPr>
      <w:r>
        <w:t>- [Michelle Johnston (GC)]: Short tenure: 1.0 years</w:t>
      </w:r>
    </w:p>
    <w:p>
      <w:pPr>
        <w:pStyle w:val="DOBody"/>
      </w:pPr>
      <w:r>
        <w:t>- [Plume Wi (CTO)]: Prior litigation: company_name: LUDWIG ENTERPRISES, INC.  (LUDG)  (CIK 0001960262)</w:t>
      </w:r>
    </w:p>
    <w:p>
      <w:pPr>
        <w:pStyle w:val="DOBody"/>
      </w:pPr>
      <w:r>
        <w:t>- [Plume Wi (CTO)]: Prior litigation: company_name: LUDWIG ENTERPRISES, INC.  (LUDG)  (CIK 0001960262)</w:t>
      </w:r>
    </w:p>
    <w:p>
      <w:pPr>
        <w:pStyle w:val="DOBody"/>
      </w:pPr>
      <w:r>
        <w:t>- [Plume Wi (CTO)]: Prior litigation: case_summary: According to the Complaint, Intel Corporation designs, develops, manufactures, markets</w:t>
      </w:r>
    </w:p>
    <w:p>
      <w:pPr>
        <w:pStyle w:val="DOHeading2"/>
      </w:pPr>
      <w:r>
        <w:t>Temporal Signals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Type</w:t>
            </w:r>
          </w:p>
        </w:tc>
        <w:tc>
          <w:tcPr>
            <w:tcW w:type="dxa" w:w="2520"/>
            <w:shd w:fill="1A1446" w:val="clear"/>
          </w:tcPr>
          <w:p>
            <w:r>
              <w:rPr>
                <w:rFonts w:ascii="Calibri" w:hAnsi="Calibri"/>
                <w:b/>
                <w:color w:val="FFFFFF"/>
                <w:sz w:val="18"/>
              </w:rPr>
              <w:t>Direction</w:t>
            </w:r>
          </w:p>
        </w:tc>
        <w:tc>
          <w:tcPr>
            <w:tcW w:type="dxa" w:w="2520"/>
            <w:shd w:fill="1A1446" w:val="clear"/>
          </w:tcPr>
          <w:p>
            <w:r>
              <w:rPr>
                <w:rFonts w:ascii="Calibri" w:hAnsi="Calibri"/>
                <w:b/>
                <w:color w:val="FFFFFF"/>
                <w:sz w:val="18"/>
              </w:rPr>
              <w:t>Magnitude</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bl>
    <w:p>
      <w:pPr>
        <w:pStyle w:val="DOHeading2"/>
      </w:pPr>
      <w:r>
        <w:t>NLP Filing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Readability Score</w:t>
            </w:r>
          </w:p>
        </w:tc>
        <w:tc>
          <w:tcPr>
            <w:tcW w:type="dxa" w:w="5040"/>
          </w:tcPr>
          <w:p>
            <w:r>
              <w:rPr>
                <w:rFonts w:ascii="Calibri" w:hAnsi="Calibri"/>
                <w:color w:val="333333"/>
                <w:sz w:val="18"/>
              </w:rPr>
              <w:t>{'current_fog': 27.72, 'prior_fog': None, 'fog_change': None, 'current_flesch': -1.85, 'prior_flesch': None, 'classification': 'CURRENT_ONLY', 'evidence': 'Current Fog Index: 27.7 (prior year unavailable)'}</w:t>
            </w:r>
          </w:p>
        </w:tc>
      </w:tr>
      <w:tr>
        <w:tc>
          <w:tcPr>
            <w:tcW w:type="dxa" w:w="5040"/>
            <w:shd w:fill="F2F4F8" w:val="clear"/>
          </w:tcPr>
          <w:p>
            <w:r>
              <w:rPr>
                <w:rFonts w:ascii="Calibri" w:hAnsi="Calibri"/>
                <w:color w:val="333333"/>
                <w:sz w:val="18"/>
              </w:rPr>
              <w:t>Tone Assessment</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Risk Language Density</w:t>
            </w:r>
          </w:p>
        </w:tc>
        <w:tc>
          <w:tcPr>
            <w:tcW w:type="dxa" w:w="5040"/>
          </w:tcPr>
          <w:p>
            <w:r>
              <w:rPr>
                <w:rFonts w:ascii="Calibri" w:hAnsi="Calibri"/>
                <w:color w:val="333333"/>
                <w:sz w:val="18"/>
              </w:rPr>
              <w:t>N/A</w:t>
            </w:r>
          </w:p>
        </w:tc>
      </w:tr>
    </w:tbl>
    <w:p>
      <w:pPr>
        <w:pStyle w:val="DOHeading2"/>
      </w:pPr>
      <w:r>
        <w:t>Peril Assessment</w:t>
      </w:r>
    </w:p>
    <w:p>
      <w:pPr>
        <w:pStyle w:val="DOHeading3"/>
      </w:pPr>
      <w:r>
        <w:t>Plaintiff Peril Heat Map</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Plaintiff Type</w:t>
            </w:r>
          </w:p>
        </w:tc>
        <w:tc>
          <w:tcPr>
            <w:tcW w:type="dxa" w:w="3360"/>
            <w:shd w:fill="1A1446" w:val="clear"/>
          </w:tcPr>
          <w:p>
            <w:r>
              <w:rPr>
                <w:rFonts w:ascii="Calibri" w:hAnsi="Calibri"/>
                <w:b/>
                <w:color w:val="FFFFFF"/>
                <w:sz w:val="18"/>
              </w:rPr>
              <w:t>Probability</w:t>
            </w:r>
          </w:p>
        </w:tc>
        <w:tc>
          <w:tcPr>
            <w:tcW w:type="dxa" w:w="3360"/>
            <w:shd w:fill="1A1446" w:val="clear"/>
          </w:tcPr>
          <w:p>
            <w:r>
              <w:rPr>
                <w:rFonts w:ascii="Calibri" w:hAnsi="Calibri"/>
                <w:b/>
                <w:color w:val="FFFFFF"/>
                <w:sz w:val="18"/>
              </w:rPr>
              <w:t>Severity</w:t>
            </w:r>
          </w:p>
        </w:tc>
      </w:tr>
      <w:tr>
        <w:tc>
          <w:tcPr>
            <w:tcW w:type="dxa" w:w="3360"/>
          </w:tcPr>
          <w:p>
            <w:r>
              <w:rPr>
                <w:rFonts w:ascii="Calibri" w:hAnsi="Calibri"/>
                <w:b/>
                <w:color w:val="333333"/>
                <w:sz w:val="18"/>
              </w:rPr>
              <w:t>Shareholders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Regulators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Customers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Competitors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Employees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Creditors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Government</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bl>
    <w:p>
      <w:pPr>
        <w:pStyle w:val="DOBody"/>
      </w:pPr>
      <w:r>
        <w:rPr>
          <w:color w:val="666666"/>
          <w:sz w:val="16"/>
        </w:rPr>
        <w:t>Shareholders: 51 triggered checks. Key: Litigation History Profile: 2 (elevated vs benchmark of 0)</w:t>
      </w:r>
    </w:p>
    <w:p>
      <w:pPr>
        <w:pStyle w:val="DOBody"/>
      </w:pPr>
      <w:r>
        <w:rPr>
          <w:color w:val="666666"/>
          <w:sz w:val="16"/>
        </w:rPr>
        <w:t>Regulators: 13 triggered checks. Key: VIE/SPE Off-Balance-Sheet Structures: Boolean check: VIE/SPE structures present</w:t>
      </w:r>
    </w:p>
    <w:p>
      <w:pPr>
        <w:pStyle w:val="DOBody"/>
      </w:pPr>
      <w:r>
        <w:rPr>
          <w:color w:val="666666"/>
          <w:sz w:val="16"/>
        </w:rPr>
        <w:t>Creditors: 7 triggered checks. Key: Cash Flow Debt Service Coverage: -2.00 (below benchmark of 1)</w:t>
      </w:r>
    </w:p>
    <w:p>
      <w:pPr>
        <w:pStyle w:val="DOHeading3"/>
      </w:pPr>
      <w:r>
        <w:t>Bear Cases</w:t>
      </w:r>
    </w:p>
    <w:p>
      <w:pPr>
        <w:pStyle w:val="DOHeading3"/>
      </w:pPr>
      <w:r>
        <w:t>Bear Case: A Disclosure</w:t>
      </w:r>
    </w:p>
    <w:p>
      <w:pPr>
        <w:pStyle w:val="DOBody"/>
      </w:pPr>
      <w:r>
        <w:rPr>
          <w:b/>
        </w:rPr>
        <w:t>INTEL CORP faces elevated exposure to securities disclosure fraud claims. Key risk indicators: Litigation History Profile (critical); VIE/SPE Off-Balance-Sheet Structures (critical). Estimated severity is significant, warranting detailed underwriter review.</w:t>
      </w:r>
    </w:p>
    <w:p>
      <w:pPr>
        <w:pStyle w:val="DOBody"/>
      </w:pPr>
      <w:r>
        <w:rPr>
          <w:i/>
        </w:rPr>
        <w:t>Defense: Defense: No active Section 11 windows — statute of limitations expired for offering claims</w:t>
      </w:r>
    </w:p>
    <w:p>
      <w:pPr>
        <w:pStyle w:val="DOBody"/>
      </w:pPr>
      <w:r>
        <w:rPr>
          <w:b/>
          <w:sz w:val="20"/>
        </w:rPr>
        <w:t>Evidence Chain</w:t>
      </w:r>
    </w:p>
    <w:p>
      <w:pPr>
        <w:pStyle w:val="DOBody"/>
      </w:pPr>
      <w:r>
        <w:rPr>
          <w:sz w:val="16"/>
        </w:rPr>
        <w:t>1. [BIZ.CLASS.litigation_history] Litigation History Profile (Source: total_sca_count)</w:t>
      </w:r>
    </w:p>
    <w:p>
      <w:pPr>
        <w:pStyle w:val="DOBody"/>
      </w:pPr>
      <w:r>
        <w:rPr>
          <w:sz w:val="16"/>
        </w:rPr>
        <w:t>2. [BIZ.STRUCT.vie_spe] VIE/SPE Off-Balance-Sheet Structures (Source: vie_spe_present)</w:t>
      </w:r>
    </w:p>
    <w:p>
      <w:pPr>
        <w:pStyle w:val="DOBody"/>
      </w:pPr>
      <w:r>
        <w:rPr>
          <w:sz w:val="16"/>
        </w:rPr>
        <w:t>3. [BIZ.EVENT.ipo_exposure] IPO/Offering Exposure Window (Source: event_ipo_exposure_score)</w:t>
      </w:r>
    </w:p>
    <w:p>
      <w:pPr>
        <w:pStyle w:val="DOBody"/>
      </w:pPr>
      <w:r>
        <w:rPr>
          <w:sz w:val="16"/>
        </w:rPr>
        <w:t>4. [BIZ.OPS.workforce] Workforce Distribution (Source: workforce_distribution)</w:t>
      </w:r>
    </w:p>
    <w:p>
      <w:pPr>
        <w:pStyle w:val="DOBody"/>
      </w:pPr>
      <w:r>
        <w:rPr>
          <w:sz w:val="16"/>
        </w:rPr>
        <w:t>5. [EXEC.PRIOR_LIT.any_officer] Any Officer With Prior Litigation at Previous Company (Source: value)</w:t>
      </w:r>
    </w:p>
    <w:p>
      <w:pPr>
        <w:pStyle w:val="DOBody"/>
      </w:pPr>
      <w:r>
        <w:rPr>
          <w:sz w:val="16"/>
        </w:rPr>
        <w:t>6. [EXEC.PRIOR_LIT.ceo_cfo] CEO or CFO With Prior Litigation (Source: value)</w:t>
      </w:r>
    </w:p>
    <w:p>
      <w:pPr>
        <w:pStyle w:val="DOBody"/>
      </w:pPr>
      <w:r>
        <w:rPr>
          <w:sz w:val="16"/>
        </w:rPr>
        <w:t>7. [FIN.LIQ.trend] Liquidity Trend (Source: xbrl_current_ratio)</w:t>
      </w:r>
    </w:p>
    <w:p>
      <w:pPr>
        <w:pStyle w:val="DOBody"/>
      </w:pPr>
      <w:r>
        <w:rPr>
          <w:sz w:val="16"/>
        </w:rPr>
        <w:t>8. [FIN.DEBT.coverage] Debt Service Coverage (Source: xbrl_interest_coverage)</w:t>
      </w:r>
    </w:p>
    <w:p>
      <w:pPr>
        <w:pStyle w:val="DOBody"/>
      </w:pPr>
      <w:r>
        <w:rPr>
          <w:sz w:val="16"/>
        </w:rPr>
        <w:t>9. [FIN.CAP.buyback_capacity] Buyback Authorization Capacity (Source: xbrl_buyback_remaining_pct)</w:t>
      </w:r>
    </w:p>
    <w:p>
      <w:pPr>
        <w:pStyle w:val="DOBody"/>
      </w:pPr>
      <w:r>
        <w:rPr>
          <w:sz w:val="16"/>
        </w:rPr>
        <w:t>10. [FIN.CF.debt_service_coverage] Cash Flow Debt Service Coverage (Source: computed_debt_service_coverage)</w:t>
      </w:r>
    </w:p>
    <w:p>
      <w:pPr>
        <w:pStyle w:val="DOBody"/>
      </w:pPr>
      <w:r>
        <w:rPr>
          <w:color w:val="666666"/>
          <w:sz w:val="16"/>
        </w:rPr>
        <w:t>Probability: ELEVATED | Severity: SIGNIFICANT</w:t>
      </w:r>
    </w:p>
    <w:p>
      <w:pPr>
        <w:pStyle w:val="DOHeading3"/>
      </w:pPr>
      <w:r>
        <w:t>Settlement Prediction</w:t>
      </w:r>
    </w:p>
    <w:p>
      <w:pPr>
        <w:pStyle w:val="DOBody"/>
      </w:pPr>
      <w:r>
        <w:t>Settlement prediction computed but no scenarios available.</w:t>
      </w:r>
    </w:p>
    <w:p>
      <w:pPr>
        <w:pStyle w:val="DOHeading3"/>
      </w:pPr>
      <w:r>
        <w:t>Tower Risk Characterization</w:t>
      </w:r>
    </w:p>
    <w:p>
      <w:pPr>
        <w:pStyle w:val="DOBody"/>
      </w:pPr>
      <w:r>
        <w:t>Tower characterization not available.</w:t>
      </w:r>
    </w:p>
    <w:p>
      <w:pPr>
        <w:pStyle w:val="DOHeading2"/>
      </w:pPr>
      <w:r>
        <w:t>Coverage Gaps -- Data Not Available</w:t>
      </w:r>
    </w:p>
    <w:p>
      <w:pPr>
        <w:pStyle w:val="DOBody"/>
      </w:pPr>
      <w:r>
        <w:rPr>
          <w:i/>
        </w:rPr>
        <w:t>The following checks could not be evaluated because required data was not acquired. These items are NOT cleared -- they represent gaps in coverage that should be considered in the underwriting decision.</w:t>
      </w:r>
    </w:p>
    <w:p>
      <w:pPr>
        <w:pStyle w:val="DOHeading3"/>
      </w:pPr>
      <w:r>
        <w:t>Company Profile &amp; Industry</w:t>
      </w:r>
    </w:p>
    <w:p>
      <w:pPr>
        <w:pStyle w:val="DOBody"/>
      </w:pPr>
      <w:r>
        <w:rPr>
          <w:b/>
          <w:sz w:val="16"/>
        </w:rPr>
        <w:t xml:space="preserve">  [EVALUATIVE] </w:t>
      </w:r>
      <w:r>
        <w:rPr>
          <w:sz w:val="16"/>
        </w:rPr>
        <w:t>FWRD.EVENT.debt_maturity (Debt Maturity 12mo): Required data not available from filings</w:t>
      </w:r>
    </w:p>
    <w:p>
      <w:pPr>
        <w:pStyle w:val="DOBody"/>
      </w:pPr>
      <w:r>
        <w:rPr>
          <w:b/>
          <w:sz w:val="16"/>
        </w:rPr>
        <w:t xml:space="preserve">  [EVALUATIVE] </w:t>
      </w:r>
      <w:r>
        <w:rPr>
          <w:sz w:val="16"/>
        </w:rPr>
        <w:t>FWRD.EVENT.covenant_test (Covenant Test Dates): Required data not available from filings</w:t>
      </w:r>
    </w:p>
    <w:p>
      <w:pPr>
        <w:pStyle w:val="DOHeading3"/>
      </w:pPr>
      <w:r>
        <w:t>Executive Summary &amp; Key Metrics</w:t>
      </w:r>
    </w:p>
    <w:p>
      <w:pPr>
        <w:pStyle w:val="DOBody"/>
      </w:pPr>
      <w:r>
        <w:rPr>
          <w:b/>
          <w:sz w:val="16"/>
        </w:rPr>
        <w:t xml:space="preserve">  [EVALUATIVE] </w:t>
      </w:r>
      <w:r>
        <w:rPr>
          <w:sz w:val="16"/>
        </w:rPr>
        <w:t>BIZ.STRUCT.subsidiary_count (Subsidiary Count Complexity): Required data not available from filings</w:t>
      </w:r>
    </w:p>
    <w:p>
      <w:pPr>
        <w:pStyle w:val="DOBody"/>
      </w:pPr>
      <w:r>
        <w:rPr>
          <w:b/>
          <w:sz w:val="16"/>
        </w:rPr>
        <w:t xml:space="preserve">  [EVALUATIVE] </w:t>
      </w:r>
      <w:r>
        <w:rPr>
          <w:sz w:val="16"/>
        </w:rPr>
        <w:t>BIZ.DEPEND.labor (Concentration Risk Composite): Required data not available from filings</w:t>
      </w:r>
    </w:p>
    <w:p>
      <w:pPr>
        <w:pStyle w:val="DOBody"/>
      </w:pPr>
      <w:r>
        <w:rPr>
          <w:b/>
          <w:sz w:val="16"/>
        </w:rPr>
        <w:t xml:space="preserve">  [REQUIRED] </w:t>
      </w:r>
      <w:r>
        <w:rPr>
          <w:sz w:val="16"/>
        </w:rPr>
        <w:t>BIZ.MA.goodwill_balance (Goodwill Balance): Required data not available from filings</w:t>
      </w:r>
    </w:p>
    <w:p>
      <w:pPr>
        <w:pStyle w:val="DOBody"/>
      </w:pPr>
      <w:r>
        <w:rPr>
          <w:b/>
          <w:sz w:val="16"/>
        </w:rPr>
        <w:t xml:space="preserve">  [REQUIRED] </w:t>
      </w:r>
      <w:r>
        <w:rPr>
          <w:sz w:val="16"/>
        </w:rPr>
        <w:t>BIZ.MA.acquisition_spend (Acquisition Spend Magnitude): Required data not available from filings</w:t>
      </w:r>
    </w:p>
    <w:p>
      <w:pPr>
        <w:pStyle w:val="DOBody"/>
      </w:pPr>
      <w:r>
        <w:rPr>
          <w:b/>
          <w:sz w:val="16"/>
        </w:rPr>
        <w:t xml:space="preserve">  [EVALUATIVE] </w:t>
      </w:r>
      <w:r>
        <w:rPr>
          <w:sz w:val="16"/>
        </w:rPr>
        <w:t>BIZ.MA.goodwill_change (Goodwill Trajectory): Required data not available from filings</w:t>
      </w:r>
    </w:p>
    <w:p>
      <w:pPr>
        <w:pStyle w:val="DOBody"/>
      </w:pPr>
      <w:r>
        <w:rPr>
          <w:b/>
          <w:sz w:val="16"/>
        </w:rPr>
        <w:t xml:space="preserve">  [REQUIRED] </w:t>
      </w:r>
      <w:r>
        <w:rPr>
          <w:sz w:val="16"/>
        </w:rPr>
        <w:t>BIZ.MA.acquisition_list (Recent Acquisitions): Required data not available from filings</w:t>
      </w:r>
    </w:p>
    <w:p>
      <w:pPr>
        <w:pStyle w:val="DOBody"/>
      </w:pPr>
      <w:r>
        <w:rPr>
          <w:b/>
          <w:sz w:val="16"/>
        </w:rPr>
        <w:t xml:space="preserve">  [REQUIRED] </w:t>
      </w:r>
      <w:r>
        <w:rPr>
          <w:sz w:val="16"/>
        </w:rPr>
        <w:t>BIZ.MODEL.revenue_type (Revenue Model Type): Required data not available from filings</w:t>
      </w:r>
    </w:p>
    <w:p>
      <w:pPr>
        <w:pStyle w:val="DOBody"/>
      </w:pPr>
      <w:r>
        <w:rPr>
          <w:b/>
          <w:sz w:val="16"/>
        </w:rPr>
        <w:t xml:space="preserve">  [EVALUATIVE] </w:t>
      </w:r>
      <w:r>
        <w:rPr>
          <w:sz w:val="16"/>
        </w:rPr>
        <w:t>BIZ.MODEL.key_person (Key Person Dependency): Required data not available from filings</w:t>
      </w:r>
    </w:p>
    <w:p>
      <w:pPr>
        <w:pStyle w:val="DOBody"/>
      </w:pPr>
      <w:r>
        <w:rPr>
          <w:b/>
          <w:sz w:val="16"/>
        </w:rPr>
        <w:t xml:space="preserve">  [REQUIRED] </w:t>
      </w:r>
      <w:r>
        <w:rPr>
          <w:sz w:val="16"/>
        </w:rPr>
        <w:t>BIZ.MODEL.lifecycle (Segment Lifecycle Risk): Required data not available from filings</w:t>
      </w:r>
    </w:p>
    <w:p>
      <w:pPr>
        <w:pStyle w:val="DOBody"/>
      </w:pPr>
      <w:r>
        <w:rPr>
          <w:b/>
          <w:sz w:val="16"/>
        </w:rPr>
        <w:t xml:space="preserve">  [EVALUATIVE] </w:t>
      </w:r>
      <w:r>
        <w:rPr>
          <w:sz w:val="16"/>
        </w:rPr>
        <w:t>BIZ.MODEL.disruption (Business Model Disruption Risk): Required data not available from filings</w:t>
      </w:r>
    </w:p>
    <w:p>
      <w:pPr>
        <w:pStyle w:val="DOBody"/>
      </w:pPr>
      <w:r>
        <w:rPr>
          <w:b/>
          <w:sz w:val="16"/>
        </w:rPr>
        <w:t xml:space="preserve">  [REQUIRED] </w:t>
      </w:r>
      <w:r>
        <w:rPr>
          <w:sz w:val="16"/>
        </w:rPr>
        <w:t>BIZ.MODEL.segment_margins (Segment Margin Profile): Required data not available from filings</w:t>
      </w:r>
    </w:p>
    <w:p>
      <w:pPr>
        <w:pStyle w:val="DOBody"/>
      </w:pPr>
      <w:r>
        <w:rPr>
          <w:b/>
          <w:sz w:val="16"/>
        </w:rPr>
        <w:t xml:space="preserve">  [EVALUATIVE] </w:t>
      </w:r>
      <w:r>
        <w:rPr>
          <w:sz w:val="16"/>
        </w:rPr>
        <w:t>DISC.YOY.new_risk_factors (New Risk Factors (YoY)): No trend data available for field</w:t>
      </w:r>
    </w:p>
    <w:p>
      <w:pPr>
        <w:pStyle w:val="DOBody"/>
      </w:pPr>
      <w:r>
        <w:rPr>
          <w:b/>
          <w:sz w:val="16"/>
        </w:rPr>
        <w:t xml:space="preserve">  [EVALUATIVE] </w:t>
      </w:r>
      <w:r>
        <w:rPr>
          <w:sz w:val="16"/>
        </w:rPr>
        <w:t>DISC.YOY.removed_risk_factors (Removed Risk Factors (YoY)): No trend data available for field</w:t>
      </w:r>
    </w:p>
    <w:p>
      <w:pPr>
        <w:pStyle w:val="DOBody"/>
      </w:pPr>
      <w:r>
        <w:rPr>
          <w:b/>
          <w:sz w:val="16"/>
        </w:rPr>
        <w:t xml:space="preserve">  [EVALUATIVE] </w:t>
      </w:r>
      <w:r>
        <w:rPr>
          <w:sz w:val="16"/>
        </w:rPr>
        <w:t>DISC.YOY.escalated_risk_factors (Escalated Risk Factors (YoY)): No trend data available for field</w:t>
      </w:r>
    </w:p>
    <w:p>
      <w:pPr>
        <w:pStyle w:val="DOBody"/>
      </w:pPr>
      <w:r>
        <w:rPr>
          <w:b/>
          <w:sz w:val="16"/>
        </w:rPr>
        <w:t xml:space="preserve">  [EVALUATIVE] </w:t>
      </w:r>
      <w:r>
        <w:rPr>
          <w:sz w:val="16"/>
        </w:rPr>
        <w:t>DISC.YOY.material_weakness (Material Weakness Change): No trend data available for field</w:t>
      </w:r>
    </w:p>
    <w:p>
      <w:pPr>
        <w:pStyle w:val="DOBody"/>
      </w:pPr>
      <w:r>
        <w:rPr>
          <w:b/>
          <w:sz w:val="16"/>
        </w:rPr>
        <w:t xml:space="preserve">  [EVALUATIVE] </w:t>
      </w:r>
      <w:r>
        <w:rPr>
          <w:sz w:val="16"/>
        </w:rPr>
        <w:t>DISC.YOY.controls_changed (Internal Controls Disclosure Change): No trend data available for field</w:t>
      </w:r>
    </w:p>
    <w:p>
      <w:pPr>
        <w:pStyle w:val="DOBody"/>
      </w:pPr>
      <w:r>
        <w:rPr>
          <w:b/>
          <w:sz w:val="16"/>
        </w:rPr>
        <w:t xml:space="preserve">  [EVALUATIVE] </w:t>
      </w:r>
      <w:r>
        <w:rPr>
          <w:sz w:val="16"/>
        </w:rPr>
        <w:t>DISC.YOY.legal_proceedings_delta (Legal Proceedings Change (YoY)): No trend data available for field</w:t>
      </w:r>
    </w:p>
    <w:p>
      <w:pPr>
        <w:pStyle w:val="DOBody"/>
      </w:pPr>
      <w:r>
        <w:rPr>
          <w:b/>
          <w:sz w:val="16"/>
        </w:rPr>
        <w:t xml:space="preserve">  [EVALUATIVE] </w:t>
      </w:r>
      <w:r>
        <w:rPr>
          <w:sz w:val="16"/>
        </w:rPr>
        <w:t>ABS.DISC.audit_fees (Missing Audit Fee Disclosure): Expected signals not found in evaluation results</w:t>
      </w:r>
    </w:p>
    <w:p>
      <w:pPr>
        <w:pStyle w:val="DOBody"/>
      </w:pPr>
      <w:r>
        <w:rPr>
          <w:b/>
          <w:sz w:val="16"/>
        </w:rPr>
        <w:t xml:space="preserve">  [EVALUATIVE] </w:t>
      </w:r>
      <w:r>
        <w:rPr>
          <w:sz w:val="16"/>
        </w:rPr>
        <w:t>ABS.DISC.board_independence (Missing Board Independence Disclosure): Could not determine disclosure presence or absence</w:t>
      </w:r>
    </w:p>
    <w:p>
      <w:pPr>
        <w:pStyle w:val="DOBody"/>
      </w:pPr>
      <w:r>
        <w:rPr>
          <w:b/>
          <w:sz w:val="16"/>
        </w:rPr>
        <w:t xml:space="preserve">  [EVALUATIVE] </w:t>
      </w:r>
      <w:r>
        <w:rPr>
          <w:sz w:val="16"/>
        </w:rPr>
        <w:t>ABS.DISC.clawback_policy (Missing Clawback Policy Disclosure): Expected signals not found in evaluation results</w:t>
      </w:r>
    </w:p>
    <w:p>
      <w:pPr>
        <w:pStyle w:val="DOBody"/>
      </w:pPr>
      <w:r>
        <w:rPr>
          <w:b/>
          <w:sz w:val="16"/>
        </w:rPr>
        <w:t xml:space="preserve">  [EVALUATIVE] </w:t>
      </w:r>
      <w:r>
        <w:rPr>
          <w:sz w:val="16"/>
        </w:rPr>
        <w:t>ABS.DISC.cyber_risk (Missing Cybersecurity Risk Disclosure): Expected signals not found in evaluation results</w:t>
      </w:r>
    </w:p>
    <w:p>
      <w:pPr>
        <w:pStyle w:val="DOBody"/>
      </w:pPr>
      <w:r>
        <w:rPr>
          <w:b/>
          <w:sz w:val="16"/>
        </w:rPr>
        <w:t xml:space="preserve">  [EVALUATIVE] </w:t>
      </w:r>
      <w:r>
        <w:rPr>
          <w:sz w:val="16"/>
        </w:rPr>
        <w:t>ABS.DISC.debt_covenants (Missing Debt Covenant Disclosure): Expected signals not found in evaluation results</w:t>
      </w:r>
    </w:p>
    <w:p>
      <w:pPr>
        <w:pStyle w:val="DOBody"/>
      </w:pPr>
      <w:r>
        <w:rPr>
          <w:b/>
          <w:sz w:val="16"/>
        </w:rPr>
        <w:t xml:space="preserve">  [EVALUATIVE] </w:t>
      </w:r>
      <w:r>
        <w:rPr>
          <w:sz w:val="16"/>
        </w:rPr>
        <w:t>ABS.DISC.derivative_instruments (Missing Derivative Instruments Disclosure): Expected signals not found in evaluation results</w:t>
      </w:r>
    </w:p>
    <w:p>
      <w:pPr>
        <w:pStyle w:val="DOBody"/>
      </w:pPr>
      <w:r>
        <w:rPr>
          <w:b/>
          <w:sz w:val="16"/>
        </w:rPr>
        <w:t xml:space="preserve">  [EVALUATIVE] </w:t>
      </w:r>
      <w:r>
        <w:rPr>
          <w:sz w:val="16"/>
        </w:rPr>
        <w:t>ABS.DISC.esg (Missing ESG Disclosure): Expected signals not found in evaluation results</w:t>
      </w:r>
    </w:p>
    <w:p>
      <w:pPr>
        <w:pStyle w:val="DOBody"/>
      </w:pPr>
      <w:r>
        <w:rPr>
          <w:b/>
          <w:sz w:val="16"/>
        </w:rPr>
        <w:t xml:space="preserve">  [EVALUATIVE] </w:t>
      </w:r>
      <w:r>
        <w:rPr>
          <w:sz w:val="16"/>
        </w:rPr>
        <w:t>ABS.DISC.executive_comp (Missing Executive Compensation Disclosure): Expected signals not found in evaluation results</w:t>
      </w:r>
    </w:p>
    <w:p>
      <w:pPr>
        <w:pStyle w:val="DOBody"/>
      </w:pPr>
      <w:r>
        <w:rPr>
          <w:b/>
          <w:sz w:val="16"/>
        </w:rPr>
        <w:t xml:space="preserve">  [EVALUATIVE] </w:t>
      </w:r>
      <w:r>
        <w:rPr>
          <w:sz w:val="16"/>
        </w:rPr>
        <w:t>ABS.DISC.going_concern (Missing Going Concern Assessment): Could not determine disclosure presence or absence</w:t>
      </w:r>
    </w:p>
    <w:p>
      <w:pPr>
        <w:pStyle w:val="DOBody"/>
      </w:pPr>
      <w:r>
        <w:rPr>
          <w:b/>
          <w:sz w:val="16"/>
        </w:rPr>
        <w:t xml:space="preserve">  [EVALUATIVE] </w:t>
      </w:r>
      <w:r>
        <w:rPr>
          <w:sz w:val="16"/>
        </w:rPr>
        <w:t>ABS.DISC.goodwill_impairment (Missing Goodwill Impairment Disclosure): Expected signals not found in evaluation results</w:t>
      </w:r>
    </w:p>
    <w:p>
      <w:pPr>
        <w:pStyle w:val="DOBody"/>
      </w:pPr>
      <w:r>
        <w:rPr>
          <w:b/>
          <w:sz w:val="16"/>
        </w:rPr>
        <w:t xml:space="preserve">  [EVALUATIVE] </w:t>
      </w:r>
      <w:r>
        <w:rPr>
          <w:sz w:val="16"/>
        </w:rPr>
        <w:t>ABS.DISC.lease_obligations (Missing Lease Obligation Disclosure): Expected signals not found in evaluation results</w:t>
      </w:r>
    </w:p>
    <w:p>
      <w:pPr>
        <w:pStyle w:val="DOBody"/>
      </w:pPr>
      <w:r>
        <w:rPr>
          <w:b/>
          <w:sz w:val="16"/>
        </w:rPr>
        <w:t xml:space="preserve">  [EVALUATIVE] </w:t>
      </w:r>
      <w:r>
        <w:rPr>
          <w:sz w:val="16"/>
        </w:rPr>
        <w:t>ABS.DISC.litigation_contingency (Missing Litigation Contingency Disclosure): Expected signals not found in evaluation results</w:t>
      </w:r>
    </w:p>
    <w:p>
      <w:pPr>
        <w:pStyle w:val="DOBody"/>
      </w:pPr>
      <w:r>
        <w:rPr>
          <w:b/>
          <w:sz w:val="16"/>
        </w:rPr>
        <w:t xml:space="preserve">  [EVALUATIVE] </w:t>
      </w:r>
      <w:r>
        <w:rPr>
          <w:sz w:val="16"/>
        </w:rPr>
        <w:t>ABS.DISC.pension_obligations (Missing Pension Obligation Disclosure): Expected signals not found in evaluation results</w:t>
      </w:r>
    </w:p>
    <w:p>
      <w:pPr>
        <w:pStyle w:val="DOBody"/>
      </w:pPr>
      <w:r>
        <w:rPr>
          <w:b/>
          <w:sz w:val="16"/>
        </w:rPr>
        <w:t xml:space="preserve">  [EVALUATIVE] </w:t>
      </w:r>
      <w:r>
        <w:rPr>
          <w:sz w:val="16"/>
        </w:rPr>
        <w:t>ABS.DISC.related_party (Missing Related-Party Transaction Disclosure): Expected signals not found in evaluation results</w:t>
      </w:r>
    </w:p>
    <w:p>
      <w:pPr>
        <w:pStyle w:val="DOBody"/>
      </w:pPr>
      <w:r>
        <w:rPr>
          <w:b/>
          <w:sz w:val="16"/>
        </w:rPr>
        <w:t xml:space="preserve">  [EVALUATIVE] </w:t>
      </w:r>
      <w:r>
        <w:rPr>
          <w:sz w:val="16"/>
        </w:rPr>
        <w:t>ABS.DISC.revenue_recognition (Missing Revenue Recognition Policy Disclosure): Expected signals not found in evaluation results</w:t>
      </w:r>
    </w:p>
    <w:p>
      <w:pPr>
        <w:pStyle w:val="DOBody"/>
      </w:pPr>
      <w:r>
        <w:rPr>
          <w:b/>
          <w:sz w:val="16"/>
        </w:rPr>
        <w:t xml:space="preserve">  [EVALUATIVE] </w:t>
      </w:r>
      <w:r>
        <w:rPr>
          <w:sz w:val="16"/>
        </w:rPr>
        <w:t>ABS.DISC.risk_factors (Missing Risk Factor Disclosure): Expected signals not found in evaluation results</w:t>
      </w:r>
    </w:p>
    <w:p>
      <w:pPr>
        <w:pStyle w:val="DOBody"/>
      </w:pPr>
      <w:r>
        <w:rPr>
          <w:b/>
          <w:sz w:val="16"/>
        </w:rPr>
        <w:t xml:space="preserve">  [EVALUATIVE] </w:t>
      </w:r>
      <w:r>
        <w:rPr>
          <w:sz w:val="16"/>
        </w:rPr>
        <w:t>ABS.DISC.segment_reporting (Missing Segment Reporting Disclosure): Expected signals not found in evaluation results</w:t>
      </w:r>
    </w:p>
    <w:p>
      <w:pPr>
        <w:pStyle w:val="DOBody"/>
      </w:pPr>
      <w:r>
        <w:rPr>
          <w:b/>
          <w:sz w:val="16"/>
        </w:rPr>
        <w:t xml:space="preserve">  [EVALUATIVE] </w:t>
      </w:r>
      <w:r>
        <w:rPr>
          <w:sz w:val="16"/>
        </w:rPr>
        <w:t>ABS.DISC.stock_comp (Missing Stock Compensation Disclosure): Expected signals not found in evaluation results</w:t>
      </w:r>
    </w:p>
    <w:p>
      <w:pPr>
        <w:pStyle w:val="DOBody"/>
      </w:pPr>
      <w:r>
        <w:rPr>
          <w:b/>
          <w:sz w:val="16"/>
        </w:rPr>
        <w:t xml:space="preserve">  [EVALUATIVE] </w:t>
      </w:r>
      <w:r>
        <w:rPr>
          <w:sz w:val="16"/>
        </w:rPr>
        <w:t>ABS.DISC.tax_positions (Missing Uncertain Tax Position Disclosure): Expected signals not found in evaluation results</w:t>
      </w:r>
    </w:p>
    <w:p>
      <w:pPr>
        <w:pStyle w:val="DOBody"/>
      </w:pPr>
      <w:r>
        <w:rPr>
          <w:b/>
          <w:sz w:val="16"/>
        </w:rPr>
        <w:t xml:space="preserve">  [EVALUATIVE] </w:t>
      </w:r>
      <w:r>
        <w:rPr>
          <w:sz w:val="16"/>
        </w:rPr>
        <w:t>CONJ.COMP.perf_divergence (Compensation-Performance Divergence): 3/3 component signals unavailable</w:t>
      </w:r>
    </w:p>
    <w:p>
      <w:pPr>
        <w:pStyle w:val="DOBody"/>
      </w:pPr>
      <w:r>
        <w:rPr>
          <w:b/>
          <w:sz w:val="16"/>
        </w:rPr>
        <w:t xml:space="preserve">  [EVALUATIVE] </w:t>
      </w:r>
      <w:r>
        <w:rPr>
          <w:sz w:val="16"/>
        </w:rPr>
        <w:t>CONJ.DISTRESS.insider (Financial Distress + Insider Selling): 2/3 component signals unavailable</w:t>
      </w:r>
    </w:p>
    <w:p>
      <w:pPr>
        <w:pStyle w:val="DOBody"/>
      </w:pPr>
      <w:r>
        <w:rPr>
          <w:b/>
          <w:sz w:val="16"/>
        </w:rPr>
        <w:t xml:space="preserve">  [EVALUATIVE] </w:t>
      </w:r>
      <w:r>
        <w:rPr>
          <w:sz w:val="16"/>
        </w:rPr>
        <w:t>CONJ.GOV.governance_event (Weak Governance + Adverse Event): 3/5 component signals unavailable</w:t>
      </w:r>
    </w:p>
    <w:p>
      <w:pPr>
        <w:pStyle w:val="DOBody"/>
      </w:pPr>
      <w:r>
        <w:rPr>
          <w:b/>
          <w:sz w:val="16"/>
        </w:rPr>
        <w:t xml:space="preserve">  [EVALUATIVE] </w:t>
      </w:r>
      <w:r>
        <w:rPr>
          <w:sz w:val="16"/>
        </w:rPr>
        <w:t>CONJ.FIN.growth_margin_guidance (Rapid Growth + Margin Compression + Guidance Miss): 3/3 component signals unavailable</w:t>
      </w:r>
    </w:p>
    <w:p>
      <w:pPr>
        <w:pStyle w:val="DOBody"/>
      </w:pPr>
      <w:r>
        <w:rPr>
          <w:b/>
          <w:sz w:val="16"/>
        </w:rPr>
        <w:t xml:space="preserve">  [EVALUATIVE] </w:t>
      </w:r>
      <w:r>
        <w:rPr>
          <w:sz w:val="16"/>
        </w:rPr>
        <w:t>CONJ.INSIDER.news_gap (Insider Selling + Material News Gap): 3/3 component signals unavailable</w:t>
      </w:r>
    </w:p>
    <w:p>
      <w:pPr>
        <w:pStyle w:val="DOBody"/>
      </w:pPr>
      <w:r>
        <w:rPr>
          <w:b/>
          <w:sz w:val="16"/>
        </w:rPr>
        <w:t xml:space="preserve">  [EVALUATIVE] </w:t>
      </w:r>
      <w:r>
        <w:rPr>
          <w:sz w:val="16"/>
        </w:rPr>
        <w:t>CONJ.REG.litigation (Regulatory Action + New Material Litigation): 3/3 component signals unavailable</w:t>
      </w:r>
    </w:p>
    <w:p>
      <w:pPr>
        <w:pStyle w:val="DOBody"/>
      </w:pPr>
      <w:r>
        <w:rPr>
          <w:b/>
          <w:sz w:val="16"/>
        </w:rPr>
        <w:t xml:space="preserve">  [EVALUATIVE] </w:t>
      </w:r>
      <w:r>
        <w:rPr>
          <w:sz w:val="16"/>
        </w:rPr>
        <w:t>CONJ.RPT.audit (Related-Party Transactions + Audit Issues): 2/3 component signals unavailable</w:t>
      </w:r>
    </w:p>
    <w:p>
      <w:pPr>
        <w:pStyle w:val="DOBody"/>
      </w:pPr>
      <w:r>
        <w:rPr>
          <w:b/>
          <w:sz w:val="16"/>
        </w:rPr>
        <w:t xml:space="preserve">  [EVALUATIVE] </w:t>
      </w:r>
      <w:r>
        <w:rPr>
          <w:sz w:val="16"/>
        </w:rPr>
        <w:t>CTX.FIN.capex_sector (Capital Expenditure in Sector Context): Source signal FIN.INVEST.capex_ratio not in results</w:t>
      </w:r>
    </w:p>
    <w:p>
      <w:pPr>
        <w:pStyle w:val="DOBody"/>
      </w:pPr>
      <w:r>
        <w:rPr>
          <w:b/>
          <w:sz w:val="16"/>
        </w:rPr>
        <w:t xml:space="preserve">  [EVALUATIVE] </w:t>
      </w:r>
      <w:r>
        <w:rPr>
          <w:sz w:val="16"/>
        </w:rPr>
        <w:t>CTX.COMP.lifecycle (CEO Compensation in Lifecycle Context): Source signal EXEC.COMP.ceo_total_comp not in results</w:t>
      </w:r>
    </w:p>
    <w:p>
      <w:pPr>
        <w:pStyle w:val="DOBody"/>
      </w:pPr>
      <w:r>
        <w:rPr>
          <w:b/>
          <w:sz w:val="16"/>
        </w:rPr>
        <w:t xml:space="preserve">  [EVALUATIVE] </w:t>
      </w:r>
      <w:r>
        <w:rPr>
          <w:sz w:val="16"/>
        </w:rPr>
        <w:t>CTX.COMP.product_tower (Compensation Severity by Product/Tower): Source signal EXEC.COMP.ceo_total_comp not in results</w:t>
      </w:r>
    </w:p>
    <w:p>
      <w:pPr>
        <w:pStyle w:val="DOBody"/>
      </w:pPr>
      <w:r>
        <w:rPr>
          <w:b/>
          <w:sz w:val="16"/>
        </w:rPr>
        <w:t xml:space="preserve">  [EVALUATIVE] </w:t>
      </w:r>
      <w:r>
        <w:rPr>
          <w:sz w:val="16"/>
        </w:rPr>
        <w:t>CTX.FIN.debt_maturity (Debt Maturity Profile in Lifecycle Context): Source signal FIN.DEBT.maturity_profile not in results</w:t>
      </w:r>
    </w:p>
    <w:p>
      <w:pPr>
        <w:pStyle w:val="DOBody"/>
      </w:pPr>
      <w:r>
        <w:rPr>
          <w:b/>
          <w:sz w:val="16"/>
        </w:rPr>
        <w:t xml:space="preserve">  [EVALUATIVE] </w:t>
      </w:r>
      <w:r>
        <w:rPr>
          <w:sz w:val="16"/>
        </w:rPr>
        <w:t>CTX.FIN.distress_product (Financial Distress by Product/Tower): Source signal FIN.FORENSIC.altman_z not in results</w:t>
      </w:r>
    </w:p>
    <w:p>
      <w:pPr>
        <w:pStyle w:val="DOBody"/>
      </w:pPr>
      <w:r>
        <w:rPr>
          <w:b/>
          <w:sz w:val="16"/>
        </w:rPr>
        <w:t xml:space="preserve">  [EVALUATIVE] </w:t>
      </w:r>
      <w:r>
        <w:rPr>
          <w:sz w:val="16"/>
        </w:rPr>
        <w:t>CTX.FIN.dividend_lifecycle (Dividend Policy in Lifecycle Context): Source signal FIN.RETURN.dividend_yield not in results</w:t>
      </w:r>
    </w:p>
    <w:p>
      <w:pPr>
        <w:pStyle w:val="DOBody"/>
      </w:pPr>
      <w:r>
        <w:rPr>
          <w:b/>
          <w:sz w:val="16"/>
        </w:rPr>
        <w:t xml:space="preserve">  [EVALUATIVE] </w:t>
      </w:r>
      <w:r>
        <w:rPr>
          <w:sz w:val="16"/>
        </w:rPr>
        <w:t>CTX.EXEC.tenure_lifecycle (Executive Tenure in Lifecycle Context): Source signal EXEC.TURN.c_suite not in results</w:t>
      </w:r>
    </w:p>
    <w:p>
      <w:pPr>
        <w:pStyle w:val="DOBody"/>
      </w:pPr>
      <w:r>
        <w:rPr>
          <w:b/>
          <w:sz w:val="16"/>
        </w:rPr>
        <w:t xml:space="preserve">  [EVALUATIVE] </w:t>
      </w:r>
      <w:r>
        <w:rPr>
          <w:sz w:val="16"/>
        </w:rPr>
        <w:t>CTX.MKT.insider_lifecycle (Insider Trading in Lifecycle Context): Source signal STOCK.INSIDER.net_selling not in results</w:t>
      </w:r>
    </w:p>
    <w:p>
      <w:pPr>
        <w:pStyle w:val="DOBody"/>
      </w:pPr>
      <w:r>
        <w:rPr>
          <w:b/>
          <w:sz w:val="16"/>
        </w:rPr>
        <w:t xml:space="preserve">  [EVALUATIVE] </w:t>
      </w:r>
      <w:r>
        <w:rPr>
          <w:sz w:val="16"/>
        </w:rPr>
        <w:t>CTX.FIN.leverage_sector (Leverage in Sector Context): Source signal FIN.DEBT.leverage_ratio not in results</w:t>
      </w:r>
    </w:p>
    <w:p>
      <w:pPr>
        <w:pStyle w:val="DOBody"/>
      </w:pPr>
      <w:r>
        <w:rPr>
          <w:b/>
          <w:sz w:val="16"/>
        </w:rPr>
        <w:t xml:space="preserve">  [EVALUATIVE] </w:t>
      </w:r>
      <w:r>
        <w:rPr>
          <w:sz w:val="16"/>
        </w:rPr>
        <w:t>CTX.LIT.size (Litigation Frequency by Company Size): Source signal LIT.SCA.active_cases not in results</w:t>
      </w:r>
    </w:p>
    <w:p>
      <w:pPr>
        <w:pStyle w:val="DOBody"/>
      </w:pPr>
      <w:r>
        <w:rPr>
          <w:b/>
          <w:sz w:val="16"/>
        </w:rPr>
        <w:t xml:space="preserve">  [EVALUATIVE] </w:t>
      </w:r>
      <w:r>
        <w:rPr>
          <w:sz w:val="16"/>
        </w:rPr>
        <w:t>CTX.RISK.ma_lifecycle (M&amp;A Activity in Lifecycle Context): Source signal BIZ.MA.acquisition_activity not in results</w:t>
      </w:r>
    </w:p>
    <w:p>
      <w:pPr>
        <w:pStyle w:val="DOBody"/>
      </w:pPr>
      <w:r>
        <w:rPr>
          <w:b/>
          <w:sz w:val="16"/>
        </w:rPr>
        <w:t xml:space="preserve">  [EVALUATIVE] </w:t>
      </w:r>
      <w:r>
        <w:rPr>
          <w:sz w:val="16"/>
        </w:rPr>
        <w:t>CTX.RISK.regulatory_sector (Regulatory Risk in Sector Context): Source signal LIT.SEC.enforcement not in results</w:t>
      </w:r>
    </w:p>
    <w:p>
      <w:pPr>
        <w:pStyle w:val="DOBody"/>
      </w:pPr>
      <w:r>
        <w:rPr>
          <w:b/>
          <w:sz w:val="16"/>
        </w:rPr>
        <w:t xml:space="preserve">  [EVALUATIVE] </w:t>
      </w:r>
      <w:r>
        <w:rPr>
          <w:sz w:val="16"/>
        </w:rPr>
        <w:t>CTX.RISK.rpt_sector (Related-Party Risk in Sector Context): Source signal GOV.RPT.related_party not in results</w:t>
      </w:r>
    </w:p>
    <w:p>
      <w:pPr>
        <w:pStyle w:val="DOBody"/>
      </w:pPr>
      <w:r>
        <w:rPr>
          <w:b/>
          <w:sz w:val="16"/>
        </w:rPr>
        <w:t xml:space="preserve">  [EVALUATIVE] </w:t>
      </w:r>
      <w:r>
        <w:rPr>
          <w:sz w:val="16"/>
        </w:rPr>
        <w:t>CTX.MKT.short_interest_sector (Short Interest in Sector Context): Source signal STOCK.SHORT.interest_ratio not in results</w:t>
      </w:r>
    </w:p>
    <w:p>
      <w:pPr>
        <w:pStyle w:val="DOBody"/>
      </w:pPr>
      <w:r>
        <w:rPr>
          <w:b/>
          <w:sz w:val="16"/>
        </w:rPr>
        <w:t xml:space="preserve">  [EVALUATIVE] </w:t>
      </w:r>
      <w:r>
        <w:rPr>
          <w:sz w:val="16"/>
        </w:rPr>
        <w:t>CTX.MKT.turnover_sector (Stock Turnover in Sector Context): Source signal STOCK.VOL.turnover_rate not in results</w:t>
      </w:r>
    </w:p>
    <w:p>
      <w:pPr>
        <w:pStyle w:val="DOBody"/>
      </w:pPr>
      <w:r>
        <w:rPr>
          <w:b/>
          <w:sz w:val="16"/>
        </w:rPr>
        <w:t xml:space="preserve">  [EVALUATIVE] </w:t>
      </w:r>
      <w:r>
        <w:rPr>
          <w:sz w:val="16"/>
        </w:rPr>
        <w:t>CTX.MKT.volatility_sector (Stock Volatility in Sector Context): Source signal STOCK.VOL.historical not in results</w:t>
      </w:r>
    </w:p>
    <w:p>
      <w:pPr>
        <w:pStyle w:val="DOHeading3"/>
      </w:pPr>
      <w:r>
        <w:t>Financial Health</w:t>
      </w:r>
    </w:p>
    <w:p>
      <w:pPr>
        <w:pStyle w:val="DOBody"/>
      </w:pPr>
      <w:r>
        <w:rPr>
          <w:b/>
          <w:sz w:val="16"/>
        </w:rPr>
        <w:t xml:space="preserve">  [EVALUATIVE] </w:t>
      </w:r>
      <w:r>
        <w:rPr>
          <w:sz w:val="16"/>
        </w:rPr>
        <w:t>FIN.PEER.revenue_bottom_quartile (Revenue Bottom Quartile (Cross-Filer)): No peer comparison data available</w:t>
      </w:r>
    </w:p>
    <w:p>
      <w:pPr>
        <w:pStyle w:val="DOBody"/>
      </w:pPr>
      <w:r>
        <w:rPr>
          <w:b/>
          <w:sz w:val="16"/>
        </w:rPr>
        <w:t xml:space="preserve">  [EVALUATIVE] </w:t>
      </w:r>
      <w:r>
        <w:rPr>
          <w:sz w:val="16"/>
        </w:rPr>
        <w:t>FIN.PEER.leverage_top_decile (Leverage Top Decile (Sector-Relative)): No peer comparison data available</w:t>
      </w:r>
    </w:p>
    <w:p>
      <w:pPr>
        <w:pStyle w:val="DOBody"/>
      </w:pPr>
      <w:r>
        <w:rPr>
          <w:b/>
          <w:sz w:val="16"/>
        </w:rPr>
        <w:t xml:space="preserve">  [EVALUATIVE] </w:t>
      </w:r>
      <w:r>
        <w:rPr>
          <w:sz w:val="16"/>
        </w:rPr>
        <w:t>FIN.PEER.margin_compression (Operating Margin Compression (Cross-Filer)): No peer comparison data available</w:t>
      </w:r>
    </w:p>
    <w:p>
      <w:pPr>
        <w:pStyle w:val="DOBody"/>
      </w:pPr>
      <w:r>
        <w:rPr>
          <w:b/>
          <w:sz w:val="16"/>
        </w:rPr>
        <w:t xml:space="preserve">  [EVALUATIVE] </w:t>
      </w:r>
      <w:r>
        <w:rPr>
          <w:sz w:val="16"/>
        </w:rPr>
        <w:t>FIN.PEER.profitability_laggard (Profitability Laggard (Sector-Relative)): No peer comparison data available</w:t>
      </w:r>
    </w:p>
    <w:p>
      <w:pPr>
        <w:pStyle w:val="DOBody"/>
      </w:pPr>
      <w:r>
        <w:rPr>
          <w:b/>
          <w:sz w:val="16"/>
        </w:rPr>
        <w:t xml:space="preserve">  [EVALUATIVE] </w:t>
      </w:r>
      <w:r>
        <w:rPr>
          <w:sz w:val="16"/>
        </w:rPr>
        <w:t>FIN.PEER.size_outlier_small (Size Outlier Small (Cross-Filer)): No peer comparison data available</w:t>
      </w:r>
    </w:p>
    <w:p>
      <w:pPr>
        <w:pStyle w:val="DOBody"/>
      </w:pPr>
      <w:r>
        <w:rPr>
          <w:b/>
          <w:sz w:val="16"/>
        </w:rPr>
        <w:t xml:space="preserve">  [EVALUATIVE] </w:t>
      </w:r>
      <w:r>
        <w:rPr>
          <w:sz w:val="16"/>
        </w:rPr>
        <w:t>FIN.PEER.cash_flow_weak (Cash Flow Weakness (Cross-Filer)): No peer comparison data available</w:t>
      </w:r>
    </w:p>
    <w:p>
      <w:pPr>
        <w:pStyle w:val="DOBody"/>
      </w:pPr>
      <w:r>
        <w:rPr>
          <w:b/>
          <w:sz w:val="16"/>
        </w:rPr>
        <w:t xml:space="preserve">  [EVALUATIVE] </w:t>
      </w:r>
      <w:r>
        <w:rPr>
          <w:sz w:val="16"/>
        </w:rPr>
        <w:t>LIT.DEFENSE.forum_selection (Federal Forum Selection Clause): Required data not available from filings</w:t>
      </w:r>
    </w:p>
    <w:p>
      <w:pPr>
        <w:pStyle w:val="DOHeading3"/>
      </w:pPr>
      <w:r>
        <w:t>Governance &amp; Leadership</w:t>
      </w:r>
    </w:p>
    <w:p>
      <w:pPr>
        <w:pStyle w:val="DOBody"/>
      </w:pPr>
      <w:r>
        <w:rPr>
          <w:b/>
          <w:sz w:val="16"/>
        </w:rPr>
        <w:t xml:space="preserve">  [EVALUATIVE] </w:t>
      </w:r>
      <w:r>
        <w:rPr>
          <w:sz w:val="16"/>
        </w:rPr>
        <w:t>EXEC.INSIDER.ceo_net_selling (CEO Net Seller of Stock): Required data not available from filings</w:t>
      </w:r>
    </w:p>
    <w:p>
      <w:pPr>
        <w:pStyle w:val="DOBody"/>
      </w:pPr>
      <w:r>
        <w:rPr>
          <w:b/>
          <w:sz w:val="16"/>
        </w:rPr>
        <w:t xml:space="preserve">  [EVALUATIVE] </w:t>
      </w:r>
      <w:r>
        <w:rPr>
          <w:sz w:val="16"/>
        </w:rPr>
        <w:t>EXEC.AGGREGATE.board_risk (Board Aggregate Risk Score): Data mapping not configured for this check</w:t>
      </w:r>
    </w:p>
    <w:p>
      <w:pPr>
        <w:pStyle w:val="DOBody"/>
      </w:pPr>
      <w:r>
        <w:rPr>
          <w:b/>
          <w:sz w:val="16"/>
        </w:rPr>
        <w:t xml:space="preserve">  [EVALUATIVE] </w:t>
      </w:r>
      <w:r>
        <w:rPr>
          <w:sz w:val="16"/>
        </w:rPr>
        <w:t>EXEC.AGGREGATE.highest_risk_individual (Highest Individual Risk Score Exceeds Threshold): Data mapping not configured for this check</w:t>
      </w:r>
    </w:p>
    <w:p>
      <w:pPr>
        <w:pStyle w:val="DOBody"/>
      </w:pPr>
      <w:r>
        <w:rPr>
          <w:b/>
          <w:sz w:val="16"/>
        </w:rPr>
        <w:t xml:space="preserve">  [EVALUATIVE] </w:t>
      </w:r>
      <w:r>
        <w:rPr>
          <w:sz w:val="16"/>
        </w:rPr>
        <w:t>EXEC.TENURE.ceo_new (CEO Tenure Less Than 2 Years): Data mapping not configured for this check</w:t>
      </w:r>
    </w:p>
    <w:p>
      <w:pPr>
        <w:pStyle w:val="DOBody"/>
      </w:pPr>
      <w:r>
        <w:rPr>
          <w:b/>
          <w:sz w:val="16"/>
        </w:rPr>
        <w:t xml:space="preserve">  [REQUIRED] </w:t>
      </w:r>
      <w:r>
        <w:rPr>
          <w:sz w:val="16"/>
        </w:rPr>
        <w:t>EXEC.PROFILE.board_size (Board Size (Number of Members)): Required data not available from filings</w:t>
      </w:r>
    </w:p>
    <w:p>
      <w:pPr>
        <w:pStyle w:val="DOBody"/>
      </w:pPr>
      <w:r>
        <w:rPr>
          <w:b/>
          <w:sz w:val="16"/>
        </w:rPr>
        <w:t xml:space="preserve">  [REQUIRED] </w:t>
      </w:r>
      <w:r>
        <w:rPr>
          <w:sz w:val="16"/>
        </w:rPr>
        <w:t>EXEC.PROFILE.independent_ratio (Board Independence Percentage): Required data not available from filings</w:t>
      </w:r>
    </w:p>
    <w:p>
      <w:pPr>
        <w:pStyle w:val="DOBody"/>
      </w:pPr>
      <w:r>
        <w:rPr>
          <w:b/>
          <w:sz w:val="16"/>
        </w:rPr>
        <w:t xml:space="preserve">  [EVALUATIVE] </w:t>
      </w:r>
      <w:r>
        <w:rPr>
          <w:sz w:val="16"/>
        </w:rPr>
        <w:t>EXEC.PROFILE.overboarded_directors (Directors Serving on 4+ Boards): Required data not available from filings</w:t>
      </w:r>
    </w:p>
    <w:p>
      <w:pPr>
        <w:pStyle w:val="DOBody"/>
      </w:pPr>
      <w:r>
        <w:rPr>
          <w:b/>
          <w:sz w:val="16"/>
        </w:rPr>
        <w:t xml:space="preserve">  [EVALUATIVE] </w:t>
      </w:r>
      <w:r>
        <w:rPr>
          <w:sz w:val="16"/>
        </w:rPr>
        <w:t>GOV.BOARD.size (Board Size): Required data not available from filings</w:t>
      </w:r>
    </w:p>
    <w:p>
      <w:pPr>
        <w:pStyle w:val="DOBody"/>
      </w:pPr>
      <w:r>
        <w:rPr>
          <w:b/>
          <w:sz w:val="16"/>
        </w:rPr>
        <w:t xml:space="preserve">  [EVALUATIVE] </w:t>
      </w:r>
      <w:r>
        <w:rPr>
          <w:sz w:val="16"/>
        </w:rPr>
        <w:t>GOV.BOARD.independence (Board Independence): Required data not available from filings</w:t>
      </w:r>
    </w:p>
    <w:p>
      <w:pPr>
        <w:pStyle w:val="DOBody"/>
      </w:pPr>
      <w:r>
        <w:rPr>
          <w:b/>
          <w:sz w:val="16"/>
        </w:rPr>
        <w:t xml:space="preserve">  [EVALUATIVE] </w:t>
      </w:r>
      <w:r>
        <w:rPr>
          <w:sz w:val="16"/>
        </w:rPr>
        <w:t>GOV.BOARD.diversity (Board Diversity): Required data not available from filings</w:t>
      </w:r>
    </w:p>
    <w:p>
      <w:pPr>
        <w:pStyle w:val="DOBody"/>
      </w:pPr>
      <w:r>
        <w:rPr>
          <w:b/>
          <w:sz w:val="16"/>
        </w:rPr>
        <w:t xml:space="preserve">  [EVALUATIVE] </w:t>
      </w:r>
      <w:r>
        <w:rPr>
          <w:sz w:val="16"/>
        </w:rPr>
        <w:t>GOV.BOARD.tenure (Tenure): Required data not available from filings</w:t>
      </w:r>
    </w:p>
    <w:p>
      <w:pPr>
        <w:pStyle w:val="DOBody"/>
      </w:pPr>
      <w:r>
        <w:rPr>
          <w:b/>
          <w:sz w:val="16"/>
        </w:rPr>
        <w:t xml:space="preserve">  [EVALUATIVE] </w:t>
      </w:r>
      <w:r>
        <w:rPr>
          <w:sz w:val="16"/>
        </w:rPr>
        <w:t>GOV.BOARD.overboarding (Overboarding): Required data not available from filings</w:t>
      </w:r>
    </w:p>
    <w:p>
      <w:pPr>
        <w:pStyle w:val="DOBody"/>
      </w:pPr>
      <w:r>
        <w:rPr>
          <w:b/>
          <w:sz w:val="16"/>
        </w:rPr>
        <w:t xml:space="preserve">  [EVALUATIVE] </w:t>
      </w:r>
      <w:r>
        <w:rPr>
          <w:sz w:val="16"/>
        </w:rPr>
        <w:t>GOV.BOARD.attendance (Attendance): Required data not available from filings</w:t>
      </w:r>
    </w:p>
    <w:p>
      <w:pPr>
        <w:pStyle w:val="DOBody"/>
      </w:pPr>
      <w:r>
        <w:rPr>
          <w:b/>
          <w:sz w:val="16"/>
        </w:rPr>
        <w:t xml:space="preserve">  [EVALUATIVE] </w:t>
      </w:r>
      <w:r>
        <w:rPr>
          <w:sz w:val="16"/>
        </w:rPr>
        <w:t>GOV.BOARD.meetings (Meetings): Required data not available from filings</w:t>
      </w:r>
    </w:p>
    <w:p>
      <w:pPr>
        <w:pStyle w:val="DOBody"/>
      </w:pPr>
      <w:r>
        <w:rPr>
          <w:b/>
          <w:sz w:val="16"/>
        </w:rPr>
        <w:t xml:space="preserve">  [EVALUATIVE] </w:t>
      </w:r>
      <w:r>
        <w:rPr>
          <w:sz w:val="16"/>
        </w:rPr>
        <w:t>GOV.BOARD.succession (Succession): Required data not available from filings</w:t>
      </w:r>
    </w:p>
    <w:p>
      <w:pPr>
        <w:pStyle w:val="DOBody"/>
      </w:pPr>
      <w:r>
        <w:rPr>
          <w:b/>
          <w:sz w:val="16"/>
        </w:rPr>
        <w:t xml:space="preserve">  [EVALUATIVE] </w:t>
      </w:r>
      <w:r>
        <w:rPr>
          <w:sz w:val="16"/>
        </w:rPr>
        <w:t>GOV.EXEC.ceo_profile (CEO Profile): Required data not available from filings</w:t>
      </w:r>
    </w:p>
    <w:p>
      <w:pPr>
        <w:pStyle w:val="DOBody"/>
      </w:pPr>
      <w:r>
        <w:rPr>
          <w:b/>
          <w:sz w:val="16"/>
        </w:rPr>
        <w:t xml:space="preserve">  [EVALUATIVE] </w:t>
      </w:r>
      <w:r>
        <w:rPr>
          <w:sz w:val="16"/>
        </w:rPr>
        <w:t>GOV.EXEC.founder (Founder Status): Required data not available from filings</w:t>
      </w:r>
    </w:p>
    <w:p>
      <w:pPr>
        <w:pStyle w:val="DOBody"/>
      </w:pPr>
      <w:r>
        <w:rPr>
          <w:b/>
          <w:sz w:val="16"/>
        </w:rPr>
        <w:t xml:space="preserve">  [EVALUATIVE] </w:t>
      </w:r>
      <w:r>
        <w:rPr>
          <w:sz w:val="16"/>
        </w:rPr>
        <w:t>GOV.EXEC.key_person (Key Person Risk): Required data not available from filings</w:t>
      </w:r>
    </w:p>
    <w:p>
      <w:pPr>
        <w:pStyle w:val="DOBody"/>
      </w:pPr>
      <w:r>
        <w:rPr>
          <w:b/>
          <w:sz w:val="16"/>
        </w:rPr>
        <w:t xml:space="preserve">  [EVALUATIVE] </w:t>
      </w:r>
      <w:r>
        <w:rPr>
          <w:sz w:val="16"/>
        </w:rPr>
        <w:t>GOV.PAY.golden_para (Golden Para): Required data not available from filings</w:t>
      </w:r>
    </w:p>
    <w:p>
      <w:pPr>
        <w:pStyle w:val="DOBody"/>
      </w:pPr>
      <w:r>
        <w:rPr>
          <w:b/>
          <w:sz w:val="16"/>
        </w:rPr>
        <w:t xml:space="preserve">  [EVALUATIVE] </w:t>
      </w:r>
      <w:r>
        <w:rPr>
          <w:sz w:val="16"/>
        </w:rPr>
        <w:t>GOV.PAY.equity_burn (Equity Burn): Required data not available from filings</w:t>
      </w:r>
    </w:p>
    <w:p>
      <w:pPr>
        <w:pStyle w:val="DOBody"/>
      </w:pPr>
      <w:r>
        <w:rPr>
          <w:b/>
          <w:sz w:val="16"/>
        </w:rPr>
        <w:t xml:space="preserve">  [EVALUATIVE] </w:t>
      </w:r>
      <w:r>
        <w:rPr>
          <w:sz w:val="16"/>
        </w:rPr>
        <w:t>GOV.PAY.hedging (Hedging): Required data not available from filings</w:t>
      </w:r>
    </w:p>
    <w:p>
      <w:pPr>
        <w:pStyle w:val="DOBody"/>
      </w:pPr>
      <w:r>
        <w:rPr>
          <w:b/>
          <w:sz w:val="16"/>
        </w:rPr>
        <w:t xml:space="preserve">  [REQUIRED] </w:t>
      </w:r>
      <w:r>
        <w:rPr>
          <w:sz w:val="16"/>
        </w:rPr>
        <w:t>GOV.RIGHTS.bylaws (Bylaws): Required data not available from filings</w:t>
      </w:r>
    </w:p>
    <w:p>
      <w:pPr>
        <w:pStyle w:val="DOBody"/>
      </w:pPr>
      <w:r>
        <w:rPr>
          <w:b/>
          <w:sz w:val="16"/>
        </w:rPr>
        <w:t xml:space="preserve">  [EVALUATIVE] </w:t>
      </w:r>
      <w:r>
        <w:rPr>
          <w:sz w:val="16"/>
        </w:rPr>
        <w:t>GOV.RIGHTS.takeover (Takeover): Required data not available from filings</w:t>
      </w:r>
    </w:p>
    <w:p>
      <w:pPr>
        <w:pStyle w:val="DOBody"/>
      </w:pPr>
      <w:r>
        <w:rPr>
          <w:b/>
          <w:sz w:val="16"/>
        </w:rPr>
        <w:t xml:space="preserve">  [EVALUATIVE] </w:t>
      </w:r>
      <w:r>
        <w:rPr>
          <w:sz w:val="16"/>
        </w:rPr>
        <w:t>GOV.RIGHTS.proxy_access (Proxy Access): Required data not available from filings</w:t>
      </w:r>
    </w:p>
    <w:p>
      <w:pPr>
        <w:pStyle w:val="DOBody"/>
      </w:pPr>
      <w:r>
        <w:rPr>
          <w:b/>
          <w:sz w:val="16"/>
        </w:rPr>
        <w:t xml:space="preserve">  [REQUIRED] </w:t>
      </w:r>
      <w:r>
        <w:rPr>
          <w:sz w:val="16"/>
        </w:rPr>
        <w:t>GOV.RIGHTS.forum_select (Forum Select): Required data not available from filings</w:t>
      </w:r>
    </w:p>
    <w:p>
      <w:pPr>
        <w:pStyle w:val="DOBody"/>
      </w:pPr>
      <w:r>
        <w:rPr>
          <w:b/>
          <w:sz w:val="16"/>
        </w:rPr>
        <w:t xml:space="preserve">  [EVALUATIVE] </w:t>
      </w:r>
      <w:r>
        <w:rPr>
          <w:sz w:val="16"/>
        </w:rPr>
        <w:t>GOV.RIGHTS.supermajority (Supermajority): Required data not available from filings</w:t>
      </w:r>
    </w:p>
    <w:p>
      <w:pPr>
        <w:pStyle w:val="DOBody"/>
      </w:pPr>
      <w:r>
        <w:rPr>
          <w:b/>
          <w:sz w:val="16"/>
        </w:rPr>
        <w:t xml:space="preserve">  [EVALUATIVE] </w:t>
      </w:r>
      <w:r>
        <w:rPr>
          <w:sz w:val="16"/>
        </w:rPr>
        <w:t>GOV.RIGHTS.action_consent (Action Consent): Required data not available from filings</w:t>
      </w:r>
    </w:p>
    <w:p>
      <w:pPr>
        <w:pStyle w:val="DOBody"/>
      </w:pPr>
      <w:r>
        <w:rPr>
          <w:b/>
          <w:sz w:val="16"/>
        </w:rPr>
        <w:t xml:space="preserve">  [EVALUATIVE] </w:t>
      </w:r>
      <w:r>
        <w:rPr>
          <w:sz w:val="16"/>
        </w:rPr>
        <w:t>GOV.RIGHTS.special_mtg (Special Mtg): Required data not available from filings</w:t>
      </w:r>
    </w:p>
    <w:p>
      <w:pPr>
        <w:pStyle w:val="DOBody"/>
      </w:pPr>
      <w:r>
        <w:rPr>
          <w:b/>
          <w:sz w:val="16"/>
        </w:rPr>
        <w:t xml:space="preserve">  [EVALUATIVE] </w:t>
      </w:r>
      <w:r>
        <w:rPr>
          <w:sz w:val="16"/>
        </w:rPr>
        <w:t>GOV.RIGHTS.classified (Classified): Required data not available from filings</w:t>
      </w:r>
    </w:p>
    <w:p>
      <w:pPr>
        <w:pStyle w:val="DOBody"/>
      </w:pPr>
      <w:r>
        <w:rPr>
          <w:b/>
          <w:sz w:val="16"/>
        </w:rPr>
        <w:t xml:space="preserve">  [PATTERN] </w:t>
      </w:r>
      <w:r>
        <w:rPr>
          <w:sz w:val="16"/>
        </w:rPr>
        <w:t>GOV.EFFECT.audit_opinion (Audit Opinion): Required data not available from filings</w:t>
      </w:r>
    </w:p>
    <w:p>
      <w:pPr>
        <w:pStyle w:val="DOBody"/>
      </w:pPr>
      <w:r>
        <w:rPr>
          <w:b/>
          <w:sz w:val="16"/>
        </w:rPr>
        <w:t xml:space="preserve">  [PATTERN] </w:t>
      </w:r>
      <w:r>
        <w:rPr>
          <w:sz w:val="16"/>
        </w:rPr>
        <w:t>GOV.EFFECT.sox_404 (Sox 404): Required data not available from filings</w:t>
      </w:r>
    </w:p>
    <w:p>
      <w:pPr>
        <w:pStyle w:val="DOHeading3"/>
      </w:pPr>
      <w:r>
        <w:t>Market &amp; Trading</w:t>
      </w:r>
    </w:p>
    <w:p>
      <w:pPr>
        <w:pStyle w:val="DOBody"/>
      </w:pPr>
      <w:r>
        <w:rPr>
          <w:b/>
          <w:sz w:val="16"/>
        </w:rPr>
        <w:t xml:space="preserve">  [EVALUATIVE] </w:t>
      </w:r>
      <w:r>
        <w:rPr>
          <w:sz w:val="16"/>
        </w:rPr>
        <w:t>FIN.ACCT.auditor (Auditor): Required data not available from filings</w:t>
      </w:r>
    </w:p>
    <w:p>
      <w:pPr>
        <w:pStyle w:val="DOBody"/>
      </w:pPr>
      <w:r>
        <w:rPr>
          <w:b/>
          <w:sz w:val="16"/>
        </w:rPr>
        <w:t xml:space="preserve">  [EVALUATIVE] </w:t>
      </w:r>
      <w:r>
        <w:rPr>
          <w:sz w:val="16"/>
        </w:rPr>
        <w:t>FIN.LIQ.cash_burn (Cash Burn Analysis): Required data not available from filings</w:t>
      </w:r>
    </w:p>
    <w:p>
      <w:pPr>
        <w:pStyle w:val="DOBody"/>
      </w:pPr>
      <w:r>
        <w:rPr>
          <w:b/>
          <w:sz w:val="16"/>
        </w:rPr>
        <w:t xml:space="preserve">  [EVALUATIVE] </w:t>
      </w:r>
      <w:r>
        <w:rPr>
          <w:sz w:val="16"/>
        </w:rPr>
        <w:t>FIN.DEBT.maturity (Debt Maturity Profile): Required data not available from filings</w:t>
      </w:r>
    </w:p>
    <w:p>
      <w:pPr>
        <w:pStyle w:val="DOBody"/>
      </w:pPr>
      <w:r>
        <w:rPr>
          <w:b/>
          <w:sz w:val="16"/>
        </w:rPr>
        <w:t xml:space="preserve">  [EVALUATIVE] </w:t>
      </w:r>
      <w:r>
        <w:rPr>
          <w:sz w:val="16"/>
        </w:rPr>
        <w:t>FIN.DEBT.covenants (Covenant Analysis): Required data not available from filings</w:t>
      </w:r>
    </w:p>
    <w:p>
      <w:pPr>
        <w:pStyle w:val="DOBody"/>
      </w:pPr>
      <w:r>
        <w:rPr>
          <w:b/>
          <w:sz w:val="16"/>
        </w:rPr>
        <w:t xml:space="preserve">  [EVALUATIVE] </w:t>
      </w:r>
      <w:r>
        <w:rPr>
          <w:sz w:val="16"/>
        </w:rPr>
        <w:t>FIN.COMP.unvested_cost (Unvested SBC Pipeline): Required data not available from filings</w:t>
      </w:r>
    </w:p>
    <w:p>
      <w:pPr>
        <w:pStyle w:val="DOBody"/>
      </w:pPr>
      <w:r>
        <w:rPr>
          <w:b/>
          <w:sz w:val="16"/>
        </w:rPr>
        <w:t xml:space="preserve">  [EVALUATIVE] </w:t>
      </w:r>
      <w:r>
        <w:rPr>
          <w:sz w:val="16"/>
        </w:rPr>
        <w:t>FIN.COMP.rsu_grants (RSU Grant Trend): Required data not available from filings</w:t>
      </w:r>
    </w:p>
    <w:p>
      <w:pPr>
        <w:pStyle w:val="DOBody"/>
      </w:pPr>
      <w:r>
        <w:rPr>
          <w:b/>
          <w:sz w:val="16"/>
        </w:rPr>
        <w:t xml:space="preserve">  [EVALUATIVE] </w:t>
      </w:r>
      <w:r>
        <w:rPr>
          <w:sz w:val="16"/>
        </w:rPr>
        <w:t>FIN.DEBT.refinancing_risk (Refinancing Risk): Data mapping not configured for this check</w:t>
      </w:r>
    </w:p>
    <w:p>
      <w:pPr>
        <w:pStyle w:val="DOBody"/>
      </w:pPr>
      <w:r>
        <w:rPr>
          <w:b/>
          <w:sz w:val="16"/>
        </w:rPr>
        <w:t xml:space="preserve">  [EVALUATIVE] </w:t>
      </w:r>
      <w:r>
        <w:rPr>
          <w:sz w:val="16"/>
        </w:rPr>
        <w:t>FIN.CONT.loss_accrual (Loss Contingency Accrual): Required data not available from filings</w:t>
      </w:r>
    </w:p>
    <w:p>
      <w:pPr>
        <w:pStyle w:val="DOBody"/>
      </w:pPr>
      <w:r>
        <w:rPr>
          <w:b/>
          <w:sz w:val="16"/>
        </w:rPr>
        <w:t xml:space="preserve">  [EVALUATIVE] </w:t>
      </w:r>
      <w:r>
        <w:rPr>
          <w:sz w:val="16"/>
        </w:rPr>
        <w:t>FIN.CONT.loss_estimate (Loss Contingency Estimate): Required data not available from filings</w:t>
      </w:r>
    </w:p>
    <w:p>
      <w:pPr>
        <w:pStyle w:val="DOBody"/>
      </w:pPr>
      <w:r>
        <w:rPr>
          <w:b/>
          <w:sz w:val="16"/>
        </w:rPr>
        <w:t xml:space="preserve">  [EVALUATIVE] </w:t>
      </w:r>
      <w:r>
        <w:rPr>
          <w:sz w:val="16"/>
        </w:rPr>
        <w:t>FIN.CONT.warranty_reserve (Product Warranty Reserve): Required data not available from filings</w:t>
      </w:r>
    </w:p>
    <w:p>
      <w:pPr>
        <w:pStyle w:val="DOBody"/>
      </w:pPr>
      <w:r>
        <w:rPr>
          <w:b/>
          <w:sz w:val="16"/>
        </w:rPr>
        <w:t xml:space="preserve">  [EVALUATIVE] </w:t>
      </w:r>
      <w:r>
        <w:rPr>
          <w:sz w:val="16"/>
        </w:rPr>
        <w:t>FIN.DEBT.commercial_paper (Commercial Paper Dependency): Data mapping not configured for this check</w:t>
      </w:r>
    </w:p>
    <w:p>
      <w:pPr>
        <w:pStyle w:val="DOBody"/>
      </w:pPr>
      <w:r>
        <w:rPr>
          <w:b/>
          <w:sz w:val="16"/>
        </w:rPr>
        <w:t xml:space="preserve">  [EVALUATIVE] </w:t>
      </w:r>
      <w:r>
        <w:rPr>
          <w:sz w:val="16"/>
        </w:rPr>
        <w:t>FIN.DEBT.facility_utilization (Credit Facility Utilization): Data mapping not configured for this check</w:t>
      </w:r>
    </w:p>
    <w:p>
      <w:pPr>
        <w:pStyle w:val="DOBody"/>
      </w:pPr>
      <w:r>
        <w:rPr>
          <w:b/>
          <w:sz w:val="16"/>
        </w:rPr>
        <w:t xml:space="preserve">  [EVALUATIVE] </w:t>
      </w:r>
      <w:r>
        <w:rPr>
          <w:sz w:val="16"/>
        </w:rPr>
        <w:t>FIN.DEBT.maturity_concentration (Debt Maturity Concentration): Data mapping not configured for this check</w:t>
      </w:r>
    </w:p>
    <w:p>
      <w:pPr>
        <w:pStyle w:val="DOBody"/>
      </w:pPr>
      <w:r>
        <w:rPr>
          <w:b/>
          <w:sz w:val="16"/>
        </w:rPr>
        <w:t xml:space="preserve">  [EVALUATIVE] </w:t>
      </w:r>
      <w:r>
        <w:rPr>
          <w:sz w:val="16"/>
        </w:rPr>
        <w:t>FIN.QUALITY.q4_revenue_concentration (Q4 Revenue Concentration): Required data not available from filings</w:t>
      </w:r>
    </w:p>
    <w:p>
      <w:pPr>
        <w:pStyle w:val="DOBody"/>
      </w:pPr>
      <w:r>
        <w:rPr>
          <w:b/>
          <w:sz w:val="16"/>
        </w:rPr>
        <w:t xml:space="preserve">  [EVALUATIVE] </w:t>
      </w:r>
      <w:r>
        <w:rPr>
          <w:sz w:val="16"/>
        </w:rPr>
        <w:t>FIN.QUALITY.revenue_recognition_risk (Revenue Recognition Risk Indicators): Data mapping not configured for this check</w:t>
      </w:r>
    </w:p>
    <w:p>
      <w:pPr>
        <w:pStyle w:val="DOBody"/>
      </w:pPr>
      <w:r>
        <w:rPr>
          <w:b/>
          <w:sz w:val="16"/>
        </w:rPr>
        <w:t xml:space="preserve">  [EVALUATIVE] </w:t>
      </w:r>
      <w:r>
        <w:rPr>
          <w:sz w:val="16"/>
        </w:rPr>
        <w:t>FIN.FORENSIC.level3_fair_value (Level 3 Fair Value Asset Concentration): Data mapping not configured for this check</w:t>
      </w:r>
    </w:p>
    <w:p>
      <w:pPr>
        <w:pStyle w:val="DOBody"/>
      </w:pPr>
      <w:r>
        <w:rPr>
          <w:b/>
          <w:sz w:val="16"/>
        </w:rPr>
        <w:t xml:space="preserve">  [EVALUATIVE] </w:t>
      </w:r>
      <w:r>
        <w:rPr>
          <w:sz w:val="16"/>
        </w:rPr>
        <w:t>FIN.FORENSIC.goodwill_deterioration_pattern (Goodwill Deterioration Pattern): Data mapping not configured for this check</w:t>
      </w:r>
    </w:p>
    <w:p>
      <w:pPr>
        <w:pStyle w:val="DOBody"/>
      </w:pPr>
      <w:r>
        <w:rPr>
          <w:b/>
          <w:sz w:val="16"/>
        </w:rPr>
        <w:t xml:space="preserve">  [EVALUATIVE] </w:t>
      </w:r>
      <w:r>
        <w:rPr>
          <w:sz w:val="16"/>
        </w:rPr>
        <w:t>FIN.FORENSIC.related_party_revenue (Related Party Revenue Concentration): Data mapping not configured for this check</w:t>
      </w:r>
    </w:p>
    <w:p>
      <w:pPr>
        <w:pStyle w:val="DOBody"/>
      </w:pPr>
      <w:r>
        <w:rPr>
          <w:b/>
          <w:sz w:val="16"/>
        </w:rPr>
        <w:t xml:space="preserve">  [EVALUATIVE] </w:t>
      </w:r>
      <w:r>
        <w:rPr>
          <w:sz w:val="16"/>
        </w:rPr>
        <w:t>FWRD.EVENT.ma_integration_risk (M&amp;A Integration Risk): Data mapping not configured for this check</w:t>
      </w:r>
    </w:p>
    <w:p>
      <w:pPr>
        <w:pStyle w:val="DOBody"/>
      </w:pPr>
      <w:r>
        <w:rPr>
          <w:b/>
          <w:sz w:val="16"/>
        </w:rPr>
        <w:t xml:space="preserve">  [EVALUATIVE] </w:t>
      </w:r>
      <w:r>
        <w:rPr>
          <w:sz w:val="16"/>
        </w:rPr>
        <w:t>FIN.FORENSIC.deferred_revenue_divergence (Deferred Revenue Divergence): Data mapping not configured for this check</w:t>
      </w:r>
    </w:p>
    <w:p>
      <w:pPr>
        <w:pStyle w:val="DOBody"/>
      </w:pPr>
      <w:r>
        <w:rPr>
          <w:b/>
          <w:sz w:val="16"/>
        </w:rPr>
        <w:t xml:space="preserve">  [EVALUATIVE] </w:t>
      </w:r>
      <w:r>
        <w:rPr>
          <w:sz w:val="16"/>
        </w:rPr>
        <w:t>FIN.FORENSIC.acquisition_effectiveness (Acquisition Effectiveness): Data mapping not configured for this check</w:t>
      </w:r>
    </w:p>
    <w:p>
      <w:pPr>
        <w:pStyle w:val="DOBody"/>
      </w:pPr>
      <w:r>
        <w:rPr>
          <w:b/>
          <w:sz w:val="16"/>
        </w:rPr>
        <w:t xml:space="preserve">  [EVALUATIVE] </w:t>
      </w:r>
      <w:r>
        <w:rPr>
          <w:sz w:val="16"/>
        </w:rPr>
        <w:t>FIN.FORENSIC.buyback_timing (Share Buyback Timing Quality): Data mapping not configured for this check</w:t>
      </w:r>
    </w:p>
    <w:p>
      <w:pPr>
        <w:pStyle w:val="DOBody"/>
      </w:pPr>
      <w:r>
        <w:rPr>
          <w:b/>
          <w:sz w:val="16"/>
        </w:rPr>
        <w:t xml:space="preserve">  [EVALUATIVE] </w:t>
      </w:r>
      <w:r>
        <w:rPr>
          <w:sz w:val="16"/>
        </w:rPr>
        <w:t>FIN.FORENSIC.dividend_sustainability (Dividend Sustainability): Data mapping not configured for this check</w:t>
      </w:r>
    </w:p>
    <w:p>
      <w:pPr>
        <w:pStyle w:val="DOBody"/>
      </w:pPr>
      <w:r>
        <w:rPr>
          <w:b/>
          <w:sz w:val="16"/>
        </w:rPr>
        <w:t xml:space="preserve">  [EVALUATIVE] </w:t>
      </w:r>
      <w:r>
        <w:rPr>
          <w:sz w:val="16"/>
        </w:rPr>
        <w:t>FIN.FORENSIC.dsri_elevated (Days Sales Receivable Index Elevated): Data mapping not configured for this check</w:t>
      </w:r>
    </w:p>
    <w:p>
      <w:pPr>
        <w:pStyle w:val="DOBody"/>
      </w:pPr>
      <w:r>
        <w:rPr>
          <w:b/>
          <w:sz w:val="16"/>
        </w:rPr>
        <w:t xml:space="preserve">  [EVALUATIVE] </w:t>
      </w:r>
      <w:r>
        <w:rPr>
          <w:sz w:val="16"/>
        </w:rPr>
        <w:t>FIN.FORENSIC.aqi_elevated (Asset Quality Index Elevated): Data mapping not configured for this check</w:t>
      </w:r>
    </w:p>
    <w:p>
      <w:pPr>
        <w:pStyle w:val="DOBody"/>
      </w:pPr>
      <w:r>
        <w:rPr>
          <w:b/>
          <w:sz w:val="16"/>
        </w:rPr>
        <w:t xml:space="preserve">  [EVALUATIVE] </w:t>
      </w:r>
      <w:r>
        <w:rPr>
          <w:sz w:val="16"/>
        </w:rPr>
        <w:t>FIN.FORENSIC.tata_elevated (Total Accruals to Total Assets Elevated): Data mapping not configured for this check</w:t>
      </w:r>
    </w:p>
    <w:p>
      <w:pPr>
        <w:pStyle w:val="DOBody"/>
      </w:pPr>
      <w:r>
        <w:rPr>
          <w:b/>
          <w:sz w:val="16"/>
        </w:rPr>
        <w:t xml:space="preserve">  [EVALUATIVE] </w:t>
      </w:r>
      <w:r>
        <w:rPr>
          <w:sz w:val="16"/>
        </w:rPr>
        <w:t>FIN.FORENSIC.non_gaap_gap (Non-GAAP to GAAP Earnings Gap): Data mapping not configured for this check</w:t>
      </w:r>
    </w:p>
    <w:p>
      <w:pPr>
        <w:pStyle w:val="DOBody"/>
      </w:pPr>
      <w:r>
        <w:rPr>
          <w:b/>
          <w:sz w:val="16"/>
        </w:rPr>
        <w:t xml:space="preserve">  [EVALUATIVE] </w:t>
      </w:r>
      <w:r>
        <w:rPr>
          <w:sz w:val="16"/>
        </w:rPr>
        <w:t>FIN.FORENSIC.goodwill_growth_rate (Goodwill Growth Rate): Data mapping not configured for this check</w:t>
      </w:r>
    </w:p>
    <w:p>
      <w:pPr>
        <w:pStyle w:val="DOBody"/>
      </w:pPr>
      <w:r>
        <w:rPr>
          <w:b/>
          <w:sz w:val="16"/>
        </w:rPr>
        <w:t xml:space="preserve">  [EVALUATIVE] </w:t>
      </w:r>
      <w:r>
        <w:rPr>
          <w:sz w:val="16"/>
        </w:rPr>
        <w:t>FIN.FORENSIC.acquisition_to_revenue (Acquisition Spend Relative to Revenue): Data mapping not configured for this check</w:t>
      </w:r>
    </w:p>
    <w:p>
      <w:pPr>
        <w:pStyle w:val="DOBody"/>
      </w:pPr>
      <w:r>
        <w:rPr>
          <w:b/>
          <w:sz w:val="16"/>
        </w:rPr>
        <w:t xml:space="preserve">  [EVALUATIVE] </w:t>
      </w:r>
      <w:r>
        <w:rPr>
          <w:sz w:val="16"/>
        </w:rPr>
        <w:t>FIN.PROFIT.revenue (Revenue Analysis): Required data not available from filings</w:t>
      </w:r>
    </w:p>
    <w:p>
      <w:pPr>
        <w:pStyle w:val="DOBody"/>
      </w:pPr>
      <w:r>
        <w:rPr>
          <w:b/>
          <w:sz w:val="16"/>
        </w:rPr>
        <w:t xml:space="preserve">  [EVALUATIVE] </w:t>
      </w:r>
      <w:r>
        <w:rPr>
          <w:sz w:val="16"/>
        </w:rPr>
        <w:t>FIN.GUIDE.track_record (Guidance Track Record): Required data not available from filings</w:t>
      </w:r>
    </w:p>
    <w:p>
      <w:pPr>
        <w:pStyle w:val="DOBody"/>
      </w:pPr>
      <w:r>
        <w:rPr>
          <w:b/>
          <w:sz w:val="16"/>
        </w:rPr>
        <w:t xml:space="preserve">  [REQUIRED] </w:t>
      </w:r>
      <w:r>
        <w:rPr>
          <w:sz w:val="16"/>
        </w:rPr>
        <w:t>NLP.FILING.filing_timing_change (Filing Date Shifted Significantly vs Prior Year): Required data not available from filings</w:t>
      </w:r>
    </w:p>
    <w:p>
      <w:pPr>
        <w:pStyle w:val="DOBody"/>
      </w:pPr>
      <w:r>
        <w:rPr>
          <w:b/>
          <w:sz w:val="16"/>
        </w:rPr>
        <w:t xml:space="preserve">  [EVALUATIVE] </w:t>
      </w:r>
      <w:r>
        <w:rPr>
          <w:sz w:val="16"/>
        </w:rPr>
        <w:t>STOCK.VALUATION.pe_ratio (Pe Ratio): Required data not available from filings</w:t>
      </w:r>
    </w:p>
    <w:p>
      <w:pPr>
        <w:pStyle w:val="DOBody"/>
      </w:pPr>
      <w:r>
        <w:rPr>
          <w:b/>
          <w:sz w:val="16"/>
        </w:rPr>
        <w:t xml:space="preserve">  [EVALUATIVE] </w:t>
      </w:r>
      <w:r>
        <w:rPr>
          <w:sz w:val="16"/>
        </w:rPr>
        <w:t>STOCK.VALUATION.peg_ratio (Peg Ratio): Required data not available from filings</w:t>
      </w:r>
    </w:p>
    <w:p>
      <w:pPr>
        <w:pStyle w:val="DOBody"/>
      </w:pPr>
      <w:r>
        <w:rPr>
          <w:b/>
          <w:sz w:val="16"/>
        </w:rPr>
        <w:t xml:space="preserve">  [REQUIRED] </w:t>
      </w:r>
      <w:r>
        <w:rPr>
          <w:sz w:val="16"/>
        </w:rPr>
        <w:t>STOCK.ANALYST.momentum (Momentum): Required data not available from filings</w:t>
      </w:r>
    </w:p>
    <w:p>
      <w:pPr>
        <w:pStyle w:val="DOBody"/>
      </w:pPr>
      <w:r>
        <w:rPr>
          <w:b/>
          <w:sz w:val="16"/>
        </w:rPr>
        <w:t xml:space="preserve">  [EVALUATIVE] </w:t>
      </w:r>
      <w:r>
        <w:rPr>
          <w:sz w:val="16"/>
        </w:rPr>
        <w:t>FIN.FORENSIC.m_score_composite (Beneish M-Score Composite (XBRL)): Data mapping not configured for this check</w:t>
      </w:r>
    </w:p>
    <w:p>
      <w:pPr>
        <w:pStyle w:val="DOBody"/>
      </w:pPr>
      <w:r>
        <w:rPr>
          <w:sz w:val="16"/>
        </w:rPr>
        <w:t>Gap breakdown: Required items: 12 | Evaluative checks: 121 | Patterns: 2</w:t>
      </w:r>
    </w:p>
    <w:p>
      <w:pPr>
        <w:pStyle w:val="DOBody"/>
      </w:pPr>
      <w:r>
        <w:rPr>
          <w:b/>
        </w:rPr>
        <w:t>Total: 135 checks data-unavailable out of 576 total checks (77% coverage)</w:t>
      </w:r>
    </w:p>
    <w:p>
      <w:pPr>
        <w:spacing w:before="120" w:after="40"/>
        <w:pBdr>
          <w:bottom w:val="single" w:sz="6" w:space="1" w:color="FFD000"/>
        </w:pBdr>
      </w:pPr>
    </w:p>
    <w:p>
      <w:pPr>
        <w:pStyle w:val="DOHeading2"/>
      </w:pPr>
      <w:r>
        <w:t>Calibration Notes</w:t>
      </w:r>
    </w:p>
    <w:p>
      <w:pPr>
        <w:pStyle w:val="DOHeading3"/>
      </w:pPr>
      <w:r>
        <w:t>System Intelligence Status</w:t>
      </w:r>
    </w:p>
    <w:p>
      <w:pPr>
        <w:pStyle w:val="DOBody"/>
      </w:pPr>
      <w:r>
        <w:rPr>
          <w:b/>
        </w:rPr>
        <w:t>Checks active</w:t>
      </w:r>
      <w:r>
        <w:t>: 601</w:t>
      </w:r>
    </w:p>
    <w:p>
      <w:pPr>
        <w:pStyle w:val="DOBody"/>
      </w:pPr>
      <w:r>
        <w:rPr>
          <w:b/>
        </w:rPr>
        <w:t>Checks incubating</w:t>
      </w:r>
      <w:r>
        <w:t>: 0 (pending human approval)</w:t>
      </w:r>
    </w:p>
    <w:p>
      <w:pPr>
        <w:pStyle w:val="DOBody"/>
      </w:pPr>
      <w:r>
        <w:rPr>
          <w:b/>
        </w:rPr>
        <w:t>Pending feedback</w:t>
      </w:r>
      <w:r>
        <w:t>: 0 entries</w:t>
      </w:r>
    </w:p>
    <w:p>
      <w:pPr>
        <w:pStyle w:val="DOHeading3"/>
      </w:pPr>
      <w:r>
        <w:t>Recent Calibration Changes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8"/>
              </w:rPr>
              <w:t>Date</w:t>
            </w:r>
          </w:p>
        </w:tc>
        <w:tc>
          <w:tcPr>
            <w:tcW w:type="dxa" w:w="2520"/>
          </w:tcPr>
          <w:p>
            <w:r>
              <w:rPr>
                <w:b/>
                <w:sz w:val="18"/>
              </w:rPr>
              <w:t>Check</w:t>
            </w:r>
          </w:p>
        </w:tc>
        <w:tc>
          <w:tcPr>
            <w:tcW w:type="dxa" w:w="2520"/>
          </w:tcPr>
          <w:p>
            <w:r>
              <w:rPr>
                <w:b/>
                <w:sz w:val="18"/>
              </w:rPr>
              <w:t>Change</w:t>
            </w:r>
          </w:p>
        </w:tc>
        <w:tc>
          <w:tcPr>
            <w:tcW w:type="dxa" w:w="2520"/>
          </w:tcPr>
          <w:p>
            <w:r>
              <w:rPr>
                <w:b/>
                <w:sz w:val="18"/>
              </w:rPr>
              <w:t>Changed By</w:t>
            </w:r>
          </w:p>
        </w:tc>
      </w:tr>
      <w:tr>
        <w:tc>
          <w:tcPr>
            <w:tcW w:type="dxa" w:w="2520"/>
          </w:tcPr>
          <w:p>
            <w:r>
              <w:rPr>
                <w:sz w:val="18"/>
              </w:rPr>
              <w:t>2026-04-02</w:t>
            </w:r>
          </w:p>
        </w:tc>
        <w:tc>
          <w:tcPr>
            <w:tcW w:type="dxa" w:w="2520"/>
          </w:tcPr>
          <w:p>
            <w:r>
              <w:rPr>
                <w:sz w:val="18"/>
              </w:rPr>
              <w:t>GOV.FOUNDER_CRIMINAL_EXPOSURE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BIZ.CHINA_EXPOSURE_DISCLOSURE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GOV.EXPORT_CONTROL_COMPLIANCE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AI_DEVELOPMENT_TIMELINE_DISCLOSURE</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TECH_DEVELOPMENT_VS_MARKETING_HYPE</w:t>
            </w:r>
          </w:p>
        </w:tc>
        <w:tc>
          <w:tcPr>
            <w:tcW w:type="dxa" w:w="2520"/>
          </w:tcPr>
          <w:p>
            <w:r>
              <w:rPr>
                <w:sz w:val="18"/>
              </w:rPr>
              <w:t>Proposed by ingestion of 'blind_spot:AAPL:Apple Inc. (NASDAQ</w:t>
            </w:r>
          </w:p>
        </w:tc>
        <w:tc>
          <w:tcPr>
            <w:tcW w:type="dxa" w:w="2520"/>
          </w:tcPr>
          <w:p>
            <w:r>
              <w:rPr>
                <w:sz w:val="18"/>
              </w:rPr>
              <w:t>ingestion_pipeline</w:t>
            </w:r>
          </w:p>
        </w:tc>
      </w:tr>
      <w:tr>
        <w:tc>
          <w:tcPr>
            <w:tcW w:type="dxa" w:w="2520"/>
          </w:tcPr>
          <w:p>
            <w:r>
              <w:rPr>
                <w:sz w:val="18"/>
              </w:rPr>
              <w:t>2026-04-02</w:t>
            </w:r>
          </w:p>
        </w:tc>
        <w:tc>
          <w:tcPr>
            <w:tcW w:type="dxa" w:w="2520"/>
          </w:tcPr>
          <w:p>
            <w:r>
              <w:rPr>
                <w:sz w:val="18"/>
              </w:rPr>
              <w:t>AI_PROMISE_DISCONNECT</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TECH_DEVELOPMENT_RISK_DISCLOSURE</w:t>
            </w:r>
          </w:p>
        </w:tc>
        <w:tc>
          <w:tcPr>
            <w:tcW w:type="dxa" w:w="2520"/>
          </w:tcPr>
          <w:p>
            <w:r>
              <w:rPr>
                <w:sz w:val="18"/>
              </w:rPr>
              <w:t>Proposed by ingestion of 'blind_spot:AAPL:Apple Inc. (NASDAQ</w:t>
            </w:r>
          </w:p>
        </w:tc>
        <w:tc>
          <w:tcPr>
            <w:tcW w:type="dxa" w:w="2520"/>
          </w:tcPr>
          <w:p>
            <w:r>
              <w:rPr>
                <w:sz w:val="18"/>
              </w:rPr>
              <w:t>ingestion_pipeline</w:t>
            </w:r>
          </w:p>
        </w:tc>
      </w:tr>
      <w:tr>
        <w:tc>
          <w:tcPr>
            <w:tcW w:type="dxa" w:w="2520"/>
          </w:tcPr>
          <w:p>
            <w:r>
              <w:rPr>
                <w:sz w:val="18"/>
              </w:rPr>
              <w:t>2026-04-02</w:t>
            </w:r>
          </w:p>
        </w:tc>
        <w:tc>
          <w:tcPr>
            <w:tcW w:type="dxa" w:w="2520"/>
          </w:tcPr>
          <w:p>
            <w:r>
              <w:rPr>
                <w:sz w:val="18"/>
              </w:rPr>
              <w:t>TECH_PROTOTYPE_READINESS</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AI_PROMISE_VS_DELIVERY_GAP</w:t>
            </w:r>
          </w:p>
        </w:tc>
        <w:tc>
          <w:tcPr>
            <w:tcW w:type="dxa" w:w="2520"/>
          </w:tcPr>
          <w:p>
            <w:r>
              <w:rPr>
                <w:sz w:val="18"/>
              </w:rPr>
              <w:t>Proposed by ingestion of 'blind_spot:AAPL:AAPL LAWSUIT: Appl</w:t>
            </w:r>
          </w:p>
        </w:tc>
        <w:tc>
          <w:tcPr>
            <w:tcW w:type="dxa" w:w="2520"/>
          </w:tcPr>
          <w:p>
            <w:r>
              <w:rPr>
                <w:sz w:val="18"/>
              </w:rPr>
              <w:t>ingestion_pipeline</w:t>
            </w:r>
          </w:p>
        </w:tc>
      </w:tr>
      <w:tr>
        <w:tc>
          <w:tcPr>
            <w:tcW w:type="dxa" w:w="2520"/>
          </w:tcPr>
          <w:p>
            <w:r>
              <w:rPr>
                <w:sz w:val="18"/>
              </w:rPr>
              <w:t>2026-04-02</w:t>
            </w:r>
          </w:p>
        </w:tc>
        <w:tc>
          <w:tcPr>
            <w:tcW w:type="dxa" w:w="2520"/>
          </w:tcPr>
          <w:p>
            <w:r>
              <w:rPr>
                <w:sz w:val="18"/>
              </w:rPr>
              <w:t>PRODUCT_DEV_AI_DEPENDENCY</w:t>
            </w:r>
          </w:p>
        </w:tc>
        <w:tc>
          <w:tcPr>
            <w:tcW w:type="dxa" w:w="2520"/>
          </w:tcPr>
          <w:p>
            <w:r>
              <w:rPr>
                <w:sz w:val="18"/>
              </w:rPr>
              <w:t>Proposed by ingestion of 'blind_spot:AAPL:Apple Inc. (NASDAQ</w:t>
            </w:r>
          </w:p>
        </w:tc>
        <w:tc>
          <w:tcPr>
            <w:tcW w:type="dxa" w:w="2520"/>
          </w:tcPr>
          <w:p>
            <w:r>
              <w:rPr>
                <w:sz w:val="18"/>
              </w:rPr>
              <w:t>ingestion_pipeline</w:t>
            </w:r>
          </w:p>
        </w:tc>
      </w:tr>
    </w:tbl>
    <w:p>
      <w:pPr>
        <w:pStyle w:val="DOHeading3"/>
      </w:pPr>
      <w:r>
        <w:t>Discovery Findings</w:t>
      </w:r>
    </w:p>
    <w:p>
      <w:pPr>
        <w:pStyle w:val="DOBody"/>
      </w:pPr>
      <w:r>
        <w:t>1 document(s) analyzed, 0 proposal(s) generated, from blind spot search</w:t>
      </w:r>
    </w:p>
    <w:p>
      <w:pPr>
        <w:pStyle w:val="DOHeading3"/>
      </w:pPr>
      <w:r>
        <w:t>Feedback for INTC</w:t>
      </w:r>
    </w:p>
    <w:p>
      <w:pPr>
        <w:pStyle w:val="DOBody"/>
      </w:pPr>
      <w:r>
        <w:t>No pending feedback for INTC.</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999999"/>
        <w:sz w:val="14"/>
      </w:rPr>
      <w:t>Angry Dolphin Underwriting | Confidential</w:t>
    </w:r>
    <w:r>
      <w:rPr>
        <w:color w:val="999999"/>
        <w:sz w:val="14"/>
      </w:rPr>
      <w:t xml:space="preserve">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A1446"/>
        <w:sz w:val="16"/>
      </w:rPr>
      <w:t>INTEL CORP (INTC)</w:t>
    </w:r>
    <w:r>
      <w:rPr>
        <w:color w:val="999999"/>
        <w:sz w:val="16"/>
      </w:rPr>
      <w:t xml:space="preserve">  |  Generated: 2026-04-02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Heading1">
    <w:name w:val="DOHeading1"/>
    <w:pPr>
      <w:keepNext/>
      <w:spacing w:before="480" w:after="160"/>
    </w:pPr>
    <w:rPr>
      <w:rFonts w:ascii="Georgia" w:hAnsi="Georgia"/>
      <w:b/>
      <w:color w:val="1A1446"/>
      <w:sz w:val="40"/>
    </w:rPr>
  </w:style>
  <w:style w:type="paragraph" w:customStyle="1" w:styleId="DOHeading2">
    <w:name w:val="DOHeading2"/>
    <w:pPr>
      <w:keepNext/>
      <w:spacing w:before="280" w:after="80"/>
    </w:pPr>
    <w:rPr>
      <w:rFonts w:ascii="Georgia" w:hAnsi="Georgia"/>
      <w:b/>
      <w:color w:val="1A1446"/>
      <w:sz w:val="28"/>
    </w:rPr>
  </w:style>
  <w:style w:type="paragraph" w:customStyle="1" w:styleId="DOHeading3">
    <w:name w:val="DOHeading3"/>
    <w:pPr>
      <w:keepNext/>
      <w:spacing w:before="200" w:after="60"/>
    </w:pPr>
    <w:rPr>
      <w:rFonts w:ascii="Georgia" w:hAnsi="Georgia"/>
      <w:b/>
      <w:color w:val="1A1446"/>
      <w:sz w:val="24"/>
    </w:rPr>
  </w:style>
  <w:style w:type="paragraph" w:customStyle="1" w:styleId="DOBody">
    <w:name w:val="DOBody"/>
    <w:pPr>
      <w:spacing w:after="80"/>
    </w:pPr>
    <w:rPr>
      <w:rFonts w:ascii="Calibri" w:hAnsi="Calibri"/>
      <w:color w:val="333333"/>
      <w:sz w:val="20"/>
    </w:rPr>
  </w:style>
  <w:style w:type="paragraph" w:customStyle="1" w:styleId="DOCaption">
    <w:name w:val="DOCaption"/>
    <w:pPr>
      <w:spacing w:before="40" w:after="120"/>
    </w:pPr>
    <w:rPr>
      <w:rFonts w:ascii="Calibri" w:hAnsi="Calibri"/>
      <w:color w:val="666666"/>
      <w:sz w:val="18"/>
    </w:rPr>
  </w:style>
  <w:style w:type="paragraph" w:customStyle="1" w:styleId="DOCitation">
    <w:name w:val="DOCitation"/>
    <w:pPr>
      <w:spacing w:after="40"/>
    </w:pPr>
    <w:rPr>
      <w:rFonts w:ascii="Consolas" w:hAnsi="Consola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