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Moderna, Inc. (MRNA)</w:t>
      </w:r>
    </w:p>
    <w:p>
      <w:pPr>
        <w:pStyle w:val="DOBody"/>
      </w:pPr>
      <w:r>
        <w:rPr>
          <w:color w:val="666666"/>
          <w:sz w:val="20"/>
        </w:rPr>
        <w:t>Generated: April 02,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Moderna, Inc. presents a "NO_TOUCH" tier D&amp;O risk, necessitating a decisive **Decline** of coverage. The company's 17.92% inherent risk probability and a projected claim band of 3.95%-5.64% are unsustainable, driven by acute litigation exposures. A current securities class action (24-cv-12058) filed in 2024 imposes a 55-point scoring ceiling, while NLP-detected whistleblower language in filings suggests potential False Claims Act exposure, creating a 100-point ceiling. The "Prior Litigation" deduction of 4.64 points from a 20-point pool quantifies this pervasive legal overhang. Moderna's $19.5B market cap and 4,700 employees amplify potential settlement scales. Mitigants like a clean SEC enforcement pipeline and stable C-suite are overwhelmed by these specific, material headwinds. The forensic synthesis of active SCAs, whistleblower signals, and a 1.56-point M&amp;A deduction from its 2023 Spikevax restructuring confirms a profile where latent legal liabilities are poised to trigger shareholder claims. Consequently, underwriting action must be prophylactic; the "NO_TOUCH" designation reflects a binary risk that cannot be priced within standard D&amp;O parameters.</w:t>
      </w:r>
    </w:p>
    <w:p>
      <w:pPr>
        <w:pStyle w:val="DOHeading1"/>
      </w:pPr>
      <w:r>
        <w:t>Executive Summary</w:t>
      </w:r>
    </w:p>
    <w:p>
      <w:pPr>
        <w:pStyle w:val="DOHeading2"/>
      </w:pPr>
      <w:r>
        <w:t>Underwriting Thesis</w:t>
      </w:r>
    </w:p>
    <w:p>
      <w:pPr>
        <w:pStyle w:val="DOBody"/>
      </w:pPr>
      <w:r>
        <w:rPr>
          <w:color w:val="1A1446"/>
        </w:rPr>
        <w:t>Moderna, Inc. is a $19.5B (Decile 4 of 10) large-cap healthcare company that would normally present as a stronger underwriting account were it not for critical red flags: Active Securities Class Action and Whistleblower/Qui Tam Disclosure. These findings impose a hard quality score ceiling of 55, placing the account in NO_TOUCH tier (51/100) regardless of other favorable factors. The balance sheet is strong (D/E 0.07, Z-Score 3.77), eliminating financial distress as a D&amp;O claim catalyst. The primary risk driver is Prior Litigation, driving elevated risk in this area. Signal-driven scoring: 70 signals, coverage=100%. At a 4-6% claim probability (17.9% adjusted rate, 4.5x the Healthcare sector baseline of 4.0%), this account requires declination or exceptionally restrictive terms.</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Moderna, Inc.</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MRNA</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Healthcare</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Biotechnology</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$19.5B  [Decile 4]  (Ranks at the 0th percentile among 10 peers)</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$1.9B</w:t>
            </w:r>
          </w:p>
        </w:tc>
        <w:tc>
          <w:tcPr>
            <w:tcW w:type="dxa" w:w="3360"/>
          </w:tcPr>
          <w:p>
            <w:r>
              <w:rPr>
                <w:rFonts w:ascii="Calibri" w:hAnsi="Calibri"/>
                <w:color w:val="333333"/>
                <w:sz w:val="18"/>
              </w:rPr>
              <w:t>[10-K 2025-12-31 CIK1682852 accn:0001682852-26-000033, filed 2025-12-31,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4,700</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2836 -- Biological Products, (No Diagnostic Substances)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35203010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325414</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12-31</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NO_TOUCH</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87.3/100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50.9/100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4.6, F2: 0.9, F3: 1.4, F4: 1.6, F5: 0.0, F6: 1.1, F7: 1.2, F8: 1.1, F9: 0.7, F10: 0.2</w:t>
            </w:r>
          </w:p>
        </w:tc>
      </w:tr>
      <w:tr>
        <w:tc>
          <w:tcPr>
            <w:tcW w:type="dxa" w:w="5040"/>
          </w:tcPr>
          <w:p>
            <w:r>
              <w:rPr>
                <w:rFonts w:ascii="Calibri" w:hAnsi="Calibri"/>
                <w:color w:val="333333"/>
                <w:sz w:val="18"/>
              </w:rPr>
              <w:t>Score Ceiling</w:t>
            </w:r>
          </w:p>
        </w:tc>
        <w:tc>
          <w:tcPr>
            <w:tcW w:type="dxa" w:w="5040"/>
          </w:tcPr>
          <w:p>
            <w:r>
              <w:rPr>
                <w:rFonts w:ascii="Calibri" w:hAnsi="Calibri"/>
                <w:color w:val="333333"/>
                <w:sz w:val="18"/>
              </w:rPr>
              <w:t>Capped at 55 by CRF-1 (Active Securities Class Action)</w:t>
            </w:r>
          </w:p>
        </w:tc>
      </w:tr>
      <w:tr>
        <w:tc>
          <w:tcPr>
            <w:tcW w:type="dxa" w:w="5040"/>
            <w:shd w:fill="F2F4F8" w:val="clear"/>
          </w:tcPr>
          <w:p>
            <w:r>
              <w:rPr>
                <w:rFonts w:ascii="Calibri" w:hAnsi="Calibri"/>
                <w:color w:val="333333"/>
                <w:sz w:val="18"/>
              </w:rPr>
              <w:t>Position</w:t>
            </w:r>
          </w:p>
        </w:tc>
        <w:tc>
          <w:tcPr>
            <w:tcW w:type="dxa" w:w="5040"/>
            <w:shd w:fill="F2F4F8" w:val="clear"/>
          </w:tcPr>
          <w:p>
            <w:r>
              <w:rPr>
                <w:rFonts w:ascii="Calibri" w:hAnsi="Calibri"/>
                <w:color w:val="333333"/>
                <w:sz w:val="18"/>
              </w:rPr>
              <w:t>87.3 falls in NO_TOUCH range (0-10)</w:t>
            </w:r>
          </w:p>
        </w:tc>
      </w:tr>
      <w:tr>
        <w:tc>
          <w:tcPr>
            <w:tcW w:type="dxa" w:w="5040"/>
          </w:tcPr>
          <w:p>
            <w:r>
              <w:rPr>
                <w:rFonts w:ascii="Calibri" w:hAnsi="Calibri"/>
                <w:color w:val="333333"/>
                <w:sz w:val="18"/>
              </w:rPr>
              <w:t>Appetite</w:t>
            </w:r>
          </w:p>
        </w:tc>
        <w:tc>
          <w:tcPr>
            <w:tcW w:type="dxa" w:w="5040"/>
          </w:tcPr>
          <w:p>
            <w:r>
              <w:rPr>
                <w:rFonts w:ascii="Calibri" w:hAnsi="Calibri"/>
                <w:color w:val="333333"/>
                <w:sz w:val="18"/>
              </w:rPr>
              <w:t>Decline</w:t>
            </w:r>
          </w:p>
        </w:tc>
      </w:tr>
    </w:tbl>
    <w:p>
      <w:pPr>
        <w:pStyle w:val="DOBody"/>
      </w:pPr>
      <w:r>
        <w:t>Classification: NO_TOUCH</w:t>
      </w:r>
      <w:r>
        <w:rPr>
          <w:b/>
          <w:color w:val="DC2626"/>
          <w:sz w:val="18"/>
        </w:rPr>
        <w:t xml:space="preserve"> [CRITICAL]</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LARGE  [Decile 4]</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Healthcare (Base rate: 4.0%)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1.28x (LARGE cap multiplier) -&gt; 5.1%</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3.50x (quality score multiplier) -&gt; 17.9%</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$15.0M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$39.0M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$57.0M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$75.0M</w:t>
            </w:r>
          </w:p>
        </w:tc>
      </w:tr>
    </w:tbl>
    <w:p>
      <w:pPr>
        <w:pStyle w:val="DOBody"/>
      </w:pPr>
      <w:r>
        <w:t>At a 17.9% adjusted claim rate, the company faces 4.5x its sector baseline of 4.0% for Healthcare companies. This rate reflects the LARGE cap multiplier (1.28x) combined with the quality score multiplier (3.50x from NO_TOUCH tier classification). If the score improved to WRITE tier, the rate would drop to approximately 5.1%.</w:t>
      </w:r>
    </w:p>
    <w:p>
      <w:pPr>
        <w:pStyle w:val="DOCaption"/>
      </w:pPr>
      <w:r>
        <w:t>Note: NEEDS CALIBRATION</w:t>
      </w:r>
    </w:p>
    <w:p>
      <w:pPr>
        <w:pStyle w:val="DOHeading3"/>
      </w:pPr>
      <w:r>
        <w:t>Underwriting Headwinds</w:t>
      </w:r>
    </w:p>
    <w:p>
      <w:pPr>
        <w:pStyle w:val="DOBody"/>
      </w:pPr>
      <w:r>
        <w:rPr>
          <w:b/>
        </w:rPr>
        <w:t>1. Critical Red Flag</w:t>
      </w:r>
      <w:r>
        <w:rPr>
          <w:b/>
          <w:color w:val="DC2626"/>
          <w:sz w:val="18"/>
        </w:rPr>
        <w:t xml:space="preserve"> [CRITICAL]</w:t>
      </w:r>
    </w:p>
    <w:p>
      <w:pPr>
        <w:pStyle w:val="DOBody"/>
      </w:pPr>
      <w:r>
        <w:t>Critical Red Flag: Active Securities Class Action — Active SCA: In re Moderna, Inc. Securities Litigation (24-cv-12058) (2024). This triggers a Critical Red Flag, imposing a score ceiling of 50. (see Litigation)</w:t>
      </w:r>
    </w:p>
    <w:p>
      <w:pPr>
        <w:pStyle w:val="DOBody"/>
      </w:pPr>
      <w:r>
        <w:rPr>
          <w:b/>
        </w:rPr>
        <w:t>2. Critical Red Flag</w:t>
      </w:r>
      <w:r>
        <w:rPr>
          <w:b/>
          <w:color w:val="DC2626"/>
          <w:sz w:val="18"/>
        </w:rPr>
        <w:t xml:space="preserve"> [CRITICAL]</w:t>
      </w:r>
    </w:p>
    <w:p>
      <w:pPr>
        <w:pStyle w:val="DOBody"/>
      </w:pPr>
      <w:r>
        <w:t>Critical Red Flag: Whistleblower/Qui Tam Disclosure — NLP whistleblower signal: Whistleblower/qui tam language detected: whistleblower, false claims act. Presence of such language in filings may indicate pending or potential False Claims Act or SEC whistleblower actions.. This triggers a Critical Red Flag, imposing a score ceiling of 50. (see Litigation)</w:t>
      </w:r>
    </w:p>
    <w:p>
      <w:pPr>
        <w:pStyle w:val="DOBody"/>
      </w:pPr>
      <w:r>
        <w:rPr>
          <w:b/>
        </w:rPr>
        <w:t>3. Structural Complexity &amp; Litigation History</w:t>
      </w:r>
      <w:r>
        <w:rPr>
          <w:b/>
          <w:color w:val="EA580C"/>
          <w:sz w:val="18"/>
        </w:rPr>
        <w:t xml:space="preserve"> [HIGH]</w:t>
      </w:r>
    </w:p>
    <w:p>
      <w:pPr>
        <w:pStyle w:val="DOBody"/>
      </w:pPr>
      <w:r>
        <w:t>Moderna, Inc. has 44 subsidiaries, increasing multi-jurisdictional litigation exposure. The current docket includes 3 derivative suits, 3 securities class actions. With 6 pending matters at $19.5B market cap, Moderna, Inc. has an active litigation profile that will factor into loss-pick and pricing. (see Litigation)</w:t>
      </w:r>
    </w:p>
    <w:p>
      <w:pPr>
        <w:pStyle w:val="DOBody"/>
      </w:pPr>
      <w:r>
        <w:rPr>
          <w:b/>
        </w:rPr>
        <w:t>4. Stock Price Decline</w:t>
      </w:r>
      <w:r>
        <w:rPr>
          <w:b/>
          <w:color w:val="EAB308"/>
          <w:sz w:val="18"/>
        </w:rPr>
        <w:t xml:space="preserve"> [ELEVATED]</w:t>
      </w:r>
    </w:p>
    <w:p>
      <w:pPr>
        <w:pStyle w:val="DOBody"/>
      </w:pPr>
      <w:r>
        <w:t>Moderna, Inc.'s stock has undergone a -17% dip of -17.4% from $59.55 to $49.20 over 252 trading days. This creates an estimated Disclosure Dollar Loss (DDL) of $1.6B, well above institutional lead plaintiff thresholds. Short interest at 20.4% of float indicates institutional bearish positioning that often precedes or amplifies SCA filings. (see Market &amp; Trading)</w:t>
      </w:r>
    </w:p>
    <w:p>
      <w:pPr>
        <w:pStyle w:val="DOBody"/>
      </w:pPr>
      <w:r>
        <w:rPr>
          <w:b/>
        </w:rPr>
        <w:t>5. Transaction-Related Exposure</w:t>
      </w:r>
      <w:r>
        <w:rPr>
          <w:b/>
          <w:color w:val="EAB308"/>
          <w:sz w:val="18"/>
        </w:rPr>
        <w:t xml:space="preserve"> [ELEVATED]</w:t>
      </w:r>
    </w:p>
    <w:p>
      <w:pPr>
        <w:pStyle w:val="DOBody"/>
      </w:pPr>
      <w:r>
        <w:t>Moderna, Inc. has transaction-related risk factors. At $19.5B market cap, transaction claims carry both Section 10(b) exposure (misleading disclosures) and Section 14(a) exposure (deficient proxy statements).</w:t>
      </w:r>
    </w:p>
    <w:p>
      <w:pPr>
        <w:pStyle w:val="DOHeading3"/>
      </w:pPr>
      <w:r>
        <w:t>Risk Mitigants</w:t>
      </w:r>
    </w:p>
    <w:p>
      <w:pPr>
        <w:pStyle w:val="DOBody"/>
      </w:pPr>
      <w:r>
        <w:rPr>
          <w:b/>
        </w:rPr>
        <w:t>1. Clean Regulatory Record</w:t>
      </w:r>
    </w:p>
    <w:p>
      <w:pPr>
        <w:pStyle w:val="DOBody"/>
      </w:pPr>
      <w:r>
        <w:t>Moderna, Inc. has no active SEC enforcement pipeline activity, open investigations, or pending Wells Notices. A clean regulatory record for Moderna, Inc. eliminates the highest-severity D&amp;O claim catalyst and supports favorable underwriting consideration. (see Litigation)</w:t>
      </w:r>
    </w:p>
    <w:p>
      <w:pPr>
        <w:pStyle w:val="DOBody"/>
      </w:pPr>
      <w:r>
        <w:rPr>
          <w:b/>
        </w:rPr>
        <w:t>2. Clean Audit &amp; Accounting History</w:t>
      </w:r>
    </w:p>
    <w:p>
      <w:pPr>
        <w:pStyle w:val="DOBody"/>
      </w:pPr>
      <w:r>
        <w:t>Moderna, Inc. maintains a clean audit opinion from Ernst &amp; Young (tenure: 12 years) with no material weaknesses, restatements, or going concern qualifications. The 12-year relationship with Ernst &amp; Young provides audit continuity that reduces the likelihood of restatement-driven class actions. (see Financial Health)</w:t>
      </w:r>
    </w:p>
    <w:p>
      <w:pPr>
        <w:pStyle w:val="DOBody"/>
      </w:pPr>
      <w:r>
        <w:rPr>
          <w:b/>
        </w:rPr>
        <w:t>3. Sound Financial Position</w:t>
      </w:r>
    </w:p>
    <w:p>
      <w:pPr>
        <w:pStyle w:val="DOBody"/>
      </w:pPr>
      <w:r>
        <w:t>No financial distress indicators present (Altman Z-Score of 3.77, D/E of 0.07, current ratio of 3.7x, interest coverage of -164.4x). An Altman Z of 3.77 places Moderna, Inc. firmly in the safe zone, eliminating going-concern, covenant violation, and creditor-related D&amp;O exposure. (see Financial Health)</w:t>
      </w:r>
    </w:p>
    <w:p>
      <w:pPr>
        <w:pStyle w:val="DOBody"/>
      </w:pPr>
      <w:r>
        <w:rPr>
          <w:b/>
        </w:rPr>
        <w:t>4. Stable Executive Leadership</w:t>
      </w:r>
    </w:p>
    <w:p>
      <w:pPr>
        <w:pStyle w:val="DOBody"/>
      </w:pPr>
      <w:r>
        <w:t>Director Cambridge has led Moderna, Inc. for 0 years with no recent C-suite departures. While Director Cambridge leads the organization, the relatively brief 0-year tenure means limited track record for evaluating management's response to adversity. (see Governance)</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4.0% - 5.6%</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4.0%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$1.7B</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$3.6B</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$7.5B</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$15.6B</w:t>
            </w:r>
          </w:p>
        </w:tc>
      </w:tr>
    </w:tbl>
    <w:p>
      <w:pPr>
        <w:pStyle w:val="DOBody"/>
      </w:pPr>
      <w:r>
        <w:t>Probability Band: MODERATE</w:t>
      </w:r>
      <w:r>
        <w:rPr>
          <w:b/>
          <w:color w:val="EAB308"/>
          <w:sz w:val="18"/>
        </w:rPr>
        <w:t xml:space="preserve"> [ELEVATED]</w:t>
      </w:r>
    </w:p>
    <w:p>
      <w:pPr>
        <w:pStyle w:val="DOBody"/>
      </w:pPr>
      <w:r>
        <w:t>The 4-6% probability band represents approximately 1x the Healthcare sector base rate of 4.0%. Accounts in NO_TOUCH tier historically produce claims at elevated frequency. Industry base rate: 4.0%. Tier NO_TOUCH (20-25%): Substantially above base rate. Critical risk factors and/or red flags indicate high claim probability. NEEDS CALIBRATION: Probability estimates are indicative and require actuarial validation per SECT7-11. Enhanced frequency: 5.20% base x 0.83 hazard x 1.30 signal = 5.64%.</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Decline</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$2993.4M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120"/>
      </w:pPr>
      <w:r>
        <w:rPr>
          <w:color w:val="333333"/>
          <w:sz w:val="20"/>
        </w:rPr>
        <w:t>Company Overview</w:t>
        <w:br/>
        <w:t>Moderna, Inc. is a $19.5B market cap biotech that commercializes mRNA vaccines, with its three approved products including Spikevax generating nearly all revenue. Its 4,700 employees support a platform targeting oncology and rare diseases beyond its current infectious disease focus. The company has been public for only seven years, compressing its governance maturation into a period of extreme operational scale-up from a clinical-stage entity to a global commercial Large Accelerated Filer, increasing board oversight liability.</w:t>
        <w:br/>
        <w:br/>
        <w:t>Revenue Model</w:t>
        <w:br/>
        <w:t>Revenue is overwhelmingly concentrated in COVID-19 vaccine sales from its two COVID products, creating volatile, pandemic-dependent cash flows that peaked in the billions but are now normalizing. This product concentration, with only one other commercialized RSV vaccine (mRESVIA), means the $19.5B market cap company's revenue engine is highly susceptible to shifts in public health demand and competitive pipeline pressure. Future growth is entirely tied to clinical trial outcomes for its pipeline candidates, making financial projections inherently binary and a direct source of securities litigation risk if communications are overly optimistic.</w:t>
        <w:br/>
        <w:br/>
        <w:t>D&amp;O Risk Profile</w:t>
        <w:br/>
        <w:t>The core D&amp;O narrative is a Large Accelerated Filer navigating multi-jurisdictional regulatory scrutiny across the US, Europe, and Rest of World for its flagship products, where any adverse safety finding could trigger global shareholder suits. Its seven-year public life means the board that oversaw its explosive commercial scale-up is now defending clinical and commercial decisions in existing securities litigation, given its TRANSACTION_LITIGATION_RISK classification. The transition from a pandemic-driven commercial windfall to a sustainable pipeline company concentrates extraordinary strategic risk on current leadership's R&amp;D bets, exposing directors to allegations of oversight failure in a high-risk sector (SIC 2836).</w:t>
      </w:r>
    </w:p>
    <w:p>
      <w:pPr>
        <w:pStyle w:val="DOHeading1"/>
      </w:pPr>
      <w:r>
        <w:t>Section 2: Company Profile</w:t>
      </w:r>
    </w:p>
    <w:p>
      <w:pPr>
        <w:pStyle w:val="DOBody"/>
      </w:pPr>
      <w:r>
        <w:rPr>
          <w:rFonts w:ascii="Calibri" w:hAnsi="Calibri"/>
          <w:color w:val="333333"/>
          <w:sz w:val="20"/>
        </w:rPr>
        <w:t>Moderna, Inc. operates in the Biotechnology industry. The company has 4,700 employees and $19.5B market cap. Key D&amp;O exposure factors include: Regulatory Multi Jurisdiction, Transaction Litigation Risk.</w:t>
      </w:r>
      <w:r>
        <w:rPr>
          <w:rFonts w:ascii="Consolas" w:hAnsi="Consolas"/>
          <w:color w:val="666666"/>
          <w:sz w:val="16"/>
        </w:rPr>
        <w:t xml:space="preserve">  [derived:section_summary, 2026-04-02,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Moderna, Inc.</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MRNA</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1682852</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Healthcare</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2836</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Biological Products, (No Diagnostic Substances)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35203010</w:t>
            </w:r>
          </w:p>
        </w:tc>
        <w:tc>
          <w:tcPr>
            <w:tcW w:type="dxa" w:w="3360"/>
          </w:tcPr>
          <w:p>
            <w:r>
              <w:rPr>
                <w:rFonts w:ascii="Calibri" w:hAnsi="Calibri"/>
                <w:color w:val="333333"/>
                <w:sz w:val="18"/>
              </w:rPr>
              <w:t>[SIC-&gt;GICS mapping (SIC 2836), filed 2026-04-02,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325414</w:t>
            </w:r>
          </w:p>
        </w:tc>
        <w:tc>
          <w:tcPr>
            <w:tcW w:type="dxa" w:w="3360"/>
            <w:shd w:fill="F2F4F8" w:val="clear"/>
          </w:tcPr>
          <w:p>
            <w:r>
              <w:rPr>
                <w:rFonts w:ascii="Calibri" w:hAnsi="Calibri"/>
                <w:color w:val="333333"/>
                <w:sz w:val="18"/>
              </w:rPr>
              <w:t>[SIC-&gt;NAICS crosswalk (SIC 2836), filed 2026-04-02,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DE</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12-31</w:t>
            </w:r>
          </w:p>
        </w:tc>
        <w:tc>
          <w:tcPr>
            <w:tcW w:type="dxa" w:w="3360"/>
            <w:shd w:fill="F2F4F8" w:val="clear"/>
          </w:tcPr>
          <w:p>
            <w:r>
              <w:rPr>
                <w:rFonts w:ascii="Calibri" w:hAnsi="Calibri"/>
                <w:color w:val="333333"/>
                <w:sz w:val="18"/>
              </w:rPr>
              <w:t>[SEC EDGAR submissions, filed 2026-04-02, HIGH confidence]</w:t>
            </w:r>
          </w:p>
        </w:tc>
      </w:tr>
    </w:tbl>
    <w:p>
      <w:pPr>
        <w:pStyle w:val="DOHeading2"/>
      </w:pPr>
      <w:r>
        <w:t>Business Description</w:t>
      </w:r>
    </w:p>
    <w:p>
      <w:pPr>
        <w:pStyle w:val="DOBody"/>
      </w:pPr>
      <w:r>
        <w:rPr>
          <w:rFonts w:ascii="Calibri" w:hAnsi="Calibri"/>
          <w:color w:val="333333"/>
          <w:sz w:val="20"/>
        </w:rPr>
        <w:t>Moderna, Inc. is a biotechnology company pioneering mRNA medicines. Its platform enables the development of vaccine and therapeutic candidates across infectious disease, oncology, and rare disease. Moderna currently has three commercial products: Spikevax and mNEXSPIKE (COVID-19 vaccines) and mRESVIA (RSV vaccine). Revenue is primarily generated from product sales of these vaccines, with additional revenue from grants, collaborations, licensing, and stand-ready manufacturing agreements. The company is advancing a broad pipeline, including late-stage candidates in seasonal flu, norovirus, oncology (intismeran autogene), and rare diseases, supported by its integrated mRNA platform and global manufacturing network.</w:t>
      </w:r>
      <w:r>
        <w:rPr>
          <w:rFonts w:ascii="Consolas" w:hAnsi="Consolas"/>
          <w:color w:val="666666"/>
          <w:sz w:val="16"/>
        </w:rPr>
        <w:t xml:space="preserve">  [10-K (LLM), filed 2026-04-02, HIGH confidence]</w:t>
      </w:r>
    </w:p>
    <w:p>
      <w:pPr>
        <w:pStyle w:val="DOHeading2"/>
      </w:pPr>
      <w:r>
        <w:t>Subsidiaries</w:t>
      </w:r>
    </w:p>
    <w:p>
      <w:pPr>
        <w:pStyle w:val="DOBody"/>
      </w:pPr>
      <w:r>
        <w:rPr>
          <w:rFonts w:ascii="Calibri" w:hAnsi="Calibri"/>
          <w:color w:val="333333"/>
          <w:sz w:val="20"/>
        </w:rPr>
        <w:t>Total subsidiaries: 44</w:t>
      </w:r>
      <w:r>
        <w:rPr>
          <w:rFonts w:ascii="Consolas" w:hAnsi="Consolas"/>
          <w:color w:val="666666"/>
          <w:sz w:val="16"/>
        </w:rPr>
        <w:t xml:space="preserve">  [Exhibit 21 (subsidiary list), filed 2026-04-02, HIGH confidence]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TRANSACTION</w:t>
            </w:r>
          </w:p>
        </w:tc>
      </w:tr>
      <w:tr>
        <w:tc>
          <w:tcPr>
            <w:tcW w:type="dxa" w:w="5040"/>
            <w:shd w:fill="F2F4F8" w:val="clear"/>
          </w:tcPr>
          <w:p>
            <w:r>
              <w:rPr>
                <w:rFonts w:ascii="Calibri" w:hAnsi="Calibri"/>
                <w:color w:val="333333"/>
                <w:sz w:val="18"/>
              </w:rPr>
              <w:t>Key Person Risk</w:t>
            </w:r>
          </w:p>
        </w:tc>
        <w:tc>
          <w:tcPr>
            <w:tcW w:type="dxa" w:w="5040"/>
            <w:shd w:fill="F2F4F8" w:val="clear"/>
          </w:tcPr>
          <w:p>
            <w:r>
              <w:rPr>
                <w:rFonts w:ascii="Calibri" w:hAnsi="Calibri"/>
                <w:color w:val="333333"/>
                <w:sz w:val="18"/>
              </w:rPr>
              <w:t>LOW (Score: 1/3) - Founder-led</w:t>
            </w:r>
          </w:p>
        </w:tc>
      </w:tr>
      <w:tr>
        <w:tc>
          <w:tcPr>
            <w:tcW w:type="dxa" w:w="5040"/>
          </w:tcPr>
          <w:p>
            <w:r>
              <w:rPr>
                <w:rFonts w:ascii="Calibri" w:hAnsi="Calibri"/>
                <w:color w:val="333333"/>
                <w:sz w:val="18"/>
              </w:rPr>
              <w:t>Disruption Risk</w:t>
            </w:r>
          </w:p>
        </w:tc>
        <w:tc>
          <w:tcPr>
            <w:tcW w:type="dxa" w:w="5040"/>
          </w:tcPr>
          <w:p>
            <w:r>
              <w:rPr>
                <w:rFonts w:ascii="Calibri" w:hAnsi="Calibri"/>
                <w:color w:val="333333"/>
                <w:sz w:val="18"/>
              </w:rPr>
              <w:t>HIGH (3 threats) - Rapid evolution of competitive standards of care in oncology; Potential for new entrants or technological shifts in mRNA field; Regulatory changes impacting vaccine approvals and recommendations</w:t>
            </w:r>
          </w:p>
        </w:tc>
      </w:tr>
    </w:tbl>
    <w:p>
      <w:pPr>
        <w:pStyle w:val="DOHeading2"/>
      </w:pPr>
      <w:r>
        <w:t>Operational Complexity</w:t>
      </w:r>
    </w:p>
    <w:p>
      <w:pPr>
        <w:pStyle w:val="DOBody"/>
      </w:pPr>
      <w:r>
        <w:rPr>
          <w:b/>
        </w:rPr>
        <w:t>Complexity Score: 4700/20 --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19 (10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4,700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2</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6/100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 ] VIE / SPE  |  [ ] Dual-Class  |  [ ] Holding Depth  |  [ ]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LOW (Score: 0/4) | 0 acquisition years | Goodwill growth: -0.0%</w:t>
            </w:r>
          </w:p>
        </w:tc>
      </w:tr>
      <w:tr>
        <w:tc>
          <w:tcPr>
            <w:tcW w:type="dxa" w:w="5040"/>
            <w:shd w:fill="F2F4F8" w:val="clear"/>
          </w:tcPr>
          <w:p>
            <w:r>
              <w:rPr>
                <w:rFonts w:ascii="Calibri" w:hAnsi="Calibri"/>
                <w:color w:val="333333"/>
                <w:sz w:val="18"/>
              </w:rPr>
              <w:t>IPO / Offering Exposure</w:t>
            </w:r>
          </w:p>
        </w:tc>
        <w:tc>
          <w:tcPr>
            <w:tcW w:type="dxa" w:w="5040"/>
            <w:shd w:fill="F2F4F8" w:val="clear"/>
          </w:tcPr>
          <w:p>
            <w:r>
              <w:rPr>
                <w:rFonts w:ascii="Calibri" w:hAnsi="Calibri"/>
                <w:color w:val="333333"/>
                <w:sz w:val="18"/>
              </w:rPr>
              <w:t>LOW - 7 years public</w:t>
            </w:r>
          </w:p>
        </w:tc>
      </w:tr>
    </w:tbl>
    <w:p>
      <w:pPr>
        <w:pStyle w:val="DOBody"/>
      </w:pPr>
      <w:r>
        <w:rPr>
          <w:b/>
        </w:rPr>
        <w:t>Business Changes:</w:t>
      </w:r>
    </w:p>
    <w:p>
      <w:pPr>
        <w:pStyle w:val="DOBody"/>
      </w:pPr>
      <w:r>
        <w:t xml:space="preserve">  - 12 current event filings (8-K), most recent 2026-03-05</w:t>
      </w:r>
    </w:p>
    <w:p>
      <w:pPr>
        <w:pStyle w:val="DOBody"/>
      </w:pPr>
      <w:r>
        <w:t xml:space="preserve">  - M&amp;A activity indicated (acquisition)</w:t>
      </w:r>
    </w:p>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UNH</w:t>
            </w:r>
          </w:p>
        </w:tc>
        <w:tc>
          <w:tcPr>
            <w:tcW w:type="dxa" w:w="2016"/>
          </w:tcPr>
          <w:p>
            <w:r>
              <w:rPr>
                <w:rFonts w:ascii="Calibri" w:hAnsi="Calibri"/>
                <w:color w:val="333333"/>
                <w:sz w:val="18"/>
              </w:rPr>
              <w:t>UnitedHealth Group Incorporated</w:t>
            </w:r>
          </w:p>
        </w:tc>
        <w:tc>
          <w:tcPr>
            <w:tcW w:type="dxa" w:w="2016"/>
          </w:tcPr>
          <w:p>
            <w:r>
              <w:rPr>
                <w:rFonts w:ascii="Calibri" w:hAnsi="Calibri"/>
                <w:color w:val="333333"/>
                <w:sz w:val="18"/>
              </w:rPr>
              <w:t>$251.7B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11%</w:t>
            </w:r>
          </w:p>
        </w:tc>
      </w:tr>
      <w:tr>
        <w:tc>
          <w:tcPr>
            <w:tcW w:type="dxa" w:w="2016"/>
            <w:shd w:fill="F2F4F8" w:val="clear"/>
          </w:tcPr>
          <w:p>
            <w:r>
              <w:rPr>
                <w:rFonts w:ascii="Calibri" w:hAnsi="Calibri"/>
                <w:color w:val="333333"/>
                <w:sz w:val="18"/>
              </w:rPr>
              <w:t>JNJ</w:t>
            </w:r>
          </w:p>
        </w:tc>
        <w:tc>
          <w:tcPr>
            <w:tcW w:type="dxa" w:w="2016"/>
            <w:shd w:fill="F2F4F8" w:val="clear"/>
          </w:tcPr>
          <w:p>
            <w:r>
              <w:rPr>
                <w:rFonts w:ascii="Calibri" w:hAnsi="Calibri"/>
                <w:color w:val="333333"/>
                <w:sz w:val="18"/>
              </w:rPr>
              <w:t>Johnson &amp; Johnson</w:t>
            </w:r>
          </w:p>
        </w:tc>
        <w:tc>
          <w:tcPr>
            <w:tcW w:type="dxa" w:w="2016"/>
            <w:shd w:fill="F2F4F8" w:val="clear"/>
          </w:tcPr>
          <w:p>
            <w:r>
              <w:rPr>
                <w:rFonts w:ascii="Calibri" w:hAnsi="Calibri"/>
                <w:color w:val="333333"/>
                <w:sz w:val="18"/>
              </w:rPr>
              <w:t>$585.7B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11%</w:t>
            </w:r>
          </w:p>
        </w:tc>
      </w:tr>
      <w:tr>
        <w:tc>
          <w:tcPr>
            <w:tcW w:type="dxa" w:w="2016"/>
          </w:tcPr>
          <w:p>
            <w:r>
              <w:rPr>
                <w:rFonts w:ascii="Calibri" w:hAnsi="Calibri"/>
                <w:color w:val="333333"/>
                <w:sz w:val="18"/>
              </w:rPr>
              <w:t>LLY</w:t>
            </w:r>
          </w:p>
        </w:tc>
        <w:tc>
          <w:tcPr>
            <w:tcW w:type="dxa" w:w="2016"/>
          </w:tcPr>
          <w:p>
            <w:r>
              <w:rPr>
                <w:rFonts w:ascii="Calibri" w:hAnsi="Calibri"/>
                <w:color w:val="333333"/>
                <w:sz w:val="18"/>
              </w:rPr>
              <w:t>Eli Lilly and Company</w:t>
            </w:r>
          </w:p>
        </w:tc>
        <w:tc>
          <w:tcPr>
            <w:tcW w:type="dxa" w:w="2016"/>
          </w:tcPr>
          <w:p>
            <w:r>
              <w:rPr>
                <w:rFonts w:ascii="Calibri" w:hAnsi="Calibri"/>
                <w:color w:val="333333"/>
                <w:sz w:val="18"/>
              </w:rPr>
              <w:t>$837.4B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12%</w:t>
            </w:r>
          </w:p>
        </w:tc>
      </w:tr>
      <w:tr>
        <w:tc>
          <w:tcPr>
            <w:tcW w:type="dxa" w:w="2016"/>
            <w:shd w:fill="F2F4F8" w:val="clear"/>
          </w:tcPr>
          <w:p>
            <w:r>
              <w:rPr>
                <w:rFonts w:ascii="Calibri" w:hAnsi="Calibri"/>
                <w:color w:val="333333"/>
                <w:sz w:val="18"/>
              </w:rPr>
              <w:t>PFE</w:t>
            </w:r>
          </w:p>
        </w:tc>
        <w:tc>
          <w:tcPr>
            <w:tcW w:type="dxa" w:w="2016"/>
            <w:shd w:fill="F2F4F8" w:val="clear"/>
          </w:tcPr>
          <w:p>
            <w:r>
              <w:rPr>
                <w:rFonts w:ascii="Calibri" w:hAnsi="Calibri"/>
                <w:color w:val="333333"/>
                <w:sz w:val="18"/>
              </w:rPr>
              <w:t>Pfizer, Inc.</w:t>
            </w:r>
          </w:p>
        </w:tc>
        <w:tc>
          <w:tcPr>
            <w:tcW w:type="dxa" w:w="2016"/>
            <w:shd w:fill="F2F4F8" w:val="clear"/>
          </w:tcPr>
          <w:p>
            <w:r>
              <w:rPr>
                <w:rFonts w:ascii="Calibri" w:hAnsi="Calibri"/>
                <w:color w:val="333333"/>
                <w:sz w:val="18"/>
              </w:rPr>
              <w:t>$161.1B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12%</w:t>
            </w:r>
          </w:p>
        </w:tc>
      </w:tr>
      <w:tr>
        <w:tc>
          <w:tcPr>
            <w:tcW w:type="dxa" w:w="2016"/>
          </w:tcPr>
          <w:p>
            <w:r>
              <w:rPr>
                <w:rFonts w:ascii="Calibri" w:hAnsi="Calibri"/>
                <w:color w:val="333333"/>
                <w:sz w:val="18"/>
              </w:rPr>
              <w:t>ABBV</w:t>
            </w:r>
          </w:p>
        </w:tc>
        <w:tc>
          <w:tcPr>
            <w:tcW w:type="dxa" w:w="2016"/>
          </w:tcPr>
          <w:p>
            <w:r>
              <w:rPr>
                <w:rFonts w:ascii="Calibri" w:hAnsi="Calibri"/>
                <w:color w:val="333333"/>
                <w:sz w:val="18"/>
              </w:rPr>
              <w:t>AbbVie Inc.</w:t>
            </w:r>
          </w:p>
        </w:tc>
        <w:tc>
          <w:tcPr>
            <w:tcW w:type="dxa" w:w="2016"/>
          </w:tcPr>
          <w:p>
            <w:r>
              <w:rPr>
                <w:rFonts w:ascii="Calibri" w:hAnsi="Calibri"/>
                <w:color w:val="333333"/>
                <w:sz w:val="18"/>
              </w:rPr>
              <w:t>$369.4B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11%</w:t>
            </w:r>
          </w:p>
        </w:tc>
      </w:tr>
      <w:tr>
        <w:tc>
          <w:tcPr>
            <w:tcW w:type="dxa" w:w="2016"/>
            <w:shd w:fill="F2F4F8" w:val="clear"/>
          </w:tcPr>
          <w:p>
            <w:r>
              <w:rPr>
                <w:rFonts w:ascii="Calibri" w:hAnsi="Calibri"/>
                <w:color w:val="333333"/>
                <w:sz w:val="18"/>
              </w:rPr>
              <w:t>MRK</w:t>
            </w:r>
          </w:p>
        </w:tc>
        <w:tc>
          <w:tcPr>
            <w:tcW w:type="dxa" w:w="2016"/>
            <w:shd w:fill="F2F4F8" w:val="clear"/>
          </w:tcPr>
          <w:p>
            <w:r>
              <w:rPr>
                <w:rFonts w:ascii="Calibri" w:hAnsi="Calibri"/>
                <w:color w:val="333333"/>
                <w:sz w:val="18"/>
              </w:rPr>
              <w:t>Merck &amp; Company, Inc.</w:t>
            </w:r>
          </w:p>
        </w:tc>
        <w:tc>
          <w:tcPr>
            <w:tcW w:type="dxa" w:w="2016"/>
            <w:shd w:fill="F2F4F8" w:val="clear"/>
          </w:tcPr>
          <w:p>
            <w:r>
              <w:rPr>
                <w:rFonts w:ascii="Calibri" w:hAnsi="Calibri"/>
                <w:color w:val="333333"/>
                <w:sz w:val="18"/>
              </w:rPr>
              <w:t>$298.8B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11%</w:t>
            </w:r>
          </w:p>
        </w:tc>
      </w:tr>
      <w:tr>
        <w:tc>
          <w:tcPr>
            <w:tcW w:type="dxa" w:w="2016"/>
          </w:tcPr>
          <w:p>
            <w:r>
              <w:rPr>
                <w:rFonts w:ascii="Calibri" w:hAnsi="Calibri"/>
                <w:color w:val="333333"/>
                <w:sz w:val="18"/>
              </w:rPr>
              <w:t>TMO</w:t>
            </w:r>
          </w:p>
        </w:tc>
        <w:tc>
          <w:tcPr>
            <w:tcW w:type="dxa" w:w="2016"/>
          </w:tcPr>
          <w:p>
            <w:r>
              <w:rPr>
                <w:rFonts w:ascii="Calibri" w:hAnsi="Calibri"/>
                <w:color w:val="333333"/>
                <w:sz w:val="18"/>
              </w:rPr>
              <w:t>Thermo Fisher Scientific Inc</w:t>
            </w:r>
          </w:p>
        </w:tc>
        <w:tc>
          <w:tcPr>
            <w:tcW w:type="dxa" w:w="2016"/>
          </w:tcPr>
          <w:p>
            <w:r>
              <w:rPr>
                <w:rFonts w:ascii="Calibri" w:hAnsi="Calibri"/>
                <w:color w:val="333333"/>
                <w:sz w:val="18"/>
              </w:rPr>
              <w:t>$182.6B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12%</w:t>
            </w:r>
          </w:p>
        </w:tc>
      </w:tr>
      <w:tr>
        <w:tc>
          <w:tcPr>
            <w:tcW w:type="dxa" w:w="2016"/>
            <w:shd w:fill="F2F4F8" w:val="clear"/>
          </w:tcPr>
          <w:p>
            <w:r>
              <w:rPr>
                <w:rFonts w:ascii="Calibri" w:hAnsi="Calibri"/>
                <w:color w:val="333333"/>
                <w:sz w:val="18"/>
              </w:rPr>
              <w:t>ABT</w:t>
            </w:r>
          </w:p>
        </w:tc>
        <w:tc>
          <w:tcPr>
            <w:tcW w:type="dxa" w:w="2016"/>
            <w:shd w:fill="F2F4F8" w:val="clear"/>
          </w:tcPr>
          <w:p>
            <w:r>
              <w:rPr>
                <w:rFonts w:ascii="Calibri" w:hAnsi="Calibri"/>
                <w:color w:val="333333"/>
                <w:sz w:val="18"/>
              </w:rPr>
              <w:t>Abbott Laboratories</w:t>
            </w:r>
          </w:p>
        </w:tc>
        <w:tc>
          <w:tcPr>
            <w:tcW w:type="dxa" w:w="2016"/>
            <w:shd w:fill="F2F4F8" w:val="clear"/>
          </w:tcPr>
          <w:p>
            <w:r>
              <w:rPr>
                <w:rFonts w:ascii="Calibri" w:hAnsi="Calibri"/>
                <w:color w:val="333333"/>
                <w:sz w:val="18"/>
              </w:rPr>
              <w:t>$178.8B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12%</w:t>
            </w:r>
          </w:p>
        </w:tc>
      </w:tr>
      <w:tr>
        <w:tc>
          <w:tcPr>
            <w:tcW w:type="dxa" w:w="2016"/>
          </w:tcPr>
          <w:p>
            <w:r>
              <w:rPr>
                <w:rFonts w:ascii="Calibri" w:hAnsi="Calibri"/>
                <w:color w:val="333333"/>
                <w:sz w:val="18"/>
              </w:rPr>
              <w:t>DHR</w:t>
            </w:r>
          </w:p>
        </w:tc>
        <w:tc>
          <w:tcPr>
            <w:tcW w:type="dxa" w:w="2016"/>
          </w:tcPr>
          <w:p>
            <w:r>
              <w:rPr>
                <w:rFonts w:ascii="Calibri" w:hAnsi="Calibri"/>
                <w:color w:val="333333"/>
                <w:sz w:val="18"/>
              </w:rPr>
              <w:t>Danaher Corporation</w:t>
            </w:r>
          </w:p>
        </w:tc>
        <w:tc>
          <w:tcPr>
            <w:tcW w:type="dxa" w:w="2016"/>
          </w:tcPr>
          <w:p>
            <w:r>
              <w:rPr>
                <w:rFonts w:ascii="Calibri" w:hAnsi="Calibri"/>
                <w:color w:val="333333"/>
                <w:sz w:val="18"/>
              </w:rPr>
              <w:t>$135.3B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12%</w:t>
            </w:r>
          </w:p>
        </w:tc>
      </w:tr>
      <w:tr>
        <w:tc>
          <w:tcPr>
            <w:tcW w:type="dxa" w:w="2016"/>
            <w:shd w:fill="F2F4F8" w:val="clear"/>
          </w:tcPr>
          <w:p>
            <w:r>
              <w:rPr>
                <w:rFonts w:ascii="Calibri" w:hAnsi="Calibri"/>
                <w:color w:val="333333"/>
                <w:sz w:val="18"/>
              </w:rPr>
              <w:t>BMY</w:t>
            </w:r>
          </w:p>
        </w:tc>
        <w:tc>
          <w:tcPr>
            <w:tcW w:type="dxa" w:w="2016"/>
            <w:shd w:fill="F2F4F8" w:val="clear"/>
          </w:tcPr>
          <w:p>
            <w:r>
              <w:rPr>
                <w:rFonts w:ascii="Calibri" w:hAnsi="Calibri"/>
                <w:color w:val="333333"/>
                <w:sz w:val="18"/>
              </w:rPr>
              <w:t>Bristol-Myers Squibb Company</w:t>
            </w:r>
          </w:p>
        </w:tc>
        <w:tc>
          <w:tcPr>
            <w:tcW w:type="dxa" w:w="2016"/>
            <w:shd w:fill="F2F4F8" w:val="clear"/>
          </w:tcPr>
          <w:p>
            <w:r>
              <w:rPr>
                <w:rFonts w:ascii="Calibri" w:hAnsi="Calibri"/>
                <w:color w:val="333333"/>
                <w:sz w:val="18"/>
              </w:rPr>
              <w:t>$121.7B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11%</w:t>
            </w:r>
          </w:p>
        </w:tc>
      </w:tr>
    </w:tbl>
    <w:p>
      <w:pPr>
        <w:pStyle w:val="DOBody"/>
      </w:pPr>
      <w:r>
        <w:rPr>
          <w:rFonts w:ascii="Calibri" w:hAnsi="Calibri"/>
          <w:color w:val="333333"/>
          <w:sz w:val="20"/>
        </w:rPr>
        <w:t>The peer group of 10 companies shares the same industry classification (SIC 2836). Moderna, Inc. ranks at the 0th percentile among 10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Region</w:t>
            </w:r>
          </w:p>
        </w:tc>
        <w:tc>
          <w:tcPr>
            <w:tcW w:type="dxa" w:w="3360"/>
            <w:shd w:fill="1A1446" w:val="clear"/>
          </w:tcPr>
          <w:p>
            <w:r>
              <w:rPr>
                <w:rFonts w:ascii="Calibri" w:hAnsi="Calibri"/>
                <w:b/>
                <w:color w:val="FFFFFF"/>
                <w:sz w:val="18"/>
              </w:rPr>
              <w:t>Revenue</w:t>
            </w:r>
          </w:p>
        </w:tc>
        <w:tc>
          <w:tcPr>
            <w:tcW w:type="dxa" w:w="3360"/>
            <w:shd w:fill="1A1446" w:val="clear"/>
          </w:tcPr>
          <w:p>
            <w:r>
              <w:rPr>
                <w:rFonts w:ascii="Calibri" w:hAnsi="Calibri"/>
                <w:b/>
                <w:color w:val="FFFFFF"/>
                <w:sz w:val="18"/>
              </w:rPr>
              <w:t>% of Total</w:t>
            </w:r>
          </w:p>
        </w:tc>
      </w:tr>
      <w:tr>
        <w:tc>
          <w:tcPr>
            <w:tcW w:type="dxa" w:w="3360"/>
          </w:tcPr>
          <w:p>
            <w:r>
              <w:rPr>
                <w:rFonts w:ascii="Calibri" w:hAnsi="Calibri"/>
                <w:color w:val="333333"/>
                <w:sz w:val="18"/>
              </w:rPr>
              <w:t>United States</w:t>
            </w:r>
          </w:p>
        </w:tc>
        <w:tc>
          <w:tcPr>
            <w:tcW w:type="dxa" w:w="3360"/>
          </w:tcPr>
          <w:p>
            <w:r>
              <w:rPr>
                <w:rFonts w:ascii="Calibri" w:hAnsi="Calibri"/>
                <w:color w:val="333333"/>
                <w:sz w:val="18"/>
              </w:rPr>
              <w:t>N/A</w:t>
            </w:r>
          </w:p>
        </w:tc>
        <w:tc>
          <w:tcPr>
            <w:tcW w:type="dxa" w:w="3360"/>
          </w:tcPr>
          <w:p>
            <w:r>
              <w:rPr>
                <w:rFonts w:ascii="Calibri" w:hAnsi="Calibri"/>
                <w:color w:val="333333"/>
                <w:sz w:val="18"/>
              </w:rPr>
              <w:t>$1,165 million (2025)</w:t>
            </w:r>
          </w:p>
        </w:tc>
      </w:tr>
      <w:tr>
        <w:tc>
          <w:tcPr>
            <w:tcW w:type="dxa" w:w="3360"/>
            <w:shd w:fill="F2F4F8" w:val="clear"/>
          </w:tcPr>
          <w:p>
            <w:r>
              <w:rPr>
                <w:rFonts w:ascii="Calibri" w:hAnsi="Calibri"/>
                <w:color w:val="333333"/>
                <w:sz w:val="18"/>
              </w:rPr>
              <w:t>Europe</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$50 million (2025)</w:t>
            </w:r>
          </w:p>
        </w:tc>
      </w:tr>
      <w:tr>
        <w:tc>
          <w:tcPr>
            <w:tcW w:type="dxa" w:w="3360"/>
          </w:tcPr>
          <w:p>
            <w:r>
              <w:rPr>
                <w:rFonts w:ascii="Calibri" w:hAnsi="Calibri"/>
                <w:color w:val="333333"/>
                <w:sz w:val="18"/>
              </w:rPr>
              <w:t>Rest of world</w:t>
            </w:r>
          </w:p>
        </w:tc>
        <w:tc>
          <w:tcPr>
            <w:tcW w:type="dxa" w:w="3360"/>
          </w:tcPr>
          <w:p>
            <w:r>
              <w:rPr>
                <w:rFonts w:ascii="Calibri" w:hAnsi="Calibri"/>
                <w:color w:val="333333"/>
                <w:sz w:val="18"/>
              </w:rPr>
              <w:t>N/A</w:t>
            </w:r>
          </w:p>
        </w:tc>
        <w:tc>
          <w:tcPr>
            <w:tcW w:type="dxa" w:w="3360"/>
          </w:tcPr>
          <w:p>
            <w:r>
              <w:rPr>
                <w:rFonts w:ascii="Calibri" w:hAnsi="Calibri"/>
                <w:color w:val="333333"/>
                <w:sz w:val="18"/>
              </w:rPr>
              <w:t>$603 million (2025)</w:t>
            </w:r>
          </w:p>
        </w:tc>
      </w:tr>
    </w:tbl>
    <w:p>
      <w:pPr>
        <w:pStyle w:val="DOHeading2"/>
      </w:pPr>
      <w:r>
        <w:t>Customer &amp; Supplier Concentration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Customer</w:t>
            </w:r>
          </w:p>
        </w:tc>
        <w:tc>
          <w:tcPr>
            <w:tcW w:type="dxa" w:w="3360"/>
            <w:shd w:fill="1A1446" w:val="clear"/>
          </w:tcPr>
          <w:p>
            <w:r>
              <w:rPr>
                <w:rFonts w:ascii="Calibri" w:hAnsi="Calibri"/>
                <w:b/>
                <w:color w:val="FFFFFF"/>
                <w:sz w:val="18"/>
              </w:rPr>
              <w:t>% of Revenue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FFF Enterprises: 15% of revenue (2025)</w:t>
            </w:r>
          </w:p>
        </w:tc>
        <w:tc>
          <w:tcPr>
            <w:tcW w:type="dxa" w:w="3360"/>
          </w:tcPr>
          <w:p>
            <w:r>
              <w:rPr>
                <w:rFonts w:ascii="Calibri" w:hAnsi="Calibri"/>
                <w:color w:val="333333"/>
                <w:sz w:val="18"/>
              </w:rPr>
              <w:t>0.0%</w:t>
            </w:r>
          </w:p>
        </w:tc>
        <w:tc>
          <w:tcPr>
            <w:tcW w:type="dxa" w:w="3360"/>
          </w:tcPr>
          <w:p>
            <w:r>
              <w:rPr>
                <w:rFonts w:ascii="Calibri" w:hAnsi="Calibri"/>
                <w:color w:val="333333"/>
                <w:sz w:val="18"/>
              </w:rPr>
              <w:t>[10-K (LLM), 2026-04-02, HIGH]</w:t>
            </w:r>
          </w:p>
        </w:tc>
      </w:tr>
      <w:tr>
        <w:tc>
          <w:tcPr>
            <w:tcW w:type="dxa" w:w="3360"/>
            <w:shd w:fill="F2F4F8" w:val="clear"/>
          </w:tcPr>
          <w:p>
            <w:r>
              <w:rPr>
                <w:rFonts w:ascii="Calibri" w:hAnsi="Calibri"/>
                <w:color w:val="333333"/>
                <w:sz w:val="18"/>
              </w:rPr>
              <w:t>Public Works and Government Services Canada: 13% of revenue (2025)</w:t>
            </w:r>
          </w:p>
        </w:tc>
        <w:tc>
          <w:tcPr>
            <w:tcW w:type="dxa" w:w="3360"/>
            <w:shd w:fill="F2F4F8" w:val="clear"/>
          </w:tcPr>
          <w:p>
            <w:r>
              <w:rPr>
                <w:rFonts w:ascii="Calibri" w:hAnsi="Calibri"/>
                <w:color w:val="333333"/>
                <w:sz w:val="18"/>
              </w:rPr>
              <w:t>0.0%</w:t>
            </w:r>
          </w:p>
        </w:tc>
        <w:tc>
          <w:tcPr>
            <w:tcW w:type="dxa" w:w="3360"/>
            <w:shd w:fill="F2F4F8" w:val="clear"/>
          </w:tcPr>
          <w:p>
            <w:r>
              <w:rPr>
                <w:rFonts w:ascii="Calibri" w:hAnsi="Calibri"/>
                <w:color w:val="333333"/>
                <w:sz w:val="18"/>
              </w:rPr>
              <w:t>[10-K (LLM), 2026-04-02, HIGH]</w:t>
            </w:r>
          </w:p>
        </w:tc>
      </w:tr>
      <w:tr>
        <w:tc>
          <w:tcPr>
            <w:tcW w:type="dxa" w:w="3360"/>
          </w:tcPr>
          <w:p>
            <w:r>
              <w:rPr>
                <w:rFonts w:ascii="Calibri" w:hAnsi="Calibri"/>
                <w:color w:val="333333"/>
                <w:sz w:val="18"/>
              </w:rPr>
              <w:t>Cardinal Health: 11% of revenue (2025)</w:t>
            </w:r>
          </w:p>
        </w:tc>
        <w:tc>
          <w:tcPr>
            <w:tcW w:type="dxa" w:w="3360"/>
          </w:tcPr>
          <w:p>
            <w:r>
              <w:rPr>
                <w:rFonts w:ascii="Calibri" w:hAnsi="Calibri"/>
                <w:color w:val="333333"/>
                <w:sz w:val="18"/>
              </w:rPr>
              <w:t>0.0%</w:t>
            </w:r>
          </w:p>
        </w:tc>
        <w:tc>
          <w:tcPr>
            <w:tcW w:type="dxa" w:w="3360"/>
          </w:tcPr>
          <w:p>
            <w:r>
              <w:rPr>
                <w:rFonts w:ascii="Calibri" w:hAnsi="Calibri"/>
                <w:color w:val="333333"/>
                <w:sz w:val="18"/>
              </w:rPr>
              <w:t>[10-K (LLM), 2026-04-02, HIGH]</w:t>
            </w:r>
          </w:p>
        </w:tc>
      </w:tr>
      <w:tr>
        <w:tc>
          <w:tcPr>
            <w:tcW w:type="dxa" w:w="3360"/>
            <w:shd w:fill="F2F4F8" w:val="clear"/>
          </w:tcPr>
          <w:p>
            <w:r>
              <w:rPr>
                <w:rFonts w:ascii="Calibri" w:hAnsi="Calibri"/>
                <w:color w:val="333333"/>
                <w:sz w:val="18"/>
              </w:rPr>
              <w:t>United Kingdom Health Security Agency: 16% of revenue (2024)</w:t>
            </w:r>
          </w:p>
        </w:tc>
        <w:tc>
          <w:tcPr>
            <w:tcW w:type="dxa" w:w="3360"/>
            <w:shd w:fill="F2F4F8" w:val="clear"/>
          </w:tcPr>
          <w:p>
            <w:r>
              <w:rPr>
                <w:rFonts w:ascii="Calibri" w:hAnsi="Calibri"/>
                <w:color w:val="333333"/>
                <w:sz w:val="18"/>
              </w:rPr>
              <w:t>0.0%</w:t>
            </w:r>
          </w:p>
        </w:tc>
        <w:tc>
          <w:tcPr>
            <w:tcW w:type="dxa" w:w="3360"/>
            <w:shd w:fill="F2F4F8" w:val="clear"/>
          </w:tcPr>
          <w:p>
            <w:r>
              <w:rPr>
                <w:rFonts w:ascii="Calibri" w:hAnsi="Calibri"/>
                <w:color w:val="333333"/>
                <w:sz w:val="18"/>
              </w:rPr>
              <w:t>[10-K (LLM), 2026-04-02, HIGH]</w:t>
            </w:r>
          </w:p>
        </w:tc>
      </w:tr>
      <w:tr>
        <w:tc>
          <w:tcPr>
            <w:tcW w:type="dxa" w:w="3360"/>
          </w:tcPr>
          <w:p>
            <w:r>
              <w:rPr>
                <w:rFonts w:ascii="Calibri" w:hAnsi="Calibri"/>
                <w:color w:val="333333"/>
                <w:sz w:val="18"/>
              </w:rPr>
              <w:t>Ministry of Health, Labor, and Welfare of Japan: 21% of revenue (2023)</w:t>
            </w:r>
          </w:p>
        </w:tc>
        <w:tc>
          <w:tcPr>
            <w:tcW w:type="dxa" w:w="3360"/>
          </w:tcPr>
          <w:p>
            <w:r>
              <w:rPr>
                <w:rFonts w:ascii="Calibri" w:hAnsi="Calibri"/>
                <w:color w:val="333333"/>
                <w:sz w:val="18"/>
              </w:rPr>
              <w:t>0.0%</w:t>
            </w:r>
          </w:p>
        </w:tc>
        <w:tc>
          <w:tcPr>
            <w:tcW w:type="dxa" w:w="3360"/>
          </w:tcPr>
          <w:p>
            <w:r>
              <w:rPr>
                <w:rFonts w:ascii="Calibri" w:hAnsi="Calibri"/>
                <w:color w:val="333333"/>
                <w:sz w:val="18"/>
              </w:rPr>
              <w:t>[10-K (LLM), 2026-04-02, HIGH]</w:t>
            </w:r>
          </w:p>
        </w:tc>
      </w:tr>
    </w:tbl>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LARGE</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HLTH (HLTH)</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7</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5.2%</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$40.0M -- $150.0M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$2.9B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1.30x</w:t>
            </w:r>
          </w:p>
        </w:tc>
      </w:tr>
    </w:tbl>
    <w:p>
      <w:pPr>
        <w:pStyle w:val="DOHeading2"/>
      </w:pPr>
      <w:r>
        <w:t>Hazard Profile (Inherent Exposure Score)</w:t>
      </w:r>
    </w:p>
    <w:p>
      <w:pPr>
        <w:pStyle w:val="DOBody"/>
      </w:pPr>
      <w:r>
        <w:rPr>
          <w:b/>
        </w:rPr>
        <w:t>IES: 33/100 (LOW) | Multiplier: 0.83x | Data Coverage: 82%</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Regulatory Intensity</w:t>
            </w:r>
          </w:p>
        </w:tc>
        <w:tc>
          <w:tcPr>
            <w:tcW w:type="dxa" w:w="2520"/>
          </w:tcPr>
          <w:p>
            <w:r>
              <w:rPr>
                <w:rFonts w:ascii="Calibri" w:hAnsi="Calibri"/>
                <w:color w:val="333333"/>
                <w:sz w:val="18"/>
              </w:rPr>
              <w:t>80</w:t>
            </w:r>
          </w:p>
        </w:tc>
        <w:tc>
          <w:tcPr>
            <w:tcW w:type="dxa" w:w="2520"/>
          </w:tcPr>
          <w:p>
            <w:r>
              <w:rPr>
                <w:rFonts w:ascii="Calibri" w:hAnsi="Calibri"/>
                <w:color w:val="333333"/>
                <w:sz w:val="18"/>
              </w:rPr>
              <w:t>CRITICAL</w:t>
            </w:r>
          </w:p>
        </w:tc>
        <w:tc>
          <w:tcPr>
            <w:tcW w:type="dxa" w:w="2520"/>
          </w:tcPr>
          <w:p>
            <w:r>
              <w:rPr>
                <w:rFonts w:ascii="Calibri" w:hAnsi="Calibri"/>
                <w:color w:val="333333"/>
                <w:sz w:val="18"/>
              </w:rPr>
              <w:t>Sector 'HLTH' regulatory intensity: 4.0/5.0</w:t>
            </w:r>
          </w:p>
        </w:tc>
      </w:tr>
      <w:tr>
        <w:tc>
          <w:tcPr>
            <w:tcW w:type="dxa" w:w="2520"/>
            <w:shd w:fill="F2F4F8" w:val="clear"/>
          </w:tcPr>
          <w:p>
            <w:r>
              <w:rPr>
                <w:rFonts w:ascii="Calibri" w:hAnsi="Calibri"/>
                <w:color w:val="333333"/>
                <w:sz w:val="18"/>
              </w:rPr>
              <w:t>Management Public Company Experience</w:t>
            </w:r>
          </w:p>
        </w:tc>
        <w:tc>
          <w:tcPr>
            <w:tcW w:type="dxa" w:w="2520"/>
            <w:shd w:fill="F2F4F8" w:val="clear"/>
          </w:tcPr>
          <w:p>
            <w:r>
              <w:rPr>
                <w:rFonts w:ascii="Calibri" w:hAnsi="Calibri"/>
                <w:color w:val="333333"/>
                <w:sz w:val="18"/>
              </w:rPr>
              <w:t>70</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CEO tenure 0.0y (short -- elevated risk); CFO tenure 0.0y (short)</w:t>
            </w:r>
          </w:p>
        </w:tc>
      </w:tr>
      <w:tr>
        <w:tc>
          <w:tcPr>
            <w:tcW w:type="dxa" w:w="2520"/>
          </w:tcPr>
          <w:p>
            <w:r>
              <w:rPr>
                <w:rFonts w:ascii="Calibri" w:hAnsi="Calibri"/>
                <w:color w:val="333333"/>
                <w:sz w:val="18"/>
              </w:rPr>
              <w:t>Board Independence</w:t>
            </w:r>
          </w:p>
        </w:tc>
        <w:tc>
          <w:tcPr>
            <w:tcW w:type="dxa" w:w="2520"/>
          </w:tcPr>
          <w:p>
            <w:r>
              <w:rPr>
                <w:rFonts w:ascii="Calibri" w:hAnsi="Calibri"/>
                <w:color w:val="333333"/>
                <w:sz w:val="18"/>
              </w:rPr>
              <w:t>70</w:t>
            </w:r>
          </w:p>
        </w:tc>
        <w:tc>
          <w:tcPr>
            <w:tcW w:type="dxa" w:w="2520"/>
          </w:tcPr>
          <w:p>
            <w:r>
              <w:rPr>
                <w:rFonts w:ascii="Calibri" w:hAnsi="Calibri"/>
                <w:color w:val="333333"/>
                <w:sz w:val="18"/>
              </w:rPr>
              <w:t>HIGH</w:t>
            </w:r>
          </w:p>
        </w:tc>
        <w:tc>
          <w:tcPr>
            <w:tcW w:type="dxa" w:w="2520"/>
          </w:tcPr>
          <w:p>
            <w:r>
              <w:rPr>
                <w:rFonts w:ascii="Calibri" w:hAnsi="Calibri"/>
                <w:color w:val="333333"/>
                <w:sz w:val="18"/>
              </w:rPr>
              <w:t>Proxy: independence score 3.0; Estimated from related indicators.</w:t>
            </w:r>
          </w:p>
        </w:tc>
      </w:tr>
      <w:tr>
        <w:tc>
          <w:tcPr>
            <w:tcW w:type="dxa" w:w="2520"/>
            <w:shd w:fill="F2F4F8" w:val="clear"/>
          </w:tcPr>
          <w:p>
            <w:r>
              <w:rPr>
                <w:rFonts w:ascii="Calibri" w:hAnsi="Calibri"/>
                <w:color w:val="333333"/>
                <w:sz w:val="18"/>
              </w:rPr>
              <w:t>Industry Expertise Match</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No executives with explicit HLTH background in bios</w:t>
            </w:r>
          </w:p>
        </w:tc>
      </w:tr>
      <w:tr>
        <w:tc>
          <w:tcPr>
            <w:tcW w:type="dxa" w:w="2520"/>
          </w:tcPr>
          <w:p>
            <w:r>
              <w:rPr>
                <w:rFonts w:ascii="Calibri" w:hAnsi="Calibri"/>
                <w:color w:val="333333"/>
                <w:sz w:val="18"/>
              </w:rPr>
              <w:t>Combined CEO / Board Chair</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CEO and Chair roles combined -- concentrated authority</w:t>
            </w:r>
          </w:p>
        </w:tc>
      </w:tr>
      <w:tr>
        <w:tc>
          <w:tcPr>
            <w:tcW w:type="dxa" w:w="2520"/>
            <w:shd w:fill="F2F4F8" w:val="clear"/>
          </w:tcPr>
          <w:p>
            <w:r>
              <w:rPr>
                <w:rFonts w:ascii="Calibri" w:hAnsi="Calibri"/>
                <w:color w:val="333333"/>
                <w:sz w:val="18"/>
              </w:rPr>
              <w:t>Pre-Revenue / Cash Burn</w:t>
            </w:r>
          </w:p>
        </w:tc>
        <w:tc>
          <w:tcPr>
            <w:tcW w:type="dxa" w:w="2520"/>
            <w:shd w:fill="F2F4F8" w:val="clear"/>
          </w:tcPr>
          <w:p>
            <w:r>
              <w:rPr>
                <w:rFonts w:ascii="Calibri" w:hAnsi="Calibri"/>
                <w:color w:val="333333"/>
                <w:sz w:val="18"/>
              </w:rPr>
              <w:t>60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Negative operating cash flow: $-1873M; Cash runway ~1 months</w:t>
            </w:r>
          </w:p>
        </w:tc>
      </w:tr>
      <w:tr>
        <w:tc>
          <w:tcPr>
            <w:tcW w:type="dxa" w:w="2520"/>
          </w:tcPr>
          <w:p>
            <w:r>
              <w:rPr>
                <w:rFonts w:ascii="Calibri" w:hAnsi="Calibri"/>
                <w:color w:val="333333"/>
                <w:sz w:val="18"/>
              </w:rPr>
              <w:t>Anti-Takeover Provisions</w:t>
            </w:r>
          </w:p>
        </w:tc>
        <w:tc>
          <w:tcPr>
            <w:tcW w:type="dxa" w:w="2520"/>
          </w:tcPr>
          <w:p>
            <w:r>
              <w:rPr>
                <w:rFonts w:ascii="Calibri" w:hAnsi="Calibri"/>
                <w:color w:val="333333"/>
                <w:sz w:val="18"/>
              </w:rPr>
              <w:t>59</w:t>
            </w:r>
          </w:p>
        </w:tc>
        <w:tc>
          <w:tcPr>
            <w:tcW w:type="dxa" w:w="2520"/>
          </w:tcPr>
          <w:p>
            <w:r>
              <w:rPr>
                <w:rFonts w:ascii="Calibri" w:hAnsi="Calibri"/>
                <w:color w:val="333333"/>
                <w:sz w:val="18"/>
              </w:rPr>
              <w:t>ELEVATED</w:t>
            </w:r>
          </w:p>
        </w:tc>
        <w:tc>
          <w:tcPr>
            <w:tcW w:type="dxa" w:w="2520"/>
          </w:tcPr>
          <w:p>
            <w:r>
              <w:rPr>
                <w:rFonts w:ascii="Calibri" w:hAnsi="Calibri"/>
                <w:color w:val="333333"/>
                <w:sz w:val="18"/>
              </w:rPr>
              <w:t>Proxy: governance score 40.8; Estimated from related indicators.</w:t>
            </w:r>
          </w:p>
        </w:tc>
      </w:tr>
      <w:tr>
        <w:tc>
          <w:tcPr>
            <w:tcW w:type="dxa" w:w="2520"/>
            <w:shd w:fill="F2F4F8" w:val="clear"/>
          </w:tcPr>
          <w:p>
            <w:r>
              <w:rPr>
                <w:rFonts w:ascii="Calibri" w:hAnsi="Calibri"/>
                <w:color w:val="333333"/>
                <w:sz w:val="18"/>
              </w:rPr>
              <w:t>Industry Sector Risk Tier</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Sector 'HLTH' maps to risk score 5.0/10.0</w:t>
            </w:r>
          </w:p>
        </w:tc>
      </w:tr>
      <w:tr>
        <w:tc>
          <w:tcPr>
            <w:tcW w:type="dxa" w:w="2520"/>
          </w:tcPr>
          <w:p>
            <w:r>
              <w:rPr>
                <w:rFonts w:ascii="Calibri" w:hAnsi="Calibri"/>
                <w:color w:val="333333"/>
                <w:sz w:val="18"/>
              </w:rPr>
              <w:t>Technology Platform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Scale Experience Mismatch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Key Person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Management Turnover</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Off-Balance Sheet Arrangements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Cash Flow vs Earnings Divergence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OCF/NI ratio 0.66 -- moderate divergence</w:t>
            </w:r>
          </w:p>
        </w:tc>
      </w:tr>
      <w:tr>
        <w:tc>
          <w:tcPr>
            <w:tcW w:type="dxa" w:w="2520"/>
          </w:tcPr>
          <w:p>
            <w:r>
              <w:rPr>
                <w:rFonts w:ascii="Calibri" w:hAnsi="Calibri"/>
                <w:color w:val="333333"/>
                <w:sz w:val="18"/>
              </w:rPr>
              <w:t>Related Party Transactions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Capital Markets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Audit Committee Quality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Committee quality score 0.0/10 (weak); Estimated from related indicators.</w:t>
            </w:r>
          </w:p>
        </w:tc>
      </w:tr>
      <w:tr>
        <w:tc>
          <w:tcPr>
            <w:tcW w:type="dxa" w:w="2520"/>
            <w:shd w:fill="F2F4F8" w:val="clear"/>
          </w:tcPr>
          <w:p>
            <w:r>
              <w:rPr>
                <w:rFonts w:ascii="Calibri" w:hAnsi="Calibri"/>
                <w:color w:val="333333"/>
                <w:sz w:val="18"/>
              </w:rPr>
              <w:t>Method of Going Public</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Market Cycle Position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Market cycle scored at config default (moderate -- apply system-wide); Estimated from related indicators.</w:t>
            </w:r>
          </w:p>
        </w:tc>
      </w:tr>
      <w:tr>
        <w:tc>
          <w:tcPr>
            <w:tcW w:type="dxa" w:w="2520"/>
            <w:shd w:fill="F2F4F8" w:val="clear"/>
          </w:tcPr>
          <w:p>
            <w:r>
              <w:rPr>
                <w:rFonts w:ascii="Calibri" w:hAnsi="Calibri"/>
                <w:color w:val="333333"/>
                <w:sz w:val="18"/>
              </w:rPr>
              <w:t>Industry Regulatory Spotlight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Sector 'HLTH' regulatory spotlight level: 1.5/3.0</w:t>
            </w:r>
          </w:p>
        </w:tc>
      </w:tr>
      <w:tr>
        <w:tc>
          <w:tcPr>
            <w:tcW w:type="dxa" w:w="2520"/>
          </w:tcPr>
          <w:p>
            <w:r>
              <w:rPr>
                <w:rFonts w:ascii="Calibri" w:hAnsi="Calibri"/>
                <w:color w:val="333333"/>
                <w:sz w:val="18"/>
              </w:rPr>
              <w:t>Political &amp; Policy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Political/policy environment at config default (moderate); Estimated from related indicators.</w:t>
            </w:r>
          </w:p>
        </w:tc>
      </w:tr>
      <w:tr>
        <w:tc>
          <w:tcPr>
            <w:tcW w:type="dxa" w:w="2520"/>
            <w:shd w:fill="F2F4F8" w:val="clear"/>
          </w:tcPr>
          <w:p>
            <w:r>
              <w:rPr>
                <w:rFonts w:ascii="Calibri" w:hAnsi="Calibri"/>
                <w:color w:val="333333"/>
                <w:sz w:val="18"/>
              </w:rPr>
              <w:t>Interest Rate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Interest rate environment at config default; Estimated from related indicators.</w:t>
            </w:r>
          </w:p>
        </w:tc>
      </w:tr>
      <w:tr>
        <w:tc>
          <w:tcPr>
            <w:tcW w:type="dxa" w:w="2520"/>
          </w:tcPr>
          <w:p>
            <w:r>
              <w:rPr>
                <w:rFonts w:ascii="Calibri" w:hAnsi="Calibri"/>
                <w:color w:val="333333"/>
                <w:sz w:val="18"/>
              </w:rPr>
              <w:t>Plaintiff Attorney Activity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Plaintiff attorney activity at moderate baseline (no specific data); Estimated from related indicators.</w:t>
            </w:r>
          </w:p>
        </w:tc>
      </w:tr>
      <w:tr>
        <w:tc>
          <w:tcPr>
            <w:tcW w:type="dxa" w:w="2520"/>
            <w:shd w:fill="F2F4F8" w:val="clear"/>
          </w:tcPr>
          <w:p>
            <w:r>
              <w:rPr>
                <w:rFonts w:ascii="Calibri" w:hAnsi="Calibri"/>
                <w:color w:val="333333"/>
                <w:sz w:val="18"/>
              </w:rPr>
              <w:t>Cybersecurity Governance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Moderate cybersecurity disclosure (2 mentions); Estimated from related indicators.</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Interaction Effects</w:t>
      </w:r>
    </w:p>
    <w:p>
      <w:pPr>
        <w:pStyle w:val="DOBody"/>
      </w:pPr>
      <w:r>
        <w:rPr>
          <w:b/>
        </w:rPr>
        <w:t>Elevated Co-occurrence (1.07x): 6 dimensions scoring above 60% threshold</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Regulatory Intensity</w:t>
            </w:r>
          </w:p>
        </w:tc>
        <w:tc>
          <w:tcPr>
            <w:tcW w:type="dxa" w:w="2016"/>
          </w:tcPr>
          <w:p>
            <w:r>
              <w:rPr>
                <w:rFonts w:ascii="Calibri" w:hAnsi="Calibri"/>
                <w:color w:val="333333"/>
                <w:sz w:val="18"/>
              </w:rPr>
              <w:t>80</w:t>
            </w:r>
          </w:p>
        </w:tc>
        <w:tc>
          <w:tcPr>
            <w:tcW w:type="dxa" w:w="2016"/>
          </w:tcPr>
          <w:p>
            <w:r>
              <w:rPr>
                <w:rFonts w:ascii="Calibri" w:hAnsi="Calibri"/>
                <w:color w:val="333333"/>
                <w:sz w:val="18"/>
              </w:rPr>
              <w:t>CRITICAL</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'HLTH' regulatory intensity: 4.0/5.0</w:t>
            </w:r>
          </w:p>
        </w:tc>
      </w:tr>
      <w:tr>
        <w:tc>
          <w:tcPr>
            <w:tcW w:type="dxa" w:w="2016"/>
            <w:shd w:fill="F2F4F8" w:val="clear"/>
          </w:tcPr>
          <w:p>
            <w:r>
              <w:rPr>
                <w:rFonts w:ascii="Calibri" w:hAnsi="Calibri"/>
                <w:color w:val="333333"/>
                <w:sz w:val="18"/>
              </w:rPr>
              <w:t>Management Public Company Experience</w:t>
            </w:r>
          </w:p>
        </w:tc>
        <w:tc>
          <w:tcPr>
            <w:tcW w:type="dxa" w:w="2016"/>
            <w:shd w:fill="F2F4F8" w:val="clear"/>
          </w:tcPr>
          <w:p>
            <w:r>
              <w:rPr>
                <w:rFonts w:ascii="Calibri" w:hAnsi="Calibri"/>
                <w:color w:val="333333"/>
                <w:sz w:val="18"/>
              </w:rPr>
              <w:t>70</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CEO tenure 0.0y (short -- elevated risk)</w:t>
            </w:r>
          </w:p>
        </w:tc>
      </w:tr>
      <w:tr>
        <w:tc>
          <w:tcPr>
            <w:tcW w:type="dxa" w:w="2016"/>
          </w:tcPr>
          <w:p>
            <w:r>
              <w:rPr>
                <w:rFonts w:ascii="Calibri" w:hAnsi="Calibri"/>
                <w:color w:val="333333"/>
                <w:sz w:val="18"/>
              </w:rPr>
              <w:t>Board Independence</w:t>
            </w:r>
          </w:p>
        </w:tc>
        <w:tc>
          <w:tcPr>
            <w:tcW w:type="dxa" w:w="2016"/>
          </w:tcPr>
          <w:p>
            <w:r>
              <w:rPr>
                <w:rFonts w:ascii="Calibri" w:hAnsi="Calibri"/>
                <w:color w:val="333333"/>
                <w:sz w:val="18"/>
              </w:rPr>
              <w:t>70</w:t>
            </w:r>
          </w:p>
        </w:tc>
        <w:tc>
          <w:tcPr>
            <w:tcW w:type="dxa" w:w="2016"/>
          </w:tcPr>
          <w:p>
            <w:r>
              <w:rPr>
                <w:rFonts w:ascii="Calibri" w:hAnsi="Calibri"/>
                <w:color w:val="333333"/>
                <w:sz w:val="18"/>
              </w:rPr>
              <w:t>HIGH</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independence score 3.0</w:t>
            </w:r>
          </w:p>
        </w:tc>
      </w:tr>
      <w:tr>
        <w:tc>
          <w:tcPr>
            <w:tcW w:type="dxa" w:w="2016"/>
            <w:shd w:fill="F2F4F8" w:val="clear"/>
          </w:tcPr>
          <w:p>
            <w:r>
              <w:rPr>
                <w:rFonts w:ascii="Calibri" w:hAnsi="Calibri"/>
                <w:color w:val="333333"/>
                <w:sz w:val="18"/>
              </w:rPr>
              <w:t>Industry Expertise Match</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executives with explicit HLTH background in bios</w:t>
            </w:r>
          </w:p>
        </w:tc>
      </w:tr>
      <w:tr>
        <w:tc>
          <w:tcPr>
            <w:tcW w:type="dxa" w:w="2016"/>
          </w:tcPr>
          <w:p>
            <w:r>
              <w:rPr>
                <w:rFonts w:ascii="Calibri" w:hAnsi="Calibri"/>
                <w:color w:val="333333"/>
                <w:sz w:val="18"/>
              </w:rPr>
              <w:t>Combined CEO / Board Chair</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CEO and Chair roles combined -- concentrated authority</w:t>
            </w:r>
          </w:p>
        </w:tc>
      </w:tr>
      <w:tr>
        <w:tc>
          <w:tcPr>
            <w:tcW w:type="dxa" w:w="2016"/>
            <w:shd w:fill="F2F4F8" w:val="clear"/>
          </w:tcPr>
          <w:p>
            <w:r>
              <w:rPr>
                <w:rFonts w:ascii="Calibri" w:hAnsi="Calibri"/>
                <w:color w:val="333333"/>
                <w:sz w:val="18"/>
              </w:rPr>
              <w:t>Pre-Revenue / Cash Burn</w:t>
            </w:r>
          </w:p>
        </w:tc>
        <w:tc>
          <w:tcPr>
            <w:tcW w:type="dxa" w:w="2016"/>
            <w:shd w:fill="F2F4F8" w:val="clear"/>
          </w:tcPr>
          <w:p>
            <w:r>
              <w:rPr>
                <w:rFonts w:ascii="Calibri" w:hAnsi="Calibri"/>
                <w:color w:val="333333"/>
                <w:sz w:val="18"/>
              </w:rPr>
              <w:t>60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Negative operating cash flow: $-1873M</w:t>
            </w:r>
          </w:p>
        </w:tc>
      </w:tr>
      <w:tr>
        <w:tc>
          <w:tcPr>
            <w:tcW w:type="dxa" w:w="2016"/>
          </w:tcPr>
          <w:p>
            <w:r>
              <w:rPr>
                <w:rFonts w:ascii="Calibri" w:hAnsi="Calibri"/>
                <w:color w:val="333333"/>
                <w:sz w:val="18"/>
              </w:rPr>
              <w:t>Anti-Takeover Provisions</w:t>
            </w:r>
          </w:p>
        </w:tc>
        <w:tc>
          <w:tcPr>
            <w:tcW w:type="dxa" w:w="2016"/>
          </w:tcPr>
          <w:p>
            <w:r>
              <w:rPr>
                <w:rFonts w:ascii="Calibri" w:hAnsi="Calibri"/>
                <w:color w:val="333333"/>
                <w:sz w:val="18"/>
              </w:rPr>
              <w:t>59</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governance score 40.8</w:t>
            </w:r>
          </w:p>
        </w:tc>
      </w:tr>
      <w:tr>
        <w:tc>
          <w:tcPr>
            <w:tcW w:type="dxa" w:w="2016"/>
            <w:shd w:fill="F2F4F8" w:val="clear"/>
          </w:tcPr>
          <w:p>
            <w:r>
              <w:rPr>
                <w:rFonts w:ascii="Calibri" w:hAnsi="Calibri"/>
                <w:color w:val="333333"/>
                <w:sz w:val="18"/>
              </w:rPr>
              <w:t>Industry Sector Risk Tier</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'HLTH' maps to risk score 5.0/10.0</w:t>
            </w:r>
          </w:p>
        </w:tc>
      </w:tr>
      <w:tr>
        <w:tc>
          <w:tcPr>
            <w:tcW w:type="dxa" w:w="2016"/>
          </w:tcPr>
          <w:p>
            <w:r>
              <w:rPr>
                <w:rFonts w:ascii="Calibri" w:hAnsi="Calibri"/>
                <w:color w:val="333333"/>
                <w:sz w:val="18"/>
              </w:rPr>
              <w:t>Technology Platform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Scale Experience Mismatch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Key Person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Management Turnover</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Off-Balance Sheet Arrangements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Cash Flow vs Earnings Divergence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OCF/NI ratio 0.66 -- moderate divergence</w:t>
            </w:r>
          </w:p>
        </w:tc>
      </w:tr>
      <w:tr>
        <w:tc>
          <w:tcPr>
            <w:tcW w:type="dxa" w:w="2016"/>
          </w:tcPr>
          <w:p>
            <w:r>
              <w:rPr>
                <w:rFonts w:ascii="Calibri" w:hAnsi="Calibri"/>
                <w:color w:val="333333"/>
                <w:sz w:val="18"/>
              </w:rPr>
              <w:t>Related Party Transactions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Capital Markets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Audit Committee Quality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Committee quality score 0.0/10 (weak)</w:t>
            </w:r>
          </w:p>
        </w:tc>
      </w:tr>
      <w:tr>
        <w:tc>
          <w:tcPr>
            <w:tcW w:type="dxa" w:w="2016"/>
            <w:shd w:fill="F2F4F8" w:val="clear"/>
          </w:tcPr>
          <w:p>
            <w:r>
              <w:rPr>
                <w:rFonts w:ascii="Calibri" w:hAnsi="Calibri"/>
                <w:color w:val="333333"/>
                <w:sz w:val="18"/>
              </w:rPr>
              <w:t>Method of Going Public</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Market Cycle Position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Market cycle scored at config default (moderate -- apply system-wide)</w:t>
            </w:r>
          </w:p>
        </w:tc>
      </w:tr>
      <w:tr>
        <w:tc>
          <w:tcPr>
            <w:tcW w:type="dxa" w:w="2016"/>
            <w:shd w:fill="F2F4F8" w:val="clear"/>
          </w:tcPr>
          <w:p>
            <w:r>
              <w:rPr>
                <w:rFonts w:ascii="Calibri" w:hAnsi="Calibri"/>
                <w:color w:val="333333"/>
                <w:sz w:val="18"/>
              </w:rPr>
              <w:t>Industry Regulatory Spotlight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'HLTH' regulatory spotlight level: 1.5/3.0</w:t>
            </w:r>
          </w:p>
        </w:tc>
      </w:tr>
      <w:tr>
        <w:tc>
          <w:tcPr>
            <w:tcW w:type="dxa" w:w="2016"/>
          </w:tcPr>
          <w:p>
            <w:r>
              <w:rPr>
                <w:rFonts w:ascii="Calibri" w:hAnsi="Calibri"/>
                <w:color w:val="333333"/>
                <w:sz w:val="18"/>
              </w:rPr>
              <w:t>Political &amp; Policy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Political/policy environment at config default (moderate)</w:t>
            </w:r>
          </w:p>
        </w:tc>
      </w:tr>
      <w:tr>
        <w:tc>
          <w:tcPr>
            <w:tcW w:type="dxa" w:w="2016"/>
            <w:shd w:fill="F2F4F8" w:val="clear"/>
          </w:tcPr>
          <w:p>
            <w:r>
              <w:rPr>
                <w:rFonts w:ascii="Calibri" w:hAnsi="Calibri"/>
                <w:color w:val="333333"/>
                <w:sz w:val="18"/>
              </w:rPr>
              <w:t>Interest Rate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Interest rate environment at config default</w:t>
            </w:r>
          </w:p>
        </w:tc>
      </w:tr>
      <w:tr>
        <w:tc>
          <w:tcPr>
            <w:tcW w:type="dxa" w:w="2016"/>
          </w:tcPr>
          <w:p>
            <w:r>
              <w:rPr>
                <w:rFonts w:ascii="Calibri" w:hAnsi="Calibri"/>
                <w:color w:val="333333"/>
                <w:sz w:val="18"/>
              </w:rPr>
              <w:t>Plaintiff Attorney Activity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Plaintiff attorney activity at moderate baseline (no specific data)</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Moderate cybersecurity disclosure (2 mentions)</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Geographic Complexity</w:t>
            </w:r>
          </w:p>
        </w:tc>
        <w:tc>
          <w:tcPr>
            <w:tcW w:type="dxa" w:w="2016"/>
          </w:tcPr>
          <w:p>
            <w:r>
              <w:rPr>
                <w:rFonts w:ascii="Calibri" w:hAnsi="Calibri"/>
                <w:color w:val="333333"/>
                <w:sz w:val="18"/>
              </w:rPr>
              <w:t>40</w:t>
            </w:r>
          </w:p>
        </w:tc>
        <w:tc>
          <w:tcPr>
            <w:tcW w:type="dxa" w:w="2016"/>
          </w:tcPr>
          <w:p>
            <w:r>
              <w:rPr>
                <w:rFonts w:ascii="Calibri" w:hAnsi="Calibri"/>
                <w:color w:val="333333"/>
                <w:sz w:val="18"/>
              </w:rPr>
              <w:t>MODERATE</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3 regions, 44 subsidiaries (MODERATE)</w:t>
            </w:r>
          </w:p>
        </w:tc>
      </w:tr>
      <w:tr>
        <w:tc>
          <w:tcPr>
            <w:tcW w:type="dxa" w:w="2016"/>
            <w:shd w:fill="F2F4F8" w:val="clear"/>
          </w:tcPr>
          <w:p>
            <w:r>
              <w:rPr>
                <w:rFonts w:ascii="Calibri" w:hAnsi="Calibri"/>
                <w:color w:val="333333"/>
                <w:sz w:val="18"/>
              </w:rPr>
              <w:t>Speed of Growth</w:t>
            </w:r>
          </w:p>
        </w:tc>
        <w:tc>
          <w:tcPr>
            <w:tcW w:type="dxa" w:w="2016"/>
            <w:shd w:fill="F2F4F8" w:val="clear"/>
          </w:tcPr>
          <w:p>
            <w:r>
              <w:rPr>
                <w:rFonts w:ascii="Calibri" w:hAnsi="Calibri"/>
                <w:color w:val="333333"/>
                <w:sz w:val="18"/>
              </w:rPr>
              <w:t>40</w:t>
            </w:r>
          </w:p>
        </w:tc>
        <w:tc>
          <w:tcPr>
            <w:tcW w:type="dxa" w:w="2016"/>
            <w:shd w:fill="F2F4F8" w:val="clear"/>
          </w:tcPr>
          <w:p>
            <w:r>
              <w:rPr>
                <w:rFonts w:ascii="Calibri" w:hAnsi="Calibri"/>
                <w:color w:val="333333"/>
                <w:sz w:val="18"/>
              </w:rPr>
              <w:t>MODERATE</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Revenue decline -39.9% (restructuring/distress risk)</w:t>
            </w:r>
          </w:p>
        </w:tc>
      </w:tr>
      <w:tr>
        <w:tc>
          <w:tcPr>
            <w:tcW w:type="dxa" w:w="2016"/>
          </w:tcPr>
          <w:p>
            <w:r>
              <w:rPr>
                <w:rFonts w:ascii="Calibri" w:hAnsi="Calibri"/>
                <w:color w:val="333333"/>
                <w:sz w:val="18"/>
              </w:rPr>
              <w:t>Capital Intensity</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CapEx/Revenue 9.9% (MODERATE)</w:t>
            </w:r>
          </w:p>
        </w:tc>
      </w:tr>
      <w:tr>
        <w:tc>
          <w:tcPr>
            <w:tcW w:type="dxa" w:w="2016"/>
            <w:shd w:fill="F2F4F8" w:val="clear"/>
          </w:tcPr>
          <w:p>
            <w:r>
              <w:rPr>
                <w:rFonts w:ascii="Calibri" w:hAnsi="Calibri"/>
                <w:color w:val="333333"/>
                <w:sz w:val="18"/>
              </w:rPr>
              <w:t>Shareholder Rights</w:t>
            </w:r>
          </w:p>
        </w:tc>
        <w:tc>
          <w:tcPr>
            <w:tcW w:type="dxa" w:w="2016"/>
            <w:shd w:fill="F2F4F8" w:val="clear"/>
          </w:tcPr>
          <w:p>
            <w:r>
              <w:rPr>
                <w:rFonts w:ascii="Calibri" w:hAnsi="Calibri"/>
                <w:color w:val="333333"/>
                <w:sz w:val="18"/>
              </w:rPr>
              <w:t>33</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Governance score 40.8/100 (moderate)</w:t>
            </w:r>
          </w:p>
        </w:tc>
      </w:tr>
      <w:tr>
        <w:tc>
          <w:tcPr>
            <w:tcW w:type="dxa" w:w="2016"/>
          </w:tcPr>
          <w:p>
            <w:r>
              <w:rPr>
                <w:rFonts w:ascii="Calibri" w:hAnsi="Calibri"/>
                <w:color w:val="333333"/>
                <w:sz w:val="18"/>
              </w:rPr>
              <w:t>IP Dependency</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IP keyword hits: LITIGATION: Uncertainty over intellectual property and litigation</w:t>
            </w:r>
          </w:p>
        </w:tc>
      </w:tr>
      <w:tr>
        <w:tc>
          <w:tcPr>
            <w:tcW w:type="dxa" w:w="2016"/>
            <w:shd w:fill="F2F4F8" w:val="clear"/>
          </w:tcPr>
          <w:p>
            <w:r>
              <w:rPr>
                <w:rFonts w:ascii="Calibri" w:hAnsi="Calibri"/>
                <w:color w:val="333333"/>
                <w:sz w:val="18"/>
              </w:rPr>
              <w:t>State of Incorporation</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Incorporated in DE (standard D&amp;O protections)</w:t>
            </w:r>
          </w:p>
        </w:tc>
      </w:tr>
      <w:tr>
        <w:tc>
          <w:tcPr>
            <w:tcW w:type="dxa" w:w="2016"/>
          </w:tcPr>
          <w:p>
            <w:r>
              <w:rPr>
                <w:rFonts w:ascii="Calibri" w:hAnsi="Calibri"/>
                <w:color w:val="333333"/>
                <w:sz w:val="18"/>
              </w:rPr>
              <w:t>Geopolitical Risk</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3 geographic regions (limited international)</w:t>
            </w:r>
          </w:p>
        </w:tc>
      </w:tr>
      <w:tr>
        <w:tc>
          <w:tcPr>
            <w:tcW w:type="dxa" w:w="2016"/>
            <w:shd w:fill="F2F4F8" w:val="clear"/>
          </w:tcPr>
          <w:p>
            <w:r>
              <w:rPr>
                <w:rFonts w:ascii="Calibri" w:hAnsi="Calibri"/>
                <w:color w:val="333333"/>
                <w:sz w:val="18"/>
              </w:rPr>
              <w:t>M&amp;A Activity</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1 acquisition(s) noted</w:t>
            </w:r>
          </w:p>
        </w:tc>
      </w:tr>
      <w:tr>
        <w:tc>
          <w:tcPr>
            <w:tcW w:type="dxa" w:w="2016"/>
          </w:tcPr>
          <w:p>
            <w:r>
              <w:rPr>
                <w:rFonts w:ascii="Calibri" w:hAnsi="Calibri"/>
                <w:color w:val="333333"/>
                <w:sz w:val="18"/>
              </w:rPr>
              <w:t>IPO Recency</w:t>
            </w:r>
          </w:p>
        </w:tc>
        <w:tc>
          <w:tcPr>
            <w:tcW w:type="dxa" w:w="2016"/>
          </w:tcPr>
          <w:p>
            <w:r>
              <w:rPr>
                <w:rFonts w:ascii="Calibri" w:hAnsi="Calibri"/>
                <w:color w:val="333333"/>
                <w:sz w:val="18"/>
              </w:rPr>
              <w:t>20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IPO 7 years ago (LOW -- seasoned)</w:t>
            </w:r>
          </w:p>
        </w:tc>
      </w:tr>
      <w:tr>
        <w:tc>
          <w:tcPr>
            <w:tcW w:type="dxa" w:w="2016"/>
            <w:shd w:fill="F2F4F8" w:val="clear"/>
          </w:tcPr>
          <w:p>
            <w:r>
              <w:rPr>
                <w:rFonts w:ascii="Calibri" w:hAnsi="Calibri"/>
                <w:color w:val="333333"/>
                <w:sz w:val="18"/>
              </w:rPr>
              <w:t>Non-GAAP Reliance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non-GAAP reliance indicators found</w:t>
            </w:r>
          </w:p>
        </w:tc>
      </w:tr>
      <w:tr>
        <w:tc>
          <w:tcPr>
            <w:tcW w:type="dxa" w:w="2016"/>
          </w:tcPr>
          <w:p>
            <w:r>
              <w:rPr>
                <w:rFonts w:ascii="Calibri" w:hAnsi="Calibri"/>
                <w:color w:val="333333"/>
                <w:sz w:val="18"/>
              </w:rPr>
              <w:t>Founder-Led vs Professional Management</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Professional (non-founder) CEO</w:t>
            </w:r>
          </w:p>
        </w:tc>
      </w:tr>
      <w:tr>
        <w:tc>
          <w:tcPr>
            <w:tcW w:type="dxa" w:w="2016"/>
            <w:shd w:fill="F2F4F8" w:val="clear"/>
          </w:tcPr>
          <w:p>
            <w:r>
              <w:rPr>
                <w:rFonts w:ascii="Calibri" w:hAnsi="Calibri"/>
                <w:color w:val="333333"/>
                <w:sz w:val="18"/>
              </w:rPr>
              <w:t>Compensation Structure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Clawback policy in place</w:t>
            </w:r>
          </w:p>
        </w:tc>
      </w:tr>
      <w:tr>
        <w:tc>
          <w:tcPr>
            <w:tcW w:type="dxa" w:w="2016"/>
          </w:tcPr>
          <w:p>
            <w:r>
              <w:rPr>
                <w:rFonts w:ascii="Calibri" w:hAnsi="Calibri"/>
                <w:color w:val="333333"/>
                <w:sz w:val="18"/>
              </w:rPr>
              <w:t>Seasoning &amp; Track Record</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7 years as public company (developing track record)</w:t>
            </w:r>
          </w:p>
        </w:tc>
      </w:tr>
      <w:tr>
        <w:tc>
          <w:tcPr>
            <w:tcW w:type="dxa" w:w="2016"/>
            <w:shd w:fill="F2F4F8" w:val="clear"/>
          </w:tcPr>
          <w:p>
            <w:r>
              <w:rPr>
                <w:rFonts w:ascii="Calibri" w:hAnsi="Calibri"/>
                <w:color w:val="333333"/>
                <w:sz w:val="18"/>
              </w:rPr>
              <w:t>Industry Litigation Wave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'HLTH' litigation wave level: 0.5/3.0</w:t>
            </w:r>
          </w:p>
        </w:tc>
      </w:tr>
      <w:tr>
        <w:tc>
          <w:tcPr>
            <w:tcW w:type="dxa" w:w="2016"/>
          </w:tcPr>
          <w:p>
            <w:r>
              <w:rPr>
                <w:rFonts w:ascii="Calibri" w:hAnsi="Calibri"/>
                <w:color w:val="333333"/>
                <w:sz w:val="18"/>
              </w:rPr>
              <w:t>AI Adoption &amp; Governance</w:t>
            </w:r>
          </w:p>
        </w:tc>
        <w:tc>
          <w:tcPr>
            <w:tcW w:type="dxa" w:w="2016"/>
          </w:tcPr>
          <w:p>
            <w:r>
              <w:rPr>
                <w:rFonts w:ascii="Calibri" w:hAnsi="Calibri"/>
                <w:color w:val="333333"/>
                <w:sz w:val="18"/>
              </w:rPr>
              <w:t>12</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AI risk score 0/100 (LOW)</w:t>
            </w:r>
          </w:p>
        </w:tc>
      </w:tr>
      <w:tr>
        <w:tc>
          <w:tcPr>
            <w:tcW w:type="dxa" w:w="2016"/>
            <w:shd w:fill="F2F4F8" w:val="clear"/>
          </w:tcPr>
          <w:p>
            <w:r>
              <w:rPr>
                <w:rFonts w:ascii="Calibri" w:hAnsi="Calibri"/>
                <w:color w:val="333333"/>
                <w:sz w:val="18"/>
              </w:rPr>
              <w:t>Earnings Quality Characteristics</w:t>
            </w:r>
          </w:p>
        </w:tc>
        <w:tc>
          <w:tcPr>
            <w:tcW w:type="dxa" w:w="2016"/>
            <w:shd w:fill="F2F4F8" w:val="clear"/>
          </w:tcPr>
          <w:p>
            <w:r>
              <w:rPr>
                <w:rFonts w:ascii="Calibri" w:hAnsi="Calibri"/>
                <w:color w:val="333333"/>
                <w:sz w:val="18"/>
              </w:rPr>
              <w:t>10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Beneish M-Score -4.01 -- safe zone</w:t>
            </w:r>
          </w:p>
        </w:tc>
      </w:tr>
      <w:tr>
        <w:tc>
          <w:tcPr>
            <w:tcW w:type="dxa" w:w="2016"/>
          </w:tcPr>
          <w:p>
            <w:r>
              <w:rPr>
                <w:rFonts w:ascii="Calibri" w:hAnsi="Calibri"/>
                <w:color w:val="333333"/>
                <w:sz w:val="18"/>
              </w:rPr>
              <w:t>Business Model Complexity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Revenue Model Manipulation Surface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Customer &amp; Supplier Concentration</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significant concentration disclosed</w:t>
            </w:r>
          </w:p>
        </w:tc>
      </w:tr>
      <w:tr>
        <w:tc>
          <w:tcPr>
            <w:tcW w:type="dxa" w:w="2016"/>
            <w:shd w:fill="F2F4F8" w:val="clear"/>
          </w:tcPr>
          <w:p>
            <w:r>
              <w:rPr>
                <w:rFonts w:ascii="Calibri" w:hAnsi="Calibri"/>
                <w:color w:val="333333"/>
                <w:sz w:val="18"/>
              </w:rPr>
              <w:t>Dual-Class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Board Governance Experience &amp; Quality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Tone at the Top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Estimated from related indicators.</w:t>
            </w:r>
          </w:p>
        </w:tc>
      </w:tr>
      <w:tr>
        <w:tc>
          <w:tcPr>
            <w:tcW w:type="dxa" w:w="2016"/>
          </w:tcPr>
          <w:p>
            <w:r>
              <w:rPr>
                <w:rFonts w:ascii="Calibri" w:hAnsi="Calibri"/>
                <w:color w:val="333333"/>
                <w:sz w:val="18"/>
              </w:rPr>
              <w:t>Leverage &amp; Capital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Debt/Equity 0.07 (LOW)</w:t>
            </w:r>
          </w:p>
        </w:tc>
      </w:tr>
      <w:tr>
        <w:tc>
          <w:tcPr>
            <w:tcW w:type="dxa" w:w="2016"/>
            <w:shd w:fill="F2F4F8" w:val="clear"/>
          </w:tcPr>
          <w:p>
            <w:r>
              <w:rPr>
                <w:rFonts w:ascii="Calibri" w:hAnsi="Calibri"/>
                <w:color w:val="333333"/>
                <w:sz w:val="18"/>
              </w:rPr>
              <w:t>Goodwill-Heavy Balance Sheet</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Goodwill 0.4% of assets (MINIMAL)</w:t>
            </w:r>
          </w:p>
        </w:tc>
      </w:tr>
      <w:tr>
        <w:tc>
          <w:tcPr>
            <w:tcW w:type="dxa" w:w="2016"/>
          </w:tcPr>
          <w:p>
            <w:r>
              <w:rPr>
                <w:rFonts w:ascii="Calibri" w:hAnsi="Calibri"/>
                <w:color w:val="333333"/>
                <w:sz w:val="18"/>
              </w:rPr>
              <w:t>Compliance Infrastructure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No material weaknesses or going concern issues identified</w:t>
            </w:r>
          </w:p>
        </w:tc>
      </w:tr>
      <w:tr>
        <w:tc>
          <w:tcPr>
            <w:tcW w:type="dxa" w:w="2016"/>
            <w:shd w:fill="F2F4F8" w:val="clear"/>
          </w:tcPr>
          <w:p>
            <w:r>
              <w:rPr>
                <w:rFonts w:ascii="Calibri" w:hAnsi="Calibri"/>
                <w:color w:val="333333"/>
                <w:sz w:val="18"/>
              </w:rPr>
              <w:t>Exchange &amp; Index Membership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Listed on Nasdaq (major exchange -- standard oversight)</w:t>
            </w:r>
          </w:p>
        </w:tc>
      </w:tr>
      <w:tr>
        <w:tc>
          <w:tcPr>
            <w:tcW w:type="dxa" w:w="2016"/>
          </w:tcPr>
          <w:p>
            <w:r>
              <w:rPr>
                <w:rFonts w:ascii="Calibri" w:hAnsi="Calibri"/>
                <w:color w:val="333333"/>
                <w:sz w:val="18"/>
              </w:rPr>
              <w:t>FPI / ADR Status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Domestic issuer (standard SEC reporting)</w:t>
            </w:r>
          </w:p>
        </w:tc>
      </w:tr>
      <w:tr>
        <w:tc>
          <w:tcPr>
            <w:tcW w:type="dxa" w:w="2016"/>
            <w:shd w:fill="F2F4F8" w:val="clear"/>
          </w:tcPr>
          <w:p>
            <w:r>
              <w:rPr>
                <w:rFonts w:ascii="Calibri" w:hAnsi="Calibri"/>
                <w:color w:val="333333"/>
                <w:sz w:val="18"/>
              </w:rPr>
              <w:t>ESG / Climate Exposure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ESG/climate exposure indicators found</w:t>
            </w:r>
          </w:p>
        </w:tc>
      </w:tr>
      <w:tr>
        <w:tc>
          <w:tcPr>
            <w:tcW w:type="dxa" w:w="2016"/>
          </w:tcPr>
          <w:p>
            <w:r>
              <w:rPr>
                <w:rFonts w:ascii="Calibri" w:hAnsi="Calibri"/>
                <w:color w:val="333333"/>
                <w:sz w:val="18"/>
              </w:rPr>
              <w:t>Workforce &amp; Labor Model</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workforce/labor model risk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27.3</w:t>
            </w:r>
          </w:p>
        </w:tc>
        <w:tc>
          <w:tcPr>
            <w:tcW w:type="dxa" w:w="1680"/>
          </w:tcPr>
          <w:p>
            <w:r>
              <w:rPr>
                <w:rFonts w:ascii="Calibri" w:hAnsi="Calibri"/>
                <w:color w:val="333333"/>
                <w:sz w:val="18"/>
              </w:rPr>
              <w:t>8.9</w:t>
            </w:r>
          </w:p>
        </w:tc>
        <w:tc>
          <w:tcPr>
            <w:tcW w:type="dxa" w:w="1680"/>
          </w:tcPr>
          <w:p>
            <w:r>
              <w:rPr>
                <w:rFonts w:ascii="Calibri" w:hAnsi="Calibri"/>
                <w:color w:val="333333"/>
                <w:sz w:val="18"/>
              </w:rPr>
              <w:t>12/13</w:t>
            </w:r>
          </w:p>
        </w:tc>
        <w:tc>
          <w:tcPr>
            <w:tcW w:type="dxa" w:w="1680"/>
          </w:tcPr>
          <w:p>
            <w:r>
              <w:rPr>
                <w:rFonts w:ascii="Calibri" w:hAnsi="Calibri"/>
                <w:color w:val="333333"/>
                <w:sz w:val="18"/>
              </w:rPr>
              <w:t>92%</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37.9</w:t>
            </w:r>
          </w:p>
        </w:tc>
        <w:tc>
          <w:tcPr>
            <w:tcW w:type="dxa" w:w="1680"/>
            <w:shd w:fill="F2F4F8" w:val="clear"/>
          </w:tcPr>
          <w:p>
            <w:r>
              <w:rPr>
                <w:rFonts w:ascii="Calibri" w:hAnsi="Calibri"/>
                <w:color w:val="333333"/>
                <w:sz w:val="18"/>
              </w:rPr>
              <w:t>5.7</w:t>
            </w:r>
          </w:p>
        </w:tc>
        <w:tc>
          <w:tcPr>
            <w:tcW w:type="dxa" w:w="1680"/>
            <w:shd w:fill="F2F4F8" w:val="clear"/>
          </w:tcPr>
          <w:p>
            <w:r>
              <w:rPr>
                <w:rFonts w:ascii="Calibri" w:hAnsi="Calibri"/>
                <w:color w:val="333333"/>
                <w:sz w:val="18"/>
              </w:rPr>
              <w:t>5/8</w:t>
            </w:r>
          </w:p>
        </w:tc>
        <w:tc>
          <w:tcPr>
            <w:tcW w:type="dxa" w:w="1680"/>
            <w:shd w:fill="F2F4F8" w:val="clear"/>
          </w:tcPr>
          <w:p>
            <w:r>
              <w:rPr>
                <w:rFonts w:ascii="Calibri" w:hAnsi="Calibri"/>
                <w:color w:val="333333"/>
                <w:sz w:val="18"/>
              </w:rPr>
              <w:t>62%</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33.8</w:t>
            </w:r>
          </w:p>
        </w:tc>
        <w:tc>
          <w:tcPr>
            <w:tcW w:type="dxa" w:w="1680"/>
          </w:tcPr>
          <w:p>
            <w:r>
              <w:rPr>
                <w:rFonts w:ascii="Calibri" w:hAnsi="Calibri"/>
                <w:color w:val="333333"/>
                <w:sz w:val="18"/>
              </w:rPr>
              <w:t>5.1</w:t>
            </w:r>
          </w:p>
        </w:tc>
        <w:tc>
          <w:tcPr>
            <w:tcW w:type="dxa" w:w="1680"/>
          </w:tcPr>
          <w:p>
            <w:r>
              <w:rPr>
                <w:rFonts w:ascii="Calibri" w:hAnsi="Calibri"/>
                <w:color w:val="333333"/>
                <w:sz w:val="18"/>
              </w:rPr>
              <w:t>5/8</w:t>
            </w:r>
          </w:p>
        </w:tc>
        <w:tc>
          <w:tcPr>
            <w:tcW w:type="dxa" w:w="1680"/>
          </w:tcPr>
          <w:p>
            <w:r>
              <w:rPr>
                <w:rFonts w:ascii="Calibri" w:hAnsi="Calibri"/>
                <w:color w:val="333333"/>
                <w:sz w:val="18"/>
              </w:rPr>
              <w:t>62%</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40.1</w:t>
            </w:r>
          </w:p>
        </w:tc>
        <w:tc>
          <w:tcPr>
            <w:tcW w:type="dxa" w:w="1680"/>
            <w:shd w:fill="F2F4F8" w:val="clear"/>
          </w:tcPr>
          <w:p>
            <w:r>
              <w:rPr>
                <w:rFonts w:ascii="Calibri" w:hAnsi="Calibri"/>
                <w:color w:val="333333"/>
                <w:sz w:val="18"/>
              </w:rPr>
              <w:t>3.0</w:t>
            </w:r>
          </w:p>
        </w:tc>
        <w:tc>
          <w:tcPr>
            <w:tcW w:type="dxa" w:w="1680"/>
            <w:shd w:fill="F2F4F8" w:val="clear"/>
          </w:tcPr>
          <w:p>
            <w:r>
              <w:rPr>
                <w:rFonts w:ascii="Calibri" w:hAnsi="Calibri"/>
                <w:color w:val="333333"/>
                <w:sz w:val="18"/>
              </w:rPr>
              <w:t>8/8</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17.3</w:t>
            </w:r>
          </w:p>
        </w:tc>
        <w:tc>
          <w:tcPr>
            <w:tcW w:type="dxa" w:w="1680"/>
          </w:tcPr>
          <w:p>
            <w:r>
              <w:rPr>
                <w:rFonts w:ascii="Calibri" w:hAnsi="Calibri"/>
                <w:color w:val="333333"/>
                <w:sz w:val="18"/>
              </w:rPr>
              <w:t>1.7</w:t>
            </w:r>
          </w:p>
        </w:tc>
        <w:tc>
          <w:tcPr>
            <w:tcW w:type="dxa" w:w="1680"/>
          </w:tcPr>
          <w:p>
            <w:r>
              <w:rPr>
                <w:rFonts w:ascii="Calibri" w:hAnsi="Calibri"/>
                <w:color w:val="333333"/>
                <w:sz w:val="18"/>
              </w:rPr>
              <w:t>4/5</w:t>
            </w:r>
          </w:p>
        </w:tc>
        <w:tc>
          <w:tcPr>
            <w:tcW w:type="dxa" w:w="1680"/>
          </w:tcPr>
          <w:p>
            <w:r>
              <w:rPr>
                <w:rFonts w:ascii="Calibri" w:hAnsi="Calibri"/>
                <w:color w:val="333333"/>
                <w:sz w:val="18"/>
              </w:rPr>
              <w:t>80%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41.7</w:t>
            </w:r>
          </w:p>
        </w:tc>
        <w:tc>
          <w:tcPr>
            <w:tcW w:type="dxa" w:w="1680"/>
            <w:shd w:fill="F2F4F8" w:val="clear"/>
          </w:tcPr>
          <w:p>
            <w:r>
              <w:rPr>
                <w:rFonts w:ascii="Calibri" w:hAnsi="Calibri"/>
                <w:color w:val="333333"/>
                <w:sz w:val="18"/>
              </w:rPr>
              <w:t>4.2</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27.1</w:t>
            </w:r>
          </w:p>
        </w:tc>
        <w:tc>
          <w:tcPr>
            <w:tcW w:type="dxa" w:w="1680"/>
          </w:tcPr>
          <w:p>
            <w:r>
              <w:rPr>
                <w:rFonts w:ascii="Calibri" w:hAnsi="Calibri"/>
                <w:color w:val="333333"/>
                <w:sz w:val="18"/>
              </w:rPr>
              <w:t>2.7</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[NEW] Risks associated with generative AI and other AI technologies</w:t>
            </w:r>
          </w:p>
        </w:tc>
        <w:tc>
          <w:tcPr>
            <w:tcW w:type="dxa" w:w="2016"/>
          </w:tcPr>
          <w:p>
            <w:r>
              <w:rPr>
                <w:rFonts w:ascii="Calibri" w:hAnsi="Calibri"/>
                <w:color w:val="333333"/>
                <w:sz w:val="18"/>
              </w:rPr>
              <w:t>AI</w:t>
            </w:r>
          </w:p>
        </w:tc>
        <w:tc>
          <w:tcPr>
            <w:tcW w:type="dxa" w:w="2016"/>
          </w:tcPr>
          <w:p>
            <w:r>
              <w:rPr>
                <w:rFonts w:ascii="Calibri" w:hAnsi="Calibri"/>
                <w:color w:val="333333"/>
                <w:sz w:val="18"/>
              </w:rPr>
              <w:t>MEDIUM</w:t>
            </w:r>
          </w:p>
        </w:tc>
        <w:tc>
          <w:tcPr>
            <w:tcW w:type="dxa" w:w="2016"/>
          </w:tcPr>
          <w:p>
            <w:r>
              <w:rPr>
                <w:rFonts w:ascii="Calibri" w:hAnsi="Calibri"/>
                <w:color w:val="333333"/>
                <w:sz w:val="18"/>
              </w:rPr>
              <w:t>LOW</w:t>
            </w:r>
          </w:p>
        </w:tc>
        <w:tc>
          <w:tcPr>
            <w:tcW w:type="dxa" w:w="2016"/>
          </w:tcPr>
          <w:p>
            <w:r>
              <w:rPr>
                <w:rFonts w:ascii="Calibri" w:hAnsi="Calibri"/>
                <w:color w:val="333333"/>
                <w:sz w:val="18"/>
              </w:rPr>
              <w:t>Our use of generative AI ('GenAI') and other AI technologies presents certain risks and challenges given the emerging nature of AI technologies.</w:t>
            </w:r>
          </w:p>
        </w:tc>
      </w:tr>
      <w:tr>
        <w:tc>
          <w:tcPr>
            <w:tcW w:type="dxa" w:w="2016"/>
            <w:shd w:fill="F2F4F8" w:val="clear"/>
          </w:tcPr>
          <w:p>
            <w:r>
              <w:rPr>
                <w:rFonts w:ascii="Calibri" w:hAnsi="Calibri"/>
                <w:color w:val="333333"/>
                <w:sz w:val="18"/>
              </w:rPr>
              <w:t>Cybersecurity incidents and data breaches</w:t>
            </w:r>
          </w:p>
        </w:tc>
        <w:tc>
          <w:tcPr>
            <w:tcW w:type="dxa" w:w="2016"/>
            <w:shd w:fill="F2F4F8" w:val="clear"/>
          </w:tcPr>
          <w:p>
            <w:r>
              <w:rPr>
                <w:rFonts w:ascii="Calibri" w:hAnsi="Calibri"/>
                <w:color w:val="333333"/>
                <w:sz w:val="18"/>
              </w:rPr>
              <w:t>CYBER</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Our internal computer systems and physical premises, or those of third parties with which we share sensitive data or information, may fail or suffer security breaches, including from cybersecurity incidents, which could materially disrupt our product development programs and manufacturing operations.</w:t>
            </w:r>
          </w:p>
        </w:tc>
      </w:tr>
      <w:tr>
        <w:tc>
          <w:tcPr>
            <w:tcW w:type="dxa" w:w="2016"/>
          </w:tcPr>
          <w:p>
            <w:r>
              <w:rPr>
                <w:rFonts w:ascii="Calibri" w:hAnsi="Calibri"/>
                <w:color w:val="333333"/>
                <w:sz w:val="18"/>
              </w:rPr>
              <w:t>Commercial challenges and lower-than-expected sales</w:t>
            </w:r>
          </w:p>
        </w:tc>
        <w:tc>
          <w:tcPr>
            <w:tcW w:type="dxa" w:w="2016"/>
          </w:tcPr>
          <w:p>
            <w:r>
              <w:rPr>
                <w:rFonts w:ascii="Calibri" w:hAnsi="Calibri"/>
                <w:color w:val="333333"/>
                <w:sz w:val="18"/>
              </w:rPr>
              <w:t>FINANCIAL</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We have experienced commercial challenges and may experience additional challenges in the future. In the past, commercial challenges have led to lower-than-expected sales and required us to adapt our business strategy.</w:t>
            </w:r>
          </w:p>
        </w:tc>
      </w:tr>
      <w:tr>
        <w:tc>
          <w:tcPr>
            <w:tcW w:type="dxa" w:w="2016"/>
            <w:shd w:fill="F2F4F8" w:val="clear"/>
          </w:tcPr>
          <w:p>
            <w:r>
              <w:rPr>
                <w:rFonts w:ascii="Calibri" w:hAnsi="Calibri"/>
                <w:color w:val="333333"/>
                <w:sz w:val="18"/>
              </w:rPr>
              <w:t>Net losses and may not achieve long-term sustainable profitability</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We incurred net losses in 2025 and 2024, and expect to incur additional losses in the future; we may not achieve long-term sustainable profitability.</w:t>
            </w:r>
          </w:p>
        </w:tc>
      </w:tr>
      <w:tr>
        <w:tc>
          <w:tcPr>
            <w:tcW w:type="dxa" w:w="2016"/>
          </w:tcPr>
          <w:p>
            <w:r>
              <w:rPr>
                <w:rFonts w:ascii="Calibri" w:hAnsi="Calibri"/>
                <w:color w:val="333333"/>
                <w:sz w:val="18"/>
              </w:rPr>
              <w:t>Uncertainty over intellectual property and litigation</w:t>
            </w:r>
          </w:p>
        </w:tc>
        <w:tc>
          <w:tcPr>
            <w:tcW w:type="dxa" w:w="2016"/>
          </w:tcPr>
          <w:p>
            <w:r>
              <w:rPr>
                <w:rFonts w:ascii="Calibri" w:hAnsi="Calibri"/>
                <w:color w:val="333333"/>
                <w:sz w:val="18"/>
              </w:rPr>
              <w:t>LITIGATION</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Uncertainty over intellectual property in the pharmaceutical and biotechnology industry has been the source of litigation and other disputes, which is inherently costly and unpredictable and can have adverse financial and freedom-to-operate consequences.</w:t>
            </w:r>
          </w:p>
        </w:tc>
      </w:tr>
      <w:tr>
        <w:tc>
          <w:tcPr>
            <w:tcW w:type="dxa" w:w="2016"/>
            <w:shd w:fill="F2F4F8" w:val="clear"/>
          </w:tcPr>
          <w:p>
            <w:r>
              <w:rPr>
                <w:rFonts w:ascii="Calibri" w:hAnsi="Calibri"/>
                <w:color w:val="333333"/>
                <w:sz w:val="18"/>
              </w:rPr>
              <w:t>Product liability lawsuits</w:t>
            </w:r>
          </w:p>
        </w:tc>
        <w:tc>
          <w:tcPr>
            <w:tcW w:type="dxa" w:w="2016"/>
            <w:shd w:fill="F2F4F8" w:val="clear"/>
          </w:tcPr>
          <w:p>
            <w:r>
              <w:rPr>
                <w:rFonts w:ascii="Calibri" w:hAnsi="Calibri"/>
                <w:color w:val="333333"/>
                <w:sz w:val="18"/>
              </w:rPr>
              <w:t>LITIGATION</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Product liability lawsuits against us could cause us to incur substantial liabilities and limit commercialization of our products.</w:t>
            </w:r>
          </w:p>
        </w:tc>
      </w:tr>
      <w:tr>
        <w:tc>
          <w:tcPr>
            <w:tcW w:type="dxa" w:w="2016"/>
          </w:tcPr>
          <w:p>
            <w:r>
              <w:rPr>
                <w:rFonts w:ascii="Calibri" w:hAnsi="Calibri"/>
                <w:color w:val="333333"/>
                <w:sz w:val="18"/>
              </w:rPr>
              <w:t>Intense competition in vaccine and pharmaceutical markets</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The vaccine market, and pharmaceutical market more generally, is intensely competitive, and we may be unable to compete effectively in the market for existing or new products, treatment methods or technologies.</w:t>
            </w:r>
          </w:p>
        </w:tc>
      </w:tr>
      <w:tr>
        <w:tc>
          <w:tcPr>
            <w:tcW w:type="dxa" w:w="2016"/>
            <w:shd w:fill="F2F4F8" w:val="clear"/>
          </w:tcPr>
          <w:p>
            <w:r>
              <w:rPr>
                <w:rFonts w:ascii="Calibri" w:hAnsi="Calibri"/>
                <w:color w:val="333333"/>
                <w:sz w:val="18"/>
              </w:rPr>
              <w:t>Dependence on single-source suppliers</w:t>
            </w:r>
          </w:p>
        </w:tc>
        <w:tc>
          <w:tcPr>
            <w:tcW w:type="dxa" w:w="2016"/>
            <w:shd w:fill="F2F4F8" w:val="clear"/>
          </w:tcPr>
          <w:p>
            <w:r>
              <w:rPr>
                <w:rFonts w:ascii="Calibri" w:hAnsi="Calibri"/>
                <w:color w:val="333333"/>
                <w:sz w:val="18"/>
              </w:rPr>
              <w:t>OPERATIONAL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We are dependent on single-source suppliers for some of the components and materials used in, and the manufacturing processes required to develop and commercialize, our products and product candidates.</w:t>
            </w:r>
          </w:p>
        </w:tc>
      </w:tr>
      <w:tr>
        <w:tc>
          <w:tcPr>
            <w:tcW w:type="dxa" w:w="2016"/>
          </w:tcPr>
          <w:p>
            <w:r>
              <w:rPr>
                <w:rFonts w:ascii="Calibri" w:hAnsi="Calibri"/>
                <w:color w:val="333333"/>
                <w:sz w:val="18"/>
              </w:rPr>
              <w:t>Regulatory and market uncertainty impacting business and product markets</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Regulatory and market uncertainty have and may continue to impact our business and the markets for our products. Our ability to successfully commercialize our approved vaccines and any future products depends in part on evolving regulatory requirements, public health recommendations and market acceptance.</w:t>
            </w:r>
          </w:p>
        </w:tc>
      </w:tr>
      <w:tr>
        <w:tc>
          <w:tcPr>
            <w:tcW w:type="dxa" w:w="2016"/>
            <w:shd w:fill="F2F4F8" w:val="clear"/>
          </w:tcPr>
          <w:p>
            <w:r>
              <w:rPr>
                <w:rFonts w:ascii="Calibri" w:hAnsi="Calibri"/>
                <w:color w:val="333333"/>
                <w:sz w:val="18"/>
              </w:rPr>
              <w:t>Compliance with healthcare fraud and abuse laws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We are subject, directly or indirectly, to federal and state healthcare fraud and abuse laws and false claims laws. If we cannot comply, or have not fully complied, with such laws, we could face substantial penalties.</w:t>
            </w:r>
          </w:p>
        </w:tc>
      </w:tr>
      <w:tr>
        <w:tc>
          <w:tcPr>
            <w:tcW w:type="dxa" w:w="2016"/>
          </w:tcPr>
          <w:p>
            <w:r>
              <w:rPr>
                <w:rFonts w:ascii="Calibri" w:hAnsi="Calibri"/>
                <w:color w:val="333333"/>
                <w:sz w:val="18"/>
              </w:rPr>
              <w:t>Quarterly and annual operating results may fluctuate</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Our quarterly and annual operating results may fluctuate. As a result, we may fail to meet or exceed the expectations of research analysts or investors, which could cause our stock price to decline.</w:t>
            </w:r>
          </w:p>
        </w:tc>
      </w:tr>
      <w:tr>
        <w:tc>
          <w:tcPr>
            <w:tcW w:type="dxa" w:w="2016"/>
            <w:shd w:fill="F2F4F8" w:val="clear"/>
          </w:tcPr>
          <w:p>
            <w:r>
              <w:rPr>
                <w:rFonts w:ascii="Calibri" w:hAnsi="Calibri"/>
                <w:color w:val="333333"/>
                <w:sz w:val="18"/>
              </w:rPr>
              <w:t>Volatility of common stock price</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The price of our common stock has been volatile, which could result in substantial losses for shareholders.</w:t>
            </w:r>
          </w:p>
        </w:tc>
      </w:tr>
      <w:tr>
        <w:tc>
          <w:tcPr>
            <w:tcW w:type="dxa" w:w="2016"/>
          </w:tcPr>
          <w:p>
            <w:r>
              <w:rPr>
                <w:rFonts w:ascii="Calibri" w:hAnsi="Calibri"/>
                <w:color w:val="333333"/>
                <w:sz w:val="18"/>
              </w:rPr>
              <w:t>Risks of doing business outside of the United States</w:t>
            </w:r>
          </w:p>
        </w:tc>
        <w:tc>
          <w:tcPr>
            <w:tcW w:type="dxa" w:w="2016"/>
          </w:tcPr>
          <w:p>
            <w:r>
              <w:rPr>
                <w:rFonts w:ascii="Calibri" w:hAnsi="Calibri"/>
                <w:color w:val="333333"/>
                <w:sz w:val="18"/>
              </w:rPr>
              <w:t>REGULATORY</w:t>
            </w:r>
          </w:p>
        </w:tc>
        <w:tc>
          <w:tcPr>
            <w:tcW w:type="dxa" w:w="2016"/>
          </w:tcPr>
          <w:p>
            <w:r>
              <w:rPr>
                <w:rFonts w:ascii="Calibri" w:hAnsi="Calibri"/>
                <w:color w:val="333333"/>
                <w:sz w:val="18"/>
              </w:rPr>
              <w:t>MEDIUM</w:t>
            </w:r>
          </w:p>
        </w:tc>
        <w:tc>
          <w:tcPr>
            <w:tcW w:type="dxa" w:w="2016"/>
          </w:tcPr>
          <w:p>
            <w:r>
              <w:rPr>
                <w:rFonts w:ascii="Calibri" w:hAnsi="Calibri"/>
                <w:color w:val="333333"/>
                <w:sz w:val="18"/>
              </w:rPr>
              <w:t>HIGH</w:t>
            </w:r>
          </w:p>
        </w:tc>
        <w:tc>
          <w:tcPr>
            <w:tcW w:type="dxa" w:w="2016"/>
          </w:tcPr>
          <w:p>
            <w:r>
              <w:rPr>
                <w:rFonts w:ascii="Calibri" w:hAnsi="Calibri"/>
                <w:color w:val="333333"/>
                <w:sz w:val="18"/>
              </w:rPr>
              <w:t>We are subject to the risks of doing business outside of the United States.</w:t>
            </w:r>
          </w:p>
        </w:tc>
      </w:tr>
      <w:tr>
        <w:tc>
          <w:tcPr>
            <w:tcW w:type="dxa" w:w="2016"/>
            <w:shd w:fill="F2F4F8" w:val="clear"/>
          </w:tcPr>
          <w:p>
            <w:r>
              <w:rPr>
                <w:rFonts w:ascii="Calibri" w:hAnsi="Calibri"/>
                <w:color w:val="333333"/>
                <w:sz w:val="18"/>
              </w:rPr>
              <w:t>Data privacy and security regulations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We are subject to various and evolving laws and regulations governing the privacy and security of personal data, and our failure to comply could result in fines or criminal penalties and damage our reputation.</w:t>
            </w:r>
          </w:p>
        </w:tc>
      </w:tr>
    </w:tbl>
    <w:p>
      <w:pPr>
        <w:pStyle w:val="DOCaption"/>
      </w:pPr>
      <w:r>
        <w:t>14 D&amp;O-relevant risk factors (1 new this year, 9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Moderna's stock has declined 17.4% from its 52-week high of $59.55 to a current price of $49.20, with a severe single-day drop of 21.0% on August 1, 2024, triggered directly by an earnings release; this clear, material event satisfies the *Dura Pharmaceuticals* loss causation threshold and provides a definitive anchor date for a stock-drop lawsuit. Persistent net insider selling, totaling $9.26 million, provides a direct path for plaintiffs to allege scienter under *Tellabs*, especially as 75% of that volume was executed under 10b5-1 plans, which a skilled plaintiff's bar will argue were opportunistically adopted ahead of the August earnings disclosure. The stock's 20.4% short interest, combined with a 'HOLD' analyst consensus and zero recent upgrades or downgrades, reflects a skeptical market narrative that will amplify litigation following any further negative clinical or commercial news. My primary concern is the alignment of the documented, earnings-triggered 21.0% price shock with $9.26 million in plan-based executive selling, creating a near-textbook securities class action setup that demands a severe pricing adjustment.</w:t>
      </w:r>
    </w:p>
    <w:p>
      <w:pPr>
        <w:pStyle w:val="DOHeading1"/>
      </w:pPr>
      <w:r>
        <w:t>Section 4: Market &amp; Trading Analysis</w:t>
      </w:r>
    </w:p>
    <w:p>
      <w:pPr>
        <w:pStyle w:val="DOBody"/>
      </w:pPr>
      <w:r>
        <w:rPr>
          <w:rFonts w:ascii="Calibri" w:hAnsi="Calibri"/>
          <w:color w:val="333333"/>
          <w:sz w:val="20"/>
        </w:rPr>
        <w:t>The stock trades 17.4% below its 52-week high ($60 to current $49), entering the range where SCA filings become economically viable. Worst single-day decline: 21.0% on 2024-08-01 triggered by earnings_release. Short interest of 20.4% of float is elevated (6-month trend: STABLE), indicating institutional bearish conviction. Analyst consensus: HOLD.</w:t>
      </w:r>
    </w:p>
    <w:p>
      <w:pPr>
        <w:pStyle w:val="DOHeading2"/>
      </w:pPr>
      <w:r>
        <w:t>Stock Performance</w:t>
      </w:r>
    </w:p>
    <w:p>
      <w:r>
        <w:drawing>
          <wp:inline xmlns:a="http://schemas.openxmlformats.org/drawingml/2006/main" xmlns:pic="http://schemas.openxmlformats.org/drawingml/2006/picture">
            <wp:extent cx="5943600" cy="3903785"/>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903785"/>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409616"/>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409616"/>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485569"/>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485569"/>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428159"/>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428159"/>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83842"/>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83842"/>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$49.20</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$59.55</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$22.28</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91.2%</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-35.5%</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75.2% (Ranks at the 0th percentile among 0 peers (peer median: 2.0%))</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1.34</w:t>
            </w:r>
          </w:p>
        </w:tc>
      </w:tr>
    </w:tbl>
    <w:p>
      <w:pPr>
        <w:pStyle w:val="DOBody"/>
      </w:pPr>
      <w:r>
        <w:t>100 significant stock decline events detected in the 1Y period: 72 critical (&gt;10%), 28 notable (5-10%). 100 were company-specific, 4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2025-08-25</w:t>
            </w:r>
          </w:p>
        </w:tc>
        <w:tc>
          <w:tcPr>
            <w:tcW w:type="dxa" w:w="1440"/>
            <w:shd w:fill="FCE8E6" w:val="clear"/>
          </w:tcPr>
          <w:p>
            <w:r>
              <w:rPr>
                <w:rFonts w:ascii="Calibri" w:hAnsi="Calibri"/>
                <w:color w:val="333333"/>
                <w:sz w:val="18"/>
              </w:rPr>
              <w:t>-25.2%</w:t>
            </w:r>
          </w:p>
        </w:tc>
        <w:tc>
          <w:tcPr>
            <w:tcW w:type="dxa" w:w="1440"/>
            <w:shd w:fill="FCE8E6" w:val="clear"/>
          </w:tcPr>
          <w:p>
            <w:r>
              <w:rPr>
                <w:rFonts w:ascii="Calibri" w:hAnsi="Calibri"/>
                <w:color w:val="333333"/>
                <w:sz w:val="18"/>
              </w:rPr>
              <w:t>43%</w:t>
            </w:r>
          </w:p>
        </w:tc>
        <w:tc>
          <w:tcPr>
            <w:tcW w:type="dxa" w:w="1440"/>
            <w:shd w:fill="FCE8E6" w:val="clear"/>
          </w:tcPr>
          <w:p>
            <w:r>
              <w:rPr>
                <w:rFonts w:ascii="Calibri" w:hAnsi="Calibri"/>
                <w:color w:val="333333"/>
                <w:sz w:val="18"/>
              </w:rPr>
              <w:t>26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2025-07-31 to 2025-08-06 (7d)</w:t>
            </w:r>
          </w:p>
        </w:tc>
        <w:tc>
          <w:tcPr>
            <w:tcW w:type="dxa" w:w="1440"/>
            <w:shd w:fill="F2F4F8" w:val="clear"/>
            <w:shd w:fill="FCE8E6" w:val="clear"/>
          </w:tcPr>
          <w:p>
            <w:r>
              <w:rPr>
                <w:rFonts w:ascii="Calibri" w:hAnsi="Calibri"/>
                <w:color w:val="333333"/>
                <w:sz w:val="18"/>
              </w:rPr>
              <w:t>-21.8%</w:t>
            </w:r>
          </w:p>
        </w:tc>
        <w:tc>
          <w:tcPr>
            <w:tcW w:type="dxa" w:w="1440"/>
            <w:shd w:fill="F2F4F8" w:val="clear"/>
            <w:shd w:fill="FCE8E6" w:val="clear"/>
          </w:tcPr>
          <w:p>
            <w:r>
              <w:rPr>
                <w:rFonts w:ascii="Calibri" w:hAnsi="Calibri"/>
                <w:color w:val="333333"/>
                <w:sz w:val="18"/>
              </w:rPr>
              <w:t>39%</w:t>
            </w:r>
          </w:p>
        </w:tc>
        <w:tc>
          <w:tcPr>
            <w:tcW w:type="dxa" w:w="1440"/>
            <w:shd w:fill="F2F4F8" w:val="clear"/>
            <w:shd w:fill="FCE8E6" w:val="clear"/>
          </w:tcPr>
          <w:p>
            <w:r>
              <w:rPr>
                <w:rFonts w:ascii="Calibri" w:hAnsi="Calibri"/>
                <w:color w:val="333333"/>
                <w:sz w:val="18"/>
              </w:rPr>
              <w:t>95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2026-03-27</w:t>
            </w:r>
          </w:p>
        </w:tc>
        <w:tc>
          <w:tcPr>
            <w:tcW w:type="dxa" w:w="1440"/>
            <w:shd w:fill="FFF3CD" w:val="clear"/>
          </w:tcPr>
          <w:p>
            <w:r>
              <w:rPr>
                <w:rFonts w:ascii="Calibri" w:hAnsi="Calibri"/>
                <w:color w:val="333333"/>
                <w:sz w:val="18"/>
              </w:rPr>
              <w:t>-7.5%</w:t>
            </w:r>
          </w:p>
        </w:tc>
        <w:tc>
          <w:tcPr>
            <w:tcW w:type="dxa" w:w="1440"/>
            <w:shd w:fill="FFF3CD" w:val="clear"/>
          </w:tcPr>
          <w:p>
            <w:r>
              <w:rPr>
                <w:rFonts w:ascii="Calibri" w:hAnsi="Calibri"/>
                <w:color w:val="333333"/>
                <w:sz w:val="18"/>
              </w:rPr>
              <w:t>98%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2025-08-04 (5d)</w:t>
            </w:r>
          </w:p>
        </w:tc>
        <w:tc>
          <w:tcPr>
            <w:tcW w:type="dxa" w:w="1440"/>
            <w:shd w:fill="F2F4F8" w:val="clear"/>
            <w:shd w:fill="FCE8E6" w:val="clear"/>
          </w:tcPr>
          <w:p>
            <w:r>
              <w:rPr>
                <w:rFonts w:ascii="Calibri" w:hAnsi="Calibri"/>
                <w:color w:val="333333"/>
                <w:sz w:val="18"/>
              </w:rPr>
              <w:t>-18.5%</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98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2025-03-26 to 2025-04-10 (16d)</w:t>
            </w:r>
          </w:p>
        </w:tc>
        <w:tc>
          <w:tcPr>
            <w:tcW w:type="dxa" w:w="1440"/>
            <w:shd w:fill="FCE8E6" w:val="clear"/>
          </w:tcPr>
          <w:p>
            <w:r>
              <w:rPr>
                <w:rFonts w:ascii="Calibri" w:hAnsi="Calibri"/>
                <w:color w:val="333333"/>
                <w:sz w:val="18"/>
              </w:rPr>
              <w:t>-31.9%</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2025-04-10 (20d)</w:t>
            </w:r>
          </w:p>
        </w:tc>
        <w:tc>
          <w:tcPr>
            <w:tcW w:type="dxa" w:w="1440"/>
            <w:shd w:fill="F2F4F8" w:val="clear"/>
            <w:shd w:fill="FCE8E6" w:val="clear"/>
          </w:tcPr>
          <w:p>
            <w:r>
              <w:rPr>
                <w:rFonts w:ascii="Calibri" w:hAnsi="Calibri"/>
                <w:color w:val="333333"/>
                <w:sz w:val="18"/>
              </w:rPr>
              <w:t>-28.6%</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1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2025-04-07 (20d)</w:t>
            </w:r>
          </w:p>
        </w:tc>
        <w:tc>
          <w:tcPr>
            <w:tcW w:type="dxa" w:w="1440"/>
            <w:shd w:fill="FCE8E6" w:val="clear"/>
          </w:tcPr>
          <w:p>
            <w:r>
              <w:rPr>
                <w:rFonts w:ascii="Calibri" w:hAnsi="Calibri"/>
                <w:color w:val="333333"/>
                <w:sz w:val="18"/>
              </w:rPr>
              <w:t>-28.7%</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2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2025-11-03 to 2025-11-04 (2d)</w:t>
            </w:r>
          </w:p>
        </w:tc>
        <w:tc>
          <w:tcPr>
            <w:tcW w:type="dxa" w:w="1440"/>
            <w:shd w:fill="F2F4F8" w:val="clear"/>
            <w:shd w:fill="FCE8E6" w:val="clear"/>
          </w:tcPr>
          <w:p>
            <w:r>
              <w:rPr>
                <w:rFonts w:ascii="Calibri" w:hAnsi="Calibri"/>
                <w:color w:val="333333"/>
                <w:sz w:val="18"/>
              </w:rPr>
              <w:t>-15.6%</w:t>
            </w:r>
          </w:p>
        </w:tc>
        <w:tc>
          <w:tcPr>
            <w:tcW w:type="dxa" w:w="1440"/>
            <w:shd w:fill="F2F4F8" w:val="clear"/>
            <w:shd w:fill="FCE8E6" w:val="clear"/>
          </w:tcPr>
          <w:p>
            <w:r>
              <w:rPr>
                <w:rFonts w:ascii="Calibri" w:hAnsi="Calibri"/>
                <w:color w:val="333333"/>
                <w:sz w:val="18"/>
              </w:rPr>
              <w:t>56%</w:t>
            </w:r>
          </w:p>
        </w:tc>
        <w:tc>
          <w:tcPr>
            <w:tcW w:type="dxa" w:w="1440"/>
            <w:shd w:fill="F2F4F8" w:val="clear"/>
            <w:shd w:fill="FCE8E6" w:val="clear"/>
          </w:tcPr>
          <w:p>
            <w:r>
              <w:rPr>
                <w:rFonts w:ascii="Calibri" w:hAnsi="Calibri"/>
                <w:color w:val="333333"/>
                <w:sz w:val="18"/>
              </w:rPr>
              <w:t>22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2025-04-08 (20d)</w:t>
            </w:r>
          </w:p>
        </w:tc>
        <w:tc>
          <w:tcPr>
            <w:tcW w:type="dxa" w:w="1440"/>
            <w:shd w:fill="FCE8E6" w:val="clear"/>
          </w:tcPr>
          <w:p>
            <w:r>
              <w:rPr>
                <w:rFonts w:ascii="Calibri" w:hAnsi="Calibri"/>
                <w:color w:val="333333"/>
                <w:sz w:val="18"/>
              </w:rPr>
              <w:t>-27.0%</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2025-08-06 (5d)</w:t>
            </w:r>
          </w:p>
        </w:tc>
        <w:tc>
          <w:tcPr>
            <w:tcW w:type="dxa" w:w="1440"/>
            <w:shd w:fill="F2F4F8" w:val="clear"/>
            <w:shd w:fill="FCE8E6" w:val="clear"/>
          </w:tcPr>
          <w:p>
            <w:r>
              <w:rPr>
                <w:rFonts w:ascii="Calibri" w:hAnsi="Calibri"/>
                <w:color w:val="333333"/>
                <w:sz w:val="18"/>
              </w:rPr>
              <w:t>-16.9%</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95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2025-11-03 (2d)</w:t>
            </w:r>
          </w:p>
        </w:tc>
        <w:tc>
          <w:tcPr>
            <w:tcW w:type="dxa" w:w="1440"/>
            <w:shd w:fill="FCE8E6" w:val="clear"/>
          </w:tcPr>
          <w:p>
            <w:r>
              <w:rPr>
                <w:rFonts w:ascii="Calibri" w:hAnsi="Calibri"/>
                <w:color w:val="333333"/>
                <w:sz w:val="18"/>
              </w:rPr>
              <w:t>-11.5%</w:t>
            </w:r>
          </w:p>
        </w:tc>
        <w:tc>
          <w:tcPr>
            <w:tcW w:type="dxa" w:w="1440"/>
            <w:shd w:fill="FCE8E6" w:val="clear"/>
          </w:tcPr>
          <w:p>
            <w:r>
              <w:rPr>
                <w:rFonts w:ascii="Calibri" w:hAnsi="Calibri"/>
                <w:color w:val="333333"/>
                <w:sz w:val="18"/>
              </w:rPr>
              <w:t>56%</w:t>
            </w:r>
          </w:p>
        </w:tc>
        <w:tc>
          <w:tcPr>
            <w:tcW w:type="dxa" w:w="1440"/>
            <w:shd w:fill="FCE8E6" w:val="clear"/>
          </w:tcPr>
          <w:p>
            <w:r>
              <w:rPr>
                <w:rFonts w:ascii="Calibri" w:hAnsi="Calibri"/>
                <w:color w:val="333333"/>
                <w:sz w:val="18"/>
              </w:rPr>
              <w:t>25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2025-08-05 (5d)</w:t>
            </w:r>
          </w:p>
        </w:tc>
        <w:tc>
          <w:tcPr>
            <w:tcW w:type="dxa" w:w="1440"/>
            <w:shd w:fill="F2F4F8" w:val="clear"/>
            <w:shd w:fill="FCE8E6" w:val="clear"/>
          </w:tcPr>
          <w:p>
            <w:r>
              <w:rPr>
                <w:rFonts w:ascii="Calibri" w:hAnsi="Calibri"/>
                <w:color w:val="333333"/>
                <w:sz w:val="18"/>
              </w:rPr>
              <w:t>-15.9%</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96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2025-11-20</w:t>
            </w:r>
          </w:p>
        </w:tc>
        <w:tc>
          <w:tcPr>
            <w:tcW w:type="dxa" w:w="1440"/>
            <w:shd w:fill="FCE8E6" w:val="clear"/>
          </w:tcPr>
          <w:p>
            <w:r>
              <w:rPr>
                <w:rFonts w:ascii="Calibri" w:hAnsi="Calibri"/>
                <w:color w:val="333333"/>
                <w:sz w:val="18"/>
              </w:rPr>
              <w:t>-10.3%</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3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tcPr>
          <w:p>
            <w:r>
              <w:rPr>
                <w:rFonts w:ascii="Calibri" w:hAnsi="Calibri"/>
                <w:color w:val="333333"/>
                <w:sz w:val="18"/>
              </w:rPr>
              <w:t>2026-03-03 (2d)</w:t>
            </w:r>
          </w:p>
        </w:tc>
        <w:tc>
          <w:tcPr>
            <w:tcW w:type="dxa" w:w="1440"/>
            <w:shd w:fill="F2F4F8" w:val="clear"/>
          </w:tcPr>
          <w:p>
            <w:r>
              <w:rPr>
                <w:rFonts w:ascii="Calibri" w:hAnsi="Calibri"/>
                <w:color w:val="333333"/>
                <w:sz w:val="18"/>
              </w:rPr>
              <w:t>+1.9%</w:t>
            </w:r>
          </w:p>
        </w:tc>
        <w:tc>
          <w:tcPr>
            <w:tcW w:type="dxa" w:w="1440"/>
            <w:shd w:fill="F2F4F8" w:val="clear"/>
          </w:tcPr>
          <w:p>
            <w:r>
              <w:rPr>
                <w:rFonts w:ascii="Calibri" w:hAnsi="Calibri"/>
                <w:color w:val="333333"/>
                <w:sz w:val="18"/>
              </w:rPr>
              <w:t>89%</w:t>
            </w:r>
          </w:p>
        </w:tc>
        <w:tc>
          <w:tcPr>
            <w:tcW w:type="dxa" w:w="1440"/>
            <w:shd w:fill="F2F4F8" w:val="clear"/>
          </w:tcPr>
          <w:p>
            <w:r>
              <w:rPr>
                <w:rFonts w:ascii="Calibri" w:hAnsi="Calibri"/>
                <w:color w:val="333333"/>
                <w:sz w:val="18"/>
              </w:rPr>
              <w:t>Not recovered</w:t>
            </w:r>
          </w:p>
        </w:tc>
        <w:tc>
          <w:tcPr>
            <w:tcW w:type="dxa" w:w="1440"/>
            <w:shd w:fill="F2F4F8" w:val="clear"/>
          </w:tcPr>
          <w:p>
            <w:r>
              <w:rPr>
                <w:rFonts w:ascii="Calibri" w:hAnsi="Calibri"/>
                <w:color w:val="333333"/>
                <w:sz w:val="18"/>
              </w:rPr>
              <w:t>8-K Filing</w:t>
            </w:r>
          </w:p>
        </w:tc>
        <w:tc>
          <w:tcPr>
            <w:tcW w:type="dxa" w:w="1440"/>
            <w:shd w:fill="F2F4F8" w:val="clear"/>
          </w:tcPr>
          <w:p>
            <w:r>
              <w:rPr>
                <w:rFonts w:ascii="Calibri" w:hAnsi="Calibri"/>
                <w:color w:val="333333"/>
                <w:sz w:val="18"/>
              </w:rPr>
              <w:t>Company-Specific</w:t>
            </w:r>
          </w:p>
        </w:tc>
        <w:tc>
          <w:tcPr>
            <w:tcW w:type="dxa" w:w="1440"/>
            <w:shd w:fill="F2F4F8"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2025-01-29 to 2025-02-07 (10d)</w:t>
            </w:r>
          </w:p>
        </w:tc>
        <w:tc>
          <w:tcPr>
            <w:tcW w:type="dxa" w:w="1440"/>
            <w:shd w:fill="FCE8E6" w:val="clear"/>
          </w:tcPr>
          <w:p>
            <w:r>
              <w:rPr>
                <w:rFonts w:ascii="Calibri" w:hAnsi="Calibri"/>
                <w:color w:val="333333"/>
                <w:sz w:val="18"/>
              </w:rPr>
              <w:t>-31.4%</w:t>
            </w:r>
          </w:p>
        </w:tc>
        <w:tc>
          <w:tcPr>
            <w:tcW w:type="dxa" w:w="1440"/>
            <w:shd w:fill="FCE8E6" w:val="clear"/>
          </w:tcPr>
          <w:p>
            <w:r>
              <w:rPr>
                <w:rFonts w:ascii="Calibri" w:hAnsi="Calibri"/>
                <w:color w:val="333333"/>
                <w:sz w:val="18"/>
              </w:rPr>
              <w:t>20%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2025-02-26 to 2025-02-27 (2d)</w:t>
            </w:r>
          </w:p>
        </w:tc>
        <w:tc>
          <w:tcPr>
            <w:tcW w:type="dxa" w:w="1440"/>
            <w:shd w:fill="F2F4F8" w:val="clear"/>
            <w:shd w:fill="FCE8E6" w:val="clear"/>
          </w:tcPr>
          <w:p>
            <w:r>
              <w:rPr>
                <w:rFonts w:ascii="Calibri" w:hAnsi="Calibri"/>
                <w:color w:val="333333"/>
                <w:sz w:val="18"/>
              </w:rPr>
              <w:t>-30.8%</w:t>
            </w:r>
          </w:p>
        </w:tc>
        <w:tc>
          <w:tcPr>
            <w:tcW w:type="dxa" w:w="1440"/>
            <w:shd w:fill="F2F4F8" w:val="clear"/>
            <w:shd w:fill="FCE8E6" w:val="clear"/>
          </w:tcPr>
          <w:p>
            <w:r>
              <w:rPr>
                <w:rFonts w:ascii="Calibri" w:hAnsi="Calibri"/>
                <w:color w:val="333333"/>
                <w:sz w:val="18"/>
              </w:rPr>
              <w:t>21%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2025-12-23</w:t>
            </w:r>
          </w:p>
        </w:tc>
        <w:tc>
          <w:tcPr>
            <w:tcW w:type="dxa" w:w="1440"/>
            <w:shd w:fill="FFF3CD" w:val="clear"/>
          </w:tcPr>
          <w:p>
            <w:r>
              <w:rPr>
                <w:rFonts w:ascii="Calibri" w:hAnsi="Calibri"/>
                <w:color w:val="333333"/>
                <w:sz w:val="18"/>
              </w:rPr>
              <w:t>-7.5%</w:t>
            </w:r>
          </w:p>
        </w:tc>
        <w:tc>
          <w:tcPr>
            <w:tcW w:type="dxa" w:w="1440"/>
            <w:shd w:fill="FFF3CD" w:val="clear"/>
          </w:tcPr>
          <w:p>
            <w:r>
              <w:rPr>
                <w:rFonts w:ascii="Calibri" w:hAnsi="Calibri"/>
                <w:color w:val="333333"/>
                <w:sz w:val="18"/>
              </w:rPr>
              <w:t>68%</w:t>
            </w:r>
          </w:p>
        </w:tc>
        <w:tc>
          <w:tcPr>
            <w:tcW w:type="dxa" w:w="1440"/>
            <w:shd w:fill="FFF3CD" w:val="clear"/>
          </w:tcPr>
          <w:p>
            <w:r>
              <w:rPr>
                <w:rFonts w:ascii="Calibri" w:hAnsi="Calibri"/>
                <w:color w:val="333333"/>
                <w:sz w:val="18"/>
              </w:rPr>
              <w:t>8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2025-04-03 (5d)</w:t>
            </w:r>
          </w:p>
        </w:tc>
        <w:tc>
          <w:tcPr>
            <w:tcW w:type="dxa" w:w="1440"/>
            <w:shd w:fill="F2F4F8" w:val="clear"/>
            <w:shd w:fill="FCE8E6" w:val="clear"/>
          </w:tcPr>
          <w:p>
            <w:r>
              <w:rPr>
                <w:rFonts w:ascii="Calibri" w:hAnsi="Calibri"/>
                <w:color w:val="333333"/>
                <w:sz w:val="18"/>
              </w:rPr>
              <w:t>-19.9%</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4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2025-01-08 to 2025-01-17 (10d)</w:t>
            </w:r>
          </w:p>
        </w:tc>
        <w:tc>
          <w:tcPr>
            <w:tcW w:type="dxa" w:w="1440"/>
            <w:shd w:fill="FCE8E6" w:val="clear"/>
          </w:tcPr>
          <w:p>
            <w:r>
              <w:rPr>
                <w:rFonts w:ascii="Calibri" w:hAnsi="Calibri"/>
                <w:color w:val="333333"/>
                <w:sz w:val="18"/>
              </w:rPr>
              <w:t>-29.0%</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2025-04-01 (5d)</w:t>
            </w:r>
          </w:p>
        </w:tc>
        <w:tc>
          <w:tcPr>
            <w:tcW w:type="dxa" w:w="1440"/>
            <w:shd w:fill="F2F4F8" w:val="clear"/>
            <w:shd w:fill="FCE8E6" w:val="clear"/>
          </w:tcPr>
          <w:p>
            <w:r>
              <w:rPr>
                <w:rFonts w:ascii="Calibri" w:hAnsi="Calibri"/>
                <w:color w:val="333333"/>
                <w:sz w:val="18"/>
              </w:rPr>
              <w:t>-19.8%</w:t>
            </w:r>
          </w:p>
        </w:tc>
        <w:tc>
          <w:tcPr>
            <w:tcW w:type="dxa" w:w="1440"/>
            <w:shd w:fill="F2F4F8" w:val="clear"/>
            <w:shd w:fill="FCE8E6" w:val="clear"/>
          </w:tcPr>
          <w:p>
            <w:r>
              <w:rPr>
                <w:rFonts w:ascii="Calibri" w:hAnsi="Calibri"/>
                <w:color w:val="333333"/>
                <w:sz w:val="18"/>
              </w:rPr>
              <w:t>24%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2025-02-04 (5d)</w:t>
            </w:r>
          </w:p>
        </w:tc>
        <w:tc>
          <w:tcPr>
            <w:tcW w:type="dxa" w:w="1440"/>
            <w:shd w:fill="FCE8E6" w:val="clear"/>
          </w:tcPr>
          <w:p>
            <w:r>
              <w:rPr>
                <w:rFonts w:ascii="Calibri" w:hAnsi="Calibri"/>
                <w:color w:val="333333"/>
                <w:sz w:val="18"/>
              </w:rPr>
              <w:t>-24.0%</w:t>
            </w:r>
          </w:p>
        </w:tc>
        <w:tc>
          <w:tcPr>
            <w:tcW w:type="dxa" w:w="1440"/>
            <w:shd w:fill="FCE8E6" w:val="clear"/>
          </w:tcPr>
          <w:p>
            <w:r>
              <w:rPr>
                <w:rFonts w:ascii="Calibri" w:hAnsi="Calibri"/>
                <w:color w:val="333333"/>
                <w:sz w:val="18"/>
              </w:rPr>
              <w:t>20%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2026-01-23 (3d)</w:t>
            </w:r>
          </w:p>
        </w:tc>
        <w:tc>
          <w:tcPr>
            <w:tcW w:type="dxa" w:w="1440"/>
            <w:shd w:fill="F2F4F8" w:val="clear"/>
            <w:shd w:fill="FCE8E6" w:val="clear"/>
          </w:tcPr>
          <w:p>
            <w:r>
              <w:rPr>
                <w:rFonts w:ascii="Calibri" w:hAnsi="Calibri"/>
                <w:color w:val="333333"/>
                <w:sz w:val="18"/>
              </w:rPr>
              <w:t>-15.0%</w:t>
            </w:r>
          </w:p>
        </w:tc>
        <w:tc>
          <w:tcPr>
            <w:tcW w:type="dxa" w:w="1440"/>
            <w:shd w:fill="F2F4F8" w:val="clear"/>
            <w:shd w:fill="FCE8E6" w:val="clear"/>
          </w:tcPr>
          <w:p>
            <w:r>
              <w:rPr>
                <w:rFonts w:ascii="Calibri" w:hAnsi="Calibri"/>
                <w:color w:val="333333"/>
                <w:sz w:val="18"/>
              </w:rPr>
              <w:t>77%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2025-11-03</w:t>
            </w:r>
          </w:p>
        </w:tc>
        <w:tc>
          <w:tcPr>
            <w:tcW w:type="dxa" w:w="1440"/>
            <w:shd w:fill="FFF3CD" w:val="clear"/>
          </w:tcPr>
          <w:p>
            <w:r>
              <w:rPr>
                <w:rFonts w:ascii="Calibri" w:hAnsi="Calibri"/>
                <w:color w:val="333333"/>
                <w:sz w:val="18"/>
              </w:rPr>
              <w:t>-8.3%</w:t>
            </w:r>
          </w:p>
        </w:tc>
        <w:tc>
          <w:tcPr>
            <w:tcW w:type="dxa" w:w="1440"/>
            <w:shd w:fill="FFF3CD" w:val="clear"/>
          </w:tcPr>
          <w:p>
            <w:r>
              <w:rPr>
                <w:rFonts w:ascii="Calibri" w:hAnsi="Calibri"/>
                <w:color w:val="333333"/>
                <w:sz w:val="18"/>
              </w:rPr>
              <w:t>56%</w:t>
            </w:r>
          </w:p>
        </w:tc>
        <w:tc>
          <w:tcPr>
            <w:tcW w:type="dxa" w:w="1440"/>
            <w:shd w:fill="FFF3CD" w:val="clear"/>
          </w:tcPr>
          <w:p>
            <w:r>
              <w:rPr>
                <w:rFonts w:ascii="Calibri" w:hAnsi="Calibri"/>
                <w:color w:val="333333"/>
                <w:sz w:val="18"/>
              </w:rPr>
              <w:t>23 days</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2024-11-08 to 2024-11-21 (14d)</w:t>
            </w:r>
          </w:p>
        </w:tc>
        <w:tc>
          <w:tcPr>
            <w:tcW w:type="dxa" w:w="1440"/>
            <w:shd w:fill="F2F4F8" w:val="clear"/>
            <w:shd w:fill="FCE8E6" w:val="clear"/>
          </w:tcPr>
          <w:p>
            <w:r>
              <w:rPr>
                <w:rFonts w:ascii="Calibri" w:hAnsi="Calibri"/>
                <w:color w:val="333333"/>
                <w:sz w:val="18"/>
              </w:rPr>
              <w:t>-36.2%</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2024-11-20 (20d)</w:t>
            </w:r>
          </w:p>
        </w:tc>
        <w:tc>
          <w:tcPr>
            <w:tcW w:type="dxa" w:w="1440"/>
            <w:shd w:fill="FCE8E6" w:val="clear"/>
          </w:tcPr>
          <w:p>
            <w:r>
              <w:rPr>
                <w:rFonts w:ascii="Calibri" w:hAnsi="Calibri"/>
                <w:color w:val="333333"/>
                <w:sz w:val="18"/>
              </w:rPr>
              <w:t>-30.8%</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2025-11-20</w:t>
            </w:r>
          </w:p>
        </w:tc>
        <w:tc>
          <w:tcPr>
            <w:tcW w:type="dxa" w:w="1440"/>
            <w:shd w:fill="F2F4F8" w:val="clear"/>
            <w:shd w:fill="FFF3CD" w:val="clear"/>
          </w:tcPr>
          <w:p>
            <w:r>
              <w:rPr>
                <w:rFonts w:ascii="Calibri" w:hAnsi="Calibri"/>
                <w:color w:val="333333"/>
                <w:sz w:val="18"/>
              </w:rPr>
              <w:t>-7.5%</w:t>
            </w:r>
          </w:p>
        </w:tc>
        <w:tc>
          <w:tcPr>
            <w:tcW w:type="dxa" w:w="1440"/>
            <w:shd w:fill="F2F4F8" w:val="clear"/>
            <w:shd w:fill="FFF3CD" w:val="clear"/>
          </w:tcPr>
          <w:p>
            <w:r>
              <w:rPr>
                <w:rFonts w:ascii="Calibri" w:hAnsi="Calibri"/>
                <w:color w:val="333333"/>
                <w:sz w:val="18"/>
              </w:rPr>
              <w:t>60%</w:t>
            </w:r>
          </w:p>
        </w:tc>
        <w:tc>
          <w:tcPr>
            <w:tcW w:type="dxa" w:w="1440"/>
            <w:shd w:fill="F2F4F8" w:val="clear"/>
            <w:shd w:fill="FFF3CD" w:val="clear"/>
          </w:tcPr>
          <w:p>
            <w:r>
              <w:rPr>
                <w:rFonts w:ascii="Calibri" w:hAnsi="Calibri"/>
                <w:color w:val="333333"/>
                <w:sz w:val="18"/>
              </w:rPr>
              <w:t>3 days</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2024-11-19 (20d)</w:t>
            </w:r>
          </w:p>
        </w:tc>
        <w:tc>
          <w:tcPr>
            <w:tcW w:type="dxa" w:w="1440"/>
            <w:shd w:fill="FCE8E6" w:val="clear"/>
          </w:tcPr>
          <w:p>
            <w:r>
              <w:rPr>
                <w:rFonts w:ascii="Calibri" w:hAnsi="Calibri"/>
                <w:color w:val="333333"/>
                <w:sz w:val="18"/>
              </w:rPr>
              <w:t>-30.2%</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2025-05-01 to 2025-05-07 (7d)</w:t>
            </w:r>
          </w:p>
        </w:tc>
        <w:tc>
          <w:tcPr>
            <w:tcW w:type="dxa" w:w="1440"/>
            <w:shd w:fill="F2F4F8" w:val="clear"/>
            <w:shd w:fill="FCE8E6" w:val="clear"/>
          </w:tcPr>
          <w:p>
            <w:r>
              <w:rPr>
                <w:rFonts w:ascii="Calibri" w:hAnsi="Calibri"/>
                <w:color w:val="333333"/>
                <w:sz w:val="18"/>
              </w:rPr>
              <w:t>-15.7%</w:t>
            </w:r>
          </w:p>
        </w:tc>
        <w:tc>
          <w:tcPr>
            <w:tcW w:type="dxa" w:w="1440"/>
            <w:shd w:fill="F2F4F8" w:val="clear"/>
            <w:shd w:fill="FCE8E6" w:val="clear"/>
          </w:tcPr>
          <w:p>
            <w:r>
              <w:rPr>
                <w:rFonts w:ascii="Calibri" w:hAnsi="Calibri"/>
                <w:color w:val="333333"/>
                <w:sz w:val="18"/>
              </w:rPr>
              <w:t>28%</w:t>
            </w:r>
          </w:p>
        </w:tc>
        <w:tc>
          <w:tcPr>
            <w:tcW w:type="dxa" w:w="1440"/>
            <w:shd w:fill="F2F4F8" w:val="clear"/>
            <w:shd w:fill="FCE8E6" w:val="clear"/>
          </w:tcPr>
          <w:p>
            <w:r>
              <w:rPr>
                <w:rFonts w:ascii="Calibri" w:hAnsi="Calibri"/>
                <w:color w:val="333333"/>
                <w:sz w:val="18"/>
              </w:rPr>
              <w:t>10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2025-12-01</w:t>
            </w:r>
          </w:p>
        </w:tc>
        <w:tc>
          <w:tcPr>
            <w:tcW w:type="dxa" w:w="1440"/>
            <w:shd w:fill="FFF3CD" w:val="clear"/>
          </w:tcPr>
          <w:p>
            <w:r>
              <w:rPr>
                <w:rFonts w:ascii="Calibri" w:hAnsi="Calibri"/>
                <w:color w:val="333333"/>
                <w:sz w:val="18"/>
              </w:rPr>
              <w:t>-7.0%</w:t>
            </w:r>
          </w:p>
        </w:tc>
        <w:tc>
          <w:tcPr>
            <w:tcW w:type="dxa" w:w="1440"/>
            <w:shd w:fill="FFF3CD" w:val="clear"/>
          </w:tcPr>
          <w:p>
            <w:r>
              <w:rPr>
                <w:rFonts w:ascii="Calibri" w:hAnsi="Calibri"/>
                <w:color w:val="333333"/>
                <w:sz w:val="18"/>
              </w:rPr>
              <w:t>63%</w:t>
            </w:r>
          </w:p>
        </w:tc>
        <w:tc>
          <w:tcPr>
            <w:tcW w:type="dxa" w:w="1440"/>
            <w:shd w:fill="FFF3CD" w:val="clear"/>
          </w:tcPr>
          <w:p>
            <w:r>
              <w:rPr>
                <w:rFonts w:ascii="Calibri" w:hAnsi="Calibri"/>
                <w:color w:val="333333"/>
                <w:sz w:val="18"/>
              </w:rPr>
              <w:t>4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2025-03-31 (5d)</w:t>
            </w:r>
          </w:p>
        </w:tc>
        <w:tc>
          <w:tcPr>
            <w:tcW w:type="dxa" w:w="1440"/>
            <w:shd w:fill="F2F4F8" w:val="clear"/>
            <w:shd w:fill="FCE8E6" w:val="clear"/>
          </w:tcPr>
          <w:p>
            <w:r>
              <w:rPr>
                <w:rFonts w:ascii="Calibri" w:hAnsi="Calibri"/>
                <w:color w:val="333333"/>
                <w:sz w:val="18"/>
              </w:rPr>
              <w:t>-17.0%</w:t>
            </w:r>
          </w:p>
        </w:tc>
        <w:tc>
          <w:tcPr>
            <w:tcW w:type="dxa" w:w="1440"/>
            <w:shd w:fill="F2F4F8" w:val="clear"/>
            <w:shd w:fill="FCE8E6" w:val="clear"/>
          </w:tcPr>
          <w:p>
            <w:r>
              <w:rPr>
                <w:rFonts w:ascii="Calibri" w:hAnsi="Calibri"/>
                <w:color w:val="333333"/>
                <w:sz w:val="18"/>
              </w:rPr>
              <w:t>24%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2026-01-08</w:t>
            </w:r>
          </w:p>
        </w:tc>
        <w:tc>
          <w:tcPr>
            <w:tcW w:type="dxa" w:w="1440"/>
            <w:shd w:fill="FFF3CD" w:val="clear"/>
          </w:tcPr>
          <w:p>
            <w:r>
              <w:rPr>
                <w:rFonts w:ascii="Calibri" w:hAnsi="Calibri"/>
                <w:color w:val="333333"/>
                <w:sz w:val="18"/>
              </w:rPr>
              <w:t>-5.7%</w:t>
            </w:r>
          </w:p>
        </w:tc>
        <w:tc>
          <w:tcPr>
            <w:tcW w:type="dxa" w:w="1440"/>
            <w:shd w:fill="FFF3CD" w:val="clear"/>
          </w:tcPr>
          <w:p>
            <w:r>
              <w:rPr>
                <w:rFonts w:ascii="Calibri" w:hAnsi="Calibri"/>
                <w:color w:val="333333"/>
                <w:sz w:val="18"/>
              </w:rPr>
              <w:t>72%</w:t>
            </w:r>
          </w:p>
        </w:tc>
        <w:tc>
          <w:tcPr>
            <w:tcW w:type="dxa" w:w="1440"/>
            <w:shd w:fill="FFF3CD" w:val="clear"/>
          </w:tcPr>
          <w:p>
            <w:r>
              <w:rPr>
                <w:rFonts w:ascii="Calibri" w:hAnsi="Calibri"/>
                <w:color w:val="333333"/>
                <w:sz w:val="18"/>
              </w:rPr>
              <w:t>3 days</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2024-11-21 (20d)</w:t>
            </w:r>
          </w:p>
        </w:tc>
        <w:tc>
          <w:tcPr>
            <w:tcW w:type="dxa" w:w="1440"/>
            <w:shd w:fill="F2F4F8" w:val="clear"/>
            <w:shd w:fill="FCE8E6" w:val="clear"/>
          </w:tcPr>
          <w:p>
            <w:r>
              <w:rPr>
                <w:rFonts w:ascii="Calibri" w:hAnsi="Calibri"/>
                <w:color w:val="333333"/>
                <w:sz w:val="18"/>
              </w:rPr>
              <w:t>-27.6%</w:t>
            </w:r>
          </w:p>
        </w:tc>
        <w:tc>
          <w:tcPr>
            <w:tcW w:type="dxa" w:w="1440"/>
            <w:shd w:fill="F2F4F8" w:val="clear"/>
            <w:shd w:fill="FCE8E6" w:val="clear"/>
          </w:tcPr>
          <w:p>
            <w:r>
              <w:rPr>
                <w:rFonts w:ascii="Calibri" w:hAnsi="Calibri"/>
                <w:color w:val="333333"/>
                <w:sz w:val="18"/>
              </w:rPr>
              <w:t>15%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2025-01-16 (5d)</w:t>
            </w:r>
          </w:p>
        </w:tc>
        <w:tc>
          <w:tcPr>
            <w:tcW w:type="dxa" w:w="1440"/>
            <w:shd w:fill="FCE8E6" w:val="clear"/>
          </w:tcPr>
          <w:p>
            <w:r>
              <w:rPr>
                <w:rFonts w:ascii="Calibri" w:hAnsi="Calibri"/>
                <w:color w:val="333333"/>
                <w:sz w:val="18"/>
              </w:rPr>
              <w:t>-21.8%</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2024-11-14 (20d)</w:t>
            </w:r>
          </w:p>
        </w:tc>
        <w:tc>
          <w:tcPr>
            <w:tcW w:type="dxa" w:w="1440"/>
            <w:shd w:fill="F2F4F8" w:val="clear"/>
            <w:shd w:fill="FCE8E6" w:val="clear"/>
          </w:tcPr>
          <w:p>
            <w:r>
              <w:rPr>
                <w:rFonts w:ascii="Calibri" w:hAnsi="Calibri"/>
                <w:color w:val="333333"/>
                <w:sz w:val="18"/>
              </w:rPr>
              <w:t>-27.4%</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2024-11-18 (20d)</w:t>
            </w:r>
          </w:p>
        </w:tc>
        <w:tc>
          <w:tcPr>
            <w:tcW w:type="dxa" w:w="1440"/>
            <w:shd w:fill="FCE8E6" w:val="clear"/>
          </w:tcPr>
          <w:p>
            <w:r>
              <w:rPr>
                <w:rFonts w:ascii="Calibri" w:hAnsi="Calibri"/>
                <w:color w:val="333333"/>
                <w:sz w:val="18"/>
              </w:rPr>
              <w:t>-26.6%</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2025-11-13</w:t>
            </w:r>
          </w:p>
        </w:tc>
        <w:tc>
          <w:tcPr>
            <w:tcW w:type="dxa" w:w="1440"/>
            <w:shd w:fill="F2F4F8" w:val="clear"/>
            <w:shd w:fill="FFF3CD" w:val="clear"/>
          </w:tcPr>
          <w:p>
            <w:r>
              <w:rPr>
                <w:rFonts w:ascii="Calibri" w:hAnsi="Calibri"/>
                <w:color w:val="333333"/>
                <w:sz w:val="18"/>
              </w:rPr>
              <w:t>-6.5%</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15 days</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2024-11-13 (20d)</w:t>
            </w:r>
          </w:p>
        </w:tc>
        <w:tc>
          <w:tcPr>
            <w:tcW w:type="dxa" w:w="1440"/>
            <w:shd w:fill="FCE8E6" w:val="clear"/>
          </w:tcPr>
          <w:p>
            <w:r>
              <w:rPr>
                <w:rFonts w:ascii="Calibri" w:hAnsi="Calibri"/>
                <w:color w:val="333333"/>
                <w:sz w:val="18"/>
              </w:rPr>
              <w:t>-26.7%</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2024-11-11 (20d)</w:t>
            </w:r>
          </w:p>
        </w:tc>
        <w:tc>
          <w:tcPr>
            <w:tcW w:type="dxa" w:w="1440"/>
            <w:shd w:fill="F2F4F8" w:val="clear"/>
            <w:shd w:fill="FCE8E6" w:val="clear"/>
          </w:tcPr>
          <w:p>
            <w:r>
              <w:rPr>
                <w:rFonts w:ascii="Calibri" w:hAnsi="Calibri"/>
                <w:color w:val="333333"/>
                <w:sz w:val="18"/>
              </w:rPr>
              <w:t>-25.9%</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2024-08-01 to 2024-08-28 (28d)</w:t>
            </w:r>
          </w:p>
        </w:tc>
        <w:tc>
          <w:tcPr>
            <w:tcW w:type="dxa" w:w="1440"/>
            <w:shd w:fill="FCE8E6" w:val="clear"/>
          </w:tcPr>
          <w:p>
            <w:r>
              <w:rPr>
                <w:rFonts w:ascii="Calibri" w:hAnsi="Calibri"/>
                <w:color w:val="333333"/>
                <w:sz w:val="18"/>
              </w:rPr>
              <w:t>-37.4%</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2025-01-17 (5d)</w:t>
            </w:r>
          </w:p>
        </w:tc>
        <w:tc>
          <w:tcPr>
            <w:tcW w:type="dxa" w:w="1440"/>
            <w:shd w:fill="F2F4F8" w:val="clear"/>
            <w:shd w:fill="FCE8E6" w:val="clear"/>
          </w:tcPr>
          <w:p>
            <w:r>
              <w:rPr>
                <w:rFonts w:ascii="Calibri" w:hAnsi="Calibri"/>
                <w:color w:val="333333"/>
                <w:sz w:val="18"/>
              </w:rPr>
              <w:t>-19.4%</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2024-08-27 (20d)</w:t>
            </w:r>
          </w:p>
        </w:tc>
        <w:tc>
          <w:tcPr>
            <w:tcW w:type="dxa" w:w="1440"/>
            <w:shd w:fill="FCE8E6" w:val="clear"/>
          </w:tcPr>
          <w:p>
            <w:r>
              <w:rPr>
                <w:rFonts w:ascii="Calibri" w:hAnsi="Calibri"/>
                <w:color w:val="333333"/>
                <w:sz w:val="18"/>
              </w:rPr>
              <w:t>-33.5%</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2024-08-26 (20d)</w:t>
            </w:r>
          </w:p>
        </w:tc>
        <w:tc>
          <w:tcPr>
            <w:tcW w:type="dxa" w:w="1440"/>
            <w:shd w:fill="F2F4F8" w:val="clear"/>
            <w:shd w:fill="FCE8E6" w:val="clear"/>
          </w:tcPr>
          <w:p>
            <w:r>
              <w:rPr>
                <w:rFonts w:ascii="Calibri" w:hAnsi="Calibri"/>
                <w:color w:val="333333"/>
                <w:sz w:val="18"/>
              </w:rPr>
              <w:t>-33.2%</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2025-01-14 (5d)</w:t>
            </w:r>
          </w:p>
        </w:tc>
        <w:tc>
          <w:tcPr>
            <w:tcW w:type="dxa" w:w="1440"/>
            <w:shd w:fill="FCE8E6" w:val="clear"/>
          </w:tcPr>
          <w:p>
            <w:r>
              <w:rPr>
                <w:rFonts w:ascii="Calibri" w:hAnsi="Calibri"/>
                <w:color w:val="333333"/>
                <w:sz w:val="18"/>
              </w:rPr>
              <w:t>-19.1%</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2025-02-07 (5d)</w:t>
            </w:r>
          </w:p>
        </w:tc>
        <w:tc>
          <w:tcPr>
            <w:tcW w:type="dxa" w:w="1440"/>
            <w:shd w:fill="F2F4F8" w:val="clear"/>
            <w:shd w:fill="FCE8E6" w:val="clear"/>
          </w:tcPr>
          <w:p>
            <w:r>
              <w:rPr>
                <w:rFonts w:ascii="Calibri" w:hAnsi="Calibri"/>
                <w:color w:val="333333"/>
                <w:sz w:val="18"/>
              </w:rPr>
              <w:t>-17.3%</w:t>
            </w:r>
          </w:p>
        </w:tc>
        <w:tc>
          <w:tcPr>
            <w:tcW w:type="dxa" w:w="1440"/>
            <w:shd w:fill="F2F4F8" w:val="clear"/>
            <w:shd w:fill="FCE8E6" w:val="clear"/>
          </w:tcPr>
          <w:p>
            <w:r>
              <w:rPr>
                <w:rFonts w:ascii="Calibri" w:hAnsi="Calibri"/>
                <w:color w:val="333333"/>
                <w:sz w:val="18"/>
              </w:rPr>
              <w:t>20%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2025-05-06</w:t>
            </w:r>
          </w:p>
        </w:tc>
        <w:tc>
          <w:tcPr>
            <w:tcW w:type="dxa" w:w="1440"/>
            <w:shd w:fill="FCE8E6" w:val="clear"/>
          </w:tcPr>
          <w:p>
            <w:r>
              <w:rPr>
                <w:rFonts w:ascii="Calibri" w:hAnsi="Calibri"/>
                <w:color w:val="333333"/>
                <w:sz w:val="18"/>
              </w:rPr>
              <w:t>-12.2%</w:t>
            </w:r>
          </w:p>
        </w:tc>
        <w:tc>
          <w:tcPr>
            <w:tcW w:type="dxa" w:w="1440"/>
            <w:shd w:fill="FCE8E6" w:val="clear"/>
          </w:tcPr>
          <w:p>
            <w:r>
              <w:rPr>
                <w:rFonts w:ascii="Calibri" w:hAnsi="Calibri"/>
                <w:color w:val="333333"/>
                <w:sz w:val="18"/>
              </w:rPr>
              <w:t>28%</w:t>
            </w:r>
          </w:p>
        </w:tc>
        <w:tc>
          <w:tcPr>
            <w:tcW w:type="dxa" w:w="1440"/>
            <w:shd w:fill="FCE8E6" w:val="clear"/>
          </w:tcPr>
          <w:p>
            <w:r>
              <w:rPr>
                <w:rFonts w:ascii="Calibri" w:hAnsi="Calibri"/>
                <w:color w:val="333333"/>
                <w:sz w:val="18"/>
              </w:rPr>
              <w:t>10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FF3CD" w:val="clear"/>
          </w:tcPr>
          <w:p>
            <w:r>
              <w:rPr>
                <w:rFonts w:ascii="Calibri" w:hAnsi="Calibri"/>
                <w:color w:val="333333"/>
                <w:sz w:val="18"/>
              </w:rPr>
              <w:t>2025-09-12</w:t>
            </w:r>
          </w:p>
        </w:tc>
        <w:tc>
          <w:tcPr>
            <w:tcW w:type="dxa" w:w="1440"/>
            <w:shd w:fill="F2F4F8" w:val="clear"/>
            <w:shd w:fill="FFF3CD" w:val="clear"/>
          </w:tcPr>
          <w:p>
            <w:r>
              <w:rPr>
                <w:rFonts w:ascii="Calibri" w:hAnsi="Calibri"/>
                <w:color w:val="333333"/>
                <w:sz w:val="18"/>
              </w:rPr>
              <w:t>-7.4%</w:t>
            </w:r>
          </w:p>
        </w:tc>
        <w:tc>
          <w:tcPr>
            <w:tcW w:type="dxa" w:w="1440"/>
            <w:shd w:fill="F2F4F8" w:val="clear"/>
            <w:shd w:fill="FFF3CD" w:val="clear"/>
          </w:tcPr>
          <w:p>
            <w:r>
              <w:rPr>
                <w:rFonts w:ascii="Calibri" w:hAnsi="Calibri"/>
                <w:color w:val="333333"/>
                <w:sz w:val="18"/>
              </w:rPr>
              <w:t>46%</w:t>
            </w:r>
          </w:p>
        </w:tc>
        <w:tc>
          <w:tcPr>
            <w:tcW w:type="dxa" w:w="1440"/>
            <w:shd w:fill="F2F4F8" w:val="clear"/>
            <w:shd w:fill="FFF3CD" w:val="clear"/>
          </w:tcPr>
          <w:p>
            <w:r>
              <w:rPr>
                <w:rFonts w:ascii="Calibri" w:hAnsi="Calibri"/>
                <w:color w:val="333333"/>
                <w:sz w:val="18"/>
              </w:rPr>
              <w:t>4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2024-08-22 (20d)</w:t>
            </w:r>
          </w:p>
        </w:tc>
        <w:tc>
          <w:tcPr>
            <w:tcW w:type="dxa" w:w="1440"/>
            <w:shd w:fill="FCE8E6" w:val="clear"/>
          </w:tcPr>
          <w:p>
            <w:r>
              <w:rPr>
                <w:rFonts w:ascii="Calibri" w:hAnsi="Calibri"/>
                <w:color w:val="333333"/>
                <w:sz w:val="18"/>
              </w:rPr>
              <w:t>-32.7%</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2024-08-14 (20d)</w:t>
            </w:r>
          </w:p>
        </w:tc>
        <w:tc>
          <w:tcPr>
            <w:tcW w:type="dxa" w:w="1440"/>
            <w:shd w:fill="F2F4F8" w:val="clear"/>
            <w:shd w:fill="FCE8E6" w:val="clear"/>
          </w:tcPr>
          <w:p>
            <w:r>
              <w:rPr>
                <w:rFonts w:ascii="Calibri" w:hAnsi="Calibri"/>
                <w:color w:val="333333"/>
                <w:sz w:val="18"/>
              </w:rPr>
              <w:t>-33.7%</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2024-08-23 (20d)</w:t>
            </w:r>
          </w:p>
        </w:tc>
        <w:tc>
          <w:tcPr>
            <w:tcW w:type="dxa" w:w="1440"/>
            <w:shd w:fill="FCE8E6" w:val="clear"/>
          </w:tcPr>
          <w:p>
            <w:r>
              <w:rPr>
                <w:rFonts w:ascii="Calibri" w:hAnsi="Calibri"/>
                <w:color w:val="333333"/>
                <w:sz w:val="18"/>
              </w:rPr>
              <w:t>-32.5%</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2024-08-13 (20d)</w:t>
            </w:r>
          </w:p>
        </w:tc>
        <w:tc>
          <w:tcPr>
            <w:tcW w:type="dxa" w:w="1440"/>
            <w:shd w:fill="F2F4F8" w:val="clear"/>
            <w:shd w:fill="FCE8E6" w:val="clear"/>
          </w:tcPr>
          <w:p>
            <w:r>
              <w:rPr>
                <w:rFonts w:ascii="Calibri" w:hAnsi="Calibri"/>
                <w:color w:val="333333"/>
                <w:sz w:val="18"/>
              </w:rPr>
              <w:t>-33.8%</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2025-01-13 (2d)</w:t>
            </w:r>
          </w:p>
        </w:tc>
        <w:tc>
          <w:tcPr>
            <w:tcW w:type="dxa" w:w="1440"/>
            <w:shd w:fill="FCE8E6" w:val="clear"/>
          </w:tcPr>
          <w:p>
            <w:r>
              <w:rPr>
                <w:rFonts w:ascii="Calibri" w:hAnsi="Calibri"/>
                <w:color w:val="333333"/>
                <w:sz w:val="18"/>
              </w:rPr>
              <w:t>-18.6%</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2024-08-12 (20d)</w:t>
            </w:r>
          </w:p>
        </w:tc>
        <w:tc>
          <w:tcPr>
            <w:tcW w:type="dxa" w:w="1440"/>
            <w:shd w:fill="F2F4F8" w:val="clear"/>
            <w:shd w:fill="FCE8E6" w:val="clear"/>
          </w:tcPr>
          <w:p>
            <w:r>
              <w:rPr>
                <w:rFonts w:ascii="Calibri" w:hAnsi="Calibri"/>
                <w:color w:val="333333"/>
                <w:sz w:val="18"/>
              </w:rPr>
              <w:t>-33.1%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2024-10-08 to 2024-10-09 (2d)</w:t>
            </w:r>
          </w:p>
        </w:tc>
        <w:tc>
          <w:tcPr>
            <w:tcW w:type="dxa" w:w="1440"/>
            <w:shd w:fill="FCE8E6" w:val="clear"/>
          </w:tcPr>
          <w:p>
            <w:r>
              <w:rPr>
                <w:rFonts w:ascii="Calibri" w:hAnsi="Calibri"/>
                <w:color w:val="333333"/>
                <w:sz w:val="18"/>
              </w:rPr>
              <w:t>-26.6%</w:t>
            </w:r>
          </w:p>
        </w:tc>
        <w:tc>
          <w:tcPr>
            <w:tcW w:type="dxa" w:w="1440"/>
            <w:shd w:fill="FCE8E6" w:val="clear"/>
          </w:tcPr>
          <w:p>
            <w:r>
              <w:rPr>
                <w:rFonts w:ascii="Calibri" w:hAnsi="Calibri"/>
                <w:color w:val="333333"/>
                <w:sz w:val="18"/>
              </w:rPr>
              <w:t>12%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2024-10-09 (20d)</w:t>
            </w:r>
          </w:p>
        </w:tc>
        <w:tc>
          <w:tcPr>
            <w:tcW w:type="dxa" w:w="1440"/>
            <w:shd w:fill="F2F4F8" w:val="clear"/>
            <w:shd w:fill="FCE8E6" w:val="clear"/>
          </w:tcPr>
          <w:p>
            <w:r>
              <w:rPr>
                <w:rFonts w:ascii="Calibri" w:hAnsi="Calibri"/>
                <w:color w:val="333333"/>
                <w:sz w:val="18"/>
              </w:rPr>
              <w:t>-26.0%</w:t>
            </w:r>
          </w:p>
        </w:tc>
        <w:tc>
          <w:tcPr>
            <w:tcW w:type="dxa" w:w="1440"/>
            <w:shd w:fill="F2F4F8" w:val="clear"/>
            <w:shd w:fill="FCE8E6" w:val="clear"/>
          </w:tcPr>
          <w:p>
            <w:r>
              <w:rPr>
                <w:rFonts w:ascii="Calibri" w:hAnsi="Calibri"/>
                <w:color w:val="333333"/>
                <w:sz w:val="18"/>
              </w:rPr>
              <w:t>13%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2025-05-06 (2d)</w:t>
            </w:r>
          </w:p>
        </w:tc>
        <w:tc>
          <w:tcPr>
            <w:tcW w:type="dxa" w:w="1440"/>
            <w:shd w:fill="FCE8E6" w:val="clear"/>
          </w:tcPr>
          <w:p>
            <w:r>
              <w:rPr>
                <w:rFonts w:ascii="Calibri" w:hAnsi="Calibri"/>
                <w:color w:val="333333"/>
                <w:sz w:val="18"/>
              </w:rPr>
              <w:t>-11.5%</w:t>
            </w:r>
          </w:p>
        </w:tc>
        <w:tc>
          <w:tcPr>
            <w:tcW w:type="dxa" w:w="1440"/>
            <w:shd w:fill="FCE8E6" w:val="clear"/>
          </w:tcPr>
          <w:p>
            <w:r>
              <w:rPr>
                <w:rFonts w:ascii="Calibri" w:hAnsi="Calibri"/>
                <w:color w:val="333333"/>
                <w:sz w:val="18"/>
              </w:rPr>
              <w:t>28%</w:t>
            </w:r>
          </w:p>
        </w:tc>
        <w:tc>
          <w:tcPr>
            <w:tcW w:type="dxa" w:w="1440"/>
            <w:shd w:fill="FCE8E6" w:val="clear"/>
          </w:tcPr>
          <w:p>
            <w:r>
              <w:rPr>
                <w:rFonts w:ascii="Calibri" w:hAnsi="Calibri"/>
                <w:color w:val="333333"/>
                <w:sz w:val="18"/>
              </w:rPr>
              <w:t>10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2025-07-31 (2d)</w:t>
            </w:r>
          </w:p>
        </w:tc>
        <w:tc>
          <w:tcPr>
            <w:tcW w:type="dxa" w:w="1440"/>
            <w:shd w:fill="F2F4F8" w:val="clear"/>
            <w:shd w:fill="FCE8E6" w:val="clear"/>
          </w:tcPr>
          <w:p>
            <w:r>
              <w:rPr>
                <w:rFonts w:ascii="Calibri" w:hAnsi="Calibri"/>
                <w:color w:val="333333"/>
                <w:sz w:val="18"/>
              </w:rPr>
              <w:t>-14.1%</w:t>
            </w:r>
          </w:p>
        </w:tc>
        <w:tc>
          <w:tcPr>
            <w:tcW w:type="dxa" w:w="1440"/>
            <w:shd w:fill="F2F4F8" w:val="clear"/>
            <w:shd w:fill="FCE8E6" w:val="clear"/>
          </w:tcPr>
          <w:p>
            <w:r>
              <w:rPr>
                <w:rFonts w:ascii="Calibri" w:hAnsi="Calibri"/>
                <w:color w:val="333333"/>
                <w:sz w:val="18"/>
              </w:rPr>
              <w:t>39%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2024-08-07 (5d)</w:t>
            </w:r>
          </w:p>
        </w:tc>
        <w:tc>
          <w:tcPr>
            <w:tcW w:type="dxa" w:w="1440"/>
            <w:shd w:fill="FCE8E6" w:val="clear"/>
          </w:tcPr>
          <w:p>
            <w:r>
              <w:rPr>
                <w:rFonts w:ascii="Calibri" w:hAnsi="Calibri"/>
                <w:color w:val="333333"/>
                <w:sz w:val="18"/>
              </w:rPr>
              <w:t>-31.6%</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2024-08-08 (20d)</w:t>
            </w:r>
          </w:p>
        </w:tc>
        <w:tc>
          <w:tcPr>
            <w:tcW w:type="dxa" w:w="1440"/>
            <w:shd w:fill="F2F4F8" w:val="clear"/>
            <w:shd w:fill="FCE8E6" w:val="clear"/>
          </w:tcPr>
          <w:p>
            <w:r>
              <w:rPr>
                <w:rFonts w:ascii="Calibri" w:hAnsi="Calibri"/>
                <w:color w:val="333333"/>
                <w:sz w:val="18"/>
              </w:rPr>
              <w:t>-31.4%</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2024-08-05 (5d)</w:t>
            </w:r>
          </w:p>
        </w:tc>
        <w:tc>
          <w:tcPr>
            <w:tcW w:type="dxa" w:w="1440"/>
            <w:shd w:fill="FCE8E6" w:val="clear"/>
          </w:tcPr>
          <w:p>
            <w:r>
              <w:rPr>
                <w:rFonts w:ascii="Calibri" w:hAnsi="Calibri"/>
                <w:color w:val="333333"/>
                <w:sz w:val="18"/>
              </w:rPr>
              <w:t>-31.4%</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2025-01-13</w:t>
            </w:r>
          </w:p>
        </w:tc>
        <w:tc>
          <w:tcPr>
            <w:tcW w:type="dxa" w:w="1440"/>
            <w:shd w:fill="F2F4F8" w:val="clear"/>
            <w:shd w:fill="FCE8E6" w:val="clear"/>
          </w:tcPr>
          <w:p>
            <w:r>
              <w:rPr>
                <w:rFonts w:ascii="Calibri" w:hAnsi="Calibri"/>
                <w:color w:val="333333"/>
                <w:sz w:val="18"/>
              </w:rPr>
              <w:t>-16.8%</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2024-08-06 (5d)</w:t>
            </w:r>
          </w:p>
        </w:tc>
        <w:tc>
          <w:tcPr>
            <w:tcW w:type="dxa" w:w="1440"/>
            <w:shd w:fill="FCE8E6" w:val="clear"/>
          </w:tcPr>
          <w:p>
            <w:r>
              <w:rPr>
                <w:rFonts w:ascii="Calibri" w:hAnsi="Calibri"/>
                <w:color w:val="333333"/>
                <w:sz w:val="18"/>
              </w:rPr>
              <w:t>-30.8%</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2024-08-09 (20d)</w:t>
            </w:r>
          </w:p>
        </w:tc>
        <w:tc>
          <w:tcPr>
            <w:tcW w:type="dxa" w:w="1440"/>
            <w:shd w:fill="F2F4F8" w:val="clear"/>
            <w:shd w:fill="FCE8E6" w:val="clear"/>
          </w:tcPr>
          <w:p>
            <w:r>
              <w:rPr>
                <w:rFonts w:ascii="Calibri" w:hAnsi="Calibri"/>
                <w:color w:val="333333"/>
                <w:sz w:val="18"/>
              </w:rPr>
              <w:t>-30.1%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2024-08-20 (20d)</w:t>
            </w:r>
          </w:p>
        </w:tc>
        <w:tc>
          <w:tcPr>
            <w:tcW w:type="dxa" w:w="1440"/>
            <w:shd w:fill="FCE8E6" w:val="clear"/>
          </w:tcPr>
          <w:p>
            <w:r>
              <w:rPr>
                <w:rFonts w:ascii="Calibri" w:hAnsi="Calibri"/>
                <w:color w:val="333333"/>
                <w:sz w:val="18"/>
              </w:rPr>
              <w:t>-28.3%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2024-08-15 (20d)</w:t>
            </w:r>
          </w:p>
        </w:tc>
        <w:tc>
          <w:tcPr>
            <w:tcW w:type="dxa" w:w="1440"/>
            <w:shd w:fill="F2F4F8" w:val="clear"/>
            <w:shd w:fill="FCE8E6" w:val="clear"/>
          </w:tcPr>
          <w:p>
            <w:r>
              <w:rPr>
                <w:rFonts w:ascii="Calibri" w:hAnsi="Calibri"/>
                <w:color w:val="333333"/>
                <w:sz w:val="18"/>
              </w:rPr>
              <w:t>-28.6%</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2024-08-16 (20d)</w:t>
            </w:r>
          </w:p>
        </w:tc>
        <w:tc>
          <w:tcPr>
            <w:tcW w:type="dxa" w:w="1440"/>
            <w:shd w:fill="FCE8E6" w:val="clear"/>
          </w:tcPr>
          <w:p>
            <w:r>
              <w:rPr>
                <w:rFonts w:ascii="Calibri" w:hAnsi="Calibri"/>
                <w:color w:val="333333"/>
                <w:sz w:val="18"/>
              </w:rPr>
              <w:t>-28.3%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2024-08-02 (5d)</w:t>
            </w:r>
          </w:p>
        </w:tc>
        <w:tc>
          <w:tcPr>
            <w:tcW w:type="dxa" w:w="1440"/>
            <w:shd w:fill="F2F4F8" w:val="clear"/>
            <w:shd w:fill="FCE8E6" w:val="clear"/>
          </w:tcPr>
          <w:p>
            <w:r>
              <w:rPr>
                <w:rFonts w:ascii="Calibri" w:hAnsi="Calibri"/>
                <w:color w:val="333333"/>
                <w:sz w:val="18"/>
              </w:rPr>
              <w:t>-29.1%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2025-08-25</w:t>
            </w:r>
          </w:p>
        </w:tc>
        <w:tc>
          <w:tcPr>
            <w:tcW w:type="dxa" w:w="1440"/>
            <w:shd w:fill="FFF3CD" w:val="clear"/>
          </w:tcPr>
          <w:p>
            <w:r>
              <w:rPr>
                <w:rFonts w:ascii="Calibri" w:hAnsi="Calibri"/>
                <w:color w:val="333333"/>
                <w:sz w:val="18"/>
              </w:rPr>
              <w:t>-6.5%</w:t>
            </w:r>
          </w:p>
        </w:tc>
        <w:tc>
          <w:tcPr>
            <w:tcW w:type="dxa" w:w="1440"/>
            <w:shd w:fill="FFF3CD" w:val="clear"/>
          </w:tcPr>
          <w:p>
            <w:r>
              <w:rPr>
                <w:rFonts w:ascii="Calibri" w:hAnsi="Calibri"/>
                <w:color w:val="333333"/>
                <w:sz w:val="18"/>
              </w:rPr>
              <w:t>43%</w:t>
            </w:r>
          </w:p>
        </w:tc>
        <w:tc>
          <w:tcPr>
            <w:tcW w:type="dxa" w:w="1440"/>
            <w:shd w:fill="FFF3CD" w:val="clear"/>
          </w:tcPr>
          <w:p>
            <w:r>
              <w:rPr>
                <w:rFonts w:ascii="Calibri" w:hAnsi="Calibri"/>
                <w:color w:val="333333"/>
                <w:sz w:val="18"/>
              </w:rPr>
              <w:t>26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2024-08-21 (20d)</w:t>
            </w:r>
          </w:p>
        </w:tc>
        <w:tc>
          <w:tcPr>
            <w:tcW w:type="dxa" w:w="1440"/>
            <w:shd w:fill="F2F4F8" w:val="clear"/>
            <w:shd w:fill="FCE8E6" w:val="clear"/>
          </w:tcPr>
          <w:p>
            <w:r>
              <w:rPr>
                <w:rFonts w:ascii="Calibri" w:hAnsi="Calibri"/>
                <w:color w:val="333333"/>
                <w:sz w:val="18"/>
              </w:rPr>
              <w:t>-26.7%</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2024-08-19 (20d)</w:t>
            </w:r>
          </w:p>
        </w:tc>
        <w:tc>
          <w:tcPr>
            <w:tcW w:type="dxa" w:w="1440"/>
            <w:shd w:fill="FCE8E6" w:val="clear"/>
          </w:tcPr>
          <w:p>
            <w:r>
              <w:rPr>
                <w:rFonts w:ascii="Calibri" w:hAnsi="Calibri"/>
                <w:color w:val="333333"/>
                <w:sz w:val="18"/>
              </w:rPr>
              <w:t>-26.6%</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2024-11-12 (5d)</w:t>
            </w:r>
          </w:p>
        </w:tc>
        <w:tc>
          <w:tcPr>
            <w:tcW w:type="dxa" w:w="1440"/>
            <w:shd w:fill="F2F4F8" w:val="clear"/>
            <w:shd w:fill="FCE8E6" w:val="clear"/>
          </w:tcPr>
          <w:p>
            <w:r>
              <w:rPr>
                <w:rFonts w:ascii="Calibri" w:hAnsi="Calibri"/>
                <w:color w:val="333333"/>
                <w:sz w:val="18"/>
              </w:rPr>
              <w:t>-18.4%</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2025-05-21</w:t>
            </w:r>
          </w:p>
        </w:tc>
        <w:tc>
          <w:tcPr>
            <w:tcW w:type="dxa" w:w="1440"/>
            <w:shd w:fill="FFF3CD" w:val="clear"/>
          </w:tcPr>
          <w:p>
            <w:r>
              <w:rPr>
                <w:rFonts w:ascii="Calibri" w:hAnsi="Calibri"/>
                <w:color w:val="333333"/>
                <w:sz w:val="18"/>
              </w:rPr>
              <w:t>-7.8%</w:t>
            </w:r>
          </w:p>
        </w:tc>
        <w:tc>
          <w:tcPr>
            <w:tcW w:type="dxa" w:w="1440"/>
            <w:shd w:fill="FFF3CD" w:val="clear"/>
          </w:tcPr>
          <w:p>
            <w:r>
              <w:rPr>
                <w:rFonts w:ascii="Calibri" w:hAnsi="Calibri"/>
                <w:color w:val="333333"/>
                <w:sz w:val="18"/>
              </w:rPr>
              <w:t>30%</w:t>
            </w:r>
          </w:p>
        </w:tc>
        <w:tc>
          <w:tcPr>
            <w:tcW w:type="dxa" w:w="1440"/>
            <w:shd w:fill="FFF3CD" w:val="clear"/>
          </w:tcPr>
          <w:p>
            <w:r>
              <w:rPr>
                <w:rFonts w:ascii="Calibri" w:hAnsi="Calibri"/>
                <w:color w:val="333333"/>
                <w:sz w:val="18"/>
              </w:rPr>
              <w:t>12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2025-03-31 (2d)</w:t>
            </w:r>
          </w:p>
        </w:tc>
        <w:tc>
          <w:tcPr>
            <w:tcW w:type="dxa" w:w="1440"/>
            <w:shd w:fill="F2F4F8" w:val="clear"/>
            <w:shd w:fill="FFF3CD" w:val="clear"/>
          </w:tcPr>
          <w:p>
            <w:r>
              <w:rPr>
                <w:rFonts w:ascii="Calibri" w:hAnsi="Calibri"/>
                <w:color w:val="333333"/>
                <w:sz w:val="18"/>
              </w:rPr>
              <w:t>-8.9%</w:t>
            </w:r>
          </w:p>
        </w:tc>
        <w:tc>
          <w:tcPr>
            <w:tcW w:type="dxa" w:w="1440"/>
            <w:shd w:fill="F2F4F8" w:val="clear"/>
            <w:shd w:fill="FFF3CD" w:val="clear"/>
          </w:tcPr>
          <w:p>
            <w:r>
              <w:rPr>
                <w:rFonts w:ascii="Calibri" w:hAnsi="Calibri"/>
                <w:color w:val="333333"/>
                <w:sz w:val="18"/>
              </w:rPr>
              <w:t>24%</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2025-02-03 (2d)</w:t>
            </w:r>
          </w:p>
        </w:tc>
        <w:tc>
          <w:tcPr>
            <w:tcW w:type="dxa" w:w="1440"/>
            <w:shd w:fill="FCE8E6" w:val="clear"/>
          </w:tcPr>
          <w:p>
            <w:r>
              <w:rPr>
                <w:rFonts w:ascii="Calibri" w:hAnsi="Calibri"/>
                <w:color w:val="333333"/>
                <w:sz w:val="18"/>
              </w:rPr>
              <w:t>-10.9%</w:t>
            </w:r>
          </w:p>
        </w:tc>
        <w:tc>
          <w:tcPr>
            <w:tcW w:type="dxa" w:w="1440"/>
            <w:shd w:fill="FCE8E6" w:val="clear"/>
          </w:tcPr>
          <w:p>
            <w:r>
              <w:rPr>
                <w:rFonts w:ascii="Calibri" w:hAnsi="Calibri"/>
                <w:color w:val="333333"/>
                <w:sz w:val="18"/>
              </w:rPr>
              <w:t>20%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2024-08-01 (5d)</w:t>
            </w:r>
          </w:p>
        </w:tc>
        <w:tc>
          <w:tcPr>
            <w:tcW w:type="dxa" w:w="1440"/>
            <w:shd w:fill="F2F4F8" w:val="clear"/>
            <w:shd w:fill="FCE8E6" w:val="clear"/>
          </w:tcPr>
          <w:p>
            <w:r>
              <w:rPr>
                <w:rFonts w:ascii="Calibri" w:hAnsi="Calibri"/>
                <w:color w:val="333333"/>
                <w:sz w:val="18"/>
              </w:rPr>
              <w:t>-21.8%</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2025-04-10</w:t>
            </w:r>
          </w:p>
        </w:tc>
        <w:tc>
          <w:tcPr>
            <w:tcW w:type="dxa" w:w="1440"/>
            <w:shd w:fill="FFF3CD" w:val="clear"/>
          </w:tcPr>
          <w:p>
            <w:r>
              <w:rPr>
                <w:rFonts w:ascii="Calibri" w:hAnsi="Calibri"/>
                <w:color w:val="333333"/>
                <w:sz w:val="18"/>
              </w:rPr>
              <w:t>-8.1%</w:t>
            </w:r>
          </w:p>
        </w:tc>
        <w:tc>
          <w:tcPr>
            <w:tcW w:type="dxa" w:w="1440"/>
            <w:shd w:fill="FFF3CD" w:val="clear"/>
          </w:tcPr>
          <w:p>
            <w:r>
              <w:rPr>
                <w:rFonts w:ascii="Calibri" w:hAnsi="Calibri"/>
                <w:color w:val="333333"/>
                <w:sz w:val="18"/>
              </w:rPr>
              <w:t>25%</w:t>
            </w:r>
          </w:p>
        </w:tc>
        <w:tc>
          <w:tcPr>
            <w:tcW w:type="dxa" w:w="1440"/>
            <w:shd w:fill="FFF3CD" w:val="clear"/>
          </w:tcPr>
          <w:p>
            <w:r>
              <w:rPr>
                <w:rFonts w:ascii="Calibri" w:hAnsi="Calibri"/>
                <w:color w:val="333333"/>
                <w:sz w:val="18"/>
              </w:rPr>
              <w:t>2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Market-Wide Event</w:t>
            </w:r>
          </w:p>
        </w:tc>
        <w:tc>
          <w:tcPr>
            <w:tcW w:type="dxa" w:w="1440"/>
            <w:shd w:fill="FFF3CD"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2024-08-01 (2d)</w:t>
            </w:r>
          </w:p>
        </w:tc>
        <w:tc>
          <w:tcPr>
            <w:tcW w:type="dxa" w:w="1440"/>
            <w:shd w:fill="F2F4F8" w:val="clear"/>
            <w:shd w:fill="FCE8E6" w:val="clear"/>
          </w:tcPr>
          <w:p>
            <w:r>
              <w:rPr>
                <w:rFonts w:ascii="Calibri" w:hAnsi="Calibri"/>
                <w:color w:val="333333"/>
                <w:sz w:val="18"/>
              </w:rPr>
              <w:t>-21.0%</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2025-01-10 (2d)</w:t>
            </w:r>
          </w:p>
        </w:tc>
        <w:tc>
          <w:tcPr>
            <w:tcW w:type="dxa" w:w="1440"/>
            <w:shd w:fill="FCE8E6" w:val="clear"/>
          </w:tcPr>
          <w:p>
            <w:r>
              <w:rPr>
                <w:rFonts w:ascii="Calibri" w:hAnsi="Calibri"/>
                <w:color w:val="333333"/>
                <w:sz w:val="18"/>
              </w:rPr>
              <w:t>-11.1%</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2025-01-29</w:t>
            </w:r>
          </w:p>
        </w:tc>
        <w:tc>
          <w:tcPr>
            <w:tcW w:type="dxa" w:w="1440"/>
            <w:shd w:fill="F2F4F8" w:val="clear"/>
            <w:shd w:fill="FFF3CD" w:val="clear"/>
          </w:tcPr>
          <w:p>
            <w:r>
              <w:rPr>
                <w:rFonts w:ascii="Calibri" w:hAnsi="Calibri"/>
                <w:color w:val="333333"/>
                <w:sz w:val="18"/>
              </w:rPr>
              <w:t>-9.4%</w:t>
            </w:r>
          </w:p>
        </w:tc>
        <w:tc>
          <w:tcPr>
            <w:tcW w:type="dxa" w:w="1440"/>
            <w:shd w:fill="F2F4F8" w:val="clear"/>
            <w:shd w:fill="FFF3CD" w:val="clear"/>
          </w:tcPr>
          <w:p>
            <w:r>
              <w:rPr>
                <w:rFonts w:ascii="Calibri" w:hAnsi="Calibri"/>
                <w:color w:val="333333"/>
                <w:sz w:val="18"/>
              </w:rPr>
              <w:t>19%</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2025-03-26</w:t>
            </w:r>
          </w:p>
        </w:tc>
        <w:tc>
          <w:tcPr>
            <w:tcW w:type="dxa" w:w="1440"/>
            <w:shd w:fill="FFF3CD" w:val="clear"/>
          </w:tcPr>
          <w:p>
            <w:r>
              <w:rPr>
                <w:rFonts w:ascii="Calibri" w:hAnsi="Calibri"/>
                <w:color w:val="333333"/>
                <w:sz w:val="18"/>
              </w:rPr>
              <w:t>-7.0%</w:t>
            </w:r>
          </w:p>
        </w:tc>
        <w:tc>
          <w:tcPr>
            <w:tcW w:type="dxa" w:w="1440"/>
            <w:shd w:fill="FFF3CD" w:val="clear"/>
          </w:tcPr>
          <w:p>
            <w:r>
              <w:rPr>
                <w:rFonts w:ascii="Calibri" w:hAnsi="Calibri"/>
                <w:color w:val="333333"/>
                <w:sz w:val="18"/>
              </w:rPr>
              <w:t>24%</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2025-05-14</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29%</w:t>
            </w:r>
          </w:p>
        </w:tc>
        <w:tc>
          <w:tcPr>
            <w:tcW w:type="dxa" w:w="1440"/>
            <w:shd w:fill="F2F4F8" w:val="clear"/>
            <w:shd w:fill="FFF3CD" w:val="clear"/>
          </w:tcPr>
          <w:p>
            <w:r>
              <w:rPr>
                <w:rFonts w:ascii="Calibri" w:hAnsi="Calibri"/>
                <w:color w:val="333333"/>
                <w:sz w:val="18"/>
              </w:rPr>
              <w:t>3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2025-01-08</w:t>
            </w:r>
          </w:p>
        </w:tc>
        <w:tc>
          <w:tcPr>
            <w:tcW w:type="dxa" w:w="1440"/>
            <w:shd w:fill="FFF3CD" w:val="clear"/>
          </w:tcPr>
          <w:p>
            <w:r>
              <w:rPr>
                <w:rFonts w:ascii="Calibri" w:hAnsi="Calibri"/>
                <w:color w:val="333333"/>
                <w:sz w:val="18"/>
              </w:rPr>
              <w:t>-9.2%</w:t>
            </w:r>
          </w:p>
        </w:tc>
        <w:tc>
          <w:tcPr>
            <w:tcW w:type="dxa" w:w="1440"/>
            <w:shd w:fill="FFF3CD" w:val="clear"/>
          </w:tcPr>
          <w:p>
            <w:r>
              <w:rPr>
                <w:rFonts w:ascii="Calibri" w:hAnsi="Calibri"/>
                <w:color w:val="333333"/>
                <w:sz w:val="18"/>
              </w:rPr>
              <w:t>18%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2024-09-12 to 2024-09-13 (2d)</w:t>
            </w:r>
          </w:p>
        </w:tc>
        <w:tc>
          <w:tcPr>
            <w:tcW w:type="dxa" w:w="1440"/>
            <w:shd w:fill="F2F4F8" w:val="clear"/>
            <w:shd w:fill="FCE8E6" w:val="clear"/>
          </w:tcPr>
          <w:p>
            <w:r>
              <w:rPr>
                <w:rFonts w:ascii="Calibri" w:hAnsi="Calibri"/>
                <w:color w:val="333333"/>
                <w:sz w:val="18"/>
              </w:rPr>
              <w:t>-14.1%</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2025-02-27</w:t>
            </w:r>
          </w:p>
        </w:tc>
        <w:tc>
          <w:tcPr>
            <w:tcW w:type="dxa" w:w="1440"/>
            <w:shd w:fill="FFF3CD" w:val="clear"/>
          </w:tcPr>
          <w:p>
            <w:r>
              <w:rPr>
                <w:rFonts w:ascii="Calibri" w:hAnsi="Calibri"/>
                <w:color w:val="333333"/>
                <w:sz w:val="18"/>
              </w:rPr>
              <w:t>-7.4%</w:t>
            </w:r>
          </w:p>
        </w:tc>
        <w:tc>
          <w:tcPr>
            <w:tcW w:type="dxa" w:w="1440"/>
            <w:shd w:fill="FFF3CD" w:val="clear"/>
          </w:tcPr>
          <w:p>
            <w:r>
              <w:rPr>
                <w:rFonts w:ascii="Calibri" w:hAnsi="Calibri"/>
                <w:color w:val="333333"/>
                <w:sz w:val="18"/>
              </w:rPr>
              <w:t>22%</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2025-05-01</w:t>
            </w:r>
          </w:p>
        </w:tc>
        <w:tc>
          <w:tcPr>
            <w:tcW w:type="dxa" w:w="1440"/>
            <w:shd w:fill="F2F4F8" w:val="clear"/>
            <w:shd w:fill="FFF3CD" w:val="clear"/>
          </w:tcPr>
          <w:p>
            <w:r>
              <w:rPr>
                <w:rFonts w:ascii="Calibri" w:hAnsi="Calibri"/>
                <w:color w:val="333333"/>
                <w:sz w:val="18"/>
              </w:rPr>
              <w:t>-5.3%</w:t>
            </w:r>
          </w:p>
        </w:tc>
        <w:tc>
          <w:tcPr>
            <w:tcW w:type="dxa" w:w="1440"/>
            <w:shd w:fill="F2F4F8" w:val="clear"/>
            <w:shd w:fill="FFF3CD" w:val="clear"/>
          </w:tcPr>
          <w:p>
            <w:r>
              <w:rPr>
                <w:rFonts w:ascii="Calibri" w:hAnsi="Calibri"/>
                <w:color w:val="333333"/>
                <w:sz w:val="18"/>
              </w:rPr>
              <w:t>27%</w:t>
            </w:r>
          </w:p>
        </w:tc>
        <w:tc>
          <w:tcPr>
            <w:tcW w:type="dxa" w:w="1440"/>
            <w:shd w:fill="F2F4F8" w:val="clear"/>
            <w:shd w:fill="FFF3CD" w:val="clear"/>
          </w:tcPr>
          <w:p>
            <w:r>
              <w:rPr>
                <w:rFonts w:ascii="Calibri" w:hAnsi="Calibri"/>
                <w:color w:val="333333"/>
                <w:sz w:val="18"/>
              </w:rPr>
              <w:t>41 days</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2024-12-10</w:t>
            </w:r>
          </w:p>
        </w:tc>
        <w:tc>
          <w:tcPr>
            <w:tcW w:type="dxa" w:w="1440"/>
            <w:shd w:fill="FFF3CD" w:val="clear"/>
          </w:tcPr>
          <w:p>
            <w:r>
              <w:rPr>
                <w:rFonts w:ascii="Calibri" w:hAnsi="Calibri"/>
                <w:color w:val="333333"/>
                <w:sz w:val="18"/>
              </w:rPr>
              <w:t>-9.1%</w:t>
            </w:r>
          </w:p>
        </w:tc>
        <w:tc>
          <w:tcPr>
            <w:tcW w:type="dxa" w:w="1440"/>
            <w:shd w:fill="FFF3CD" w:val="clear"/>
          </w:tcPr>
          <w:p>
            <w:r>
              <w:rPr>
                <w:rFonts w:ascii="Calibri" w:hAnsi="Calibri"/>
                <w:color w:val="333333"/>
                <w:sz w:val="18"/>
              </w:rPr>
              <w:t>16%</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2025-02-03 (2d)</w:t>
            </w:r>
          </w:p>
        </w:tc>
        <w:tc>
          <w:tcPr>
            <w:tcW w:type="dxa" w:w="1440"/>
            <w:shd w:fill="F2F4F8" w:val="clear"/>
            <w:shd w:fill="FFF3CD" w:val="clear"/>
          </w:tcPr>
          <w:p>
            <w:r>
              <w:rPr>
                <w:rFonts w:ascii="Calibri" w:hAnsi="Calibri"/>
                <w:color w:val="333333"/>
                <w:sz w:val="18"/>
              </w:rPr>
              <w:t>-7.3%</w:t>
            </w:r>
          </w:p>
        </w:tc>
        <w:tc>
          <w:tcPr>
            <w:tcW w:type="dxa" w:w="1440"/>
            <w:shd w:fill="F2F4F8" w:val="clear"/>
            <w:shd w:fill="FFF3CD" w:val="clear"/>
          </w:tcPr>
          <w:p>
            <w:r>
              <w:rPr>
                <w:rFonts w:ascii="Calibri" w:hAnsi="Calibri"/>
                <w:color w:val="333333"/>
                <w:sz w:val="18"/>
              </w:rPr>
              <w:t>20%</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2024-09-12</w:t>
            </w:r>
          </w:p>
        </w:tc>
        <w:tc>
          <w:tcPr>
            <w:tcW w:type="dxa" w:w="1440"/>
            <w:shd w:fill="FCE8E6" w:val="clear"/>
          </w:tcPr>
          <w:p>
            <w:r>
              <w:rPr>
                <w:rFonts w:ascii="Calibri" w:hAnsi="Calibri"/>
                <w:color w:val="333333"/>
                <w:sz w:val="18"/>
              </w:rPr>
              <w:t>-12.4%</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2025-03-11</w:t>
            </w:r>
          </w:p>
        </w:tc>
        <w:tc>
          <w:tcPr>
            <w:tcW w:type="dxa" w:w="1440"/>
            <w:shd w:fill="F2F4F8" w:val="clear"/>
            <w:shd w:fill="FFF3CD" w:val="clear"/>
          </w:tcPr>
          <w:p>
            <w:r>
              <w:rPr>
                <w:rFonts w:ascii="Calibri" w:hAnsi="Calibri"/>
                <w:color w:val="333333"/>
                <w:sz w:val="18"/>
              </w:rPr>
              <w:t>-6.1%</w:t>
            </w:r>
          </w:p>
        </w:tc>
        <w:tc>
          <w:tcPr>
            <w:tcW w:type="dxa" w:w="1440"/>
            <w:shd w:fill="F2F4F8" w:val="clear"/>
            <w:shd w:fill="FFF3CD" w:val="clear"/>
          </w:tcPr>
          <w:p>
            <w:r>
              <w:rPr>
                <w:rFonts w:ascii="Calibri" w:hAnsi="Calibri"/>
                <w:color w:val="333333"/>
                <w:sz w:val="18"/>
              </w:rPr>
              <w:t>23%</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2024-09-12 (2d)</w:t>
            </w:r>
          </w:p>
        </w:tc>
        <w:tc>
          <w:tcPr>
            <w:tcW w:type="dxa" w:w="1440"/>
            <w:shd w:fill="FCE8E6" w:val="clear"/>
          </w:tcPr>
          <w:p>
            <w:r>
              <w:rPr>
                <w:rFonts w:ascii="Calibri" w:hAnsi="Calibri"/>
                <w:color w:val="333333"/>
                <w:sz w:val="18"/>
              </w:rPr>
              <w:t>-12.1%</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2024-06-26 to 2024-07-01 (6d)</w:t>
            </w:r>
          </w:p>
        </w:tc>
        <w:tc>
          <w:tcPr>
            <w:tcW w:type="dxa" w:w="1440"/>
            <w:shd w:fill="F2F4F8" w:val="clear"/>
            <w:shd w:fill="FCE8E6" w:val="clear"/>
          </w:tcPr>
          <w:p>
            <w:r>
              <w:rPr>
                <w:rFonts w:ascii="Calibri" w:hAnsi="Calibri"/>
                <w:color w:val="333333"/>
                <w:sz w:val="18"/>
              </w:rPr>
              <w:t>-15.7%</w:t>
            </w:r>
          </w:p>
        </w:tc>
        <w:tc>
          <w:tcPr>
            <w:tcW w:type="dxa" w:w="1440"/>
            <w:shd w:fill="F2F4F8" w:val="clear"/>
            <w:shd w:fill="FCE8E6" w:val="clear"/>
          </w:tcPr>
          <w:p>
            <w:r>
              <w:rPr>
                <w:rFonts w:ascii="Calibri" w:hAnsi="Calibri"/>
                <w:color w:val="333333"/>
                <w:sz w:val="18"/>
              </w:rPr>
              <w:t>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2025-02-20</w:t>
            </w:r>
          </w:p>
        </w:tc>
        <w:tc>
          <w:tcPr>
            <w:tcW w:type="dxa" w:w="1440"/>
            <w:shd w:fill="FFF3CD" w:val="clear"/>
          </w:tcPr>
          <w:p>
            <w:r>
              <w:rPr>
                <w:rFonts w:ascii="Calibri" w:hAnsi="Calibri"/>
                <w:color w:val="333333"/>
                <w:sz w:val="18"/>
              </w:rPr>
              <w:t>-6.0%</w:t>
            </w:r>
          </w:p>
        </w:tc>
        <w:tc>
          <w:tcPr>
            <w:tcW w:type="dxa" w:w="1440"/>
            <w:shd w:fill="FFF3CD" w:val="clear"/>
          </w:tcPr>
          <w:p>
            <w:r>
              <w:rPr>
                <w:rFonts w:ascii="Calibri" w:hAnsi="Calibri"/>
                <w:color w:val="333333"/>
                <w:sz w:val="18"/>
              </w:rPr>
              <w:t>21%</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2024-11-08 (5d)</w:t>
            </w:r>
          </w:p>
        </w:tc>
        <w:tc>
          <w:tcPr>
            <w:tcW w:type="dxa" w:w="1440"/>
            <w:shd w:fill="F2F4F8" w:val="clear"/>
            <w:shd w:fill="FFF3CD" w:val="clear"/>
          </w:tcPr>
          <w:p>
            <w:r>
              <w:rPr>
                <w:rFonts w:ascii="Calibri" w:hAnsi="Calibri"/>
                <w:color w:val="333333"/>
                <w:sz w:val="18"/>
              </w:rPr>
              <w:t>-8.7%</w:t>
            </w:r>
          </w:p>
        </w:tc>
        <w:tc>
          <w:tcPr>
            <w:tcW w:type="dxa" w:w="1440"/>
            <w:shd w:fill="F2F4F8" w:val="clear"/>
            <w:shd w:fill="FFF3CD" w:val="clear"/>
          </w:tcPr>
          <w:p>
            <w:r>
              <w:rPr>
                <w:rFonts w:ascii="Calibri" w:hAnsi="Calibri"/>
                <w:color w:val="333333"/>
                <w:sz w:val="18"/>
              </w:rPr>
              <w:t>14%</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2024-06-27 (2d)</w:t>
            </w:r>
          </w:p>
        </w:tc>
        <w:tc>
          <w:tcPr>
            <w:tcW w:type="dxa" w:w="1440"/>
            <w:shd w:fill="FCE8E6" w:val="clear"/>
          </w:tcPr>
          <w:p>
            <w:r>
              <w:rPr>
                <w:rFonts w:ascii="Calibri" w:hAnsi="Calibri"/>
                <w:color w:val="333333"/>
                <w:sz w:val="18"/>
              </w:rPr>
              <w:t>-11.9%</w:t>
            </w:r>
          </w:p>
        </w:tc>
        <w:tc>
          <w:tcPr>
            <w:tcW w:type="dxa" w:w="1440"/>
            <w:shd w:fill="FCE8E6" w:val="clear"/>
          </w:tcPr>
          <w:p>
            <w:r>
              <w:rPr>
                <w:rFonts w:ascii="Calibri" w:hAnsi="Calibri"/>
                <w:color w:val="333333"/>
                <w:sz w:val="18"/>
              </w:rPr>
              <w:t>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2024-12-18</w:t>
            </w:r>
          </w:p>
        </w:tc>
        <w:tc>
          <w:tcPr>
            <w:tcW w:type="dxa" w:w="1440"/>
            <w:shd w:fill="F2F4F8" w:val="clear"/>
            <w:shd w:fill="FFF3CD" w:val="clear"/>
          </w:tcPr>
          <w:p>
            <w:r>
              <w:rPr>
                <w:rFonts w:ascii="Calibri" w:hAnsi="Calibri"/>
                <w:color w:val="333333"/>
                <w:sz w:val="18"/>
              </w:rPr>
              <w:t>-5.9%</w:t>
            </w:r>
          </w:p>
        </w:tc>
        <w:tc>
          <w:tcPr>
            <w:tcW w:type="dxa" w:w="1440"/>
            <w:shd w:fill="F2F4F8" w:val="clear"/>
            <w:shd w:fill="FFF3CD" w:val="clear"/>
          </w:tcPr>
          <w:p>
            <w:r>
              <w:rPr>
                <w:rFonts w:ascii="Calibri" w:hAnsi="Calibri"/>
                <w:color w:val="333333"/>
                <w:sz w:val="18"/>
              </w:rPr>
              <w:t>16%</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2024-06-26</w:t>
            </w:r>
          </w:p>
        </w:tc>
        <w:tc>
          <w:tcPr>
            <w:tcW w:type="dxa" w:w="1440"/>
            <w:shd w:fill="FCE8E6" w:val="clear"/>
          </w:tcPr>
          <w:p>
            <w:r>
              <w:rPr>
                <w:rFonts w:ascii="Calibri" w:hAnsi="Calibri"/>
                <w:color w:val="333333"/>
                <w:sz w:val="18"/>
              </w:rPr>
              <w:t>-11.0%</w:t>
            </w:r>
          </w:p>
        </w:tc>
        <w:tc>
          <w:tcPr>
            <w:tcW w:type="dxa" w:w="1440"/>
            <w:shd w:fill="FCE8E6" w:val="clear"/>
          </w:tcPr>
          <w:p>
            <w:r>
              <w:rPr>
                <w:rFonts w:ascii="Calibri" w:hAnsi="Calibri"/>
                <w:color w:val="333333"/>
                <w:sz w:val="18"/>
              </w:rPr>
              <w:t>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2024-06-26 (2d)</w:t>
            </w:r>
          </w:p>
        </w:tc>
        <w:tc>
          <w:tcPr>
            <w:tcW w:type="dxa" w:w="1440"/>
            <w:shd w:fill="F2F4F8" w:val="clear"/>
            <w:shd w:fill="FCE8E6" w:val="clear"/>
          </w:tcPr>
          <w:p>
            <w:r>
              <w:rPr>
                <w:rFonts w:ascii="Calibri" w:hAnsi="Calibri"/>
                <w:color w:val="333333"/>
                <w:sz w:val="18"/>
              </w:rPr>
              <w:t>-10.6%</w:t>
            </w:r>
          </w:p>
        </w:tc>
        <w:tc>
          <w:tcPr>
            <w:tcW w:type="dxa" w:w="1440"/>
            <w:shd w:fill="F2F4F8" w:val="clear"/>
            <w:shd w:fill="FCE8E6" w:val="clear"/>
          </w:tcPr>
          <w:p>
            <w:r>
              <w:rPr>
                <w:rFonts w:ascii="Calibri" w:hAnsi="Calibri"/>
                <w:color w:val="333333"/>
                <w:sz w:val="18"/>
              </w:rPr>
              <w:t>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2024-05-28 to 2024-05-29 (2d)</w:t>
            </w:r>
          </w:p>
        </w:tc>
        <w:tc>
          <w:tcPr>
            <w:tcW w:type="dxa" w:w="1440"/>
            <w:shd w:fill="FCE8E6" w:val="clear"/>
          </w:tcPr>
          <w:p>
            <w:r>
              <w:rPr>
                <w:rFonts w:ascii="Calibri" w:hAnsi="Calibri"/>
                <w:color w:val="333333"/>
                <w:sz w:val="18"/>
              </w:rPr>
              <w:t>-14.4%</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2024-08-22</w:t>
            </w:r>
          </w:p>
        </w:tc>
        <w:tc>
          <w:tcPr>
            <w:tcW w:type="dxa" w:w="1440"/>
            <w:shd w:fill="F2F4F8" w:val="clear"/>
            <w:shd w:fill="FFF3CD" w:val="clear"/>
          </w:tcPr>
          <w:p>
            <w:r>
              <w:rPr>
                <w:rFonts w:ascii="Calibri" w:hAnsi="Calibri"/>
                <w:color w:val="333333"/>
                <w:sz w:val="18"/>
              </w:rPr>
              <w:t>-6.5%</w:t>
            </w:r>
          </w:p>
        </w:tc>
        <w:tc>
          <w:tcPr>
            <w:tcW w:type="dxa" w:w="1440"/>
            <w:shd w:fill="F2F4F8" w:val="clear"/>
            <w:shd w:fill="FFF3CD" w:val="clear"/>
          </w:tcPr>
          <w:p>
            <w:r>
              <w:rPr>
                <w:rFonts w:ascii="Calibri" w:hAnsi="Calibri"/>
                <w:color w:val="333333"/>
                <w:sz w:val="18"/>
              </w:rPr>
              <w:t>10%</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r>
        <w:tc>
          <w:tcPr>
            <w:tcW w:type="dxa" w:w="1440"/>
            <w:shd w:fill="FFF3CD" w:val="clear"/>
          </w:tcPr>
          <w:p>
            <w:r>
              <w:rPr>
                <w:rFonts w:ascii="Calibri" w:hAnsi="Calibri"/>
                <w:color w:val="333333"/>
                <w:sz w:val="18"/>
              </w:rPr>
              <w:t>2024-09-03</w:t>
            </w:r>
          </w:p>
        </w:tc>
        <w:tc>
          <w:tcPr>
            <w:tcW w:type="dxa" w:w="1440"/>
            <w:shd w:fill="FFF3CD" w:val="clear"/>
          </w:tcPr>
          <w:p>
            <w:r>
              <w:rPr>
                <w:rFonts w:ascii="Calibri" w:hAnsi="Calibri"/>
                <w:color w:val="333333"/>
                <w:sz w:val="18"/>
              </w:rPr>
              <w:t>-5.8%</w:t>
            </w:r>
          </w:p>
        </w:tc>
        <w:tc>
          <w:tcPr>
            <w:tcW w:type="dxa" w:w="1440"/>
            <w:shd w:fill="FFF3CD" w:val="clear"/>
          </w:tcPr>
          <w:p>
            <w:r>
              <w:rPr>
                <w:rFonts w:ascii="Calibri" w:hAnsi="Calibri"/>
                <w:color w:val="333333"/>
                <w:sz w:val="18"/>
              </w:rPr>
              <w:t>11%</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https://finance.yahoo.com/quote/MRNA/</w:t>
            </w:r>
          </w:p>
        </w:tc>
      </w:tr>
      <w:tr>
        <w:tc>
          <w:tcPr>
            <w:tcW w:type="dxa" w:w="1440"/>
            <w:shd w:fill="F2F4F8" w:val="clear"/>
            <w:shd w:fill="FFF3CD" w:val="clear"/>
          </w:tcPr>
          <w:p>
            <w:r>
              <w:rPr>
                <w:rFonts w:ascii="Calibri" w:hAnsi="Calibri"/>
                <w:color w:val="333333"/>
                <w:sz w:val="18"/>
              </w:rPr>
              <w:t>2024-05-28 (2d)</w:t>
            </w:r>
          </w:p>
        </w:tc>
        <w:tc>
          <w:tcPr>
            <w:tcW w:type="dxa" w:w="1440"/>
            <w:shd w:fill="F2F4F8" w:val="clear"/>
            <w:shd w:fill="FFF3CD" w:val="clear"/>
          </w:tcPr>
          <w:p>
            <w:r>
              <w:rPr>
                <w:rFonts w:ascii="Calibri" w:hAnsi="Calibri"/>
                <w:color w:val="333333"/>
                <w:sz w:val="18"/>
              </w:rPr>
              <w:t>-8.1%</w:t>
            </w:r>
          </w:p>
        </w:tc>
        <w:tc>
          <w:tcPr>
            <w:tcW w:type="dxa" w:w="1440"/>
            <w:shd w:fill="F2F4F8" w:val="clear"/>
            <w:shd w:fill="FFF3CD" w:val="clear"/>
          </w:tcPr>
          <w:p>
            <w:r>
              <w:rPr>
                <w:rFonts w:ascii="Calibri" w:hAnsi="Calibri"/>
                <w:color w:val="333333"/>
                <w:sz w:val="18"/>
              </w:rPr>
              <w:t>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https://finance.yahoo.com/quote/MRNA/</w:t>
            </w:r>
          </w:p>
        </w:tc>
      </w:tr>
    </w:tbl>
    <w:p>
      <w:pPr>
        <w:pStyle w:val="DOBody"/>
      </w:pPr>
      <w:r>
        <w:t>71 significant stock decline events detected in the 5Y period: 71 critical (&gt;10%). 71 were company-specific, 3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2025-08-25</w:t>
            </w:r>
          </w:p>
        </w:tc>
        <w:tc>
          <w:tcPr>
            <w:tcW w:type="dxa" w:w="1440"/>
            <w:shd w:fill="FCE8E6" w:val="clear"/>
          </w:tcPr>
          <w:p>
            <w:r>
              <w:rPr>
                <w:rFonts w:ascii="Calibri" w:hAnsi="Calibri"/>
                <w:color w:val="333333"/>
                <w:sz w:val="18"/>
              </w:rPr>
              <w:t>-25.2%</w:t>
            </w:r>
          </w:p>
        </w:tc>
        <w:tc>
          <w:tcPr>
            <w:tcW w:type="dxa" w:w="1440"/>
            <w:shd w:fill="FCE8E6" w:val="clear"/>
          </w:tcPr>
          <w:p>
            <w:r>
              <w:rPr>
                <w:rFonts w:ascii="Calibri" w:hAnsi="Calibri"/>
                <w:color w:val="333333"/>
                <w:sz w:val="18"/>
              </w:rPr>
              <w:t>43%</w:t>
            </w:r>
          </w:p>
        </w:tc>
        <w:tc>
          <w:tcPr>
            <w:tcW w:type="dxa" w:w="1440"/>
            <w:shd w:fill="FCE8E6" w:val="clear"/>
          </w:tcPr>
          <w:p>
            <w:r>
              <w:rPr>
                <w:rFonts w:ascii="Calibri" w:hAnsi="Calibri"/>
                <w:color w:val="333333"/>
                <w:sz w:val="18"/>
              </w:rPr>
              <w:t>26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2025-07-31 to 2025-08-06 (7d)</w:t>
            </w:r>
          </w:p>
        </w:tc>
        <w:tc>
          <w:tcPr>
            <w:tcW w:type="dxa" w:w="1440"/>
            <w:shd w:fill="F2F4F8" w:val="clear"/>
            <w:shd w:fill="FCE8E6" w:val="clear"/>
          </w:tcPr>
          <w:p>
            <w:r>
              <w:rPr>
                <w:rFonts w:ascii="Calibri" w:hAnsi="Calibri"/>
                <w:color w:val="333333"/>
                <w:sz w:val="18"/>
              </w:rPr>
              <w:t>-21.8%</w:t>
            </w:r>
          </w:p>
        </w:tc>
        <w:tc>
          <w:tcPr>
            <w:tcW w:type="dxa" w:w="1440"/>
            <w:shd w:fill="F2F4F8" w:val="clear"/>
            <w:shd w:fill="FCE8E6" w:val="clear"/>
          </w:tcPr>
          <w:p>
            <w:r>
              <w:rPr>
                <w:rFonts w:ascii="Calibri" w:hAnsi="Calibri"/>
                <w:color w:val="333333"/>
                <w:sz w:val="18"/>
              </w:rPr>
              <w:t>39%</w:t>
            </w:r>
          </w:p>
        </w:tc>
        <w:tc>
          <w:tcPr>
            <w:tcW w:type="dxa" w:w="1440"/>
            <w:shd w:fill="F2F4F8" w:val="clear"/>
            <w:shd w:fill="FCE8E6" w:val="clear"/>
          </w:tcPr>
          <w:p>
            <w:r>
              <w:rPr>
                <w:rFonts w:ascii="Calibri" w:hAnsi="Calibri"/>
                <w:color w:val="333333"/>
                <w:sz w:val="18"/>
              </w:rPr>
              <w:t>95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2025-08-04 (5d)</w:t>
            </w:r>
          </w:p>
        </w:tc>
        <w:tc>
          <w:tcPr>
            <w:tcW w:type="dxa" w:w="1440"/>
            <w:shd w:fill="FCE8E6" w:val="clear"/>
          </w:tcPr>
          <w:p>
            <w:r>
              <w:rPr>
                <w:rFonts w:ascii="Calibri" w:hAnsi="Calibri"/>
                <w:color w:val="333333"/>
                <w:sz w:val="18"/>
              </w:rPr>
              <w:t>-18.5%</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98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2025-03-26 to 2025-04-10 (16d)</w:t>
            </w:r>
          </w:p>
        </w:tc>
        <w:tc>
          <w:tcPr>
            <w:tcW w:type="dxa" w:w="1440"/>
            <w:shd w:fill="F2F4F8" w:val="clear"/>
            <w:shd w:fill="FCE8E6" w:val="clear"/>
          </w:tcPr>
          <w:p>
            <w:r>
              <w:rPr>
                <w:rFonts w:ascii="Calibri" w:hAnsi="Calibri"/>
                <w:color w:val="333333"/>
                <w:sz w:val="18"/>
              </w:rPr>
              <w:t>-31.9%</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1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2025-04-10 (20d)</w:t>
            </w:r>
          </w:p>
        </w:tc>
        <w:tc>
          <w:tcPr>
            <w:tcW w:type="dxa" w:w="1440"/>
            <w:shd w:fill="FCE8E6" w:val="clear"/>
          </w:tcPr>
          <w:p>
            <w:r>
              <w:rPr>
                <w:rFonts w:ascii="Calibri" w:hAnsi="Calibri"/>
                <w:color w:val="333333"/>
                <w:sz w:val="18"/>
              </w:rPr>
              <w:t>-28.6%</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2025-04-07 (20d)</w:t>
            </w:r>
          </w:p>
        </w:tc>
        <w:tc>
          <w:tcPr>
            <w:tcW w:type="dxa" w:w="1440"/>
            <w:shd w:fill="F2F4F8" w:val="clear"/>
            <w:shd w:fill="FCE8E6" w:val="clear"/>
          </w:tcPr>
          <w:p>
            <w:r>
              <w:rPr>
                <w:rFonts w:ascii="Calibri" w:hAnsi="Calibri"/>
                <w:color w:val="333333"/>
                <w:sz w:val="18"/>
              </w:rPr>
              <w:t>-28.7%</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2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2025-11-03 to 2025-11-04 (2d)</w:t>
            </w:r>
          </w:p>
        </w:tc>
        <w:tc>
          <w:tcPr>
            <w:tcW w:type="dxa" w:w="1440"/>
            <w:shd w:fill="FCE8E6" w:val="clear"/>
          </w:tcPr>
          <w:p>
            <w:r>
              <w:rPr>
                <w:rFonts w:ascii="Calibri" w:hAnsi="Calibri"/>
                <w:color w:val="333333"/>
                <w:sz w:val="18"/>
              </w:rPr>
              <w:t>-15.6%</w:t>
            </w:r>
          </w:p>
        </w:tc>
        <w:tc>
          <w:tcPr>
            <w:tcW w:type="dxa" w:w="1440"/>
            <w:shd w:fill="FCE8E6" w:val="clear"/>
          </w:tcPr>
          <w:p>
            <w:r>
              <w:rPr>
                <w:rFonts w:ascii="Calibri" w:hAnsi="Calibri"/>
                <w:color w:val="333333"/>
                <w:sz w:val="18"/>
              </w:rPr>
              <w:t>56%</w:t>
            </w:r>
          </w:p>
        </w:tc>
        <w:tc>
          <w:tcPr>
            <w:tcW w:type="dxa" w:w="1440"/>
            <w:shd w:fill="FCE8E6" w:val="clear"/>
          </w:tcPr>
          <w:p>
            <w:r>
              <w:rPr>
                <w:rFonts w:ascii="Calibri" w:hAnsi="Calibri"/>
                <w:color w:val="333333"/>
                <w:sz w:val="18"/>
              </w:rPr>
              <w:t>22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2025-04-08 (20d)</w:t>
            </w:r>
          </w:p>
        </w:tc>
        <w:tc>
          <w:tcPr>
            <w:tcW w:type="dxa" w:w="1440"/>
            <w:shd w:fill="F2F4F8" w:val="clear"/>
            <w:shd w:fill="FCE8E6" w:val="clear"/>
          </w:tcPr>
          <w:p>
            <w:r>
              <w:rPr>
                <w:rFonts w:ascii="Calibri" w:hAnsi="Calibri"/>
                <w:color w:val="333333"/>
                <w:sz w:val="18"/>
              </w:rPr>
              <w:t>-27.0%</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1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2025-08-06 (5d)</w:t>
            </w:r>
          </w:p>
        </w:tc>
        <w:tc>
          <w:tcPr>
            <w:tcW w:type="dxa" w:w="1440"/>
            <w:shd w:fill="FCE8E6" w:val="clear"/>
          </w:tcPr>
          <w:p>
            <w:r>
              <w:rPr>
                <w:rFonts w:ascii="Calibri" w:hAnsi="Calibri"/>
                <w:color w:val="333333"/>
                <w:sz w:val="18"/>
              </w:rPr>
              <w:t>-16.9%</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95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2025-11-03 (2d)</w:t>
            </w:r>
          </w:p>
        </w:tc>
        <w:tc>
          <w:tcPr>
            <w:tcW w:type="dxa" w:w="1440"/>
            <w:shd w:fill="F2F4F8" w:val="clear"/>
            <w:shd w:fill="FCE8E6" w:val="clear"/>
          </w:tcPr>
          <w:p>
            <w:r>
              <w:rPr>
                <w:rFonts w:ascii="Calibri" w:hAnsi="Calibri"/>
                <w:color w:val="333333"/>
                <w:sz w:val="18"/>
              </w:rPr>
              <w:t>-11.5%</w:t>
            </w:r>
          </w:p>
        </w:tc>
        <w:tc>
          <w:tcPr>
            <w:tcW w:type="dxa" w:w="1440"/>
            <w:shd w:fill="F2F4F8" w:val="clear"/>
            <w:shd w:fill="FCE8E6" w:val="clear"/>
          </w:tcPr>
          <w:p>
            <w:r>
              <w:rPr>
                <w:rFonts w:ascii="Calibri" w:hAnsi="Calibri"/>
                <w:color w:val="333333"/>
                <w:sz w:val="18"/>
              </w:rPr>
              <w:t>56%</w:t>
            </w:r>
          </w:p>
        </w:tc>
        <w:tc>
          <w:tcPr>
            <w:tcW w:type="dxa" w:w="1440"/>
            <w:shd w:fill="F2F4F8" w:val="clear"/>
            <w:shd w:fill="FCE8E6" w:val="clear"/>
          </w:tcPr>
          <w:p>
            <w:r>
              <w:rPr>
                <w:rFonts w:ascii="Calibri" w:hAnsi="Calibri"/>
                <w:color w:val="333333"/>
                <w:sz w:val="18"/>
              </w:rPr>
              <w:t>25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2025-08-05 (5d)</w:t>
            </w:r>
          </w:p>
        </w:tc>
        <w:tc>
          <w:tcPr>
            <w:tcW w:type="dxa" w:w="1440"/>
            <w:shd w:fill="FCE8E6" w:val="clear"/>
          </w:tcPr>
          <w:p>
            <w:r>
              <w:rPr>
                <w:rFonts w:ascii="Calibri" w:hAnsi="Calibri"/>
                <w:color w:val="333333"/>
                <w:sz w:val="18"/>
              </w:rPr>
              <w:t>-15.9%</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96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2025-11-20</w:t>
            </w:r>
          </w:p>
        </w:tc>
        <w:tc>
          <w:tcPr>
            <w:tcW w:type="dxa" w:w="1440"/>
            <w:shd w:fill="F2F4F8" w:val="clear"/>
            <w:shd w:fill="FCE8E6" w:val="clear"/>
          </w:tcPr>
          <w:p>
            <w:r>
              <w:rPr>
                <w:rFonts w:ascii="Calibri" w:hAnsi="Calibri"/>
                <w:color w:val="333333"/>
                <w:sz w:val="18"/>
              </w:rPr>
              <w:t>-10.3%</w:t>
            </w:r>
          </w:p>
        </w:tc>
        <w:tc>
          <w:tcPr>
            <w:tcW w:type="dxa" w:w="1440"/>
            <w:shd w:fill="F2F4F8" w:val="clear"/>
            <w:shd w:fill="FCE8E6" w:val="clear"/>
          </w:tcPr>
          <w:p>
            <w:r>
              <w:rPr>
                <w:rFonts w:ascii="Calibri" w:hAnsi="Calibri"/>
                <w:color w:val="333333"/>
                <w:sz w:val="18"/>
              </w:rPr>
              <w:t>60%</w:t>
            </w:r>
          </w:p>
        </w:tc>
        <w:tc>
          <w:tcPr>
            <w:tcW w:type="dxa" w:w="1440"/>
            <w:shd w:fill="F2F4F8" w:val="clear"/>
            <w:shd w:fill="FCE8E6" w:val="clear"/>
          </w:tcPr>
          <w:p>
            <w:r>
              <w:rPr>
                <w:rFonts w:ascii="Calibri" w:hAnsi="Calibri"/>
                <w:color w:val="333333"/>
                <w:sz w:val="18"/>
              </w:rPr>
              <w:t>3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2025-01-29 to 2025-02-07 (10d)</w:t>
            </w:r>
          </w:p>
        </w:tc>
        <w:tc>
          <w:tcPr>
            <w:tcW w:type="dxa" w:w="1440"/>
            <w:shd w:fill="FCE8E6" w:val="clear"/>
          </w:tcPr>
          <w:p>
            <w:r>
              <w:rPr>
                <w:rFonts w:ascii="Calibri" w:hAnsi="Calibri"/>
                <w:color w:val="333333"/>
                <w:sz w:val="18"/>
              </w:rPr>
              <w:t>-31.4%</w:t>
            </w:r>
          </w:p>
        </w:tc>
        <w:tc>
          <w:tcPr>
            <w:tcW w:type="dxa" w:w="1440"/>
            <w:shd w:fill="FCE8E6" w:val="clear"/>
          </w:tcPr>
          <w:p>
            <w:r>
              <w:rPr>
                <w:rFonts w:ascii="Calibri" w:hAnsi="Calibri"/>
                <w:color w:val="333333"/>
                <w:sz w:val="18"/>
              </w:rPr>
              <w:t>20%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2025-02-26 to 2025-02-27 (2d)</w:t>
            </w:r>
          </w:p>
        </w:tc>
        <w:tc>
          <w:tcPr>
            <w:tcW w:type="dxa" w:w="1440"/>
            <w:shd w:fill="F2F4F8" w:val="clear"/>
            <w:shd w:fill="FCE8E6" w:val="clear"/>
          </w:tcPr>
          <w:p>
            <w:r>
              <w:rPr>
                <w:rFonts w:ascii="Calibri" w:hAnsi="Calibri"/>
                <w:color w:val="333333"/>
                <w:sz w:val="18"/>
              </w:rPr>
              <w:t>-30.8%</w:t>
            </w:r>
          </w:p>
        </w:tc>
        <w:tc>
          <w:tcPr>
            <w:tcW w:type="dxa" w:w="1440"/>
            <w:shd w:fill="F2F4F8" w:val="clear"/>
            <w:shd w:fill="FCE8E6" w:val="clear"/>
          </w:tcPr>
          <w:p>
            <w:r>
              <w:rPr>
                <w:rFonts w:ascii="Calibri" w:hAnsi="Calibri"/>
                <w:color w:val="333333"/>
                <w:sz w:val="18"/>
              </w:rPr>
              <w:t>21%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2025-04-03 (5d)</w:t>
            </w:r>
          </w:p>
        </w:tc>
        <w:tc>
          <w:tcPr>
            <w:tcW w:type="dxa" w:w="1440"/>
            <w:shd w:fill="FCE8E6" w:val="clear"/>
          </w:tcPr>
          <w:p>
            <w:r>
              <w:rPr>
                <w:rFonts w:ascii="Calibri" w:hAnsi="Calibri"/>
                <w:color w:val="333333"/>
                <w:sz w:val="18"/>
              </w:rPr>
              <w:t>-19.9%</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4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2025-01-08 to 2025-01-17 (10d)</w:t>
            </w:r>
          </w:p>
        </w:tc>
        <w:tc>
          <w:tcPr>
            <w:tcW w:type="dxa" w:w="1440"/>
            <w:shd w:fill="F2F4F8" w:val="clear"/>
            <w:shd w:fill="FCE8E6" w:val="clear"/>
          </w:tcPr>
          <w:p>
            <w:r>
              <w:rPr>
                <w:rFonts w:ascii="Calibri" w:hAnsi="Calibri"/>
                <w:color w:val="333333"/>
                <w:sz w:val="18"/>
              </w:rPr>
              <w:t>-29.0%</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2025-04-01 (5d)</w:t>
            </w:r>
          </w:p>
        </w:tc>
        <w:tc>
          <w:tcPr>
            <w:tcW w:type="dxa" w:w="1440"/>
            <w:shd w:fill="FCE8E6" w:val="clear"/>
          </w:tcPr>
          <w:p>
            <w:r>
              <w:rPr>
                <w:rFonts w:ascii="Calibri" w:hAnsi="Calibri"/>
                <w:color w:val="333333"/>
                <w:sz w:val="18"/>
              </w:rPr>
              <w:t>-19.8%</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2025-02-04 (5d)</w:t>
            </w:r>
          </w:p>
        </w:tc>
        <w:tc>
          <w:tcPr>
            <w:tcW w:type="dxa" w:w="1440"/>
            <w:shd w:fill="F2F4F8" w:val="clear"/>
            <w:shd w:fill="FCE8E6" w:val="clear"/>
          </w:tcPr>
          <w:p>
            <w:r>
              <w:rPr>
                <w:rFonts w:ascii="Calibri" w:hAnsi="Calibri"/>
                <w:color w:val="333333"/>
                <w:sz w:val="18"/>
              </w:rPr>
              <w:t>-24.0%</w:t>
            </w:r>
          </w:p>
        </w:tc>
        <w:tc>
          <w:tcPr>
            <w:tcW w:type="dxa" w:w="1440"/>
            <w:shd w:fill="F2F4F8" w:val="clear"/>
            <w:shd w:fill="FCE8E6" w:val="clear"/>
          </w:tcPr>
          <w:p>
            <w:r>
              <w:rPr>
                <w:rFonts w:ascii="Calibri" w:hAnsi="Calibri"/>
                <w:color w:val="333333"/>
                <w:sz w:val="18"/>
              </w:rPr>
              <w:t>20%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2026-01-23 (3d)</w:t>
            </w:r>
          </w:p>
        </w:tc>
        <w:tc>
          <w:tcPr>
            <w:tcW w:type="dxa" w:w="1440"/>
            <w:shd w:fill="FCE8E6" w:val="clear"/>
          </w:tcPr>
          <w:p>
            <w:r>
              <w:rPr>
                <w:rFonts w:ascii="Calibri" w:hAnsi="Calibri"/>
                <w:color w:val="333333"/>
                <w:sz w:val="18"/>
              </w:rPr>
              <w:t>-15.0%</w:t>
            </w:r>
          </w:p>
        </w:tc>
        <w:tc>
          <w:tcPr>
            <w:tcW w:type="dxa" w:w="1440"/>
            <w:shd w:fill="FCE8E6" w:val="clear"/>
          </w:tcPr>
          <w:p>
            <w:r>
              <w:rPr>
                <w:rFonts w:ascii="Calibri" w:hAnsi="Calibri"/>
                <w:color w:val="333333"/>
                <w:sz w:val="18"/>
              </w:rPr>
              <w:t>77%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2024-11-08 to 2024-11-21 (14d)</w:t>
            </w:r>
          </w:p>
        </w:tc>
        <w:tc>
          <w:tcPr>
            <w:tcW w:type="dxa" w:w="1440"/>
            <w:shd w:fill="F2F4F8" w:val="clear"/>
            <w:shd w:fill="FCE8E6" w:val="clear"/>
          </w:tcPr>
          <w:p>
            <w:r>
              <w:rPr>
                <w:rFonts w:ascii="Calibri" w:hAnsi="Calibri"/>
                <w:color w:val="333333"/>
                <w:sz w:val="18"/>
              </w:rPr>
              <w:t>-36.2%</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2024-11-20 (20d)</w:t>
            </w:r>
          </w:p>
        </w:tc>
        <w:tc>
          <w:tcPr>
            <w:tcW w:type="dxa" w:w="1440"/>
            <w:shd w:fill="FCE8E6" w:val="clear"/>
          </w:tcPr>
          <w:p>
            <w:r>
              <w:rPr>
                <w:rFonts w:ascii="Calibri" w:hAnsi="Calibri"/>
                <w:color w:val="333333"/>
                <w:sz w:val="18"/>
              </w:rPr>
              <w:t>-30.8%</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2024-11-19 (20d)</w:t>
            </w:r>
          </w:p>
        </w:tc>
        <w:tc>
          <w:tcPr>
            <w:tcW w:type="dxa" w:w="1440"/>
            <w:shd w:fill="F2F4F8" w:val="clear"/>
            <w:shd w:fill="FCE8E6" w:val="clear"/>
          </w:tcPr>
          <w:p>
            <w:r>
              <w:rPr>
                <w:rFonts w:ascii="Calibri" w:hAnsi="Calibri"/>
                <w:color w:val="333333"/>
                <w:sz w:val="18"/>
              </w:rPr>
              <w:t>-30.2%</w:t>
            </w:r>
          </w:p>
        </w:tc>
        <w:tc>
          <w:tcPr>
            <w:tcW w:type="dxa" w:w="1440"/>
            <w:shd w:fill="F2F4F8" w:val="clear"/>
            <w:shd w:fill="FCE8E6" w:val="clear"/>
          </w:tcPr>
          <w:p>
            <w:r>
              <w:rPr>
                <w:rFonts w:ascii="Calibri" w:hAnsi="Calibri"/>
                <w:color w:val="333333"/>
                <w:sz w:val="18"/>
              </w:rPr>
              <w:t>15%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2025-05-01 to 2025-05-07 (7d)</w:t>
            </w:r>
          </w:p>
        </w:tc>
        <w:tc>
          <w:tcPr>
            <w:tcW w:type="dxa" w:w="1440"/>
            <w:shd w:fill="FCE8E6" w:val="clear"/>
          </w:tcPr>
          <w:p>
            <w:r>
              <w:rPr>
                <w:rFonts w:ascii="Calibri" w:hAnsi="Calibri"/>
                <w:color w:val="333333"/>
                <w:sz w:val="18"/>
              </w:rPr>
              <w:t>-15.7%</w:t>
            </w:r>
          </w:p>
        </w:tc>
        <w:tc>
          <w:tcPr>
            <w:tcW w:type="dxa" w:w="1440"/>
            <w:shd w:fill="FCE8E6" w:val="clear"/>
          </w:tcPr>
          <w:p>
            <w:r>
              <w:rPr>
                <w:rFonts w:ascii="Calibri" w:hAnsi="Calibri"/>
                <w:color w:val="333333"/>
                <w:sz w:val="18"/>
              </w:rPr>
              <w:t>28%</w:t>
            </w:r>
          </w:p>
        </w:tc>
        <w:tc>
          <w:tcPr>
            <w:tcW w:type="dxa" w:w="1440"/>
            <w:shd w:fill="FCE8E6" w:val="clear"/>
          </w:tcPr>
          <w:p>
            <w:r>
              <w:rPr>
                <w:rFonts w:ascii="Calibri" w:hAnsi="Calibri"/>
                <w:color w:val="333333"/>
                <w:sz w:val="18"/>
              </w:rPr>
              <w:t>10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2025-03-31 (5d)</w:t>
            </w:r>
          </w:p>
        </w:tc>
        <w:tc>
          <w:tcPr>
            <w:tcW w:type="dxa" w:w="1440"/>
            <w:shd w:fill="F2F4F8" w:val="clear"/>
            <w:shd w:fill="FCE8E6" w:val="clear"/>
          </w:tcPr>
          <w:p>
            <w:r>
              <w:rPr>
                <w:rFonts w:ascii="Calibri" w:hAnsi="Calibri"/>
                <w:color w:val="333333"/>
                <w:sz w:val="18"/>
              </w:rPr>
              <w:t>-17.0%</w:t>
            </w:r>
          </w:p>
        </w:tc>
        <w:tc>
          <w:tcPr>
            <w:tcW w:type="dxa" w:w="1440"/>
            <w:shd w:fill="F2F4F8" w:val="clear"/>
            <w:shd w:fill="FCE8E6" w:val="clear"/>
          </w:tcPr>
          <w:p>
            <w:r>
              <w:rPr>
                <w:rFonts w:ascii="Calibri" w:hAnsi="Calibri"/>
                <w:color w:val="333333"/>
                <w:sz w:val="18"/>
              </w:rPr>
              <w:t>24%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2024-11-21 (20d)</w:t>
            </w:r>
          </w:p>
        </w:tc>
        <w:tc>
          <w:tcPr>
            <w:tcW w:type="dxa" w:w="1440"/>
            <w:shd w:fill="FCE8E6" w:val="clear"/>
          </w:tcPr>
          <w:p>
            <w:r>
              <w:rPr>
                <w:rFonts w:ascii="Calibri" w:hAnsi="Calibri"/>
                <w:color w:val="333333"/>
                <w:sz w:val="18"/>
              </w:rPr>
              <w:t>-27.6%</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2025-01-16 (5d)</w:t>
            </w:r>
          </w:p>
        </w:tc>
        <w:tc>
          <w:tcPr>
            <w:tcW w:type="dxa" w:w="1440"/>
            <w:shd w:fill="F2F4F8" w:val="clear"/>
            <w:shd w:fill="FCE8E6" w:val="clear"/>
          </w:tcPr>
          <w:p>
            <w:r>
              <w:rPr>
                <w:rFonts w:ascii="Calibri" w:hAnsi="Calibri"/>
                <w:color w:val="333333"/>
                <w:sz w:val="18"/>
              </w:rPr>
              <w:t>-21.8%</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2024-11-14 (20d)</w:t>
            </w:r>
          </w:p>
        </w:tc>
        <w:tc>
          <w:tcPr>
            <w:tcW w:type="dxa" w:w="1440"/>
            <w:shd w:fill="FCE8E6" w:val="clear"/>
          </w:tcPr>
          <w:p>
            <w:r>
              <w:rPr>
                <w:rFonts w:ascii="Calibri" w:hAnsi="Calibri"/>
                <w:color w:val="333333"/>
                <w:sz w:val="18"/>
              </w:rPr>
              <w:t>-27.4%</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2024-11-18 (20d)</w:t>
            </w:r>
          </w:p>
        </w:tc>
        <w:tc>
          <w:tcPr>
            <w:tcW w:type="dxa" w:w="1440"/>
            <w:shd w:fill="F2F4F8" w:val="clear"/>
            <w:shd w:fill="FCE8E6" w:val="clear"/>
          </w:tcPr>
          <w:p>
            <w:r>
              <w:rPr>
                <w:rFonts w:ascii="Calibri" w:hAnsi="Calibri"/>
                <w:color w:val="333333"/>
                <w:sz w:val="18"/>
              </w:rPr>
              <w:t>-26.6%</w:t>
            </w:r>
          </w:p>
        </w:tc>
        <w:tc>
          <w:tcPr>
            <w:tcW w:type="dxa" w:w="1440"/>
            <w:shd w:fill="F2F4F8" w:val="clear"/>
            <w:shd w:fill="FCE8E6" w:val="clear"/>
          </w:tcPr>
          <w:p>
            <w:r>
              <w:rPr>
                <w:rFonts w:ascii="Calibri" w:hAnsi="Calibri"/>
                <w:color w:val="333333"/>
                <w:sz w:val="18"/>
              </w:rPr>
              <w:t>15%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2024-11-13 (20d)</w:t>
            </w:r>
          </w:p>
        </w:tc>
        <w:tc>
          <w:tcPr>
            <w:tcW w:type="dxa" w:w="1440"/>
            <w:shd w:fill="FCE8E6" w:val="clear"/>
          </w:tcPr>
          <w:p>
            <w:r>
              <w:rPr>
                <w:rFonts w:ascii="Calibri" w:hAnsi="Calibri"/>
                <w:color w:val="333333"/>
                <w:sz w:val="18"/>
              </w:rPr>
              <w:t>-26.7%</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2024-11-11 (20d)</w:t>
            </w:r>
          </w:p>
        </w:tc>
        <w:tc>
          <w:tcPr>
            <w:tcW w:type="dxa" w:w="1440"/>
            <w:shd w:fill="F2F4F8" w:val="clear"/>
            <w:shd w:fill="FCE8E6" w:val="clear"/>
          </w:tcPr>
          <w:p>
            <w:r>
              <w:rPr>
                <w:rFonts w:ascii="Calibri" w:hAnsi="Calibri"/>
                <w:color w:val="333333"/>
                <w:sz w:val="18"/>
              </w:rPr>
              <w:t>-25.9%</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2024-08-01 to 2024-08-28 (28d)</w:t>
            </w:r>
          </w:p>
        </w:tc>
        <w:tc>
          <w:tcPr>
            <w:tcW w:type="dxa" w:w="1440"/>
            <w:shd w:fill="FCE8E6" w:val="clear"/>
          </w:tcPr>
          <w:p>
            <w:r>
              <w:rPr>
                <w:rFonts w:ascii="Calibri" w:hAnsi="Calibri"/>
                <w:color w:val="333333"/>
                <w:sz w:val="18"/>
              </w:rPr>
              <w:t>-37.4%</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2025-01-17 (5d)</w:t>
            </w:r>
          </w:p>
        </w:tc>
        <w:tc>
          <w:tcPr>
            <w:tcW w:type="dxa" w:w="1440"/>
            <w:shd w:fill="F2F4F8" w:val="clear"/>
            <w:shd w:fill="FCE8E6" w:val="clear"/>
          </w:tcPr>
          <w:p>
            <w:r>
              <w:rPr>
                <w:rFonts w:ascii="Calibri" w:hAnsi="Calibri"/>
                <w:color w:val="333333"/>
                <w:sz w:val="18"/>
              </w:rPr>
              <w:t>-19.4%</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2024-08-27 (20d)</w:t>
            </w:r>
          </w:p>
        </w:tc>
        <w:tc>
          <w:tcPr>
            <w:tcW w:type="dxa" w:w="1440"/>
            <w:shd w:fill="FCE8E6" w:val="clear"/>
          </w:tcPr>
          <w:p>
            <w:r>
              <w:rPr>
                <w:rFonts w:ascii="Calibri" w:hAnsi="Calibri"/>
                <w:color w:val="333333"/>
                <w:sz w:val="18"/>
              </w:rPr>
              <w:t>-33.5%</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2024-08-26 (20d)</w:t>
            </w:r>
          </w:p>
        </w:tc>
        <w:tc>
          <w:tcPr>
            <w:tcW w:type="dxa" w:w="1440"/>
            <w:shd w:fill="F2F4F8" w:val="clear"/>
            <w:shd w:fill="FCE8E6" w:val="clear"/>
          </w:tcPr>
          <w:p>
            <w:r>
              <w:rPr>
                <w:rFonts w:ascii="Calibri" w:hAnsi="Calibri"/>
                <w:color w:val="333333"/>
                <w:sz w:val="18"/>
              </w:rPr>
              <w:t>-33.2%</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2025-01-14 (5d)</w:t>
            </w:r>
          </w:p>
        </w:tc>
        <w:tc>
          <w:tcPr>
            <w:tcW w:type="dxa" w:w="1440"/>
            <w:shd w:fill="FCE8E6" w:val="clear"/>
          </w:tcPr>
          <w:p>
            <w:r>
              <w:rPr>
                <w:rFonts w:ascii="Calibri" w:hAnsi="Calibri"/>
                <w:color w:val="333333"/>
                <w:sz w:val="18"/>
              </w:rPr>
              <w:t>-19.1%</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2025-02-07 (5d)</w:t>
            </w:r>
          </w:p>
        </w:tc>
        <w:tc>
          <w:tcPr>
            <w:tcW w:type="dxa" w:w="1440"/>
            <w:shd w:fill="F2F4F8" w:val="clear"/>
            <w:shd w:fill="FCE8E6" w:val="clear"/>
          </w:tcPr>
          <w:p>
            <w:r>
              <w:rPr>
                <w:rFonts w:ascii="Calibri" w:hAnsi="Calibri"/>
                <w:color w:val="333333"/>
                <w:sz w:val="18"/>
              </w:rPr>
              <w:t>-17.3%</w:t>
            </w:r>
          </w:p>
        </w:tc>
        <w:tc>
          <w:tcPr>
            <w:tcW w:type="dxa" w:w="1440"/>
            <w:shd w:fill="F2F4F8" w:val="clear"/>
            <w:shd w:fill="FCE8E6" w:val="clear"/>
          </w:tcPr>
          <w:p>
            <w:r>
              <w:rPr>
                <w:rFonts w:ascii="Calibri" w:hAnsi="Calibri"/>
                <w:color w:val="333333"/>
                <w:sz w:val="18"/>
              </w:rPr>
              <w:t>20%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2025-05-06</w:t>
            </w:r>
          </w:p>
        </w:tc>
        <w:tc>
          <w:tcPr>
            <w:tcW w:type="dxa" w:w="1440"/>
            <w:shd w:fill="FCE8E6" w:val="clear"/>
          </w:tcPr>
          <w:p>
            <w:r>
              <w:rPr>
                <w:rFonts w:ascii="Calibri" w:hAnsi="Calibri"/>
                <w:color w:val="333333"/>
                <w:sz w:val="18"/>
              </w:rPr>
              <w:t>-12.2%</w:t>
            </w:r>
          </w:p>
        </w:tc>
        <w:tc>
          <w:tcPr>
            <w:tcW w:type="dxa" w:w="1440"/>
            <w:shd w:fill="FCE8E6" w:val="clear"/>
          </w:tcPr>
          <w:p>
            <w:r>
              <w:rPr>
                <w:rFonts w:ascii="Calibri" w:hAnsi="Calibri"/>
                <w:color w:val="333333"/>
                <w:sz w:val="18"/>
              </w:rPr>
              <w:t>28%</w:t>
            </w:r>
          </w:p>
        </w:tc>
        <w:tc>
          <w:tcPr>
            <w:tcW w:type="dxa" w:w="1440"/>
            <w:shd w:fill="FCE8E6" w:val="clear"/>
          </w:tcPr>
          <w:p>
            <w:r>
              <w:rPr>
                <w:rFonts w:ascii="Calibri" w:hAnsi="Calibri"/>
                <w:color w:val="333333"/>
                <w:sz w:val="18"/>
              </w:rPr>
              <w:t>10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2024-08-22 (20d)</w:t>
            </w:r>
          </w:p>
        </w:tc>
        <w:tc>
          <w:tcPr>
            <w:tcW w:type="dxa" w:w="1440"/>
            <w:shd w:fill="F2F4F8" w:val="clear"/>
            <w:shd w:fill="FCE8E6" w:val="clear"/>
          </w:tcPr>
          <w:p>
            <w:r>
              <w:rPr>
                <w:rFonts w:ascii="Calibri" w:hAnsi="Calibri"/>
                <w:color w:val="333333"/>
                <w:sz w:val="18"/>
              </w:rPr>
              <w:t>-32.7%</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2024-08-14 (20d)</w:t>
            </w:r>
          </w:p>
        </w:tc>
        <w:tc>
          <w:tcPr>
            <w:tcW w:type="dxa" w:w="1440"/>
            <w:shd w:fill="FCE8E6" w:val="clear"/>
          </w:tcPr>
          <w:p>
            <w:r>
              <w:rPr>
                <w:rFonts w:ascii="Calibri" w:hAnsi="Calibri"/>
                <w:color w:val="333333"/>
                <w:sz w:val="18"/>
              </w:rPr>
              <w:t>-33.7%</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2024-08-23 (20d)</w:t>
            </w:r>
          </w:p>
        </w:tc>
        <w:tc>
          <w:tcPr>
            <w:tcW w:type="dxa" w:w="1440"/>
            <w:shd w:fill="F2F4F8" w:val="clear"/>
            <w:shd w:fill="FCE8E6" w:val="clear"/>
          </w:tcPr>
          <w:p>
            <w:r>
              <w:rPr>
                <w:rFonts w:ascii="Calibri" w:hAnsi="Calibri"/>
                <w:color w:val="333333"/>
                <w:sz w:val="18"/>
              </w:rPr>
              <w:t>-32.5%</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2024-08-13 (20d)</w:t>
            </w:r>
          </w:p>
        </w:tc>
        <w:tc>
          <w:tcPr>
            <w:tcW w:type="dxa" w:w="1440"/>
            <w:shd w:fill="FCE8E6" w:val="clear"/>
          </w:tcPr>
          <w:p>
            <w:r>
              <w:rPr>
                <w:rFonts w:ascii="Calibri" w:hAnsi="Calibri"/>
                <w:color w:val="333333"/>
                <w:sz w:val="18"/>
              </w:rPr>
              <w:t>-33.8%</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2025-01-13 (2d)</w:t>
            </w:r>
          </w:p>
        </w:tc>
        <w:tc>
          <w:tcPr>
            <w:tcW w:type="dxa" w:w="1440"/>
            <w:shd w:fill="F2F4F8" w:val="clear"/>
            <w:shd w:fill="FCE8E6" w:val="clear"/>
          </w:tcPr>
          <w:p>
            <w:r>
              <w:rPr>
                <w:rFonts w:ascii="Calibri" w:hAnsi="Calibri"/>
                <w:color w:val="333333"/>
                <w:sz w:val="18"/>
              </w:rPr>
              <w:t>-18.6%</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2024-08-12 (20d)</w:t>
            </w:r>
          </w:p>
        </w:tc>
        <w:tc>
          <w:tcPr>
            <w:tcW w:type="dxa" w:w="1440"/>
            <w:shd w:fill="FCE8E6" w:val="clear"/>
          </w:tcPr>
          <w:p>
            <w:r>
              <w:rPr>
                <w:rFonts w:ascii="Calibri" w:hAnsi="Calibri"/>
                <w:color w:val="333333"/>
                <w:sz w:val="18"/>
              </w:rPr>
              <w:t>-33.1%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2024-10-08 to 2024-10-09 (2d)</w:t>
            </w:r>
          </w:p>
        </w:tc>
        <w:tc>
          <w:tcPr>
            <w:tcW w:type="dxa" w:w="1440"/>
            <w:shd w:fill="F2F4F8" w:val="clear"/>
            <w:shd w:fill="FCE8E6" w:val="clear"/>
          </w:tcPr>
          <w:p>
            <w:r>
              <w:rPr>
                <w:rFonts w:ascii="Calibri" w:hAnsi="Calibri"/>
                <w:color w:val="333333"/>
                <w:sz w:val="18"/>
              </w:rPr>
              <w:t>-26.6%</w:t>
            </w:r>
          </w:p>
        </w:tc>
        <w:tc>
          <w:tcPr>
            <w:tcW w:type="dxa" w:w="1440"/>
            <w:shd w:fill="F2F4F8" w:val="clear"/>
            <w:shd w:fill="FCE8E6" w:val="clear"/>
          </w:tcPr>
          <w:p>
            <w:r>
              <w:rPr>
                <w:rFonts w:ascii="Calibri" w:hAnsi="Calibri"/>
                <w:color w:val="333333"/>
                <w:sz w:val="18"/>
              </w:rPr>
              <w:t>12%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2024-10-09 (20d)</w:t>
            </w:r>
          </w:p>
        </w:tc>
        <w:tc>
          <w:tcPr>
            <w:tcW w:type="dxa" w:w="1440"/>
            <w:shd w:fill="FCE8E6" w:val="clear"/>
          </w:tcPr>
          <w:p>
            <w:r>
              <w:rPr>
                <w:rFonts w:ascii="Calibri" w:hAnsi="Calibri"/>
                <w:color w:val="333333"/>
                <w:sz w:val="18"/>
              </w:rPr>
              <w:t>-26.0%</w:t>
            </w:r>
          </w:p>
        </w:tc>
        <w:tc>
          <w:tcPr>
            <w:tcW w:type="dxa" w:w="1440"/>
            <w:shd w:fill="FCE8E6" w:val="clear"/>
          </w:tcPr>
          <w:p>
            <w:r>
              <w:rPr>
                <w:rFonts w:ascii="Calibri" w:hAnsi="Calibri"/>
                <w:color w:val="333333"/>
                <w:sz w:val="18"/>
              </w:rPr>
              <w:t>13%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2025-05-06 (2d)</w:t>
            </w:r>
          </w:p>
        </w:tc>
        <w:tc>
          <w:tcPr>
            <w:tcW w:type="dxa" w:w="1440"/>
            <w:shd w:fill="F2F4F8" w:val="clear"/>
            <w:shd w:fill="FCE8E6" w:val="clear"/>
          </w:tcPr>
          <w:p>
            <w:r>
              <w:rPr>
                <w:rFonts w:ascii="Calibri" w:hAnsi="Calibri"/>
                <w:color w:val="333333"/>
                <w:sz w:val="18"/>
              </w:rPr>
              <w:t>-11.5%</w:t>
            </w:r>
          </w:p>
        </w:tc>
        <w:tc>
          <w:tcPr>
            <w:tcW w:type="dxa" w:w="1440"/>
            <w:shd w:fill="F2F4F8" w:val="clear"/>
            <w:shd w:fill="FCE8E6" w:val="clear"/>
          </w:tcPr>
          <w:p>
            <w:r>
              <w:rPr>
                <w:rFonts w:ascii="Calibri" w:hAnsi="Calibri"/>
                <w:color w:val="333333"/>
                <w:sz w:val="18"/>
              </w:rPr>
              <w:t>28%</w:t>
            </w:r>
          </w:p>
        </w:tc>
        <w:tc>
          <w:tcPr>
            <w:tcW w:type="dxa" w:w="1440"/>
            <w:shd w:fill="F2F4F8" w:val="clear"/>
            <w:shd w:fill="FCE8E6" w:val="clear"/>
          </w:tcPr>
          <w:p>
            <w:r>
              <w:rPr>
                <w:rFonts w:ascii="Calibri" w:hAnsi="Calibri"/>
                <w:color w:val="333333"/>
                <w:sz w:val="18"/>
              </w:rPr>
              <w:t>10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2024-08-07 (5d)</w:t>
            </w:r>
          </w:p>
        </w:tc>
        <w:tc>
          <w:tcPr>
            <w:tcW w:type="dxa" w:w="1440"/>
            <w:shd w:fill="FCE8E6" w:val="clear"/>
          </w:tcPr>
          <w:p>
            <w:r>
              <w:rPr>
                <w:rFonts w:ascii="Calibri" w:hAnsi="Calibri"/>
                <w:color w:val="333333"/>
                <w:sz w:val="18"/>
              </w:rPr>
              <w:t>-31.6%</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2024-08-08 (20d)</w:t>
            </w:r>
          </w:p>
        </w:tc>
        <w:tc>
          <w:tcPr>
            <w:tcW w:type="dxa" w:w="1440"/>
            <w:shd w:fill="F2F4F8" w:val="clear"/>
            <w:shd w:fill="FCE8E6" w:val="clear"/>
          </w:tcPr>
          <w:p>
            <w:r>
              <w:rPr>
                <w:rFonts w:ascii="Calibri" w:hAnsi="Calibri"/>
                <w:color w:val="333333"/>
                <w:sz w:val="18"/>
              </w:rPr>
              <w:t>-31.4%</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2024-08-05 (5d)</w:t>
            </w:r>
          </w:p>
        </w:tc>
        <w:tc>
          <w:tcPr>
            <w:tcW w:type="dxa" w:w="1440"/>
            <w:shd w:fill="FCE8E6" w:val="clear"/>
          </w:tcPr>
          <w:p>
            <w:r>
              <w:rPr>
                <w:rFonts w:ascii="Calibri" w:hAnsi="Calibri"/>
                <w:color w:val="333333"/>
                <w:sz w:val="18"/>
              </w:rPr>
              <w:t>-31.4%</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2025-01-13</w:t>
            </w:r>
          </w:p>
        </w:tc>
        <w:tc>
          <w:tcPr>
            <w:tcW w:type="dxa" w:w="1440"/>
            <w:shd w:fill="F2F4F8" w:val="clear"/>
            <w:shd w:fill="FCE8E6" w:val="clear"/>
          </w:tcPr>
          <w:p>
            <w:r>
              <w:rPr>
                <w:rFonts w:ascii="Calibri" w:hAnsi="Calibri"/>
                <w:color w:val="333333"/>
                <w:sz w:val="18"/>
              </w:rPr>
              <w:t>-16.8%</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2024-08-06 (5d)</w:t>
            </w:r>
          </w:p>
        </w:tc>
        <w:tc>
          <w:tcPr>
            <w:tcW w:type="dxa" w:w="1440"/>
            <w:shd w:fill="FCE8E6" w:val="clear"/>
          </w:tcPr>
          <w:p>
            <w:r>
              <w:rPr>
                <w:rFonts w:ascii="Calibri" w:hAnsi="Calibri"/>
                <w:color w:val="333333"/>
                <w:sz w:val="18"/>
              </w:rPr>
              <w:t>-30.8%</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2024-08-09 (20d)</w:t>
            </w:r>
          </w:p>
        </w:tc>
        <w:tc>
          <w:tcPr>
            <w:tcW w:type="dxa" w:w="1440"/>
            <w:shd w:fill="F2F4F8" w:val="clear"/>
            <w:shd w:fill="FCE8E6" w:val="clear"/>
          </w:tcPr>
          <w:p>
            <w:r>
              <w:rPr>
                <w:rFonts w:ascii="Calibri" w:hAnsi="Calibri"/>
                <w:color w:val="333333"/>
                <w:sz w:val="18"/>
              </w:rPr>
              <w:t>-30.1%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2024-08-20 (20d)</w:t>
            </w:r>
          </w:p>
        </w:tc>
        <w:tc>
          <w:tcPr>
            <w:tcW w:type="dxa" w:w="1440"/>
            <w:shd w:fill="FCE8E6" w:val="clear"/>
          </w:tcPr>
          <w:p>
            <w:r>
              <w:rPr>
                <w:rFonts w:ascii="Calibri" w:hAnsi="Calibri"/>
                <w:color w:val="333333"/>
                <w:sz w:val="18"/>
              </w:rPr>
              <w:t>-28.3%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2024-08-15 (20d)</w:t>
            </w:r>
          </w:p>
        </w:tc>
        <w:tc>
          <w:tcPr>
            <w:tcW w:type="dxa" w:w="1440"/>
            <w:shd w:fill="F2F4F8" w:val="clear"/>
            <w:shd w:fill="FCE8E6" w:val="clear"/>
          </w:tcPr>
          <w:p>
            <w:r>
              <w:rPr>
                <w:rFonts w:ascii="Calibri" w:hAnsi="Calibri"/>
                <w:color w:val="333333"/>
                <w:sz w:val="18"/>
              </w:rPr>
              <w:t>-28.6%</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2024-08-16 (20d)</w:t>
            </w:r>
          </w:p>
        </w:tc>
        <w:tc>
          <w:tcPr>
            <w:tcW w:type="dxa" w:w="1440"/>
            <w:shd w:fill="FCE8E6" w:val="clear"/>
          </w:tcPr>
          <w:p>
            <w:r>
              <w:rPr>
                <w:rFonts w:ascii="Calibri" w:hAnsi="Calibri"/>
                <w:color w:val="333333"/>
                <w:sz w:val="18"/>
              </w:rPr>
              <w:t>-28.3%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2024-08-02 (5d)</w:t>
            </w:r>
          </w:p>
        </w:tc>
        <w:tc>
          <w:tcPr>
            <w:tcW w:type="dxa" w:w="1440"/>
            <w:shd w:fill="F2F4F8" w:val="clear"/>
            <w:shd w:fill="FCE8E6" w:val="clear"/>
          </w:tcPr>
          <w:p>
            <w:r>
              <w:rPr>
                <w:rFonts w:ascii="Calibri" w:hAnsi="Calibri"/>
                <w:color w:val="333333"/>
                <w:sz w:val="18"/>
              </w:rPr>
              <w:t>-29.1%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2024-08-21 (20d)</w:t>
            </w:r>
          </w:p>
        </w:tc>
        <w:tc>
          <w:tcPr>
            <w:tcW w:type="dxa" w:w="1440"/>
            <w:shd w:fill="FCE8E6" w:val="clear"/>
          </w:tcPr>
          <w:p>
            <w:r>
              <w:rPr>
                <w:rFonts w:ascii="Calibri" w:hAnsi="Calibri"/>
                <w:color w:val="333333"/>
                <w:sz w:val="18"/>
              </w:rPr>
              <w:t>-26.7%</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2024-08-19 (20d)</w:t>
            </w:r>
          </w:p>
        </w:tc>
        <w:tc>
          <w:tcPr>
            <w:tcW w:type="dxa" w:w="1440"/>
            <w:shd w:fill="F2F4F8" w:val="clear"/>
            <w:shd w:fill="FCE8E6" w:val="clear"/>
          </w:tcPr>
          <w:p>
            <w:r>
              <w:rPr>
                <w:rFonts w:ascii="Calibri" w:hAnsi="Calibri"/>
                <w:color w:val="333333"/>
                <w:sz w:val="18"/>
              </w:rPr>
              <w:t>-26.6%</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2024-11-12 (5d)</w:t>
            </w:r>
          </w:p>
        </w:tc>
        <w:tc>
          <w:tcPr>
            <w:tcW w:type="dxa" w:w="1440"/>
            <w:shd w:fill="FCE8E6" w:val="clear"/>
          </w:tcPr>
          <w:p>
            <w:r>
              <w:rPr>
                <w:rFonts w:ascii="Calibri" w:hAnsi="Calibri"/>
                <w:color w:val="333333"/>
                <w:sz w:val="18"/>
              </w:rPr>
              <w:t>-18.4%</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2025-02-03 (2d)</w:t>
            </w:r>
          </w:p>
        </w:tc>
        <w:tc>
          <w:tcPr>
            <w:tcW w:type="dxa" w:w="1440"/>
            <w:shd w:fill="F2F4F8" w:val="clear"/>
            <w:shd w:fill="FCE8E6" w:val="clear"/>
          </w:tcPr>
          <w:p>
            <w:r>
              <w:rPr>
                <w:rFonts w:ascii="Calibri" w:hAnsi="Calibri"/>
                <w:color w:val="333333"/>
                <w:sz w:val="18"/>
              </w:rPr>
              <w:t>-10.9%</w:t>
            </w:r>
          </w:p>
        </w:tc>
        <w:tc>
          <w:tcPr>
            <w:tcW w:type="dxa" w:w="1440"/>
            <w:shd w:fill="F2F4F8" w:val="clear"/>
            <w:shd w:fill="FCE8E6" w:val="clear"/>
          </w:tcPr>
          <w:p>
            <w:r>
              <w:rPr>
                <w:rFonts w:ascii="Calibri" w:hAnsi="Calibri"/>
                <w:color w:val="333333"/>
                <w:sz w:val="18"/>
              </w:rPr>
              <w:t>20%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2024-08-01 (5d)</w:t>
            </w:r>
          </w:p>
        </w:tc>
        <w:tc>
          <w:tcPr>
            <w:tcW w:type="dxa" w:w="1440"/>
            <w:shd w:fill="FCE8E6" w:val="clear"/>
          </w:tcPr>
          <w:p>
            <w:r>
              <w:rPr>
                <w:rFonts w:ascii="Calibri" w:hAnsi="Calibri"/>
                <w:color w:val="333333"/>
                <w:sz w:val="18"/>
              </w:rPr>
              <w:t>-21.8%</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2024-08-01 (2d)</w:t>
            </w:r>
          </w:p>
        </w:tc>
        <w:tc>
          <w:tcPr>
            <w:tcW w:type="dxa" w:w="1440"/>
            <w:shd w:fill="F2F4F8" w:val="clear"/>
            <w:shd w:fill="FCE8E6" w:val="clear"/>
          </w:tcPr>
          <w:p>
            <w:r>
              <w:rPr>
                <w:rFonts w:ascii="Calibri" w:hAnsi="Calibri"/>
                <w:color w:val="333333"/>
                <w:sz w:val="18"/>
              </w:rPr>
              <w:t>-21.0%</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2025-01-10 (2d)</w:t>
            </w:r>
          </w:p>
        </w:tc>
        <w:tc>
          <w:tcPr>
            <w:tcW w:type="dxa" w:w="1440"/>
            <w:shd w:fill="FCE8E6" w:val="clear"/>
          </w:tcPr>
          <w:p>
            <w:r>
              <w:rPr>
                <w:rFonts w:ascii="Calibri" w:hAnsi="Calibri"/>
                <w:color w:val="333333"/>
                <w:sz w:val="18"/>
              </w:rPr>
              <w:t>-11.1%</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2024-09-12 to 2024-09-13 (2d)</w:t>
            </w:r>
          </w:p>
        </w:tc>
        <w:tc>
          <w:tcPr>
            <w:tcW w:type="dxa" w:w="1440"/>
            <w:shd w:fill="F2F4F8" w:val="clear"/>
            <w:shd w:fill="FCE8E6" w:val="clear"/>
          </w:tcPr>
          <w:p>
            <w:r>
              <w:rPr>
                <w:rFonts w:ascii="Calibri" w:hAnsi="Calibri"/>
                <w:color w:val="333333"/>
                <w:sz w:val="18"/>
              </w:rPr>
              <w:t>-14.1%</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2024-09-12</w:t>
            </w:r>
          </w:p>
        </w:tc>
        <w:tc>
          <w:tcPr>
            <w:tcW w:type="dxa" w:w="1440"/>
            <w:shd w:fill="FCE8E6" w:val="clear"/>
          </w:tcPr>
          <w:p>
            <w:r>
              <w:rPr>
                <w:rFonts w:ascii="Calibri" w:hAnsi="Calibri"/>
                <w:color w:val="333333"/>
                <w:sz w:val="18"/>
              </w:rPr>
              <w:t>-12.4%</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2024-09-12 (2d)</w:t>
            </w:r>
          </w:p>
        </w:tc>
        <w:tc>
          <w:tcPr>
            <w:tcW w:type="dxa" w:w="1440"/>
            <w:shd w:fill="F2F4F8" w:val="clear"/>
            <w:shd w:fill="FCE8E6" w:val="clear"/>
          </w:tcPr>
          <w:p>
            <w:r>
              <w:rPr>
                <w:rFonts w:ascii="Calibri" w:hAnsi="Calibri"/>
                <w:color w:val="333333"/>
                <w:sz w:val="18"/>
              </w:rPr>
              <w:t>-12.1%</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2024-06-26 to 2024-07-01 (6d)</w:t>
            </w:r>
          </w:p>
        </w:tc>
        <w:tc>
          <w:tcPr>
            <w:tcW w:type="dxa" w:w="1440"/>
            <w:shd w:fill="FCE8E6" w:val="clear"/>
          </w:tcPr>
          <w:p>
            <w:r>
              <w:rPr>
                <w:rFonts w:ascii="Calibri" w:hAnsi="Calibri"/>
                <w:color w:val="333333"/>
                <w:sz w:val="18"/>
              </w:rPr>
              <w:t>-15.7%</w:t>
            </w:r>
          </w:p>
        </w:tc>
        <w:tc>
          <w:tcPr>
            <w:tcW w:type="dxa" w:w="1440"/>
            <w:shd w:fill="FCE8E6" w:val="clear"/>
          </w:tcPr>
          <w:p>
            <w:r>
              <w:rPr>
                <w:rFonts w:ascii="Calibri" w:hAnsi="Calibri"/>
                <w:color w:val="333333"/>
                <w:sz w:val="18"/>
              </w:rPr>
              <w:t>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2024-06-27 (2d)</w:t>
            </w:r>
          </w:p>
        </w:tc>
        <w:tc>
          <w:tcPr>
            <w:tcW w:type="dxa" w:w="1440"/>
            <w:shd w:fill="F2F4F8" w:val="clear"/>
            <w:shd w:fill="FCE8E6" w:val="clear"/>
          </w:tcPr>
          <w:p>
            <w:r>
              <w:rPr>
                <w:rFonts w:ascii="Calibri" w:hAnsi="Calibri"/>
                <w:color w:val="333333"/>
                <w:sz w:val="18"/>
              </w:rPr>
              <w:t>-11.9%</w:t>
            </w:r>
          </w:p>
        </w:tc>
        <w:tc>
          <w:tcPr>
            <w:tcW w:type="dxa" w:w="1440"/>
            <w:shd w:fill="F2F4F8" w:val="clear"/>
            <w:shd w:fill="FCE8E6" w:val="clear"/>
          </w:tcPr>
          <w:p>
            <w:r>
              <w:rPr>
                <w:rFonts w:ascii="Calibri" w:hAnsi="Calibri"/>
                <w:color w:val="333333"/>
                <w:sz w:val="18"/>
              </w:rPr>
              <w:t>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2024-06-26</w:t>
            </w:r>
          </w:p>
        </w:tc>
        <w:tc>
          <w:tcPr>
            <w:tcW w:type="dxa" w:w="1440"/>
            <w:shd w:fill="FCE8E6" w:val="clear"/>
          </w:tcPr>
          <w:p>
            <w:r>
              <w:rPr>
                <w:rFonts w:ascii="Calibri" w:hAnsi="Calibri"/>
                <w:color w:val="333333"/>
                <w:sz w:val="18"/>
              </w:rPr>
              <w:t>-11.0%</w:t>
            </w:r>
          </w:p>
        </w:tc>
        <w:tc>
          <w:tcPr>
            <w:tcW w:type="dxa" w:w="1440"/>
            <w:shd w:fill="FCE8E6" w:val="clear"/>
          </w:tcPr>
          <w:p>
            <w:r>
              <w:rPr>
                <w:rFonts w:ascii="Calibri" w:hAnsi="Calibri"/>
                <w:color w:val="333333"/>
                <w:sz w:val="18"/>
              </w:rPr>
              <w:t>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r>
        <w:tc>
          <w:tcPr>
            <w:tcW w:type="dxa" w:w="1440"/>
            <w:shd w:fill="F2F4F8" w:val="clear"/>
            <w:shd w:fill="FCE8E6" w:val="clear"/>
          </w:tcPr>
          <w:p>
            <w:r>
              <w:rPr>
                <w:rFonts w:ascii="Calibri" w:hAnsi="Calibri"/>
                <w:color w:val="333333"/>
                <w:sz w:val="18"/>
              </w:rPr>
              <w:t>2024-06-26 (2d)</w:t>
            </w:r>
          </w:p>
        </w:tc>
        <w:tc>
          <w:tcPr>
            <w:tcW w:type="dxa" w:w="1440"/>
            <w:shd w:fill="F2F4F8" w:val="clear"/>
            <w:shd w:fill="FCE8E6" w:val="clear"/>
          </w:tcPr>
          <w:p>
            <w:r>
              <w:rPr>
                <w:rFonts w:ascii="Calibri" w:hAnsi="Calibri"/>
                <w:color w:val="333333"/>
                <w:sz w:val="18"/>
              </w:rPr>
              <w:t>-10.6%</w:t>
            </w:r>
          </w:p>
        </w:tc>
        <w:tc>
          <w:tcPr>
            <w:tcW w:type="dxa" w:w="1440"/>
            <w:shd w:fill="F2F4F8" w:val="clear"/>
            <w:shd w:fill="FCE8E6" w:val="clear"/>
          </w:tcPr>
          <w:p>
            <w:r>
              <w:rPr>
                <w:rFonts w:ascii="Calibri" w:hAnsi="Calibri"/>
                <w:color w:val="333333"/>
                <w:sz w:val="18"/>
              </w:rPr>
              <w:t>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https://finance.yahoo.com/quote/MRNA/</w:t>
            </w:r>
          </w:p>
        </w:tc>
      </w:tr>
      <w:tr>
        <w:tc>
          <w:tcPr>
            <w:tcW w:type="dxa" w:w="1440"/>
            <w:shd w:fill="FCE8E6" w:val="clear"/>
          </w:tcPr>
          <w:p>
            <w:r>
              <w:rPr>
                <w:rFonts w:ascii="Calibri" w:hAnsi="Calibri"/>
                <w:color w:val="333333"/>
                <w:sz w:val="18"/>
              </w:rPr>
              <w:t>2024-05-28 to 2024-05-29 (2d)</w:t>
            </w:r>
          </w:p>
        </w:tc>
        <w:tc>
          <w:tcPr>
            <w:tcW w:type="dxa" w:w="1440"/>
            <w:shd w:fill="FCE8E6" w:val="clear"/>
          </w:tcPr>
          <w:p>
            <w:r>
              <w:rPr>
                <w:rFonts w:ascii="Calibri" w:hAnsi="Calibri"/>
                <w:color w:val="333333"/>
                <w:sz w:val="18"/>
              </w:rPr>
              <w:t>-14.4%</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https://finance.yahoo.com/quote/MRNA/</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20.4% (Ranks at the 0th percentile among 0 peers (peer median: 4.0%))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6.35</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STABLE</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Body"/>
        <w:shd w:fill="FCE8E6" w:val="clear"/>
      </w:pPr>
      <w:r>
        <w:rPr>
          <w:b/>
          <w:color w:val="EA580C"/>
          <w:sz w:val="18"/>
        </w:rPr>
        <w:t xml:space="preserve">[HIGH] </w:t>
      </w:r>
      <w:r>
        <w:rPr>
          <w:b/>
          <w:sz w:val="20"/>
        </w:rPr>
        <w:t>Elevated Short Interest: 20.4%</w:t>
      </w:r>
      <w:r>
        <w:rPr>
          <w:color w:val="666666"/>
          <w:sz w:val="16"/>
        </w:rPr>
        <w:t xml:space="preserve"> -- Signals significant bearish sentiment; vulnerability to short seller reports</w:t>
      </w:r>
    </w:p>
    <w:p>
      <w:pPr>
        <w:pStyle w:val="DOCaption"/>
        <w:ind w:left="360"/>
      </w:pPr>
      <w:r>
        <w:rPr>
          <w:i/>
          <w:color w:val="666666"/>
          <w:sz w:val="18"/>
        </w:rPr>
        <w:t>Context: Cluster insider selling within 90 days of a stock drop correlates with securities class actions in 42% of cases.</w:t>
      </w:r>
    </w:p>
    <w:p>
      <w:pPr>
        <w:pStyle w:val="DOBody"/>
      </w:pPr>
      <w:r>
        <w:rPr>
          <w:i/>
          <w:color w:val="FFD000"/>
          <w:sz w:val="18"/>
        </w:rPr>
        <w:t>See Meeting Prep: Short Interest &amp; Market Sentiment</w:t>
      </w:r>
    </w:p>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0.7%</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MIXED</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$-2.60</w:t>
            </w:r>
          </w:p>
        </w:tc>
        <w:tc>
          <w:tcPr>
            <w:tcW w:type="dxa" w:w="1680"/>
          </w:tcPr>
          <w:p>
            <w:r>
              <w:rPr>
                <w:rFonts w:ascii="Calibri" w:hAnsi="Calibri"/>
                <w:color w:val="333333"/>
                <w:sz w:val="18"/>
              </w:rPr>
              <w:t>$-2.11</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+18.9%</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$-2.16</w:t>
            </w:r>
          </w:p>
        </w:tc>
        <w:tc>
          <w:tcPr>
            <w:tcW w:type="dxa" w:w="1680"/>
            <w:shd w:fill="F2F4F8" w:val="clear"/>
          </w:tcPr>
          <w:p>
            <w:r>
              <w:rPr>
                <w:rFonts w:ascii="Calibri" w:hAnsi="Calibri"/>
                <w:color w:val="333333"/>
                <w:sz w:val="18"/>
              </w:rPr>
              <w:t>$-0.51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+76.4%</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$-2.97</w:t>
            </w:r>
          </w:p>
        </w:tc>
        <w:tc>
          <w:tcPr>
            <w:tcW w:type="dxa" w:w="1680"/>
          </w:tcPr>
          <w:p>
            <w:r>
              <w:rPr>
                <w:rFonts w:ascii="Calibri" w:hAnsi="Calibri"/>
                <w:color w:val="333333"/>
                <w:sz w:val="18"/>
              </w:rPr>
              <w:t>$-2.13</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+28.3%</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$-3.11</w:t>
            </w:r>
          </w:p>
        </w:tc>
        <w:tc>
          <w:tcPr>
            <w:tcW w:type="dxa" w:w="1680"/>
            <w:shd w:fill="F2F4F8" w:val="clear"/>
          </w:tcPr>
          <w:p>
            <w:r>
              <w:rPr>
                <w:rFonts w:ascii="Calibri" w:hAnsi="Calibri"/>
                <w:color w:val="333333"/>
                <w:sz w:val="18"/>
              </w:rPr>
              <w:t>$-2.52</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+18.9%</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$-2.73</w:t>
            </w:r>
          </w:p>
        </w:tc>
        <w:tc>
          <w:tcPr>
            <w:tcW w:type="dxa" w:w="1680"/>
          </w:tcPr>
          <w:p>
            <w:r>
              <w:rPr>
                <w:rFonts w:ascii="Calibri" w:hAnsi="Calibri"/>
                <w:color w:val="333333"/>
                <w:sz w:val="18"/>
              </w:rPr>
              <w:t>$-2.91</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+6.6%</w:t>
            </w:r>
          </w:p>
        </w:tc>
        <w:tc>
          <w:tcPr>
            <w:tcW w:type="dxa" w:w="1680"/>
          </w:tcPr>
          <w:p>
            <w:r>
              <w:rPr>
                <w:rFonts w:ascii="Calibri" w:hAnsi="Calibri"/>
                <w:color w:val="333333"/>
                <w:sz w:val="18"/>
              </w:rPr>
              <w:t>-6.7%</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$-1.94</w:t>
            </w:r>
          </w:p>
        </w:tc>
        <w:tc>
          <w:tcPr>
            <w:tcW w:type="dxa" w:w="1680"/>
            <w:shd w:fill="F2F4F8" w:val="clear"/>
          </w:tcPr>
          <w:p>
            <w:r>
              <w:rPr>
                <w:rFonts w:ascii="Calibri" w:hAnsi="Calibri"/>
                <w:color w:val="333333"/>
                <w:sz w:val="18"/>
              </w:rPr>
              <w:t>$0.03</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$-3.36</w:t>
            </w:r>
          </w:p>
        </w:tc>
        <w:tc>
          <w:tcPr>
            <w:tcW w:type="dxa" w:w="1680"/>
          </w:tcPr>
          <w:p>
            <w:r>
              <w:rPr>
                <w:rFonts w:ascii="Calibri" w:hAnsi="Calibri"/>
                <w:color w:val="333333"/>
                <w:sz w:val="18"/>
              </w:rPr>
              <w:t>$-3.33</w:t>
            </w:r>
          </w:p>
        </w:tc>
        <w:tc>
          <w:tcPr>
            <w:tcW w:type="dxa" w:w="1680"/>
          </w:tcPr>
          <w:p>
            <w:r>
              <w:rPr>
                <w:rFonts w:ascii="Calibri" w:hAnsi="Calibri"/>
                <w:color w:val="333333"/>
                <w:sz w:val="18"/>
              </w:rPr>
              <w:t>MEET</w:t>
            </w:r>
          </w:p>
        </w:tc>
        <w:tc>
          <w:tcPr>
            <w:tcW w:type="dxa" w:w="1680"/>
          </w:tcPr>
          <w:p>
            <w:r>
              <w:rPr>
                <w:rFonts w:ascii="Calibri" w:hAnsi="Calibri"/>
                <w:color w:val="333333"/>
                <w:sz w:val="18"/>
              </w:rPr>
              <w:t>N/A</w:t>
            </w:r>
          </w:p>
        </w:tc>
        <w:tc>
          <w:tcPr>
            <w:tcW w:type="dxa" w:w="1680"/>
          </w:tcPr>
          <w:p>
            <w:r>
              <w:rPr>
                <w:rFonts w:ascii="Calibri" w:hAnsi="Calibri"/>
                <w:color w:val="333333"/>
                <w:sz w:val="18"/>
              </w:rPr>
              <w:t>+1.0%</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$-3.55</w:t>
            </w:r>
          </w:p>
        </w:tc>
        <w:tc>
          <w:tcPr>
            <w:tcW w:type="dxa" w:w="1680"/>
            <w:shd w:fill="F2F4F8" w:val="clear"/>
          </w:tcPr>
          <w:p>
            <w:r>
              <w:rPr>
                <w:rFonts w:ascii="Calibri" w:hAnsi="Calibri"/>
                <w:color w:val="333333"/>
                <w:sz w:val="18"/>
              </w:rPr>
              <w:t>$-3.07</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+13.6%</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$-0.99</w:t>
            </w:r>
          </w:p>
        </w:tc>
        <w:tc>
          <w:tcPr>
            <w:tcW w:type="dxa" w:w="1680"/>
          </w:tcPr>
          <w:p>
            <w:r>
              <w:rPr>
                <w:rFonts w:ascii="Calibri" w:hAnsi="Calibri"/>
                <w:color w:val="333333"/>
                <w:sz w:val="18"/>
              </w:rPr>
              <w:t>$0.55</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$-2.05</w:t>
            </w:r>
          </w:p>
        </w:tc>
        <w:tc>
          <w:tcPr>
            <w:tcW w:type="dxa" w:w="1680"/>
            <w:shd w:fill="F2F4F8" w:val="clear"/>
          </w:tcPr>
          <w:p>
            <w:r>
              <w:rPr>
                <w:rFonts w:ascii="Calibri" w:hAnsi="Calibri"/>
                <w:color w:val="333333"/>
                <w:sz w:val="18"/>
              </w:rPr>
              <w:t>$-9.53</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+364.9%</w:t>
            </w:r>
          </w:p>
        </w:tc>
        <w:tc>
          <w:tcPr>
            <w:tcW w:type="dxa" w:w="1680"/>
            <w:shd w:fill="F2F4F8" w:val="clear"/>
          </w:tcPr>
          <w:p>
            <w:r>
              <w:rPr>
                <w:rFonts w:ascii="Calibri" w:hAnsi="Calibri"/>
                <w:color w:val="333333"/>
                <w:sz w:val="18"/>
              </w:rPr>
              <w:t>N/A</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$-4.12</w:t>
            </w:r>
          </w:p>
        </w:tc>
        <w:tc>
          <w:tcPr>
            <w:tcW w:type="dxa" w:w="1680"/>
          </w:tcPr>
          <w:p>
            <w:r>
              <w:rPr>
                <w:rFonts w:ascii="Calibri" w:hAnsi="Calibri"/>
                <w:color w:val="333333"/>
                <w:sz w:val="18"/>
              </w:rPr>
              <w:t>$-3.62</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+12.2%</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$-1.73</w:t>
            </w:r>
          </w:p>
        </w:tc>
        <w:tc>
          <w:tcPr>
            <w:tcW w:type="dxa" w:w="1680"/>
            <w:shd w:fill="F2F4F8" w:val="clear"/>
          </w:tcPr>
          <w:p>
            <w:r>
              <w:rPr>
                <w:rFonts w:ascii="Calibri" w:hAnsi="Calibri"/>
                <w:color w:val="333333"/>
                <w:sz w:val="18"/>
              </w:rPr>
              <w:t>$0.19</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$4.60</w:t>
            </w:r>
          </w:p>
        </w:tc>
        <w:tc>
          <w:tcPr>
            <w:tcW w:type="dxa" w:w="1680"/>
          </w:tcPr>
          <w:p>
            <w:r>
              <w:rPr>
                <w:rFonts w:ascii="Calibri" w:hAnsi="Calibri"/>
                <w:color w:val="333333"/>
                <w:sz w:val="18"/>
              </w:rPr>
              <w:t>$3.61</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+21.5%</w:t>
            </w:r>
          </w:p>
        </w:tc>
        <w:tc>
          <w:tcPr>
            <w:tcW w:type="dxa" w:w="1680"/>
          </w:tcPr>
          <w:p>
            <w:r>
              <w:rPr>
                <w:rFonts w:ascii="Calibri" w:hAnsi="Calibri"/>
                <w:color w:val="333333"/>
                <w:sz w:val="18"/>
              </w:rPr>
              <w:t>-21.5%</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$3.11</w:t>
            </w:r>
          </w:p>
        </w:tc>
        <w:tc>
          <w:tcPr>
            <w:tcW w:type="dxa" w:w="1680"/>
            <w:shd w:fill="F2F4F8" w:val="clear"/>
          </w:tcPr>
          <w:p>
            <w:r>
              <w:rPr>
                <w:rFonts w:ascii="Calibri" w:hAnsi="Calibri"/>
                <w:color w:val="333333"/>
                <w:sz w:val="18"/>
              </w:rPr>
              <w:t>$2.53</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+18.6%</w:t>
            </w:r>
          </w:p>
        </w:tc>
        <w:tc>
          <w:tcPr>
            <w:tcW w:type="dxa" w:w="1680"/>
            <w:shd w:fill="F2F4F8" w:val="clear"/>
          </w:tcPr>
          <w:p>
            <w:r>
              <w:rPr>
                <w:rFonts w:ascii="Calibri" w:hAnsi="Calibri"/>
                <w:color w:val="333333"/>
                <w:sz w:val="18"/>
              </w:rPr>
              <w:t>-18.6%</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$4.49</w:t>
            </w:r>
          </w:p>
        </w:tc>
        <w:tc>
          <w:tcPr>
            <w:tcW w:type="dxa" w:w="1680"/>
          </w:tcPr>
          <w:p>
            <w:r>
              <w:rPr>
                <w:rFonts w:ascii="Calibri" w:hAnsi="Calibri"/>
                <w:color w:val="333333"/>
                <w:sz w:val="18"/>
              </w:rPr>
              <w:t>$5.24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+16.6%</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$5.62</w:t>
            </w:r>
          </w:p>
        </w:tc>
        <w:tc>
          <w:tcPr>
            <w:tcW w:type="dxa" w:w="1680"/>
            <w:shd w:fill="F2F4F8" w:val="clear"/>
          </w:tcPr>
          <w:p>
            <w:r>
              <w:rPr>
                <w:rFonts w:ascii="Calibri" w:hAnsi="Calibri"/>
                <w:color w:val="333333"/>
                <w:sz w:val="18"/>
              </w:rPr>
              <w:t>$8.58</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+52.6%</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20</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HOLD</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2.92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$45</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$135</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$12</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2024-08-01 to 2024-08-28</w:t>
            </w:r>
          </w:p>
        </w:tc>
        <w:tc>
          <w:tcPr>
            <w:tcW w:type="dxa" w:w="1680"/>
          </w:tcPr>
          <w:p>
            <w:r>
              <w:rPr>
                <w:rFonts w:ascii="Calibri" w:hAnsi="Calibri"/>
                <w:color w:val="333333"/>
                <w:sz w:val="18"/>
              </w:rPr>
              <w:t>-37.4%</w:t>
            </w:r>
          </w:p>
        </w:tc>
        <w:tc>
          <w:tcPr>
            <w:tcW w:type="dxa" w:w="1680"/>
          </w:tcPr>
          <w:p>
            <w:r>
              <w:rPr>
                <w:rFonts w:ascii="Calibri" w:hAnsi="Calibri"/>
                <w:color w:val="333333"/>
                <w:sz w:val="18"/>
              </w:rPr>
              <w:t>MULTI_DAY (28d)</w:t>
            </w:r>
          </w:p>
        </w:tc>
        <w:tc>
          <w:tcPr>
            <w:tcW w:type="dxa" w:w="1680"/>
          </w:tcPr>
          <w:p>
            <w:r>
              <w:rPr>
                <w:rFonts w:ascii="Calibri" w:hAnsi="Calibri"/>
                <w:color w:val="333333"/>
                <w:sz w:val="18"/>
              </w:rPr>
              <w:t>Unknown</w:t>
            </w:r>
          </w:p>
        </w:tc>
        <w:tc>
          <w:tcPr>
            <w:tcW w:type="dxa" w:w="1680"/>
          </w:tcPr>
          <w:p>
            <w:r>
              <w:rPr>
                <w:rFonts w:ascii="Calibri" w:hAnsi="Calibri"/>
                <w:color w:val="333333"/>
                <w:sz w:val="18"/>
              </w:rPr>
              <w:t>+4.1%</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2024-11-08 to 2024-11-21</w:t>
            </w:r>
          </w:p>
        </w:tc>
        <w:tc>
          <w:tcPr>
            <w:tcW w:type="dxa" w:w="1680"/>
            <w:shd w:fill="F2F4F8" w:val="clear"/>
          </w:tcPr>
          <w:p>
            <w:r>
              <w:rPr>
                <w:rFonts w:ascii="Calibri" w:hAnsi="Calibri"/>
                <w:color w:val="333333"/>
                <w:sz w:val="18"/>
              </w:rPr>
              <w:t>-36.2%</w:t>
            </w:r>
          </w:p>
        </w:tc>
        <w:tc>
          <w:tcPr>
            <w:tcW w:type="dxa" w:w="1680"/>
            <w:shd w:fill="F2F4F8" w:val="clear"/>
          </w:tcPr>
          <w:p>
            <w:r>
              <w:rPr>
                <w:rFonts w:ascii="Calibri" w:hAnsi="Calibri"/>
                <w:color w:val="333333"/>
                <w:sz w:val="18"/>
              </w:rPr>
              <w:t>MULTI_DAY (14d)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-7.4%</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2024-08-13</w:t>
            </w:r>
          </w:p>
        </w:tc>
        <w:tc>
          <w:tcPr>
            <w:tcW w:type="dxa" w:w="1680"/>
          </w:tcPr>
          <w:p>
            <w:r>
              <w:rPr>
                <w:rFonts w:ascii="Calibri" w:hAnsi="Calibri"/>
                <w:color w:val="333333"/>
                <w:sz w:val="18"/>
              </w:rPr>
              <w:t>-33.8%</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+0.9%</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2024-08-14</w:t>
            </w:r>
          </w:p>
        </w:tc>
        <w:tc>
          <w:tcPr>
            <w:tcW w:type="dxa" w:w="1680"/>
            <w:shd w:fill="F2F4F8" w:val="clear"/>
          </w:tcPr>
          <w:p>
            <w:r>
              <w:rPr>
                <w:rFonts w:ascii="Calibri" w:hAnsi="Calibri"/>
                <w:color w:val="333333"/>
                <w:sz w:val="18"/>
              </w:rPr>
              <w:t>-33.7%</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+0.8%</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2024-08-27</w:t>
            </w:r>
          </w:p>
        </w:tc>
        <w:tc>
          <w:tcPr>
            <w:tcW w:type="dxa" w:w="1680"/>
          </w:tcPr>
          <w:p>
            <w:r>
              <w:rPr>
                <w:rFonts w:ascii="Calibri" w:hAnsi="Calibri"/>
                <w:color w:val="333333"/>
                <w:sz w:val="18"/>
              </w:rPr>
              <w:t>-33.5%</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+3.6%</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2024-08-26</w:t>
            </w:r>
          </w:p>
        </w:tc>
        <w:tc>
          <w:tcPr>
            <w:tcW w:type="dxa" w:w="1680"/>
            <w:shd w:fill="F2F4F8" w:val="clear"/>
          </w:tcPr>
          <w:p>
            <w:r>
              <w:rPr>
                <w:rFonts w:ascii="Calibri" w:hAnsi="Calibri"/>
                <w:color w:val="333333"/>
                <w:sz w:val="18"/>
              </w:rPr>
              <w:t>-33.2%</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+3.5%</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2024-08-12</w:t>
            </w:r>
          </w:p>
        </w:tc>
        <w:tc>
          <w:tcPr>
            <w:tcW w:type="dxa" w:w="1680"/>
          </w:tcPr>
          <w:p>
            <w:r>
              <w:rPr>
                <w:rFonts w:ascii="Calibri" w:hAnsi="Calibri"/>
                <w:color w:val="333333"/>
                <w:sz w:val="18"/>
              </w:rPr>
              <w:t>-33.1%</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+1.1%</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2024-08-22</w:t>
            </w:r>
          </w:p>
        </w:tc>
        <w:tc>
          <w:tcPr>
            <w:tcW w:type="dxa" w:w="1680"/>
            <w:shd w:fill="F2F4F8" w:val="clear"/>
          </w:tcPr>
          <w:p>
            <w:r>
              <w:rPr>
                <w:rFonts w:ascii="Calibri" w:hAnsi="Calibri"/>
                <w:color w:val="333333"/>
                <w:sz w:val="18"/>
              </w:rPr>
              <w:t>-32.7%</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+3.8%</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2024-08-23</w:t>
            </w:r>
          </w:p>
        </w:tc>
        <w:tc>
          <w:tcPr>
            <w:tcW w:type="dxa" w:w="1680"/>
          </w:tcPr>
          <w:p>
            <w:r>
              <w:rPr>
                <w:rFonts w:ascii="Calibri" w:hAnsi="Calibri"/>
                <w:color w:val="333333"/>
                <w:sz w:val="18"/>
              </w:rPr>
              <w:t>-32.5%</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+3.7%</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2025-03-26 to 2025-04-10</w:t>
            </w:r>
          </w:p>
        </w:tc>
        <w:tc>
          <w:tcPr>
            <w:tcW w:type="dxa" w:w="1680"/>
            <w:shd w:fill="F2F4F8" w:val="clear"/>
          </w:tcPr>
          <w:p>
            <w:r>
              <w:rPr>
                <w:rFonts w:ascii="Calibri" w:hAnsi="Calibri"/>
                <w:color w:val="333333"/>
                <w:sz w:val="18"/>
              </w:rPr>
              <w:t>-31.9%</w:t>
            </w:r>
          </w:p>
        </w:tc>
        <w:tc>
          <w:tcPr>
            <w:tcW w:type="dxa" w:w="1680"/>
            <w:shd w:fill="F2F4F8" w:val="clear"/>
          </w:tcPr>
          <w:p>
            <w:r>
              <w:rPr>
                <w:rFonts w:ascii="Calibri" w:hAnsi="Calibri"/>
                <w:color w:val="333333"/>
                <w:sz w:val="18"/>
              </w:rPr>
              <w:t>MULTI_DAY (16d)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-9.0%</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2024-08-07</w:t>
            </w:r>
          </w:p>
        </w:tc>
        <w:tc>
          <w:tcPr>
            <w:tcW w:type="dxa" w:w="1680"/>
          </w:tcPr>
          <w:p>
            <w:r>
              <w:rPr>
                <w:rFonts w:ascii="Calibri" w:hAnsi="Calibri"/>
                <w:color w:val="333333"/>
                <w:sz w:val="18"/>
              </w:rPr>
              <w:t>-31.6%</w:t>
            </w:r>
          </w:p>
        </w:tc>
        <w:tc>
          <w:tcPr>
            <w:tcW w:type="dxa" w:w="1680"/>
          </w:tcPr>
          <w:p>
            <w:r>
              <w:rPr>
                <w:rFonts w:ascii="Calibri" w:hAnsi="Calibri"/>
                <w:color w:val="333333"/>
                <w:sz w:val="18"/>
              </w:rPr>
              <w:t>MULTI_DAY (5d)</w:t>
            </w:r>
          </w:p>
        </w:tc>
        <w:tc>
          <w:tcPr>
            <w:tcW w:type="dxa" w:w="1680"/>
          </w:tcPr>
          <w:p>
            <w:r>
              <w:rPr>
                <w:rFonts w:ascii="Calibri" w:hAnsi="Calibri"/>
                <w:color w:val="333333"/>
                <w:sz w:val="18"/>
              </w:rPr>
              <w:t>Unknown</w:t>
            </w:r>
          </w:p>
        </w:tc>
        <w:tc>
          <w:tcPr>
            <w:tcW w:type="dxa" w:w="1680"/>
          </w:tcPr>
          <w:p>
            <w:r>
              <w:rPr>
                <w:rFonts w:ascii="Calibri" w:hAnsi="Calibri"/>
                <w:color w:val="333333"/>
                <w:sz w:val="18"/>
              </w:rPr>
              <w:t>-2.4%</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2024-08-05</w:t>
            </w:r>
          </w:p>
        </w:tc>
        <w:tc>
          <w:tcPr>
            <w:tcW w:type="dxa" w:w="1680"/>
            <w:shd w:fill="F2F4F8" w:val="clear"/>
          </w:tcPr>
          <w:p>
            <w:r>
              <w:rPr>
                <w:rFonts w:ascii="Calibri" w:hAnsi="Calibri"/>
                <w:color w:val="333333"/>
                <w:sz w:val="18"/>
              </w:rPr>
              <w:t>-31.4%</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-2.1%</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2025-01-29 to 2025-02-07</w:t>
            </w:r>
          </w:p>
        </w:tc>
        <w:tc>
          <w:tcPr>
            <w:tcW w:type="dxa" w:w="1680"/>
          </w:tcPr>
          <w:p>
            <w:r>
              <w:rPr>
                <w:rFonts w:ascii="Calibri" w:hAnsi="Calibri"/>
                <w:color w:val="333333"/>
                <w:sz w:val="18"/>
              </w:rPr>
              <w:t>-31.4%</w:t>
            </w:r>
          </w:p>
        </w:tc>
        <w:tc>
          <w:tcPr>
            <w:tcW w:type="dxa" w:w="1680"/>
          </w:tcPr>
          <w:p>
            <w:r>
              <w:rPr>
                <w:rFonts w:ascii="Calibri" w:hAnsi="Calibri"/>
                <w:color w:val="333333"/>
                <w:sz w:val="18"/>
              </w:rPr>
              <w:t>MULTI_DAY (10d)</w:t>
            </w:r>
          </w:p>
        </w:tc>
        <w:tc>
          <w:tcPr>
            <w:tcW w:type="dxa" w:w="1680"/>
          </w:tcPr>
          <w:p>
            <w:r>
              <w:rPr>
                <w:rFonts w:ascii="Calibri" w:hAnsi="Calibri"/>
                <w:color w:val="333333"/>
                <w:sz w:val="18"/>
              </w:rPr>
              <w:t>Unknown</w:t>
            </w:r>
          </w:p>
        </w:tc>
        <w:tc>
          <w:tcPr>
            <w:tcW w:type="dxa" w:w="1680"/>
          </w:tcPr>
          <w:p>
            <w:r>
              <w:rPr>
                <w:rFonts w:ascii="Calibri" w:hAnsi="Calibri"/>
                <w:color w:val="333333"/>
                <w:sz w:val="18"/>
              </w:rPr>
              <w:t>+5.3%</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2024-08-08</w:t>
            </w:r>
          </w:p>
        </w:tc>
        <w:tc>
          <w:tcPr>
            <w:tcW w:type="dxa" w:w="1680"/>
            <w:shd w:fill="F2F4F8" w:val="clear"/>
          </w:tcPr>
          <w:p>
            <w:r>
              <w:rPr>
                <w:rFonts w:ascii="Calibri" w:hAnsi="Calibri"/>
                <w:color w:val="333333"/>
                <w:sz w:val="18"/>
              </w:rPr>
              <w:t>-31.4%</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+1.3%</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2025-02-26 to 2025-02-27</w:t>
            </w:r>
          </w:p>
        </w:tc>
        <w:tc>
          <w:tcPr>
            <w:tcW w:type="dxa" w:w="1680"/>
          </w:tcPr>
          <w:p>
            <w:r>
              <w:rPr>
                <w:rFonts w:ascii="Calibri" w:hAnsi="Calibri"/>
                <w:color w:val="333333"/>
                <w:sz w:val="18"/>
              </w:rPr>
              <w:t>-30.8%</w:t>
            </w:r>
          </w:p>
        </w:tc>
        <w:tc>
          <w:tcPr>
            <w:tcW w:type="dxa" w:w="1680"/>
          </w:tcPr>
          <w:p>
            <w:r>
              <w:rPr>
                <w:rFonts w:ascii="Calibri" w:hAnsi="Calibri"/>
                <w:color w:val="333333"/>
                <w:sz w:val="18"/>
              </w:rPr>
              <w:t>MULTI_DAY (2d)</w:t>
            </w:r>
          </w:p>
        </w:tc>
        <w:tc>
          <w:tcPr>
            <w:tcW w:type="dxa" w:w="1680"/>
          </w:tcPr>
          <w:p>
            <w:r>
              <w:rPr>
                <w:rFonts w:ascii="Calibri" w:hAnsi="Calibri"/>
                <w:color w:val="333333"/>
                <w:sz w:val="18"/>
              </w:rPr>
              <w:t>Unknown</w:t>
            </w:r>
          </w:p>
        </w:tc>
        <w:tc>
          <w:tcPr>
            <w:tcW w:type="dxa" w:w="1680"/>
          </w:tcPr>
          <w:p>
            <w:r>
              <w:rPr>
                <w:rFonts w:ascii="Calibri" w:hAnsi="Calibri"/>
                <w:color w:val="333333"/>
                <w:sz w:val="18"/>
              </w:rPr>
              <w:t>+0.9%</w:t>
            </w:r>
          </w:p>
        </w:tc>
        <w:tc>
          <w:tcPr>
            <w:tcW w:type="dxa" w:w="1680"/>
            <w:shd w:fill="FFF3CD" w:val="clear"/>
          </w:tcPr>
          <w:p>
            <w:r>
              <w:rPr>
                <w:rFonts w:ascii="Calibri" w:hAnsi="Calibri"/>
                <w:color w:val="333333"/>
                <w:sz w:val="18"/>
              </w:rPr>
              <w:t>Yes</w:t>
            </w:r>
          </w:p>
        </w:tc>
      </w:tr>
    </w:tbl>
    <w:p>
      <w:pPr>
        <w:pStyle w:val="DOBody"/>
      </w:pPr>
      <w:r>
        <w:t>Class Period Potential: 70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75.0%</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4</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0</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2026-03-05</w:t>
            </w:r>
          </w:p>
        </w:tc>
        <w:tc>
          <w:tcPr>
            <w:tcW w:type="dxa" w:w="1440"/>
          </w:tcPr>
          <w:p>
            <w:r>
              <w:rPr>
                <w:rFonts w:ascii="Calibri" w:hAnsi="Calibri"/>
                <w:color w:val="333333"/>
                <w:sz w:val="18"/>
              </w:rPr>
              <w:t>Klinger Shannon Thyme</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11,797</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2026-03-05</w:t>
            </w:r>
          </w:p>
        </w:tc>
        <w:tc>
          <w:tcPr>
            <w:tcW w:type="dxa" w:w="1440"/>
            <w:shd w:fill="F2F4F8" w:val="clear"/>
          </w:tcPr>
          <w:p>
            <w:r>
              <w:rPr>
                <w:rFonts w:ascii="Calibri" w:hAnsi="Calibri"/>
                <w:color w:val="333333"/>
                <w:sz w:val="18"/>
              </w:rPr>
              <w:t>Klinger Shannon Thyme</w:t>
            </w:r>
          </w:p>
        </w:tc>
        <w:tc>
          <w:tcPr>
            <w:tcW w:type="dxa" w:w="1440"/>
            <w:shd w:fill="F2F4F8" w:val="clear"/>
          </w:tcPr>
          <w:p>
            <w:r>
              <w:rPr>
                <w:rFonts w:ascii="Calibri" w:hAnsi="Calibri"/>
                <w:color w:val="333333"/>
                <w:sz w:val="18"/>
              </w:rPr>
              <w:t>Chief Legal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11,797</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2026-03-05</w:t>
            </w:r>
          </w:p>
        </w:tc>
        <w:tc>
          <w:tcPr>
            <w:tcW w:type="dxa" w:w="1440"/>
          </w:tcPr>
          <w:p>
            <w:r>
              <w:rPr>
                <w:rFonts w:ascii="Calibri" w:hAnsi="Calibri"/>
                <w:color w:val="333333"/>
                <w:sz w:val="18"/>
              </w:rPr>
              <w:t>Klinger Shannon Thyme</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TAX_WITHHOLD</w:t>
            </w:r>
          </w:p>
        </w:tc>
        <w:tc>
          <w:tcPr>
            <w:tcW w:type="dxa" w:w="1440"/>
          </w:tcPr>
          <w:p>
            <w:r>
              <w:rPr>
                <w:rFonts w:ascii="Calibri" w:hAnsi="Calibri"/>
                <w:color w:val="333333"/>
                <w:sz w:val="18"/>
              </w:rPr>
              <w:t>5,704</w:t>
            </w:r>
          </w:p>
        </w:tc>
        <w:tc>
          <w:tcPr>
            <w:tcW w:type="dxa" w:w="1440"/>
          </w:tcPr>
          <w:p>
            <w:r>
              <w:rPr>
                <w:rFonts w:ascii="Calibri" w:hAnsi="Calibri"/>
                <w:color w:val="333333"/>
                <w:sz w:val="18"/>
              </w:rPr>
              <w:t>$329.7K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2026-03-05</w:t>
            </w:r>
          </w:p>
        </w:tc>
        <w:tc>
          <w:tcPr>
            <w:tcW w:type="dxa" w:w="1440"/>
            <w:shd w:fill="F2F4F8" w:val="clear"/>
          </w:tcPr>
          <w:p>
            <w:r>
              <w:rPr>
                <w:rFonts w:ascii="Calibri" w:hAnsi="Calibri"/>
                <w:color w:val="333333"/>
                <w:sz w:val="18"/>
              </w:rPr>
              <w:t>Mock James M</w:t>
            </w:r>
          </w:p>
        </w:tc>
        <w:tc>
          <w:tcPr>
            <w:tcW w:type="dxa" w:w="1440"/>
            <w:shd w:fill="F2F4F8" w:val="clear"/>
          </w:tcPr>
          <w:p>
            <w:r>
              <w:rPr>
                <w:rFonts w:ascii="Calibri" w:hAnsi="Calibri"/>
                <w:color w:val="333333"/>
                <w:sz w:val="18"/>
              </w:rPr>
              <w:t>Chief Financial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11,797</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2026-03-05</w:t>
            </w:r>
          </w:p>
        </w:tc>
        <w:tc>
          <w:tcPr>
            <w:tcW w:type="dxa" w:w="1440"/>
          </w:tcPr>
          <w:p>
            <w:r>
              <w:rPr>
                <w:rFonts w:ascii="Calibri" w:hAnsi="Calibri"/>
                <w:color w:val="333333"/>
                <w:sz w:val="18"/>
              </w:rPr>
              <w:t>Mock James M</w:t>
            </w:r>
          </w:p>
        </w:tc>
        <w:tc>
          <w:tcPr>
            <w:tcW w:type="dxa" w:w="1440"/>
          </w:tcPr>
          <w:p>
            <w:r>
              <w:rPr>
                <w:rFonts w:ascii="Calibri" w:hAnsi="Calibri"/>
                <w:color w:val="333333"/>
                <w:sz w:val="18"/>
              </w:rPr>
              <w:t>Chief Financial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11,797</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2026-03-05</w:t>
            </w:r>
          </w:p>
        </w:tc>
        <w:tc>
          <w:tcPr>
            <w:tcW w:type="dxa" w:w="1440"/>
            <w:shd w:fill="F2F4F8" w:val="clear"/>
          </w:tcPr>
          <w:p>
            <w:r>
              <w:rPr>
                <w:rFonts w:ascii="Calibri" w:hAnsi="Calibri"/>
                <w:color w:val="333333"/>
                <w:sz w:val="18"/>
              </w:rPr>
              <w:t>Mock James M</w:t>
            </w:r>
          </w:p>
        </w:tc>
        <w:tc>
          <w:tcPr>
            <w:tcW w:type="dxa" w:w="1440"/>
            <w:shd w:fill="F2F4F8" w:val="clear"/>
          </w:tcPr>
          <w:p>
            <w:r>
              <w:rPr>
                <w:rFonts w:ascii="Calibri" w:hAnsi="Calibri"/>
                <w:color w:val="333333"/>
                <w:sz w:val="18"/>
              </w:rPr>
              <w:t>Chief Financial Officer</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5,704</w:t>
            </w:r>
          </w:p>
        </w:tc>
        <w:tc>
          <w:tcPr>
            <w:tcW w:type="dxa" w:w="1440"/>
            <w:shd w:fill="F2F4F8" w:val="clear"/>
          </w:tcPr>
          <w:p>
            <w:r>
              <w:rPr>
                <w:rFonts w:ascii="Calibri" w:hAnsi="Calibri"/>
                <w:color w:val="333333"/>
                <w:sz w:val="18"/>
              </w:rPr>
              <w:t>$329.7K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Klinger Shannon Thyme</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13,885</w:t>
            </w:r>
          </w:p>
        </w:tc>
        <w:tc>
          <w:tcPr>
            <w:tcW w:type="dxa" w:w="1440"/>
          </w:tcPr>
          <w:p>
            <w:r>
              <w:rPr>
                <w:rFonts w:ascii="Calibri" w:hAnsi="Calibri"/>
                <w:color w:val="333333"/>
                <w:sz w:val="18"/>
              </w:rPr>
              <w:t>$429.9K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Klinger Shannon Thyme</w:t>
            </w:r>
          </w:p>
        </w:tc>
        <w:tc>
          <w:tcPr>
            <w:tcW w:type="dxa" w:w="1440"/>
            <w:shd w:fill="F2F4F8" w:val="clear"/>
          </w:tcPr>
          <w:p>
            <w:r>
              <w:rPr>
                <w:rFonts w:ascii="Calibri" w:hAnsi="Calibri"/>
                <w:color w:val="333333"/>
                <w:sz w:val="18"/>
              </w:rPr>
              <w:t>Chief Legal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13,885</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Klinger Shannon Thyme</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13,885</w:t>
            </w:r>
          </w:p>
        </w:tc>
        <w:tc>
          <w:tcPr>
            <w:tcW w:type="dxa" w:w="1440"/>
          </w:tcPr>
          <w:p>
            <w:r>
              <w:rPr>
                <w:rFonts w:ascii="Calibri" w:hAnsi="Calibri"/>
                <w:color w:val="333333"/>
                <w:sz w:val="18"/>
              </w:rPr>
              <w:t>$726.0K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2026-03-01</w:t>
            </w:r>
          </w:p>
        </w:tc>
        <w:tc>
          <w:tcPr>
            <w:tcW w:type="dxa" w:w="1440"/>
            <w:shd w:fill="F2F4F8" w:val="clear"/>
          </w:tcPr>
          <w:p>
            <w:r>
              <w:rPr>
                <w:rFonts w:ascii="Calibri" w:hAnsi="Calibri"/>
                <w:color w:val="333333"/>
                <w:sz w:val="18"/>
              </w:rPr>
              <w:t>Bancel Stephane</w:t>
            </w:r>
          </w:p>
        </w:tc>
        <w:tc>
          <w:tcPr>
            <w:tcW w:type="dxa" w:w="1440"/>
            <w:shd w:fill="F2F4F8" w:val="clear"/>
          </w:tcPr>
          <w:p>
            <w:r>
              <w:rPr>
                <w:rFonts w:ascii="Calibri" w:hAnsi="Calibri"/>
                <w:color w:val="333333"/>
                <w:sz w:val="18"/>
              </w:rPr>
              <w:t>Chief Executive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250,932</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2026-03-01</w:t>
            </w:r>
          </w:p>
        </w:tc>
        <w:tc>
          <w:tcPr>
            <w:tcW w:type="dxa" w:w="1440"/>
          </w:tcPr>
          <w:p>
            <w:r>
              <w:rPr>
                <w:rFonts w:ascii="Calibri" w:hAnsi="Calibri"/>
                <w:color w:val="333333"/>
                <w:sz w:val="18"/>
              </w:rPr>
              <w:t>Hoge Stephen</w:t>
            </w:r>
          </w:p>
        </w:tc>
        <w:tc>
          <w:tcPr>
            <w:tcW w:type="dxa" w:w="1440"/>
          </w:tcPr>
          <w:p>
            <w:r>
              <w:rPr>
                <w:rFonts w:ascii="Calibri" w:hAnsi="Calibri"/>
                <w:color w:val="333333"/>
                <w:sz w:val="18"/>
              </w:rPr>
              <w:t>President</w:t>
            </w:r>
          </w:p>
        </w:tc>
        <w:tc>
          <w:tcPr>
            <w:tcW w:type="dxa" w:w="1440"/>
          </w:tcPr>
          <w:p>
            <w:r>
              <w:rPr>
                <w:rFonts w:ascii="Calibri" w:hAnsi="Calibri"/>
                <w:color w:val="333333"/>
                <w:sz w:val="18"/>
              </w:rPr>
              <w:t>GRANT</w:t>
            </w:r>
          </w:p>
        </w:tc>
        <w:tc>
          <w:tcPr>
            <w:tcW w:type="dxa" w:w="1440"/>
          </w:tcPr>
          <w:p>
            <w:r>
              <w:rPr>
                <w:rFonts w:ascii="Calibri" w:hAnsi="Calibri"/>
                <w:color w:val="333333"/>
                <w:sz w:val="18"/>
              </w:rPr>
              <w:t>125,466</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2026-03-01</w:t>
            </w:r>
          </w:p>
        </w:tc>
        <w:tc>
          <w:tcPr>
            <w:tcW w:type="dxa" w:w="1440"/>
            <w:shd w:fill="F2F4F8" w:val="clear"/>
          </w:tcPr>
          <w:p>
            <w:r>
              <w:rPr>
                <w:rFonts w:ascii="Calibri" w:hAnsi="Calibri"/>
                <w:color w:val="333333"/>
                <w:sz w:val="18"/>
              </w:rPr>
              <w:t>Hoge Stephen</w:t>
            </w:r>
          </w:p>
        </w:tc>
        <w:tc>
          <w:tcPr>
            <w:tcW w:type="dxa" w:w="1440"/>
            <w:shd w:fill="F2F4F8" w:val="clear"/>
          </w:tcPr>
          <w:p>
            <w:r>
              <w:rPr>
                <w:rFonts w:ascii="Calibri" w:hAnsi="Calibri"/>
                <w:color w:val="333333"/>
                <w:sz w:val="18"/>
              </w:rPr>
              <w:t>President</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165,230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2026-03-01</w:t>
            </w:r>
          </w:p>
        </w:tc>
        <w:tc>
          <w:tcPr>
            <w:tcW w:type="dxa" w:w="1440"/>
          </w:tcPr>
          <w:p>
            <w:r>
              <w:rPr>
                <w:rFonts w:ascii="Calibri" w:hAnsi="Calibri"/>
                <w:color w:val="333333"/>
                <w:sz w:val="18"/>
              </w:rPr>
              <w:t>Klinger Shannon Thyme</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GRANT</w:t>
            </w:r>
          </w:p>
        </w:tc>
        <w:tc>
          <w:tcPr>
            <w:tcW w:type="dxa" w:w="1440"/>
          </w:tcPr>
          <w:p>
            <w:r>
              <w:rPr>
                <w:rFonts w:ascii="Calibri" w:hAnsi="Calibri"/>
                <w:color w:val="333333"/>
                <w:sz w:val="18"/>
              </w:rPr>
              <w:t>29,275</w:t>
            </w:r>
          </w:p>
        </w:tc>
        <w:tc>
          <w:tcPr>
            <w:tcW w:type="dxa" w:w="1440"/>
          </w:tcPr>
          <w:p>
            <w:r>
              <w:rPr>
                <w:rFonts w:ascii="Calibri" w:hAnsi="Calibri"/>
                <w:color w:val="333333"/>
                <w:sz w:val="18"/>
              </w:rPr>
              <w:t>$0</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2026-03-01</w:t>
            </w:r>
          </w:p>
        </w:tc>
        <w:tc>
          <w:tcPr>
            <w:tcW w:type="dxa" w:w="1440"/>
            <w:shd w:fill="F2F4F8" w:val="clear"/>
          </w:tcPr>
          <w:p>
            <w:r>
              <w:rPr>
                <w:rFonts w:ascii="Calibri" w:hAnsi="Calibri"/>
                <w:color w:val="333333"/>
                <w:sz w:val="18"/>
              </w:rPr>
              <w:t>Klinger Shannon Thyme</w:t>
            </w:r>
          </w:p>
        </w:tc>
        <w:tc>
          <w:tcPr>
            <w:tcW w:type="dxa" w:w="1440"/>
            <w:shd w:fill="F2F4F8" w:val="clear"/>
          </w:tcPr>
          <w:p>
            <w:r>
              <w:rPr>
                <w:rFonts w:ascii="Calibri" w:hAnsi="Calibri"/>
                <w:color w:val="333333"/>
                <w:sz w:val="18"/>
              </w:rPr>
              <w:t>Chief Legal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38,553</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2026-03-01</w:t>
            </w:r>
          </w:p>
        </w:tc>
        <w:tc>
          <w:tcPr>
            <w:tcW w:type="dxa" w:w="1440"/>
          </w:tcPr>
          <w:p>
            <w:r>
              <w:rPr>
                <w:rFonts w:ascii="Calibri" w:hAnsi="Calibri"/>
                <w:color w:val="333333"/>
                <w:sz w:val="18"/>
              </w:rPr>
              <w:t>Mock James M</w:t>
            </w:r>
          </w:p>
        </w:tc>
        <w:tc>
          <w:tcPr>
            <w:tcW w:type="dxa" w:w="1440"/>
          </w:tcPr>
          <w:p>
            <w:r>
              <w:rPr>
                <w:rFonts w:ascii="Calibri" w:hAnsi="Calibri"/>
                <w:color w:val="333333"/>
                <w:sz w:val="18"/>
              </w:rPr>
              <w:t>Chief Financial Officer</w:t>
            </w:r>
          </w:p>
        </w:tc>
        <w:tc>
          <w:tcPr>
            <w:tcW w:type="dxa" w:w="1440"/>
          </w:tcPr>
          <w:p>
            <w:r>
              <w:rPr>
                <w:rFonts w:ascii="Calibri" w:hAnsi="Calibri"/>
                <w:color w:val="333333"/>
                <w:sz w:val="18"/>
              </w:rPr>
              <w:t>GRANT</w:t>
            </w:r>
          </w:p>
        </w:tc>
        <w:tc>
          <w:tcPr>
            <w:tcW w:type="dxa" w:w="1440"/>
          </w:tcPr>
          <w:p>
            <w:r>
              <w:rPr>
                <w:rFonts w:ascii="Calibri" w:hAnsi="Calibri"/>
                <w:color w:val="333333"/>
                <w:sz w:val="18"/>
              </w:rPr>
              <w:t>37,639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2026-03-01</w:t>
            </w:r>
          </w:p>
        </w:tc>
        <w:tc>
          <w:tcPr>
            <w:tcW w:type="dxa" w:w="1440"/>
            <w:shd w:fill="F2F4F8" w:val="clear"/>
          </w:tcPr>
          <w:p>
            <w:r>
              <w:rPr>
                <w:rFonts w:ascii="Calibri" w:hAnsi="Calibri"/>
                <w:color w:val="333333"/>
                <w:sz w:val="18"/>
              </w:rPr>
              <w:t>Mock James M</w:t>
            </w:r>
          </w:p>
        </w:tc>
        <w:tc>
          <w:tcPr>
            <w:tcW w:type="dxa" w:w="1440"/>
            <w:shd w:fill="F2F4F8" w:val="clear"/>
          </w:tcPr>
          <w:p>
            <w:r>
              <w:rPr>
                <w:rFonts w:ascii="Calibri" w:hAnsi="Calibri"/>
                <w:color w:val="333333"/>
                <w:sz w:val="18"/>
              </w:rPr>
              <w:t>Chief Financial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49,569</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Hoge Stephen</w:t>
            </w:r>
          </w:p>
        </w:tc>
        <w:tc>
          <w:tcPr>
            <w:tcW w:type="dxa" w:w="1440"/>
          </w:tcPr>
          <w:p>
            <w:r>
              <w:rPr>
                <w:rFonts w:ascii="Calibri" w:hAnsi="Calibri"/>
                <w:color w:val="333333"/>
                <w:sz w:val="18"/>
              </w:rPr>
              <w:t>President</w:t>
            </w:r>
          </w:p>
        </w:tc>
        <w:tc>
          <w:tcPr>
            <w:tcW w:type="dxa" w:w="1440"/>
          </w:tcPr>
          <w:p>
            <w:r>
              <w:rPr>
                <w:rFonts w:ascii="Calibri" w:hAnsi="Calibri"/>
                <w:color w:val="333333"/>
                <w:sz w:val="18"/>
              </w:rPr>
              <w:t>EXERCISE</w:t>
            </w:r>
          </w:p>
        </w:tc>
        <w:tc>
          <w:tcPr>
            <w:tcW w:type="dxa" w:w="1440"/>
          </w:tcPr>
          <w:p>
            <w:r>
              <w:rPr>
                <w:rFonts w:ascii="Calibri" w:hAnsi="Calibri"/>
                <w:color w:val="333333"/>
                <w:sz w:val="18"/>
              </w:rPr>
              <w:t>652</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Hoge Stephen</w:t>
            </w:r>
          </w:p>
        </w:tc>
        <w:tc>
          <w:tcPr>
            <w:tcW w:type="dxa" w:w="1440"/>
            <w:shd w:fill="F2F4F8" w:val="clear"/>
          </w:tcPr>
          <w:p>
            <w:r>
              <w:rPr>
                <w:rFonts w:ascii="Calibri" w:hAnsi="Calibri"/>
                <w:color w:val="333333"/>
                <w:sz w:val="18"/>
              </w:rPr>
              <w:t>President</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611</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Hoge Stephen</w:t>
            </w:r>
          </w:p>
        </w:tc>
        <w:tc>
          <w:tcPr>
            <w:tcW w:type="dxa" w:w="1440"/>
          </w:tcPr>
          <w:p>
            <w:r>
              <w:rPr>
                <w:rFonts w:ascii="Calibri" w:hAnsi="Calibri"/>
                <w:color w:val="333333"/>
                <w:sz w:val="18"/>
              </w:rPr>
              <w:t>President</w:t>
            </w:r>
          </w:p>
        </w:tc>
        <w:tc>
          <w:tcPr>
            <w:tcW w:type="dxa" w:w="1440"/>
          </w:tcPr>
          <w:p>
            <w:r>
              <w:rPr>
                <w:rFonts w:ascii="Calibri" w:hAnsi="Calibri"/>
                <w:color w:val="333333"/>
                <w:sz w:val="18"/>
              </w:rPr>
              <w:t>EXERCISE</w:t>
            </w:r>
          </w:p>
        </w:tc>
        <w:tc>
          <w:tcPr>
            <w:tcW w:type="dxa" w:w="1440"/>
          </w:tcPr>
          <w:p>
            <w:r>
              <w:rPr>
                <w:rFonts w:ascii="Calibri" w:hAnsi="Calibri"/>
                <w:color w:val="333333"/>
                <w:sz w:val="18"/>
              </w:rPr>
              <w:t>1,436</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Hoge Stephen</w:t>
            </w:r>
          </w:p>
        </w:tc>
        <w:tc>
          <w:tcPr>
            <w:tcW w:type="dxa" w:w="1440"/>
            <w:shd w:fill="F2F4F8" w:val="clear"/>
          </w:tcPr>
          <w:p>
            <w:r>
              <w:rPr>
                <w:rFonts w:ascii="Calibri" w:hAnsi="Calibri"/>
                <w:color w:val="333333"/>
                <w:sz w:val="18"/>
              </w:rPr>
              <w:t>President</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37,131</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bl>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Moderna's revenue fell 40% to $1.94B from $3.24B, with a net loss widening to $2.82B from $3.56B, framing a post-pandemic narrative of commercial execution risk. The Piotroski F-Score of 2 indicates deep financial distress, which contrasts with a safe Altman Z-Score of 3.77, creating a disconnect where aggressive forward guidance could clash with these deteriorating fundamentals and form the basis for securities fraud claims. A pristine Beneish M-Score of -4.01 and a clean 12-year audit from E&amp;Y with no material weakness lowers near-term restatement risk under Section 11. The $3.07B operating loss and negative 307x interest coverage are direct fodder for going-concern allegations in a shareholder suit, despite the company's disclosure stating no such issue. The extreme liquidity, with a 3.29 current ratio and 0.07 debt-to-equity, paradoxically heightens D&amp;O exposure by suggesting management has ample runway to pursue high-risk, non-core pipelines that could disappoint and trigger 10(b) claims.</w:t>
      </w:r>
    </w:p>
    <w:p>
      <w:pPr>
        <w:pStyle w:val="DOHeading1"/>
      </w:pPr>
      <w:r>
        <w:t>Section 3: Financial Health</w:t>
      </w:r>
    </w:p>
    <w:p>
      <w:pPr>
        <w:pStyle w:val="DOBody"/>
      </w:pPr>
      <w:r>
        <w:t>The company reported revenue of $1.9B and net income of $-2.8B (per FY2025 10-K, Company Facts API CIK1682852). Revenue declined 39.9% year-over-year (from $3.2B). The company is operating at a net loss (margin: -145.2%), increasing financial distress risk. Both distress models indicate stability: Z-Score 3.77 (safe above 2.99) and O-Score 0.00 (safe below 0.5). Piotroski F-Score of 2/9 signals weak fundamentals across profitability, leverage, and operating efficiency dimensions. Capital structure is conservative with D/E ratio of 0.07, providing meaningful headroom against financial covenant triggers. Interest coverage of -307.4x is thin, raising concerns about debt service sustainability. Effective tax rate of 1.9% is below the 21% U.S. statutory rate, warranting review of uncertain tax positions and transfer pricing. Auditor: Ernst &amp; Young (Big 4), tenure: 12 years.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$3.2B</w:t>
            </w:r>
          </w:p>
        </w:tc>
        <w:tc>
          <w:tcPr>
            <w:tcW w:type="dxa" w:w="2520"/>
          </w:tcPr>
          <w:p>
            <w:r>
              <w:rPr>
                <w:rFonts w:ascii="Calibri" w:hAnsi="Calibri"/>
                <w:color w:val="333333"/>
                <w:sz w:val="18"/>
              </w:rPr>
              <w:t>$1.9B</w:t>
            </w:r>
          </w:p>
        </w:tc>
        <w:tc>
          <w:tcPr>
            <w:tcW w:type="dxa" w:w="2520"/>
            <w:shd w:fill="FCE8E6" w:val="clear"/>
          </w:tcPr>
          <w:p>
            <w:r>
              <w:rPr>
                <w:rFonts w:ascii="Calibri" w:hAnsi="Calibri"/>
                <w:color w:val="333333"/>
                <w:sz w:val="18"/>
              </w:rPr>
              <w:t>-39.9%</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$1.5B</w:t>
            </w:r>
          </w:p>
        </w:tc>
        <w:tc>
          <w:tcPr>
            <w:tcW w:type="dxa" w:w="2520"/>
            <w:shd w:fill="F2F4F8" w:val="clear"/>
          </w:tcPr>
          <w:p>
            <w:r>
              <w:rPr>
                <w:rFonts w:ascii="Calibri" w:hAnsi="Calibri"/>
                <w:color w:val="333333"/>
                <w:sz w:val="18"/>
              </w:rPr>
              <w:t>$868.0M</w:t>
            </w:r>
          </w:p>
        </w:tc>
        <w:tc>
          <w:tcPr>
            <w:tcW w:type="dxa" w:w="2520"/>
            <w:shd w:fill="F2F4F8" w:val="clear"/>
            <w:shd w:fill="FCE8E6" w:val="clear"/>
          </w:tcPr>
          <w:p>
            <w:r>
              <w:rPr>
                <w:rFonts w:ascii="Calibri" w:hAnsi="Calibri"/>
                <w:color w:val="333333"/>
                <w:sz w:val="18"/>
              </w:rPr>
              <w:t>-40.7%</w:t>
            </w:r>
          </w:p>
        </w:tc>
      </w:tr>
      <w:tr>
        <w:tc>
          <w:tcPr>
            <w:tcW w:type="dxa" w:w="2520"/>
          </w:tcPr>
          <w:p>
            <w:r>
              <w:rPr>
                <w:rFonts w:ascii="Calibri" w:hAnsi="Calibri"/>
                <w:color w:val="333333"/>
                <w:sz w:val="18"/>
              </w:rPr>
              <w:t>Operating income / loss</w:t>
            </w:r>
          </w:p>
        </w:tc>
        <w:tc>
          <w:tcPr>
            <w:tcW w:type="dxa" w:w="2520"/>
          </w:tcPr>
          <w:p>
            <w:r>
              <w:rPr>
                <w:rFonts w:ascii="Calibri" w:hAnsi="Calibri"/>
                <w:color w:val="333333"/>
                <w:sz w:val="18"/>
              </w:rPr>
              <w:t>$-3.9B</w:t>
            </w:r>
          </w:p>
        </w:tc>
        <w:tc>
          <w:tcPr>
            <w:tcW w:type="dxa" w:w="2520"/>
          </w:tcPr>
          <w:p>
            <w:r>
              <w:rPr>
                <w:rFonts w:ascii="Calibri" w:hAnsi="Calibri"/>
                <w:color w:val="333333"/>
                <w:sz w:val="18"/>
              </w:rPr>
              <w:t>$-3.1B</w:t>
            </w:r>
          </w:p>
        </w:tc>
        <w:tc>
          <w:tcPr>
            <w:tcW w:type="dxa" w:w="2520"/>
            <w:shd w:fill="DCEEF8" w:val="clear"/>
          </w:tcPr>
          <w:p>
            <w:r>
              <w:rPr>
                <w:rFonts w:ascii="Calibri" w:hAnsi="Calibri"/>
                <w:color w:val="333333"/>
                <w:sz w:val="18"/>
              </w:rPr>
              <w:t>22.1%</w:t>
            </w:r>
          </w:p>
        </w:tc>
      </w:tr>
      <w:tr>
        <w:tc>
          <w:tcPr>
            <w:tcW w:type="dxa" w:w="2520"/>
            <w:shd w:fill="F2F4F8" w:val="clear"/>
          </w:tcPr>
          <w:p>
            <w:r>
              <w:rPr>
                <w:rFonts w:ascii="Calibri" w:hAnsi="Calibri"/>
                <w:color w:val="333333"/>
                <w:sz w:val="18"/>
              </w:rPr>
              <w:t>Net income / net loss</w:t>
            </w:r>
          </w:p>
        </w:tc>
        <w:tc>
          <w:tcPr>
            <w:tcW w:type="dxa" w:w="2520"/>
            <w:shd w:fill="F2F4F8" w:val="clear"/>
          </w:tcPr>
          <w:p>
            <w:r>
              <w:rPr>
                <w:rFonts w:ascii="Calibri" w:hAnsi="Calibri"/>
                <w:color w:val="333333"/>
                <w:sz w:val="18"/>
              </w:rPr>
              <w:t>$-3.6B</w:t>
            </w:r>
          </w:p>
        </w:tc>
        <w:tc>
          <w:tcPr>
            <w:tcW w:type="dxa" w:w="2520"/>
            <w:shd w:fill="F2F4F8" w:val="clear"/>
          </w:tcPr>
          <w:p>
            <w:r>
              <w:rPr>
                <w:rFonts w:ascii="Calibri" w:hAnsi="Calibri"/>
                <w:color w:val="333333"/>
                <w:sz w:val="18"/>
              </w:rPr>
              <w:t>$-2.8B</w:t>
            </w:r>
          </w:p>
        </w:tc>
        <w:tc>
          <w:tcPr>
            <w:tcW w:type="dxa" w:w="2520"/>
            <w:shd w:fill="F2F4F8" w:val="clear"/>
            <w:shd w:fill="DCEEF8" w:val="clear"/>
          </w:tcPr>
          <w:p>
            <w:r>
              <w:rPr>
                <w:rFonts w:ascii="Calibri" w:hAnsi="Calibri"/>
                <w:color w:val="333333"/>
                <w:sz w:val="18"/>
              </w:rPr>
              <w:t>20.8%</w:t>
            </w:r>
          </w:p>
        </w:tc>
      </w:tr>
      <w:tr>
        <w:tc>
          <w:tcPr>
            <w:tcW w:type="dxa" w:w="2520"/>
          </w:tcPr>
          <w:p>
            <w:r>
              <w:rPr>
                <w:rFonts w:ascii="Calibri" w:hAnsi="Calibri"/>
                <w:color w:val="333333"/>
                <w:sz w:val="18"/>
              </w:rPr>
              <w:t>Basic earnings per share</w:t>
            </w:r>
          </w:p>
        </w:tc>
        <w:tc>
          <w:tcPr>
            <w:tcW w:type="dxa" w:w="2520"/>
          </w:tcPr>
          <w:p>
            <w:r>
              <w:rPr>
                <w:rFonts w:ascii="Calibri" w:hAnsi="Calibri"/>
                <w:color w:val="333333"/>
                <w:sz w:val="18"/>
              </w:rPr>
              <w:t>$-9.28</w:t>
            </w:r>
          </w:p>
        </w:tc>
        <w:tc>
          <w:tcPr>
            <w:tcW w:type="dxa" w:w="2520"/>
          </w:tcPr>
          <w:p>
            <w:r>
              <w:rPr>
                <w:rFonts w:ascii="Calibri" w:hAnsi="Calibri"/>
                <w:color w:val="333333"/>
                <w:sz w:val="18"/>
              </w:rPr>
              <w:t>$-7.26</w:t>
            </w:r>
          </w:p>
        </w:tc>
        <w:tc>
          <w:tcPr>
            <w:tcW w:type="dxa" w:w="2520"/>
            <w:shd w:fill="DCEEF8" w:val="clear"/>
          </w:tcPr>
          <w:p>
            <w:r>
              <w:rPr>
                <w:rFonts w:ascii="Calibri" w:hAnsi="Calibri"/>
                <w:color w:val="333333"/>
                <w:sz w:val="18"/>
              </w:rPr>
              <w:t>21.8%</w:t>
            </w:r>
          </w:p>
        </w:tc>
      </w:tr>
      <w:tr>
        <w:tc>
          <w:tcPr>
            <w:tcW w:type="dxa" w:w="2520"/>
            <w:shd w:fill="F2F4F8" w:val="clear"/>
          </w:tcPr>
          <w:p>
            <w:r>
              <w:rPr>
                <w:rFonts w:ascii="Calibri" w:hAnsi="Calibri"/>
                <w:color w:val="333333"/>
                <w:sz w:val="18"/>
              </w:rPr>
              <w:t>Diluted earnings per share</w:t>
            </w:r>
          </w:p>
        </w:tc>
        <w:tc>
          <w:tcPr>
            <w:tcW w:type="dxa" w:w="2520"/>
            <w:shd w:fill="F2F4F8" w:val="clear"/>
          </w:tcPr>
          <w:p>
            <w:r>
              <w:rPr>
                <w:rFonts w:ascii="Calibri" w:hAnsi="Calibri"/>
                <w:color w:val="333333"/>
                <w:sz w:val="18"/>
              </w:rPr>
              <w:t>$-9.28</w:t>
            </w:r>
          </w:p>
        </w:tc>
        <w:tc>
          <w:tcPr>
            <w:tcW w:type="dxa" w:w="2520"/>
            <w:shd w:fill="F2F4F8" w:val="clear"/>
          </w:tcPr>
          <w:p>
            <w:r>
              <w:rPr>
                <w:rFonts w:ascii="Calibri" w:hAnsi="Calibri"/>
                <w:color w:val="333333"/>
                <w:sz w:val="18"/>
              </w:rPr>
              <w:t>$-7.26</w:t>
            </w:r>
          </w:p>
        </w:tc>
        <w:tc>
          <w:tcPr>
            <w:tcW w:type="dxa" w:w="2520"/>
            <w:shd w:fill="F2F4F8" w:val="clear"/>
            <w:shd w:fill="DCEEF8" w:val="clear"/>
          </w:tcPr>
          <w:p>
            <w:r>
              <w:rPr>
                <w:rFonts w:ascii="Calibri" w:hAnsi="Calibri"/>
                <w:color w:val="333333"/>
                <w:sz w:val="18"/>
              </w:rPr>
              <w:t>21.8%</w:t>
            </w:r>
          </w:p>
        </w:tc>
      </w:tr>
      <w:tr>
        <w:tc>
          <w:tcPr>
            <w:tcW w:type="dxa" w:w="2520"/>
          </w:tcPr>
          <w:p>
            <w:r>
              <w:rPr>
                <w:rFonts w:ascii="Calibri" w:hAnsi="Calibri"/>
                <w:color w:val="333333"/>
                <w:sz w:val="18"/>
              </w:rPr>
              <w:t>Interest expense</w:t>
            </w:r>
          </w:p>
        </w:tc>
        <w:tc>
          <w:tcPr>
            <w:tcW w:type="dxa" w:w="2520"/>
          </w:tcPr>
          <w:p>
            <w:r>
              <w:rPr>
                <w:rFonts w:ascii="Calibri" w:hAnsi="Calibri"/>
                <w:color w:val="333333"/>
                <w:sz w:val="18"/>
              </w:rPr>
              <w:t>$24.0M</w:t>
            </w:r>
          </w:p>
        </w:tc>
        <w:tc>
          <w:tcPr>
            <w:tcW w:type="dxa" w:w="2520"/>
          </w:tcPr>
          <w:p>
            <w:r>
              <w:rPr>
                <w:rFonts w:ascii="Calibri" w:hAnsi="Calibri"/>
                <w:color w:val="333333"/>
                <w:sz w:val="18"/>
              </w:rPr>
              <w:t>$10.0M</w:t>
            </w:r>
          </w:p>
        </w:tc>
        <w:tc>
          <w:tcPr>
            <w:tcW w:type="dxa" w:w="2520"/>
            <w:shd w:fill="FCE8E6" w:val="clear"/>
          </w:tcPr>
          <w:p>
            <w:r>
              <w:rPr>
                <w:rFonts w:ascii="Calibri" w:hAnsi="Calibri"/>
                <w:color w:val="333333"/>
                <w:sz w:val="18"/>
              </w:rPr>
              <w:t>-58.3%</w:t>
            </w:r>
          </w:p>
        </w:tc>
      </w:tr>
      <w:tr>
        <w:tc>
          <w:tcPr>
            <w:tcW w:type="dxa" w:w="2520"/>
            <w:shd w:fill="F2F4F8" w:val="clear"/>
          </w:tcPr>
          <w:p>
            <w:r>
              <w:rPr>
                <w:rFonts w:ascii="Calibri" w:hAnsi="Calibri"/>
                <w:color w:val="333333"/>
                <w:sz w:val="18"/>
              </w:rPr>
              <w:t>Income tax expense / benefit</w:t>
            </w:r>
          </w:p>
        </w:tc>
        <w:tc>
          <w:tcPr>
            <w:tcW w:type="dxa" w:w="2520"/>
            <w:shd w:fill="F2F4F8" w:val="clear"/>
          </w:tcPr>
          <w:p>
            <w:r>
              <w:rPr>
                <w:rFonts w:ascii="Calibri" w:hAnsi="Calibri"/>
                <w:color w:val="333333"/>
                <w:sz w:val="18"/>
              </w:rPr>
              <w:t>$46.0M</w:t>
            </w:r>
          </w:p>
        </w:tc>
        <w:tc>
          <w:tcPr>
            <w:tcW w:type="dxa" w:w="2520"/>
            <w:shd w:fill="F2F4F8" w:val="clear"/>
          </w:tcPr>
          <w:p>
            <w:r>
              <w:rPr>
                <w:rFonts w:ascii="Calibri" w:hAnsi="Calibri"/>
                <w:color w:val="333333"/>
                <w:sz w:val="18"/>
              </w:rPr>
              <w:t>$54.0M</w:t>
            </w:r>
          </w:p>
        </w:tc>
        <w:tc>
          <w:tcPr>
            <w:tcW w:type="dxa" w:w="2520"/>
            <w:shd w:fill="F2F4F8" w:val="clear"/>
            <w:shd w:fill="DCEEF8" w:val="clear"/>
          </w:tcPr>
          <w:p>
            <w:r>
              <w:rPr>
                <w:rFonts w:ascii="Calibri" w:hAnsi="Calibri"/>
                <w:color w:val="333333"/>
                <w:sz w:val="18"/>
              </w:rPr>
              <w:t>17.4%</w:t>
            </w:r>
          </w:p>
        </w:tc>
      </w:tr>
      <w:tr>
        <w:tc>
          <w:tcPr>
            <w:tcW w:type="dxa" w:w="2520"/>
          </w:tcPr>
          <w:p>
            <w:r>
              <w:rPr>
                <w:rFonts w:ascii="Calibri" w:hAnsi="Calibri"/>
                <w:color w:val="333333"/>
                <w:sz w:val="18"/>
              </w:rPr>
              <w:t>Research and development expense</w:t>
            </w:r>
          </w:p>
        </w:tc>
        <w:tc>
          <w:tcPr>
            <w:tcW w:type="dxa" w:w="2520"/>
          </w:tcPr>
          <w:p>
            <w:r>
              <w:rPr>
                <w:rFonts w:ascii="Calibri" w:hAnsi="Calibri"/>
                <w:color w:val="333333"/>
                <w:sz w:val="18"/>
              </w:rPr>
              <w:t>$4.5B</w:t>
            </w:r>
          </w:p>
        </w:tc>
        <w:tc>
          <w:tcPr>
            <w:tcW w:type="dxa" w:w="2520"/>
          </w:tcPr>
          <w:p>
            <w:r>
              <w:rPr>
                <w:rFonts w:ascii="Calibri" w:hAnsi="Calibri"/>
                <w:color w:val="333333"/>
                <w:sz w:val="18"/>
              </w:rPr>
              <w:t>$3.1B</w:t>
            </w:r>
          </w:p>
        </w:tc>
        <w:tc>
          <w:tcPr>
            <w:tcW w:type="dxa" w:w="2520"/>
            <w:shd w:fill="FCE8E6" w:val="clear"/>
          </w:tcPr>
          <w:p>
            <w:r>
              <w:rPr>
                <w:rFonts w:ascii="Calibri" w:hAnsi="Calibri"/>
                <w:color w:val="333333"/>
                <w:sz w:val="18"/>
              </w:rPr>
              <w:t>-31.1%</w:t>
            </w:r>
          </w:p>
        </w:tc>
      </w:tr>
      <w:tr>
        <w:tc>
          <w:tcPr>
            <w:tcW w:type="dxa" w:w="2520"/>
            <w:shd w:fill="F2F4F8" w:val="clear"/>
          </w:tcPr>
          <w:p>
            <w:r>
              <w:rPr>
                <w:rFonts w:ascii="Calibri" w:hAnsi="Calibri"/>
                <w:color w:val="333333"/>
                <w:sz w:val="18"/>
              </w:rPr>
              <w:t>Selling, general and administrative expense</w:t>
            </w:r>
          </w:p>
        </w:tc>
        <w:tc>
          <w:tcPr>
            <w:tcW w:type="dxa" w:w="2520"/>
            <w:shd w:fill="F2F4F8" w:val="clear"/>
          </w:tcPr>
          <w:p>
            <w:r>
              <w:rPr>
                <w:rFonts w:ascii="Calibri" w:hAnsi="Calibri"/>
                <w:color w:val="333333"/>
                <w:sz w:val="18"/>
              </w:rPr>
              <w:t>$1.2B</w:t>
            </w:r>
          </w:p>
        </w:tc>
        <w:tc>
          <w:tcPr>
            <w:tcW w:type="dxa" w:w="2520"/>
            <w:shd w:fill="F2F4F8" w:val="clear"/>
          </w:tcPr>
          <w:p>
            <w:r>
              <w:rPr>
                <w:rFonts w:ascii="Calibri" w:hAnsi="Calibri"/>
                <w:color w:val="333333"/>
                <w:sz w:val="18"/>
              </w:rPr>
              <w:t>$1.0B</w:t>
            </w:r>
          </w:p>
        </w:tc>
        <w:tc>
          <w:tcPr>
            <w:tcW w:type="dxa" w:w="2520"/>
            <w:shd w:fill="F2F4F8" w:val="clear"/>
            <w:shd w:fill="FCE8E6" w:val="clear"/>
          </w:tcPr>
          <w:p>
            <w:r>
              <w:rPr>
                <w:rFonts w:ascii="Calibri" w:hAnsi="Calibri"/>
                <w:color w:val="333333"/>
                <w:sz w:val="18"/>
              </w:rPr>
              <w:t>-13.3%</w:t>
            </w:r>
          </w:p>
        </w:tc>
      </w:tr>
      <w:tr>
        <w:tc>
          <w:tcPr>
            <w:tcW w:type="dxa" w:w="2520"/>
          </w:tcPr>
          <w:p>
            <w:r>
              <w:rPr>
                <w:rFonts w:ascii="Calibri" w:hAnsi="Calibri"/>
                <w:color w:val="333333"/>
                <w:sz w:val="18"/>
              </w:rPr>
              <w:t>Earnings before interest and taxes (EBIT)</w:t>
            </w:r>
          </w:p>
        </w:tc>
        <w:tc>
          <w:tcPr>
            <w:tcW w:type="dxa" w:w="2520"/>
          </w:tcPr>
          <w:p>
            <w:r>
              <w:rPr>
                <w:rFonts w:ascii="Calibri" w:hAnsi="Calibri"/>
                <w:color w:val="333333"/>
                <w:sz w:val="18"/>
              </w:rPr>
              <w:t>$-3.9B</w:t>
            </w:r>
          </w:p>
        </w:tc>
        <w:tc>
          <w:tcPr>
            <w:tcW w:type="dxa" w:w="2520"/>
          </w:tcPr>
          <w:p>
            <w:r>
              <w:rPr>
                <w:rFonts w:ascii="Calibri" w:hAnsi="Calibri"/>
                <w:color w:val="333333"/>
                <w:sz w:val="18"/>
              </w:rPr>
              <w:t>$-3.1B</w:t>
            </w:r>
          </w:p>
        </w:tc>
        <w:tc>
          <w:tcPr>
            <w:tcW w:type="dxa" w:w="2520"/>
            <w:shd w:fill="DCEEF8" w:val="clear"/>
          </w:tcPr>
          <w:p>
            <w:r>
              <w:rPr>
                <w:rFonts w:ascii="Calibri" w:hAnsi="Calibri"/>
                <w:color w:val="333333"/>
                <w:sz w:val="18"/>
              </w:rPr>
              <w:t>22.1%</w:t>
            </w:r>
          </w:p>
        </w:tc>
      </w:tr>
      <w:tr>
        <w:tc>
          <w:tcPr>
            <w:tcW w:type="dxa" w:w="2520"/>
            <w:shd w:fill="F2F4F8" w:val="clear"/>
          </w:tcPr>
          <w:p>
            <w:r>
              <w:rPr>
                <w:rFonts w:ascii="Calibri" w:hAnsi="Calibri"/>
                <w:color w:val="333333"/>
                <w:sz w:val="18"/>
              </w:rPr>
              <w:t>Weighted average shares outstanding (basic)</w:t>
            </w:r>
          </w:p>
        </w:tc>
        <w:tc>
          <w:tcPr>
            <w:tcW w:type="dxa" w:w="2520"/>
            <w:shd w:fill="F2F4F8" w:val="clear"/>
          </w:tcPr>
          <w:p>
            <w:r>
              <w:rPr>
                <w:rFonts w:ascii="Calibri" w:hAnsi="Calibri"/>
                <w:color w:val="333333"/>
                <w:sz w:val="18"/>
              </w:rPr>
              <w:t>384.0M</w:t>
            </w:r>
          </w:p>
        </w:tc>
        <w:tc>
          <w:tcPr>
            <w:tcW w:type="dxa" w:w="2520"/>
            <w:shd w:fill="F2F4F8" w:val="clear"/>
          </w:tcPr>
          <w:p>
            <w:r>
              <w:rPr>
                <w:rFonts w:ascii="Calibri" w:hAnsi="Calibri"/>
                <w:color w:val="333333"/>
                <w:sz w:val="18"/>
              </w:rPr>
              <w:t>389.0M</w:t>
            </w:r>
          </w:p>
        </w:tc>
        <w:tc>
          <w:tcPr>
            <w:tcW w:type="dxa" w:w="2520"/>
            <w:shd w:fill="F2F4F8" w:val="clear"/>
            <w:shd w:fill="FFF3CD" w:val="clear"/>
          </w:tcPr>
          <w:p>
            <w:r>
              <w:rPr>
                <w:rFonts w:ascii="Calibri" w:hAnsi="Calibri"/>
                <w:color w:val="333333"/>
                <w:sz w:val="18"/>
              </w:rPr>
              <w:t>1.3%</w:t>
            </w:r>
          </w:p>
        </w:tc>
      </w:tr>
      <w:tr>
        <w:tc>
          <w:tcPr>
            <w:tcW w:type="dxa" w:w="2520"/>
          </w:tcPr>
          <w:p>
            <w:r>
              <w:rPr>
                <w:rFonts w:ascii="Calibri" w:hAnsi="Calibri"/>
                <w:color w:val="333333"/>
                <w:sz w:val="18"/>
              </w:rPr>
              <w:t>Weighted average shares outstanding (diluted)</w:t>
            </w:r>
          </w:p>
        </w:tc>
        <w:tc>
          <w:tcPr>
            <w:tcW w:type="dxa" w:w="2520"/>
          </w:tcPr>
          <w:p>
            <w:r>
              <w:rPr>
                <w:rFonts w:ascii="Calibri" w:hAnsi="Calibri"/>
                <w:color w:val="333333"/>
                <w:sz w:val="18"/>
              </w:rPr>
              <w:t>384.0M</w:t>
            </w:r>
          </w:p>
        </w:tc>
        <w:tc>
          <w:tcPr>
            <w:tcW w:type="dxa" w:w="2520"/>
          </w:tcPr>
          <w:p>
            <w:r>
              <w:rPr>
                <w:rFonts w:ascii="Calibri" w:hAnsi="Calibri"/>
                <w:color w:val="333333"/>
                <w:sz w:val="18"/>
              </w:rPr>
              <w:t>389.0M</w:t>
            </w:r>
          </w:p>
        </w:tc>
        <w:tc>
          <w:tcPr>
            <w:tcW w:type="dxa" w:w="2520"/>
            <w:shd w:fill="FFF3CD" w:val="clear"/>
          </w:tcPr>
          <w:p>
            <w:r>
              <w:rPr>
                <w:rFonts w:ascii="Calibri" w:hAnsi="Calibri"/>
                <w:color w:val="333333"/>
                <w:sz w:val="18"/>
              </w:rPr>
              <w:t>1.3%</w:t>
            </w:r>
          </w:p>
        </w:tc>
      </w:tr>
      <w:tr>
        <w:tc>
          <w:tcPr>
            <w:tcW w:type="dxa" w:w="2520"/>
            <w:shd w:fill="F2F4F8" w:val="clear"/>
          </w:tcPr>
          <w:p>
            <w:r>
              <w:rPr>
                <w:rFonts w:ascii="Calibri" w:hAnsi="Calibri"/>
                <w:color w:val="333333"/>
                <w:sz w:val="18"/>
              </w:rPr>
              <w:t>Total comprehensive income / loss</w:t>
            </w:r>
          </w:p>
        </w:tc>
        <w:tc>
          <w:tcPr>
            <w:tcW w:type="dxa" w:w="2520"/>
            <w:shd w:fill="F2F4F8" w:val="clear"/>
          </w:tcPr>
          <w:p>
            <w:r>
              <w:rPr>
                <w:rFonts w:ascii="Calibri" w:hAnsi="Calibri"/>
                <w:color w:val="333333"/>
                <w:sz w:val="18"/>
              </w:rPr>
              <w:t>$-3.4B</w:t>
            </w:r>
          </w:p>
        </w:tc>
        <w:tc>
          <w:tcPr>
            <w:tcW w:type="dxa" w:w="2520"/>
            <w:shd w:fill="F2F4F8" w:val="clear"/>
          </w:tcPr>
          <w:p>
            <w:r>
              <w:rPr>
                <w:rFonts w:ascii="Calibri" w:hAnsi="Calibri"/>
                <w:color w:val="333333"/>
                <w:sz w:val="18"/>
              </w:rPr>
              <w:t>$-2.8B</w:t>
            </w:r>
          </w:p>
        </w:tc>
        <w:tc>
          <w:tcPr>
            <w:tcW w:type="dxa" w:w="2520"/>
            <w:shd w:fill="F2F4F8" w:val="clear"/>
            <w:shd w:fill="DCEEF8" w:val="clear"/>
          </w:tcPr>
          <w:p>
            <w:r>
              <w:rPr>
                <w:rFonts w:ascii="Calibri" w:hAnsi="Calibri"/>
                <w:color w:val="333333"/>
                <w:sz w:val="18"/>
              </w:rPr>
              <w:t>19.8%</w:t>
            </w:r>
          </w:p>
        </w:tc>
      </w:tr>
      <w:tr>
        <w:tc>
          <w:tcPr>
            <w:tcW w:type="dxa" w:w="2520"/>
          </w:tcPr>
          <w:p>
            <w:r>
              <w:rPr>
                <w:rFonts w:ascii="Calibri" w:hAnsi="Calibri"/>
                <w:color w:val="333333"/>
                <w:sz w:val="18"/>
              </w:rPr>
              <w:t>Other income / non-operating income</w:t>
            </w:r>
          </w:p>
        </w:tc>
        <w:tc>
          <w:tcPr>
            <w:tcW w:type="dxa" w:w="2520"/>
          </w:tcPr>
          <w:p>
            <w:r>
              <w:rPr>
                <w:rFonts w:ascii="Calibri" w:hAnsi="Calibri"/>
                <w:color w:val="333333"/>
                <w:sz w:val="18"/>
              </w:rPr>
              <w:t>$-87.0M</w:t>
            </w:r>
          </w:p>
        </w:tc>
        <w:tc>
          <w:tcPr>
            <w:tcW w:type="dxa" w:w="2520"/>
          </w:tcPr>
          <w:p>
            <w:r>
              <w:rPr>
                <w:rFonts w:ascii="Calibri" w:hAnsi="Calibri"/>
                <w:color w:val="333333"/>
                <w:sz w:val="18"/>
              </w:rPr>
              <w:t>$-8.0M</w:t>
            </w:r>
          </w:p>
        </w:tc>
        <w:tc>
          <w:tcPr>
            <w:tcW w:type="dxa" w:w="2520"/>
            <w:shd w:fill="DCEEF8" w:val="clear"/>
          </w:tcPr>
          <w:p>
            <w:r>
              <w:rPr>
                <w:rFonts w:ascii="Calibri" w:hAnsi="Calibri"/>
                <w:color w:val="333333"/>
                <w:sz w:val="18"/>
              </w:rPr>
              <w:t>90.8%</w:t>
            </w:r>
          </w:p>
        </w:tc>
      </w:tr>
      <w:tr>
        <w:tc>
          <w:tcPr>
            <w:tcW w:type="dxa" w:w="2520"/>
            <w:shd w:fill="F2F4F8" w:val="clear"/>
          </w:tcPr>
          <w:p>
            <w:r>
              <w:rPr>
                <w:rFonts w:ascii="Calibri" w:hAnsi="Calibri"/>
                <w:color w:val="333333"/>
                <w:sz w:val="18"/>
              </w:rPr>
              <w:t>Impairment charges (goodwill, intangibles, long-lived assets)</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Income from operations</w:t>
            </w:r>
          </w:p>
        </w:tc>
        <w:tc>
          <w:tcPr>
            <w:tcW w:type="dxa" w:w="2520"/>
          </w:tcPr>
          <w:p>
            <w:r>
              <w:rPr>
                <w:rFonts w:ascii="Calibri" w:hAnsi="Calibri"/>
                <w:color w:val="333333"/>
                <w:sz w:val="18"/>
              </w:rPr>
              <w:t>$-3.9B</w:t>
            </w:r>
          </w:p>
        </w:tc>
        <w:tc>
          <w:tcPr>
            <w:tcW w:type="dxa" w:w="2520"/>
          </w:tcPr>
          <w:p>
            <w:r>
              <w:rPr>
                <w:rFonts w:ascii="Calibri" w:hAnsi="Calibri"/>
                <w:color w:val="333333"/>
                <w:sz w:val="18"/>
              </w:rPr>
              <w:t>$-3.1B</w:t>
            </w:r>
          </w:p>
        </w:tc>
        <w:tc>
          <w:tcPr>
            <w:tcW w:type="dxa" w:w="2520"/>
            <w:shd w:fill="DCEEF8" w:val="clear"/>
          </w:tcPr>
          <w:p>
            <w:r>
              <w:rPr>
                <w:rFonts w:ascii="Calibri" w:hAnsi="Calibri"/>
                <w:color w:val="333333"/>
                <w:sz w:val="18"/>
              </w:rPr>
              <w:t>22.1%</w:t>
            </w:r>
          </w:p>
        </w:tc>
      </w:tr>
      <w:tr>
        <w:tc>
          <w:tcPr>
            <w:tcW w:type="dxa" w:w="2520"/>
            <w:shd w:fill="F2F4F8" w:val="clear"/>
          </w:tcPr>
          <w:p>
            <w:r>
              <w:rPr>
                <w:rFonts w:ascii="Calibri" w:hAnsi="Calibri"/>
                <w:color w:val="333333"/>
                <w:sz w:val="18"/>
              </w:rPr>
              <w:t>Pre-tax income</w:t>
            </w:r>
          </w:p>
        </w:tc>
        <w:tc>
          <w:tcPr>
            <w:tcW w:type="dxa" w:w="2520"/>
            <w:shd w:fill="F2F4F8" w:val="clear"/>
          </w:tcPr>
          <w:p>
            <w:r>
              <w:rPr>
                <w:rFonts w:ascii="Calibri" w:hAnsi="Calibri"/>
                <w:color w:val="333333"/>
                <w:sz w:val="18"/>
              </w:rPr>
              <w:t>$-3.6B</w:t>
            </w:r>
          </w:p>
        </w:tc>
        <w:tc>
          <w:tcPr>
            <w:tcW w:type="dxa" w:w="2520"/>
            <w:shd w:fill="F2F4F8" w:val="clear"/>
          </w:tcPr>
          <w:p>
            <w:r>
              <w:rPr>
                <w:rFonts w:ascii="Calibri" w:hAnsi="Calibri"/>
                <w:color w:val="333333"/>
                <w:sz w:val="18"/>
              </w:rPr>
              <w:t>$-2.8B</w:t>
            </w:r>
          </w:p>
        </w:tc>
        <w:tc>
          <w:tcPr>
            <w:tcW w:type="dxa" w:w="2520"/>
            <w:shd w:fill="F2F4F8" w:val="clear"/>
            <w:shd w:fill="DCEEF8" w:val="clear"/>
          </w:tcPr>
          <w:p>
            <w:r>
              <w:rPr>
                <w:rFonts w:ascii="Calibri" w:hAnsi="Calibri"/>
                <w:color w:val="333333"/>
                <w:sz w:val="18"/>
              </w:rPr>
              <w:t>23.3%</w:t>
            </w:r>
          </w:p>
        </w:tc>
      </w:tr>
      <w:tr>
        <w:tc>
          <w:tcPr>
            <w:tcW w:type="dxa" w:w="2520"/>
          </w:tcPr>
          <w:p>
            <w:r>
              <w:rPr>
                <w:rFonts w:ascii="Calibri" w:hAnsi="Calibri"/>
                <w:color w:val="333333"/>
                <w:sz w:val="18"/>
              </w:rPr>
              <w:t>Stock-based compensation expense</w:t>
            </w:r>
          </w:p>
        </w:tc>
        <w:tc>
          <w:tcPr>
            <w:tcW w:type="dxa" w:w="2520"/>
          </w:tcPr>
          <w:p>
            <w:r>
              <w:rPr>
                <w:rFonts w:ascii="Calibri" w:hAnsi="Calibri"/>
                <w:color w:val="333333"/>
                <w:sz w:val="18"/>
              </w:rPr>
              <w:t>$429.0M</w:t>
            </w:r>
          </w:p>
        </w:tc>
        <w:tc>
          <w:tcPr>
            <w:tcW w:type="dxa" w:w="2520"/>
          </w:tcPr>
          <w:p>
            <w:r>
              <w:rPr>
                <w:rFonts w:ascii="Calibri" w:hAnsi="Calibri"/>
                <w:color w:val="333333"/>
                <w:sz w:val="18"/>
              </w:rPr>
              <w:t>$483.0M</w:t>
            </w:r>
          </w:p>
        </w:tc>
        <w:tc>
          <w:tcPr>
            <w:tcW w:type="dxa" w:w="2520"/>
            <w:shd w:fill="DCEEF8" w:val="clear"/>
          </w:tcPr>
          <w:p>
            <w:r>
              <w:rPr>
                <w:rFonts w:ascii="Calibri" w:hAnsi="Calibri"/>
                <w:color w:val="333333"/>
                <w:sz w:val="18"/>
              </w:rPr>
              <w:t>12.6%</w:t>
            </w:r>
          </w:p>
        </w:tc>
      </w:tr>
      <w:tr>
        <w:tc>
          <w:tcPr>
            <w:tcW w:type="dxa" w:w="2520"/>
            <w:shd w:fill="F2F4F8" w:val="clear"/>
          </w:tcPr>
          <w:p>
            <w:r>
              <w:rPr>
                <w:rFonts w:ascii="Calibri" w:hAnsi="Calibri"/>
                <w:color w:val="333333"/>
                <w:sz w:val="18"/>
              </w:rPr>
              <w:t>Income before income taxes</w:t>
            </w:r>
          </w:p>
        </w:tc>
        <w:tc>
          <w:tcPr>
            <w:tcW w:type="dxa" w:w="2520"/>
            <w:shd w:fill="F2F4F8" w:val="clear"/>
          </w:tcPr>
          <w:p>
            <w:r>
              <w:rPr>
                <w:rFonts w:ascii="Calibri" w:hAnsi="Calibri"/>
                <w:color w:val="333333"/>
                <w:sz w:val="18"/>
              </w:rPr>
              <w:t>$-3.6B</w:t>
            </w:r>
          </w:p>
        </w:tc>
        <w:tc>
          <w:tcPr>
            <w:tcW w:type="dxa" w:w="2520"/>
            <w:shd w:fill="F2F4F8" w:val="clear"/>
          </w:tcPr>
          <w:p>
            <w:r>
              <w:rPr>
                <w:rFonts w:ascii="Calibri" w:hAnsi="Calibri"/>
                <w:color w:val="333333"/>
                <w:sz w:val="18"/>
              </w:rPr>
              <w:t>$-2.8B</w:t>
            </w:r>
          </w:p>
        </w:tc>
        <w:tc>
          <w:tcPr>
            <w:tcW w:type="dxa" w:w="2520"/>
            <w:shd w:fill="F2F4F8" w:val="clear"/>
            <w:shd w:fill="DCEEF8" w:val="clear"/>
          </w:tcPr>
          <w:p>
            <w:r>
              <w:rPr>
                <w:rFonts w:ascii="Calibri" w:hAnsi="Calibri"/>
                <w:color w:val="333333"/>
                <w:sz w:val="18"/>
              </w:rPr>
              <w:t>23.3%</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$113.0M</w:t>
            </w:r>
          </w:p>
        </w:tc>
        <w:tc>
          <w:tcPr>
            <w:tcW w:type="dxa" w:w="2520"/>
          </w:tcPr>
          <w:p>
            <w:r>
              <w:rPr>
                <w:rFonts w:ascii="Calibri" w:hAnsi="Calibri"/>
                <w:color w:val="333333"/>
                <w:sz w:val="18"/>
              </w:rPr>
              <w:t>$55.0M</w:t>
            </w:r>
          </w:p>
        </w:tc>
        <w:tc>
          <w:tcPr>
            <w:tcW w:type="dxa" w:w="2520"/>
            <w:shd w:fill="FCE8E6" w:val="clear"/>
          </w:tcPr>
          <w:p>
            <w:r>
              <w:rPr>
                <w:rFonts w:ascii="Calibri" w:hAnsi="Calibri"/>
                <w:color w:val="333333"/>
                <w:sz w:val="18"/>
              </w:rPr>
              <w:t>-51.3%</w:t>
            </w:r>
          </w:p>
        </w:tc>
      </w:tr>
      <w:tr>
        <w:tc>
          <w:tcPr>
            <w:tcW w:type="dxa" w:w="2520"/>
            <w:shd w:fill="F2F4F8" w:val="clear"/>
          </w:tcPr>
          <w:p>
            <w:r>
              <w:rPr>
                <w:rFonts w:ascii="Calibri" w:hAnsi="Calibri"/>
                <w:color w:val="333333"/>
                <w:sz w:val="18"/>
              </w:rPr>
              <w:t>Total operating expenses</w:t>
            </w:r>
          </w:p>
        </w:tc>
        <w:tc>
          <w:tcPr>
            <w:tcW w:type="dxa" w:w="2520"/>
            <w:shd w:fill="F2F4F8" w:val="clear"/>
          </w:tcPr>
          <w:p>
            <w:r>
              <w:rPr>
                <w:rFonts w:ascii="Calibri" w:hAnsi="Calibri"/>
                <w:color w:val="333333"/>
                <w:sz w:val="18"/>
              </w:rPr>
              <w:t>$7.2B</w:t>
            </w:r>
          </w:p>
        </w:tc>
        <w:tc>
          <w:tcPr>
            <w:tcW w:type="dxa" w:w="2520"/>
            <w:shd w:fill="F2F4F8" w:val="clear"/>
          </w:tcPr>
          <w:p>
            <w:r>
              <w:rPr>
                <w:rFonts w:ascii="Calibri" w:hAnsi="Calibri"/>
                <w:color w:val="333333"/>
                <w:sz w:val="18"/>
              </w:rPr>
              <w:t>$5.0B</w:t>
            </w:r>
          </w:p>
        </w:tc>
        <w:tc>
          <w:tcPr>
            <w:tcW w:type="dxa" w:w="2520"/>
            <w:shd w:fill="F2F4F8" w:val="clear"/>
            <w:shd w:fill="FCE8E6" w:val="clear"/>
          </w:tcPr>
          <w:p>
            <w:r>
              <w:rPr>
                <w:rFonts w:ascii="Calibri" w:hAnsi="Calibri"/>
                <w:color w:val="333333"/>
                <w:sz w:val="18"/>
              </w:rPr>
              <w:t>-30.1%</w:t>
            </w:r>
          </w:p>
        </w:tc>
      </w:tr>
      <w:tr>
        <w:tc>
          <w:tcPr>
            <w:tcW w:type="dxa" w:w="2520"/>
          </w:tcPr>
          <w:p>
            <w:r>
              <w:rPr>
                <w:rFonts w:ascii="Calibri" w:hAnsi="Calibri"/>
                <w:color w:val="333333"/>
                <w:sz w:val="18"/>
              </w:rPr>
              <w:t>Total costs and expenses</w:t>
            </w:r>
          </w:p>
        </w:tc>
        <w:tc>
          <w:tcPr>
            <w:tcW w:type="dxa" w:w="2520"/>
          </w:tcPr>
          <w:p>
            <w:r>
              <w:rPr>
                <w:rFonts w:ascii="Calibri" w:hAnsi="Calibri"/>
                <w:color w:val="333333"/>
                <w:sz w:val="18"/>
              </w:rPr>
              <w:t>$7.2B</w:t>
            </w:r>
          </w:p>
        </w:tc>
        <w:tc>
          <w:tcPr>
            <w:tcW w:type="dxa" w:w="2520"/>
          </w:tcPr>
          <w:p>
            <w:r>
              <w:rPr>
                <w:rFonts w:ascii="Calibri" w:hAnsi="Calibri"/>
                <w:color w:val="333333"/>
                <w:sz w:val="18"/>
              </w:rPr>
              <w:t>$5.0B</w:t>
            </w:r>
          </w:p>
        </w:tc>
        <w:tc>
          <w:tcPr>
            <w:tcW w:type="dxa" w:w="2520"/>
            <w:shd w:fill="FCE8E6" w:val="clear"/>
          </w:tcPr>
          <w:p>
            <w:r>
              <w:rPr>
                <w:rFonts w:ascii="Calibri" w:hAnsi="Calibri"/>
                <w:color w:val="333333"/>
                <w:sz w:val="18"/>
              </w:rPr>
              <w:t>-30.1%</w:t>
            </w:r>
          </w:p>
        </w:tc>
      </w:tr>
      <w:tr>
        <w:tc>
          <w:tcPr>
            <w:tcW w:type="dxa" w:w="2520"/>
            <w:shd w:fill="F2F4F8" w:val="clear"/>
          </w:tcPr>
          <w:p>
            <w:r>
              <w:rPr>
                <w:rFonts w:ascii="Calibri" w:hAnsi="Calibri"/>
                <w:color w:val="333333"/>
                <w:sz w:val="18"/>
              </w:rPr>
              <w:t>Non-operating income / expense</w:t>
            </w:r>
          </w:p>
        </w:tc>
        <w:tc>
          <w:tcPr>
            <w:tcW w:type="dxa" w:w="2520"/>
            <w:shd w:fill="F2F4F8" w:val="clear"/>
          </w:tcPr>
          <w:p>
            <w:r>
              <w:rPr>
                <w:rFonts w:ascii="Calibri" w:hAnsi="Calibri"/>
                <w:color w:val="333333"/>
                <w:sz w:val="18"/>
              </w:rPr>
              <w:t>$-87.0M</w:t>
            </w:r>
          </w:p>
        </w:tc>
        <w:tc>
          <w:tcPr>
            <w:tcW w:type="dxa" w:w="2520"/>
            <w:shd w:fill="F2F4F8" w:val="clear"/>
          </w:tcPr>
          <w:p>
            <w:r>
              <w:rPr>
                <w:rFonts w:ascii="Calibri" w:hAnsi="Calibri"/>
                <w:color w:val="333333"/>
                <w:sz w:val="18"/>
              </w:rPr>
              <w:t>$-8.0M</w:t>
            </w:r>
          </w:p>
        </w:tc>
        <w:tc>
          <w:tcPr>
            <w:tcW w:type="dxa" w:w="2520"/>
            <w:shd w:fill="F2F4F8" w:val="clear"/>
            <w:shd w:fill="DCEEF8" w:val="clear"/>
          </w:tcPr>
          <w:p>
            <w:r>
              <w:rPr>
                <w:rFonts w:ascii="Calibri" w:hAnsi="Calibri"/>
                <w:color w:val="333333"/>
                <w:sz w:val="18"/>
              </w:rPr>
              <w:t>90.8%</w:t>
            </w:r>
          </w:p>
        </w:tc>
      </w:tr>
      <w:tr>
        <w:tc>
          <w:tcPr>
            <w:tcW w:type="dxa" w:w="2520"/>
          </w:tcPr>
          <w:p>
            <w:r>
              <w:rPr>
                <w:rFonts w:ascii="Calibri" w:hAnsi="Calibri"/>
                <w:color w:val="333333"/>
                <w:sz w:val="18"/>
              </w:rPr>
              <w:t>Asset impairment charges (long-lived assets)</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Current federal income tax expense / benefit</w:t>
            </w:r>
          </w:p>
        </w:tc>
        <w:tc>
          <w:tcPr>
            <w:tcW w:type="dxa" w:w="2520"/>
            <w:shd w:fill="F2F4F8" w:val="clear"/>
          </w:tcPr>
          <w:p>
            <w:r>
              <w:rPr>
                <w:rFonts w:ascii="Calibri" w:hAnsi="Calibri"/>
                <w:color w:val="333333"/>
                <w:sz w:val="18"/>
              </w:rPr>
              <w:t>$-57.0M</w:t>
            </w:r>
          </w:p>
        </w:tc>
        <w:tc>
          <w:tcPr>
            <w:tcW w:type="dxa" w:w="2520"/>
            <w:shd w:fill="F2F4F8" w:val="clear"/>
          </w:tcPr>
          <w:p>
            <w:r>
              <w:rPr>
                <w:rFonts w:ascii="Calibri" w:hAnsi="Calibri"/>
                <w:color w:val="333333"/>
                <w:sz w:val="18"/>
              </w:rPr>
              <w:t>$11.0M</w:t>
            </w:r>
          </w:p>
        </w:tc>
        <w:tc>
          <w:tcPr>
            <w:tcW w:type="dxa" w:w="2520"/>
            <w:shd w:fill="F2F4F8" w:val="clear"/>
            <w:shd w:fill="DCEEF8" w:val="clear"/>
          </w:tcPr>
          <w:p>
            <w:r>
              <w:rPr>
                <w:rFonts w:ascii="Calibri" w:hAnsi="Calibri"/>
                <w:color w:val="333333"/>
                <w:sz w:val="18"/>
              </w:rPr>
              <w:t>119.3%</w:t>
            </w:r>
          </w:p>
        </w:tc>
      </w:tr>
      <w:tr>
        <w:tc>
          <w:tcPr>
            <w:tcW w:type="dxa" w:w="2520"/>
          </w:tcPr>
          <w:p>
            <w:r>
              <w:rPr>
                <w:rFonts w:ascii="Calibri" w:hAnsi="Calibri"/>
                <w:color w:val="333333"/>
                <w:sz w:val="18"/>
              </w:rPr>
              <w:t>Current state and local income tax expense / benefit</w:t>
            </w:r>
          </w:p>
        </w:tc>
        <w:tc>
          <w:tcPr>
            <w:tcW w:type="dxa" w:w="2520"/>
          </w:tcPr>
          <w:p>
            <w:r>
              <w:rPr>
                <w:rFonts w:ascii="Calibri" w:hAnsi="Calibri"/>
                <w:color w:val="333333"/>
                <w:sz w:val="18"/>
              </w:rPr>
              <w:t>$-1.0M</w:t>
            </w:r>
          </w:p>
        </w:tc>
        <w:tc>
          <w:tcPr>
            <w:tcW w:type="dxa" w:w="2520"/>
          </w:tcPr>
          <w:p>
            <w:r>
              <w:rPr>
                <w:rFonts w:ascii="Calibri" w:hAnsi="Calibri"/>
                <w:color w:val="333333"/>
                <w:sz w:val="18"/>
              </w:rPr>
              <w:t>$4.0M</w:t>
            </w:r>
          </w:p>
        </w:tc>
        <w:tc>
          <w:tcPr>
            <w:tcW w:type="dxa" w:w="2520"/>
            <w:shd w:fill="DCEEF8" w:val="clear"/>
          </w:tcPr>
          <w:p>
            <w:r>
              <w:rPr>
                <w:rFonts w:ascii="Calibri" w:hAnsi="Calibri"/>
                <w:color w:val="333333"/>
                <w:sz w:val="18"/>
              </w:rPr>
              <w:t>500.0%</w:t>
            </w:r>
          </w:p>
        </w:tc>
      </w:tr>
      <w:tr>
        <w:tc>
          <w:tcPr>
            <w:tcW w:type="dxa" w:w="2520"/>
            <w:shd w:fill="F2F4F8" w:val="clear"/>
          </w:tcPr>
          <w:p>
            <w:r>
              <w:rPr>
                <w:rFonts w:ascii="Calibri" w:hAnsi="Calibri"/>
                <w:color w:val="333333"/>
                <w:sz w:val="18"/>
              </w:rPr>
              <w:t>Current foreign income tax expense / benefit</w:t>
            </w:r>
          </w:p>
        </w:tc>
        <w:tc>
          <w:tcPr>
            <w:tcW w:type="dxa" w:w="2520"/>
            <w:shd w:fill="F2F4F8" w:val="clear"/>
          </w:tcPr>
          <w:p>
            <w:r>
              <w:rPr>
                <w:rFonts w:ascii="Calibri" w:hAnsi="Calibri"/>
                <w:color w:val="333333"/>
                <w:sz w:val="18"/>
              </w:rPr>
              <w:t>$13.0M</w:t>
            </w:r>
          </w:p>
        </w:tc>
        <w:tc>
          <w:tcPr>
            <w:tcW w:type="dxa" w:w="2520"/>
            <w:shd w:fill="F2F4F8" w:val="clear"/>
          </w:tcPr>
          <w:p>
            <w:r>
              <w:rPr>
                <w:rFonts w:ascii="Calibri" w:hAnsi="Calibri"/>
                <w:color w:val="333333"/>
                <w:sz w:val="18"/>
              </w:rPr>
              <w:t>$29.0M</w:t>
            </w:r>
          </w:p>
        </w:tc>
        <w:tc>
          <w:tcPr>
            <w:tcW w:type="dxa" w:w="2520"/>
            <w:shd w:fill="F2F4F8" w:val="clear"/>
            <w:shd w:fill="DCEEF8" w:val="clear"/>
          </w:tcPr>
          <w:p>
            <w:r>
              <w:rPr>
                <w:rFonts w:ascii="Calibri" w:hAnsi="Calibri"/>
                <w:color w:val="333333"/>
                <w:sz w:val="18"/>
              </w:rPr>
              <w:t>123.1%</w:t>
            </w:r>
          </w:p>
        </w:tc>
      </w:tr>
      <w:tr>
        <w:tc>
          <w:tcPr>
            <w:tcW w:type="dxa" w:w="2520"/>
          </w:tcPr>
          <w:p>
            <w:r>
              <w:rPr>
                <w:rFonts w:ascii="Calibri" w:hAnsi="Calibri"/>
                <w:color w:val="333333"/>
                <w:sz w:val="18"/>
              </w:rPr>
              <w:t>Deferred federal income tax expense / benefit</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Deferred state and local income tax expense / benefit</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Deferred foreign income tax expense / benefit</w:t>
            </w:r>
          </w:p>
        </w:tc>
        <w:tc>
          <w:tcPr>
            <w:tcW w:type="dxa" w:w="2520"/>
          </w:tcPr>
          <w:p>
            <w:r>
              <w:rPr>
                <w:rFonts w:ascii="Calibri" w:hAnsi="Calibri"/>
                <w:color w:val="333333"/>
                <w:sz w:val="18"/>
              </w:rPr>
              <w:t>$-1.0M</w:t>
            </w:r>
          </w:p>
        </w:tc>
        <w:tc>
          <w:tcPr>
            <w:tcW w:type="dxa" w:w="2520"/>
          </w:tcPr>
          <w:p>
            <w:r>
              <w:rPr>
                <w:rFonts w:ascii="Calibri" w:hAnsi="Calibri"/>
                <w:color w:val="333333"/>
                <w:sz w:val="18"/>
              </w:rPr>
              <w:t>$10.0M</w:t>
            </w:r>
          </w:p>
        </w:tc>
        <w:tc>
          <w:tcPr>
            <w:tcW w:type="dxa" w:w="2520"/>
            <w:shd w:fill="DCEEF8" w:val="clear"/>
          </w:tcPr>
          <w:p>
            <w:r>
              <w:rPr>
                <w:rFonts w:ascii="Calibri" w:hAnsi="Calibri"/>
                <w:color w:val="333333"/>
                <w:sz w:val="18"/>
              </w:rPr>
              <w:t>1100.0%</w:t>
            </w:r>
          </w:p>
        </w:tc>
      </w:tr>
      <w:tr>
        <w:tc>
          <w:tcPr>
            <w:tcW w:type="dxa" w:w="2520"/>
            <w:shd w:fill="F2F4F8" w:val="clear"/>
          </w:tcPr>
          <w:p>
            <w:r>
              <w:rPr>
                <w:rFonts w:ascii="Calibri" w:hAnsi="Calibri"/>
                <w:color w:val="333333"/>
                <w:sz w:val="18"/>
              </w:rPr>
              <w:t>Advertising expense</w:t>
            </w:r>
          </w:p>
        </w:tc>
        <w:tc>
          <w:tcPr>
            <w:tcW w:type="dxa" w:w="2520"/>
            <w:shd w:fill="F2F4F8" w:val="clear"/>
          </w:tcPr>
          <w:p>
            <w:r>
              <w:rPr>
                <w:rFonts w:ascii="Calibri" w:hAnsi="Calibri"/>
                <w:color w:val="333333"/>
                <w:sz w:val="18"/>
              </w:rPr>
              <w:t>$146.0M</w:t>
            </w:r>
          </w:p>
        </w:tc>
        <w:tc>
          <w:tcPr>
            <w:tcW w:type="dxa" w:w="2520"/>
            <w:shd w:fill="F2F4F8" w:val="clear"/>
          </w:tcPr>
          <w:p>
            <w:r>
              <w:rPr>
                <w:rFonts w:ascii="Calibri" w:hAnsi="Calibri"/>
                <w:color w:val="333333"/>
                <w:sz w:val="18"/>
              </w:rPr>
              <w:t>$133.0M</w:t>
            </w:r>
          </w:p>
        </w:tc>
        <w:tc>
          <w:tcPr>
            <w:tcW w:type="dxa" w:w="2520"/>
            <w:shd w:fill="F2F4F8" w:val="clear"/>
            <w:shd w:fill="FFF3CD" w:val="clear"/>
          </w:tcPr>
          <w:p>
            <w:r>
              <w:rPr>
                <w:rFonts w:ascii="Calibri" w:hAnsi="Calibri"/>
                <w:color w:val="333333"/>
                <w:sz w:val="18"/>
              </w:rPr>
              <w:t>-8.9%</w:t>
            </w:r>
          </w:p>
        </w:tc>
      </w:tr>
      <w:tr>
        <w:tc>
          <w:tcPr>
            <w:tcW w:type="dxa" w:w="2520"/>
          </w:tcPr>
          <w:p>
            <w:r>
              <w:rPr>
                <w:rFonts w:ascii="Calibri" w:hAnsi="Calibri"/>
                <w:color w:val="333333"/>
                <w:sz w:val="18"/>
              </w:rPr>
              <w:t>Gross margin percentage</w:t>
            </w:r>
          </w:p>
        </w:tc>
        <w:tc>
          <w:tcPr>
            <w:tcW w:type="dxa" w:w="2520"/>
          </w:tcPr>
          <w:p>
            <w:r>
              <w:rPr>
                <w:rFonts w:ascii="Calibri" w:hAnsi="Calibri"/>
                <w:color w:val="333333"/>
                <w:sz w:val="18"/>
              </w:rPr>
              <w:t>54.8%</w:t>
            </w:r>
          </w:p>
        </w:tc>
        <w:tc>
          <w:tcPr>
            <w:tcW w:type="dxa" w:w="2520"/>
          </w:tcPr>
          <w:p>
            <w:r>
              <w:rPr>
                <w:rFonts w:ascii="Calibri" w:hAnsi="Calibri"/>
                <w:color w:val="333333"/>
                <w:sz w:val="18"/>
              </w:rPr>
              <w:t>55.4%</w:t>
            </w:r>
          </w:p>
        </w:tc>
        <w:tc>
          <w:tcPr>
            <w:tcW w:type="dxa" w:w="2520"/>
            <w:shd w:fill="FFF3CD" w:val="clear"/>
          </w:tcPr>
          <w:p>
            <w:r>
              <w:rPr>
                <w:rFonts w:ascii="Calibri" w:hAnsi="Calibri"/>
                <w:color w:val="333333"/>
                <w:sz w:val="18"/>
              </w:rPr>
              <w:t>1.1%</w:t>
            </w:r>
          </w:p>
        </w:tc>
      </w:tr>
      <w:tr>
        <w:tc>
          <w:tcPr>
            <w:tcW w:type="dxa" w:w="2520"/>
            <w:shd w:fill="F2F4F8" w:val="clear"/>
          </w:tcPr>
          <w:p>
            <w:r>
              <w:rPr>
                <w:rFonts w:ascii="Calibri" w:hAnsi="Calibri"/>
                <w:color w:val="333333"/>
                <w:sz w:val="18"/>
              </w:rPr>
              <w:t>Operating margin percentage</w:t>
            </w:r>
          </w:p>
        </w:tc>
        <w:tc>
          <w:tcPr>
            <w:tcW w:type="dxa" w:w="2520"/>
            <w:shd w:fill="F2F4F8" w:val="clear"/>
          </w:tcPr>
          <w:p>
            <w:r>
              <w:rPr>
                <w:rFonts w:ascii="Calibri" w:hAnsi="Calibri"/>
                <w:color w:val="333333"/>
                <w:sz w:val="18"/>
              </w:rPr>
              <w:t>-121.9%</w:t>
            </w:r>
          </w:p>
        </w:tc>
        <w:tc>
          <w:tcPr>
            <w:tcW w:type="dxa" w:w="2520"/>
            <w:shd w:fill="F2F4F8" w:val="clear"/>
          </w:tcPr>
          <w:p>
            <w:r>
              <w:rPr>
                <w:rFonts w:ascii="Calibri" w:hAnsi="Calibri"/>
                <w:color w:val="333333"/>
                <w:sz w:val="18"/>
              </w:rPr>
              <w:t>-158.1%</w:t>
            </w:r>
          </w:p>
        </w:tc>
        <w:tc>
          <w:tcPr>
            <w:tcW w:type="dxa" w:w="2520"/>
            <w:shd w:fill="F2F4F8" w:val="clear"/>
            <w:shd w:fill="FCE8E6" w:val="clear"/>
          </w:tcPr>
          <w:p>
            <w:r>
              <w:rPr>
                <w:rFonts w:ascii="Calibri" w:hAnsi="Calibri"/>
                <w:color w:val="333333"/>
                <w:sz w:val="18"/>
              </w:rPr>
              <w:t>-29.7%</w:t>
            </w:r>
          </w:p>
        </w:tc>
      </w:tr>
      <w:tr>
        <w:tc>
          <w:tcPr>
            <w:tcW w:type="dxa" w:w="2520"/>
          </w:tcPr>
          <w:p>
            <w:r>
              <w:rPr>
                <w:rFonts w:ascii="Calibri" w:hAnsi="Calibri"/>
                <w:color w:val="333333"/>
                <w:sz w:val="18"/>
              </w:rPr>
              <w:t>Net margin percentage</w:t>
            </w:r>
          </w:p>
        </w:tc>
        <w:tc>
          <w:tcPr>
            <w:tcW w:type="dxa" w:w="2520"/>
          </w:tcPr>
          <w:p>
            <w:r>
              <w:rPr>
                <w:rFonts w:ascii="Calibri" w:hAnsi="Calibri"/>
                <w:color w:val="333333"/>
                <w:sz w:val="18"/>
              </w:rPr>
              <w:t>-110.0%</w:t>
            </w:r>
          </w:p>
        </w:tc>
        <w:tc>
          <w:tcPr>
            <w:tcW w:type="dxa" w:w="2520"/>
          </w:tcPr>
          <w:p>
            <w:r>
              <w:rPr>
                <w:rFonts w:ascii="Calibri" w:hAnsi="Calibri"/>
                <w:color w:val="333333"/>
                <w:sz w:val="18"/>
              </w:rPr>
              <w:t>-145.2%</w:t>
            </w:r>
          </w:p>
        </w:tc>
        <w:tc>
          <w:tcPr>
            <w:tcW w:type="dxa" w:w="2520"/>
            <w:shd w:fill="FCE8E6" w:val="clear"/>
          </w:tcPr>
          <w:p>
            <w:r>
              <w:rPr>
                <w:rFonts w:ascii="Calibri" w:hAnsi="Calibri"/>
                <w:color w:val="333333"/>
                <w:sz w:val="18"/>
              </w:rPr>
              <w:t>-31.9%</w:t>
            </w:r>
          </w:p>
        </w:tc>
      </w:tr>
      <w:tr>
        <w:tc>
          <w:tcPr>
            <w:tcW w:type="dxa" w:w="2520"/>
            <w:shd w:fill="F2F4F8" w:val="clear"/>
          </w:tcPr>
          <w:p>
            <w:r>
              <w:rPr>
                <w:rFonts w:ascii="Calibri" w:hAnsi="Calibri"/>
                <w:color w:val="333333"/>
                <w:sz w:val="18"/>
              </w:rPr>
              <w:t>EBITDA margin percentage</w:t>
            </w:r>
          </w:p>
        </w:tc>
        <w:tc>
          <w:tcPr>
            <w:tcW w:type="dxa" w:w="2520"/>
            <w:shd w:fill="F2F4F8" w:val="clear"/>
          </w:tcPr>
          <w:p>
            <w:r>
              <w:rPr>
                <w:rFonts w:ascii="Calibri" w:hAnsi="Calibri"/>
                <w:color w:val="333333"/>
                <w:sz w:val="18"/>
              </w:rPr>
              <w:t>-116.2%</w:t>
            </w:r>
          </w:p>
        </w:tc>
        <w:tc>
          <w:tcPr>
            <w:tcW w:type="dxa" w:w="2520"/>
            <w:shd w:fill="F2F4F8" w:val="clear"/>
          </w:tcPr>
          <w:p>
            <w:r>
              <w:rPr>
                <w:rFonts w:ascii="Calibri" w:hAnsi="Calibri"/>
                <w:color w:val="333333"/>
                <w:sz w:val="18"/>
              </w:rPr>
              <w:t>-147.3%</w:t>
            </w:r>
          </w:p>
        </w:tc>
        <w:tc>
          <w:tcPr>
            <w:tcW w:type="dxa" w:w="2520"/>
            <w:shd w:fill="F2F4F8" w:val="clear"/>
            <w:shd w:fill="FCE8E6" w:val="clear"/>
          </w:tcPr>
          <w:p>
            <w:r>
              <w:rPr>
                <w:rFonts w:ascii="Calibri" w:hAnsi="Calibri"/>
                <w:color w:val="333333"/>
                <w:sz w:val="18"/>
              </w:rPr>
              <w:t>-26.8%</w:t>
            </w:r>
          </w:p>
        </w:tc>
      </w:tr>
      <w:tr>
        <w:tc>
          <w:tcPr>
            <w:tcW w:type="dxa" w:w="2520"/>
          </w:tcPr>
          <w:p>
            <w:r>
              <w:rPr>
                <w:rFonts w:ascii="Calibri" w:hAnsi="Calibri"/>
                <w:color w:val="333333"/>
                <w:sz w:val="18"/>
              </w:rPr>
              <w:t>Effective tax rate</w:t>
            </w:r>
          </w:p>
        </w:tc>
        <w:tc>
          <w:tcPr>
            <w:tcW w:type="dxa" w:w="2520"/>
          </w:tcPr>
          <w:p>
            <w:r>
              <w:rPr>
                <w:rFonts w:ascii="Calibri" w:hAnsi="Calibri"/>
                <w:color w:val="333333"/>
                <w:sz w:val="18"/>
              </w:rPr>
              <w:t>$-1</w:t>
            </w:r>
          </w:p>
        </w:tc>
        <w:tc>
          <w:tcPr>
            <w:tcW w:type="dxa" w:w="2520"/>
          </w:tcPr>
          <w:p>
            <w:r>
              <w:rPr>
                <w:rFonts w:ascii="Calibri" w:hAnsi="Calibri"/>
                <w:color w:val="333333"/>
                <w:sz w:val="18"/>
              </w:rPr>
              <w:t>$-2</w:t>
            </w:r>
          </w:p>
        </w:tc>
        <w:tc>
          <w:tcPr>
            <w:tcW w:type="dxa" w:w="2520"/>
            <w:shd w:fill="FCE8E6" w:val="clear"/>
          </w:tcPr>
          <w:p>
            <w:r>
              <w:rPr>
                <w:rFonts w:ascii="Calibri" w:hAnsi="Calibri"/>
                <w:color w:val="333333"/>
                <w:sz w:val="18"/>
              </w:rPr>
              <w:t>-52.3%</w:t>
            </w:r>
          </w:p>
        </w:tc>
      </w:tr>
      <w:tr>
        <w:tc>
          <w:tcPr>
            <w:tcW w:type="dxa" w:w="2520"/>
            <w:shd w:fill="F2F4F8" w:val="clear"/>
          </w:tcPr>
          <w:p>
            <w:r>
              <w:rPr>
                <w:rFonts w:ascii="Calibri" w:hAnsi="Calibri"/>
                <w:color w:val="333333"/>
                <w:sz w:val="18"/>
              </w:rPr>
              <w:t>Interest coverage ratio</w:t>
            </w:r>
          </w:p>
        </w:tc>
        <w:tc>
          <w:tcPr>
            <w:tcW w:type="dxa" w:w="2520"/>
            <w:shd w:fill="F2F4F8" w:val="clear"/>
          </w:tcPr>
          <w:p>
            <w:r>
              <w:rPr>
                <w:rFonts w:ascii="Calibri" w:hAnsi="Calibri"/>
                <w:color w:val="333333"/>
                <w:sz w:val="18"/>
              </w:rPr>
              <w:t>$-164</w:t>
            </w:r>
          </w:p>
        </w:tc>
        <w:tc>
          <w:tcPr>
            <w:tcW w:type="dxa" w:w="2520"/>
            <w:shd w:fill="F2F4F8" w:val="clear"/>
          </w:tcPr>
          <w:p>
            <w:r>
              <w:rPr>
                <w:rFonts w:ascii="Calibri" w:hAnsi="Calibri"/>
                <w:color w:val="333333"/>
                <w:sz w:val="18"/>
              </w:rPr>
              <w:t>$-307</w:t>
            </w:r>
          </w:p>
        </w:tc>
        <w:tc>
          <w:tcPr>
            <w:tcW w:type="dxa" w:w="2520"/>
            <w:shd w:fill="F2F4F8" w:val="clear"/>
            <w:shd w:fill="FCE8E6" w:val="clear"/>
          </w:tcPr>
          <w:p>
            <w:r>
              <w:rPr>
                <w:rFonts w:ascii="Calibri" w:hAnsi="Calibri"/>
                <w:color w:val="333333"/>
                <w:sz w:val="18"/>
              </w:rPr>
              <w:t>-87.0%</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$14.1B</w:t>
            </w:r>
          </w:p>
        </w:tc>
        <w:tc>
          <w:tcPr>
            <w:tcW w:type="dxa" w:w="2520"/>
          </w:tcPr>
          <w:p>
            <w:r>
              <w:rPr>
                <w:rFonts w:ascii="Calibri" w:hAnsi="Calibri"/>
                <w:color w:val="333333"/>
                <w:sz w:val="18"/>
              </w:rPr>
              <w:t>$12.3B</w:t>
            </w:r>
          </w:p>
        </w:tc>
        <w:tc>
          <w:tcPr>
            <w:tcW w:type="dxa" w:w="2520"/>
            <w:shd w:fill="FCE8E6" w:val="clear"/>
          </w:tcPr>
          <w:p>
            <w:r>
              <w:rPr>
                <w:rFonts w:ascii="Calibri" w:hAnsi="Calibri"/>
                <w:color w:val="333333"/>
                <w:sz w:val="18"/>
              </w:rPr>
              <w:t>-12.8%</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$3.2B</w:t>
            </w:r>
          </w:p>
        </w:tc>
        <w:tc>
          <w:tcPr>
            <w:tcW w:type="dxa" w:w="2520"/>
            <w:shd w:fill="F2F4F8" w:val="clear"/>
          </w:tcPr>
          <w:p>
            <w:r>
              <w:rPr>
                <w:rFonts w:ascii="Calibri" w:hAnsi="Calibri"/>
                <w:color w:val="333333"/>
                <w:sz w:val="18"/>
              </w:rPr>
              <w:t>$3.7B</w:t>
            </w:r>
          </w:p>
        </w:tc>
        <w:tc>
          <w:tcPr>
            <w:tcW w:type="dxa" w:w="2520"/>
            <w:shd w:fill="F2F4F8" w:val="clear"/>
            <w:shd w:fill="DCEEF8" w:val="clear"/>
          </w:tcPr>
          <w:p>
            <w:r>
              <w:rPr>
                <w:rFonts w:ascii="Calibri" w:hAnsi="Calibri"/>
                <w:color w:val="333333"/>
                <w:sz w:val="18"/>
              </w:rPr>
              <w:t>13.8%</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$10.9B</w:t>
            </w:r>
          </w:p>
        </w:tc>
        <w:tc>
          <w:tcPr>
            <w:tcW w:type="dxa" w:w="2520"/>
          </w:tcPr>
          <w:p>
            <w:r>
              <w:rPr>
                <w:rFonts w:ascii="Calibri" w:hAnsi="Calibri"/>
                <w:color w:val="333333"/>
                <w:sz w:val="18"/>
              </w:rPr>
              <w:t>$8.7B</w:t>
            </w:r>
          </w:p>
        </w:tc>
        <w:tc>
          <w:tcPr>
            <w:tcW w:type="dxa" w:w="2520"/>
            <w:shd w:fill="FCE8E6" w:val="clear"/>
          </w:tcPr>
          <w:p>
            <w:r>
              <w:rPr>
                <w:rFonts w:ascii="Calibri" w:hAnsi="Calibri"/>
                <w:color w:val="333333"/>
                <w:sz w:val="18"/>
              </w:rPr>
              <w:t>-20.6%</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$8.1B</w:t>
            </w:r>
          </w:p>
        </w:tc>
        <w:tc>
          <w:tcPr>
            <w:tcW w:type="dxa" w:w="2520"/>
            <w:shd w:fill="F2F4F8" w:val="clear"/>
          </w:tcPr>
          <w:p>
            <w:r>
              <w:rPr>
                <w:rFonts w:ascii="Calibri" w:hAnsi="Calibri"/>
                <w:color w:val="333333"/>
                <w:sz w:val="18"/>
              </w:rPr>
              <w:t>$6.5B</w:t>
            </w:r>
          </w:p>
        </w:tc>
        <w:tc>
          <w:tcPr>
            <w:tcW w:type="dxa" w:w="2520"/>
            <w:shd w:fill="F2F4F8" w:val="clear"/>
            <w:shd w:fill="FCE8E6" w:val="clear"/>
          </w:tcPr>
          <w:p>
            <w:r>
              <w:rPr>
                <w:rFonts w:ascii="Calibri" w:hAnsi="Calibri"/>
                <w:color w:val="333333"/>
                <w:sz w:val="18"/>
              </w:rPr>
              <w:t>-19.2%</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$2.2B</w:t>
            </w:r>
          </w:p>
        </w:tc>
        <w:tc>
          <w:tcPr>
            <w:tcW w:type="dxa" w:w="2520"/>
          </w:tcPr>
          <w:p>
            <w:r>
              <w:rPr>
                <w:rFonts w:ascii="Calibri" w:hAnsi="Calibri"/>
                <w:color w:val="333333"/>
                <w:sz w:val="18"/>
              </w:rPr>
              <w:t>$2.0B</w:t>
            </w:r>
          </w:p>
        </w:tc>
        <w:tc>
          <w:tcPr>
            <w:tcW w:type="dxa" w:w="2520"/>
            <w:shd w:fill="FFF3CD" w:val="clear"/>
          </w:tcPr>
          <w:p>
            <w:r>
              <w:rPr>
                <w:rFonts w:ascii="Calibri" w:hAnsi="Calibri"/>
                <w:color w:val="333333"/>
                <w:sz w:val="18"/>
              </w:rPr>
              <w:t>-9.9%</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$1.9B</w:t>
            </w:r>
          </w:p>
        </w:tc>
        <w:tc>
          <w:tcPr>
            <w:tcW w:type="dxa" w:w="2520"/>
            <w:shd w:fill="F2F4F8" w:val="clear"/>
          </w:tcPr>
          <w:p>
            <w:r>
              <w:rPr>
                <w:rFonts w:ascii="Calibri" w:hAnsi="Calibri"/>
                <w:color w:val="333333"/>
                <w:sz w:val="18"/>
              </w:rPr>
              <w:t>$2.6B</w:t>
            </w:r>
          </w:p>
        </w:tc>
        <w:tc>
          <w:tcPr>
            <w:tcW w:type="dxa" w:w="2520"/>
            <w:shd w:fill="F2F4F8" w:val="clear"/>
            <w:shd w:fill="DCEEF8" w:val="clear"/>
          </w:tcPr>
          <w:p>
            <w:r>
              <w:rPr>
                <w:rFonts w:ascii="Calibri" w:hAnsi="Calibri"/>
                <w:color w:val="333333"/>
                <w:sz w:val="18"/>
              </w:rPr>
              <w:t>34.7%</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$358.0M</w:t>
            </w:r>
          </w:p>
        </w:tc>
        <w:tc>
          <w:tcPr>
            <w:tcW w:type="dxa" w:w="2520"/>
          </w:tcPr>
          <w:p>
            <w:r>
              <w:rPr>
                <w:rFonts w:ascii="Calibri" w:hAnsi="Calibri"/>
                <w:color w:val="333333"/>
                <w:sz w:val="18"/>
              </w:rPr>
              <w:t>$184.0M</w:t>
            </w:r>
          </w:p>
        </w:tc>
        <w:tc>
          <w:tcPr>
            <w:tcW w:type="dxa" w:w="2520"/>
            <w:shd w:fill="FCE8E6" w:val="clear"/>
          </w:tcPr>
          <w:p>
            <w:r>
              <w:rPr>
                <w:rFonts w:ascii="Calibri" w:hAnsi="Calibri"/>
                <w:color w:val="333333"/>
                <w:sz w:val="18"/>
              </w:rPr>
              <w:t>-48.6%</w:t>
            </w:r>
          </w:p>
        </w:tc>
      </w:tr>
      <w:tr>
        <w:tc>
          <w:tcPr>
            <w:tcW w:type="dxa" w:w="2520"/>
            <w:shd w:fill="F2F4F8" w:val="clear"/>
          </w:tcPr>
          <w:p>
            <w:r>
              <w:rPr>
                <w:rFonts w:ascii="Calibri" w:hAnsi="Calibri"/>
                <w:color w:val="333333"/>
                <w:sz w:val="18"/>
              </w:rPr>
              <w:t>Inventory, net</w:t>
            </w:r>
          </w:p>
        </w:tc>
        <w:tc>
          <w:tcPr>
            <w:tcW w:type="dxa" w:w="2520"/>
            <w:shd w:fill="F2F4F8" w:val="clear"/>
          </w:tcPr>
          <w:p>
            <w:r>
              <w:rPr>
                <w:rFonts w:ascii="Calibri" w:hAnsi="Calibri"/>
                <w:color w:val="333333"/>
                <w:sz w:val="18"/>
              </w:rPr>
              <w:t>$117.0M</w:t>
            </w:r>
          </w:p>
        </w:tc>
        <w:tc>
          <w:tcPr>
            <w:tcW w:type="dxa" w:w="2520"/>
            <w:shd w:fill="F2F4F8" w:val="clear"/>
          </w:tcPr>
          <w:p>
            <w:r>
              <w:rPr>
                <w:rFonts w:ascii="Calibri" w:hAnsi="Calibri"/>
                <w:color w:val="333333"/>
                <w:sz w:val="18"/>
              </w:rPr>
              <w:t>$153.0M</w:t>
            </w:r>
          </w:p>
        </w:tc>
        <w:tc>
          <w:tcPr>
            <w:tcW w:type="dxa" w:w="2520"/>
            <w:shd w:fill="F2F4F8" w:val="clear"/>
            <w:shd w:fill="DCEEF8" w:val="clear"/>
          </w:tcPr>
          <w:p>
            <w:r>
              <w:rPr>
                <w:rFonts w:ascii="Calibri" w:hAnsi="Calibri"/>
                <w:color w:val="333333"/>
                <w:sz w:val="18"/>
              </w:rPr>
              <w:t>30.8%</w:t>
            </w:r>
          </w:p>
        </w:tc>
      </w:tr>
      <w:tr>
        <w:tc>
          <w:tcPr>
            <w:tcW w:type="dxa" w:w="2520"/>
          </w:tcPr>
          <w:p>
            <w:r>
              <w:rPr>
                <w:rFonts w:ascii="Calibri" w:hAnsi="Calibri"/>
                <w:color w:val="333333"/>
                <w:sz w:val="18"/>
              </w:rPr>
              <w:t>Property, plant and equipment, net</w:t>
            </w:r>
          </w:p>
        </w:tc>
        <w:tc>
          <w:tcPr>
            <w:tcW w:type="dxa" w:w="2520"/>
          </w:tcPr>
          <w:p>
            <w:r>
              <w:rPr>
                <w:rFonts w:ascii="Calibri" w:hAnsi="Calibri"/>
                <w:color w:val="333333"/>
                <w:sz w:val="18"/>
              </w:rPr>
              <w:t>$2.2B</w:t>
            </w:r>
          </w:p>
        </w:tc>
        <w:tc>
          <w:tcPr>
            <w:tcW w:type="dxa" w:w="2520"/>
          </w:tcPr>
          <w:p>
            <w:r>
              <w:rPr>
                <w:rFonts w:ascii="Calibri" w:hAnsi="Calibri"/>
                <w:color w:val="333333"/>
                <w:sz w:val="18"/>
              </w:rPr>
              <w:t>$2.1B</w:t>
            </w:r>
          </w:p>
        </w:tc>
        <w:tc>
          <w:tcPr>
            <w:tcW w:type="dxa" w:w="2520"/>
            <w:shd w:fill="FFF3CD" w:val="clear"/>
          </w:tcPr>
          <w:p>
            <w:r>
              <w:rPr>
                <w:rFonts w:ascii="Calibri" w:hAnsi="Calibri"/>
                <w:color w:val="333333"/>
                <w:sz w:val="18"/>
              </w:rPr>
              <w:t>-2.8%</w:t>
            </w:r>
          </w:p>
        </w:tc>
      </w:tr>
      <w:tr>
        <w:tc>
          <w:tcPr>
            <w:tcW w:type="dxa" w:w="2520"/>
            <w:shd w:fill="F2F4F8" w:val="clear"/>
          </w:tcPr>
          <w:p>
            <w:r>
              <w:rPr>
                <w:rFonts w:ascii="Calibri" w:hAnsi="Calibri"/>
                <w:color w:val="333333"/>
                <w:sz w:val="18"/>
              </w:rPr>
              <w:t>Goodwill</w:t>
            </w:r>
          </w:p>
        </w:tc>
        <w:tc>
          <w:tcPr>
            <w:tcW w:type="dxa" w:w="2520"/>
            <w:shd w:fill="F2F4F8" w:val="clear"/>
          </w:tcPr>
          <w:p>
            <w:r>
              <w:rPr>
                <w:rFonts w:ascii="Calibri" w:hAnsi="Calibri"/>
                <w:color w:val="333333"/>
                <w:sz w:val="18"/>
              </w:rPr>
              <w:t>$52.0M</w:t>
            </w:r>
          </w:p>
        </w:tc>
        <w:tc>
          <w:tcPr>
            <w:tcW w:type="dxa" w:w="2520"/>
            <w:shd w:fill="F2F4F8" w:val="clear"/>
          </w:tcPr>
          <w:p>
            <w:r>
              <w:rPr>
                <w:rFonts w:ascii="Calibri" w:hAnsi="Calibri"/>
                <w:color w:val="333333"/>
                <w:sz w:val="18"/>
              </w:rPr>
              <w:t>$52.0M</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Intangible assets, net (excluding goodwill)</w:t>
            </w:r>
          </w:p>
        </w:tc>
        <w:tc>
          <w:tcPr>
            <w:tcW w:type="dxa" w:w="2520"/>
          </w:tcPr>
          <w:p>
            <w:r>
              <w:rPr>
                <w:rFonts w:ascii="Calibri" w:hAnsi="Calibri"/>
                <w:color w:val="333333"/>
                <w:sz w:val="18"/>
              </w:rPr>
              <w:t>$40.0M</w:t>
            </w:r>
          </w:p>
        </w:tc>
        <w:tc>
          <w:tcPr>
            <w:tcW w:type="dxa" w:w="2520"/>
          </w:tcPr>
          <w:p>
            <w:r>
              <w:rPr>
                <w:rFonts w:ascii="Calibri" w:hAnsi="Calibri"/>
                <w:color w:val="333333"/>
                <w:sz w:val="18"/>
              </w:rPr>
              <w:t>$45.0M</w:t>
            </w:r>
          </w:p>
        </w:tc>
        <w:tc>
          <w:tcPr>
            <w:tcW w:type="dxa" w:w="2520"/>
            <w:shd w:fill="DCEEF8" w:val="clear"/>
          </w:tcPr>
          <w:p>
            <w:r>
              <w:rPr>
                <w:rFonts w:ascii="Calibri" w:hAnsi="Calibri"/>
                <w:color w:val="333333"/>
                <w:sz w:val="18"/>
              </w:rPr>
              <w:t>12.5%</w:t>
            </w:r>
          </w:p>
        </w:tc>
      </w:tr>
      <w:tr>
        <w:tc>
          <w:tcPr>
            <w:tcW w:type="dxa" w:w="2520"/>
            <w:shd w:fill="F2F4F8" w:val="clear"/>
          </w:tcPr>
          <w:p>
            <w:r>
              <w:rPr>
                <w:rFonts w:ascii="Calibri" w:hAnsi="Calibri"/>
                <w:color w:val="333333"/>
                <w:sz w:val="18"/>
              </w:rPr>
              <w:t>Long-term debt, non-current</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$590.0M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Retained earnings / accumulated deficit</w:t>
            </w:r>
          </w:p>
        </w:tc>
        <w:tc>
          <w:tcPr>
            <w:tcW w:type="dxa" w:w="2520"/>
          </w:tcPr>
          <w:p>
            <w:r>
              <w:rPr>
                <w:rFonts w:ascii="Calibri" w:hAnsi="Calibri"/>
                <w:color w:val="333333"/>
                <w:sz w:val="18"/>
              </w:rPr>
              <w:t>$10.0B</w:t>
            </w:r>
          </w:p>
        </w:tc>
        <w:tc>
          <w:tcPr>
            <w:tcW w:type="dxa" w:w="2520"/>
          </w:tcPr>
          <w:p>
            <w:r>
              <w:rPr>
                <w:rFonts w:ascii="Calibri" w:hAnsi="Calibri"/>
                <w:color w:val="333333"/>
                <w:sz w:val="18"/>
              </w:rPr>
              <w:t>$7.2B</w:t>
            </w:r>
          </w:p>
        </w:tc>
        <w:tc>
          <w:tcPr>
            <w:tcW w:type="dxa" w:w="2520"/>
            <w:shd w:fill="FCE8E6" w:val="clear"/>
          </w:tcPr>
          <w:p>
            <w:r>
              <w:rPr>
                <w:rFonts w:ascii="Calibri" w:hAnsi="Calibri"/>
                <w:color w:val="333333"/>
                <w:sz w:val="18"/>
              </w:rPr>
              <w:t>-28.1%</w:t>
            </w:r>
          </w:p>
        </w:tc>
      </w:tr>
      <w:tr>
        <w:tc>
          <w:tcPr>
            <w:tcW w:type="dxa" w:w="2520"/>
            <w:shd w:fill="F2F4F8" w:val="clear"/>
          </w:tcPr>
          <w:p>
            <w:r>
              <w:rPr>
                <w:rFonts w:ascii="Calibri" w:hAnsi="Calibri"/>
                <w:color w:val="333333"/>
                <w:sz w:val="18"/>
              </w:rPr>
              <w:t>Common shares outstanding</w:t>
            </w:r>
          </w:p>
        </w:tc>
        <w:tc>
          <w:tcPr>
            <w:tcW w:type="dxa" w:w="2520"/>
            <w:shd w:fill="F2F4F8" w:val="clear"/>
          </w:tcPr>
          <w:p>
            <w:r>
              <w:rPr>
                <w:rFonts w:ascii="Calibri" w:hAnsi="Calibri"/>
                <w:color w:val="333333"/>
                <w:sz w:val="18"/>
              </w:rPr>
              <w:t>386.0M</w:t>
            </w:r>
          </w:p>
        </w:tc>
        <w:tc>
          <w:tcPr>
            <w:tcW w:type="dxa" w:w="2520"/>
            <w:shd w:fill="F2F4F8" w:val="clear"/>
          </w:tcPr>
          <w:p>
            <w:r>
              <w:rPr>
                <w:rFonts w:ascii="Calibri" w:hAnsi="Calibri"/>
                <w:color w:val="333333"/>
                <w:sz w:val="18"/>
              </w:rPr>
              <w:t>394.0M</w:t>
            </w:r>
          </w:p>
        </w:tc>
        <w:tc>
          <w:tcPr>
            <w:tcW w:type="dxa" w:w="2520"/>
            <w:shd w:fill="F2F4F8" w:val="clear"/>
            <w:shd w:fill="FFF3CD" w:val="clear"/>
          </w:tcPr>
          <w:p>
            <w:r>
              <w:rPr>
                <w:rFonts w:ascii="Calibri" w:hAnsi="Calibri"/>
                <w:color w:val="333333"/>
                <w:sz w:val="18"/>
              </w:rPr>
              <w:t>2.1%</w:t>
            </w:r>
          </w:p>
        </w:tc>
      </w:tr>
      <w:tr>
        <w:tc>
          <w:tcPr>
            <w:tcW w:type="dxa" w:w="2520"/>
          </w:tcPr>
          <w:p>
            <w:r>
              <w:rPr>
                <w:rFonts w:ascii="Calibri" w:hAnsi="Calibri"/>
                <w:color w:val="333333"/>
                <w:sz w:val="18"/>
              </w:rPr>
              <w:t>Accounts payable</w:t>
            </w:r>
          </w:p>
        </w:tc>
        <w:tc>
          <w:tcPr>
            <w:tcW w:type="dxa" w:w="2520"/>
          </w:tcPr>
          <w:p>
            <w:r>
              <w:rPr>
                <w:rFonts w:ascii="Calibri" w:hAnsi="Calibri"/>
                <w:color w:val="333333"/>
                <w:sz w:val="18"/>
              </w:rPr>
              <w:t>$405.0M</w:t>
            </w:r>
          </w:p>
        </w:tc>
        <w:tc>
          <w:tcPr>
            <w:tcW w:type="dxa" w:w="2520"/>
          </w:tcPr>
          <w:p>
            <w:r>
              <w:rPr>
                <w:rFonts w:ascii="Calibri" w:hAnsi="Calibri"/>
                <w:color w:val="333333"/>
                <w:sz w:val="18"/>
              </w:rPr>
              <w:t>$317.0M</w:t>
            </w:r>
          </w:p>
        </w:tc>
        <w:tc>
          <w:tcPr>
            <w:tcW w:type="dxa" w:w="2520"/>
            <w:shd w:fill="FCE8E6" w:val="clear"/>
          </w:tcPr>
          <w:p>
            <w:r>
              <w:rPr>
                <w:rFonts w:ascii="Calibri" w:hAnsi="Calibri"/>
                <w:color w:val="333333"/>
                <w:sz w:val="18"/>
              </w:rPr>
              <w:t>-21.7%</w:t>
            </w:r>
          </w:p>
        </w:tc>
      </w:tr>
      <w:tr>
        <w:tc>
          <w:tcPr>
            <w:tcW w:type="dxa" w:w="2520"/>
            <w:shd w:fill="F2F4F8" w:val="clear"/>
          </w:tcPr>
          <w:p>
            <w:r>
              <w:rPr>
                <w:rFonts w:ascii="Calibri" w:hAnsi="Calibri"/>
                <w:color w:val="333333"/>
                <w:sz w:val="18"/>
              </w:rPr>
              <w:t>Deferred revenue / contract liabilities</w:t>
            </w:r>
          </w:p>
        </w:tc>
        <w:tc>
          <w:tcPr>
            <w:tcW w:type="dxa" w:w="2520"/>
            <w:shd w:fill="F2F4F8" w:val="clear"/>
          </w:tcPr>
          <w:p>
            <w:r>
              <w:rPr>
                <w:rFonts w:ascii="Calibri" w:hAnsi="Calibri"/>
                <w:color w:val="333333"/>
                <w:sz w:val="18"/>
              </w:rPr>
              <w:t>$153.0M</w:t>
            </w:r>
          </w:p>
        </w:tc>
        <w:tc>
          <w:tcPr>
            <w:tcW w:type="dxa" w:w="2520"/>
            <w:shd w:fill="F2F4F8" w:val="clear"/>
          </w:tcPr>
          <w:p>
            <w:r>
              <w:rPr>
                <w:rFonts w:ascii="Calibri" w:hAnsi="Calibri"/>
                <w:color w:val="333333"/>
                <w:sz w:val="18"/>
              </w:rPr>
              <w:t>$99.0M</w:t>
            </w:r>
          </w:p>
        </w:tc>
        <w:tc>
          <w:tcPr>
            <w:tcW w:type="dxa" w:w="2520"/>
            <w:shd w:fill="F2F4F8" w:val="clear"/>
            <w:shd w:fill="FCE8E6" w:val="clear"/>
          </w:tcPr>
          <w:p>
            <w:r>
              <w:rPr>
                <w:rFonts w:ascii="Calibri" w:hAnsi="Calibri"/>
                <w:color w:val="333333"/>
                <w:sz w:val="18"/>
              </w:rPr>
              <w:t>-35.3%</w:t>
            </w:r>
          </w:p>
        </w:tc>
      </w:tr>
      <w:tr>
        <w:tc>
          <w:tcPr>
            <w:tcW w:type="dxa" w:w="2520"/>
          </w:tcPr>
          <w:p>
            <w:r>
              <w:rPr>
                <w:rFonts w:ascii="Calibri" w:hAnsi="Calibri"/>
                <w:color w:val="333333"/>
                <w:sz w:val="18"/>
              </w:rPr>
              <w:t>Operating lease liabilities</w:t>
            </w:r>
          </w:p>
        </w:tc>
        <w:tc>
          <w:tcPr>
            <w:tcW w:type="dxa" w:w="2520"/>
          </w:tcPr>
          <w:p>
            <w:r>
              <w:rPr>
                <w:rFonts w:ascii="Calibri" w:hAnsi="Calibri"/>
                <w:color w:val="333333"/>
                <w:sz w:val="18"/>
              </w:rPr>
              <w:t>$685.0M</w:t>
            </w:r>
          </w:p>
        </w:tc>
        <w:tc>
          <w:tcPr>
            <w:tcW w:type="dxa" w:w="2520"/>
          </w:tcPr>
          <w:p>
            <w:r>
              <w:rPr>
                <w:rFonts w:ascii="Calibri" w:hAnsi="Calibri"/>
                <w:color w:val="333333"/>
                <w:sz w:val="18"/>
              </w:rPr>
              <w:t>$670.0M</w:t>
            </w:r>
          </w:p>
        </w:tc>
        <w:tc>
          <w:tcPr>
            <w:tcW w:type="dxa" w:w="2520"/>
            <w:shd w:fill="FFF3CD" w:val="clear"/>
          </w:tcPr>
          <w:p>
            <w:r>
              <w:rPr>
                <w:rFonts w:ascii="Calibri" w:hAnsi="Calibri"/>
                <w:color w:val="333333"/>
                <w:sz w:val="18"/>
              </w:rPr>
              <w:t>-2.2%</w:t>
            </w:r>
          </w:p>
        </w:tc>
      </w:tr>
      <w:tr>
        <w:tc>
          <w:tcPr>
            <w:tcW w:type="dxa" w:w="2520"/>
            <w:shd w:fill="F2F4F8" w:val="clear"/>
          </w:tcPr>
          <w:p>
            <w:r>
              <w:rPr>
                <w:rFonts w:ascii="Calibri" w:hAnsi="Calibri"/>
                <w:color w:val="333333"/>
                <w:sz w:val="18"/>
              </w:rPr>
              <w:t>Short-term investments / marketable securities</w:t>
            </w:r>
          </w:p>
        </w:tc>
        <w:tc>
          <w:tcPr>
            <w:tcW w:type="dxa" w:w="2520"/>
            <w:shd w:fill="F2F4F8" w:val="clear"/>
          </w:tcPr>
          <w:p>
            <w:r>
              <w:rPr>
                <w:rFonts w:ascii="Calibri" w:hAnsi="Calibri"/>
                <w:color w:val="333333"/>
                <w:sz w:val="18"/>
              </w:rPr>
              <w:t>$5.1B</w:t>
            </w:r>
          </w:p>
        </w:tc>
        <w:tc>
          <w:tcPr>
            <w:tcW w:type="dxa" w:w="2520"/>
            <w:shd w:fill="F2F4F8" w:val="clear"/>
          </w:tcPr>
          <w:p>
            <w:r>
              <w:rPr>
                <w:rFonts w:ascii="Calibri" w:hAnsi="Calibri"/>
                <w:color w:val="333333"/>
                <w:sz w:val="18"/>
              </w:rPr>
              <w:t>$3.2B</w:t>
            </w:r>
          </w:p>
        </w:tc>
        <w:tc>
          <w:tcPr>
            <w:tcW w:type="dxa" w:w="2520"/>
            <w:shd w:fill="F2F4F8" w:val="clear"/>
            <w:shd w:fill="FCE8E6" w:val="clear"/>
          </w:tcPr>
          <w:p>
            <w:r>
              <w:rPr>
                <w:rFonts w:ascii="Calibri" w:hAnsi="Calibri"/>
                <w:color w:val="333333"/>
                <w:sz w:val="18"/>
              </w:rPr>
              <w:t>-37.1%</w:t>
            </w:r>
          </w:p>
        </w:tc>
      </w:tr>
      <w:tr>
        <w:tc>
          <w:tcPr>
            <w:tcW w:type="dxa" w:w="2520"/>
          </w:tcPr>
          <w:p>
            <w:r>
              <w:rPr>
                <w:rFonts w:ascii="Calibri" w:hAnsi="Calibri"/>
                <w:color w:val="333333"/>
                <w:sz w:val="18"/>
              </w:rPr>
              <w:t>Prepaid expenses and other current assets</w:t>
            </w:r>
          </w:p>
        </w:tc>
        <w:tc>
          <w:tcPr>
            <w:tcW w:type="dxa" w:w="2520"/>
          </w:tcPr>
          <w:p>
            <w:r>
              <w:rPr>
                <w:rFonts w:ascii="Calibri" w:hAnsi="Calibri"/>
                <w:color w:val="333333"/>
                <w:sz w:val="18"/>
              </w:rPr>
              <w:t>$599.0M</w:t>
            </w:r>
          </w:p>
        </w:tc>
        <w:tc>
          <w:tcPr>
            <w:tcW w:type="dxa" w:w="2520"/>
          </w:tcPr>
          <w:p>
            <w:r>
              <w:rPr>
                <w:rFonts w:ascii="Calibri" w:hAnsi="Calibri"/>
                <w:color w:val="333333"/>
                <w:sz w:val="18"/>
              </w:rPr>
              <w:t>$408.0M</w:t>
            </w:r>
          </w:p>
        </w:tc>
        <w:tc>
          <w:tcPr>
            <w:tcW w:type="dxa" w:w="2520"/>
            <w:shd w:fill="FCE8E6" w:val="clear"/>
          </w:tcPr>
          <w:p>
            <w:r>
              <w:rPr>
                <w:rFonts w:ascii="Calibri" w:hAnsi="Calibri"/>
                <w:color w:val="333333"/>
                <w:sz w:val="18"/>
              </w:rPr>
              <w:t>-31.9%</w:t>
            </w:r>
          </w:p>
        </w:tc>
      </w:tr>
      <w:tr>
        <w:tc>
          <w:tcPr>
            <w:tcW w:type="dxa" w:w="2520"/>
            <w:shd w:fill="F2F4F8" w:val="clear"/>
          </w:tcPr>
          <w:p>
            <w:r>
              <w:rPr>
                <w:rFonts w:ascii="Calibri" w:hAnsi="Calibri"/>
                <w:color w:val="333333"/>
                <w:sz w:val="18"/>
              </w:rPr>
              <w:t>Other current assets</w:t>
            </w:r>
          </w:p>
        </w:tc>
        <w:tc>
          <w:tcPr>
            <w:tcW w:type="dxa" w:w="2520"/>
            <w:shd w:fill="F2F4F8" w:val="clear"/>
          </w:tcPr>
          <w:p>
            <w:r>
              <w:rPr>
                <w:rFonts w:ascii="Calibri" w:hAnsi="Calibri"/>
                <w:color w:val="333333"/>
                <w:sz w:val="18"/>
              </w:rPr>
              <w:t>$58.0M</w:t>
            </w:r>
          </w:p>
        </w:tc>
        <w:tc>
          <w:tcPr>
            <w:tcW w:type="dxa" w:w="2520"/>
            <w:shd w:fill="F2F4F8" w:val="clear"/>
          </w:tcPr>
          <w:p>
            <w:r>
              <w:rPr>
                <w:rFonts w:ascii="Calibri" w:hAnsi="Calibri"/>
                <w:color w:val="333333"/>
                <w:sz w:val="18"/>
              </w:rPr>
              <w:t>$45.0M</w:t>
            </w:r>
          </w:p>
        </w:tc>
        <w:tc>
          <w:tcPr>
            <w:tcW w:type="dxa" w:w="2520"/>
            <w:shd w:fill="F2F4F8" w:val="clear"/>
            <w:shd w:fill="FCE8E6" w:val="clear"/>
          </w:tcPr>
          <w:p>
            <w:r>
              <w:rPr>
                <w:rFonts w:ascii="Calibri" w:hAnsi="Calibri"/>
                <w:color w:val="333333"/>
                <w:sz w:val="18"/>
              </w:rPr>
              <w:t>-22.4%</w:t>
            </w:r>
          </w:p>
        </w:tc>
      </w:tr>
      <w:tr>
        <w:tc>
          <w:tcPr>
            <w:tcW w:type="dxa" w:w="2520"/>
          </w:tcPr>
          <w:p>
            <w:r>
              <w:rPr>
                <w:rFonts w:ascii="Calibri" w:hAnsi="Calibri"/>
                <w:color w:val="333333"/>
                <w:sz w:val="18"/>
              </w:rPr>
              <w:t>Accrued liabilities</w:t>
            </w:r>
          </w:p>
        </w:tc>
        <w:tc>
          <w:tcPr>
            <w:tcW w:type="dxa" w:w="2520"/>
          </w:tcPr>
          <w:p>
            <w:r>
              <w:rPr>
                <w:rFonts w:ascii="Calibri" w:hAnsi="Calibri"/>
                <w:color w:val="333333"/>
                <w:sz w:val="18"/>
              </w:rPr>
              <w:t>$1.4B</w:t>
            </w:r>
          </w:p>
        </w:tc>
        <w:tc>
          <w:tcPr>
            <w:tcW w:type="dxa" w:w="2520"/>
          </w:tcPr>
          <w:p>
            <w:r>
              <w:rPr>
                <w:rFonts w:ascii="Calibri" w:hAnsi="Calibri"/>
                <w:color w:val="333333"/>
                <w:sz w:val="18"/>
              </w:rPr>
              <w:t>$1.4B</w:t>
            </w:r>
          </w:p>
        </w:tc>
        <w:tc>
          <w:tcPr>
            <w:tcW w:type="dxa" w:w="2520"/>
            <w:shd w:fill="FFF3CD" w:val="clear"/>
          </w:tcPr>
          <w:p>
            <w:r>
              <w:rPr>
                <w:rFonts w:ascii="Calibri" w:hAnsi="Calibri"/>
                <w:color w:val="333333"/>
                <w:sz w:val="18"/>
              </w:rPr>
              <w:t>-2.9%</w:t>
            </w:r>
          </w:p>
        </w:tc>
      </w:tr>
      <w:tr>
        <w:tc>
          <w:tcPr>
            <w:tcW w:type="dxa" w:w="2520"/>
            <w:shd w:fill="F2F4F8" w:val="clear"/>
          </w:tcPr>
          <w:p>
            <w:r>
              <w:rPr>
                <w:rFonts w:ascii="Calibri" w:hAnsi="Calibri"/>
                <w:color w:val="333333"/>
                <w:sz w:val="18"/>
              </w:rPr>
              <w:t>Deferred income tax assets, net</w:t>
            </w:r>
          </w:p>
        </w:tc>
        <w:tc>
          <w:tcPr>
            <w:tcW w:type="dxa" w:w="2520"/>
            <w:shd w:fill="F2F4F8" w:val="clear"/>
          </w:tcPr>
          <w:p>
            <w:r>
              <w:rPr>
                <w:rFonts w:ascii="Calibri" w:hAnsi="Calibri"/>
                <w:color w:val="333333"/>
                <w:sz w:val="18"/>
              </w:rPr>
              <w:t>$81.0M</w:t>
            </w:r>
          </w:p>
        </w:tc>
        <w:tc>
          <w:tcPr>
            <w:tcW w:type="dxa" w:w="2520"/>
            <w:shd w:fill="F2F4F8" w:val="clear"/>
          </w:tcPr>
          <w:p>
            <w:r>
              <w:rPr>
                <w:rFonts w:ascii="Calibri" w:hAnsi="Calibri"/>
                <w:color w:val="333333"/>
                <w:sz w:val="18"/>
              </w:rPr>
              <w:t>$81.0M</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Deferred income tax liabilities, net</w:t>
            </w:r>
          </w:p>
        </w:tc>
        <w:tc>
          <w:tcPr>
            <w:tcW w:type="dxa" w:w="2520"/>
          </w:tcPr>
          <w:p>
            <w:r>
              <w:rPr>
                <w:rFonts w:ascii="Calibri" w:hAnsi="Calibri"/>
                <w:color w:val="333333"/>
                <w:sz w:val="18"/>
              </w:rPr>
              <w:t>$231.0M</w:t>
            </w:r>
          </w:p>
        </w:tc>
        <w:tc>
          <w:tcPr>
            <w:tcW w:type="dxa" w:w="2520"/>
          </w:tcPr>
          <w:p>
            <w:r>
              <w:rPr>
                <w:rFonts w:ascii="Calibri" w:hAnsi="Calibri"/>
                <w:color w:val="333333"/>
                <w:sz w:val="18"/>
              </w:rPr>
              <w:t>$249.0M</w:t>
            </w:r>
          </w:p>
        </w:tc>
        <w:tc>
          <w:tcPr>
            <w:tcW w:type="dxa" w:w="2520"/>
            <w:shd w:fill="FFF3CD" w:val="clear"/>
          </w:tcPr>
          <w:p>
            <w:r>
              <w:rPr>
                <w:rFonts w:ascii="Calibri" w:hAnsi="Calibri"/>
                <w:color w:val="333333"/>
                <w:sz w:val="18"/>
              </w:rPr>
              <w:t>7.8%</w:t>
            </w:r>
          </w:p>
        </w:tc>
      </w:tr>
      <w:tr>
        <w:tc>
          <w:tcPr>
            <w:tcW w:type="dxa" w:w="2520"/>
            <w:shd w:fill="F2F4F8" w:val="clear"/>
          </w:tcPr>
          <w:p>
            <w:r>
              <w:rPr>
                <w:rFonts w:ascii="Calibri" w:hAnsi="Calibri"/>
                <w:color w:val="333333"/>
                <w:sz w:val="18"/>
              </w:rPr>
              <w:t>Accumulated other comprehensive income/loss</w:t>
            </w:r>
          </w:p>
        </w:tc>
        <w:tc>
          <w:tcPr>
            <w:tcW w:type="dxa" w:w="2520"/>
            <w:shd w:fill="F2F4F8" w:val="clear"/>
          </w:tcPr>
          <w:p>
            <w:r>
              <w:rPr>
                <w:rFonts w:ascii="Calibri" w:hAnsi="Calibri"/>
                <w:color w:val="333333"/>
                <w:sz w:val="18"/>
              </w:rPr>
              <w:t>$-10.0M</w:t>
            </w:r>
          </w:p>
        </w:tc>
        <w:tc>
          <w:tcPr>
            <w:tcW w:type="dxa" w:w="2520"/>
            <w:shd w:fill="F2F4F8" w:val="clear"/>
          </w:tcPr>
          <w:p>
            <w:r>
              <w:rPr>
                <w:rFonts w:ascii="Calibri" w:hAnsi="Calibri"/>
                <w:color w:val="333333"/>
                <w:sz w:val="18"/>
              </w:rPr>
              <w:t>$45.0M</w:t>
            </w:r>
          </w:p>
        </w:tc>
        <w:tc>
          <w:tcPr>
            <w:tcW w:type="dxa" w:w="2520"/>
            <w:shd w:fill="F2F4F8" w:val="clear"/>
            <w:shd w:fill="DCEEF8" w:val="clear"/>
          </w:tcPr>
          <w:p>
            <w:r>
              <w:rPr>
                <w:rFonts w:ascii="Calibri" w:hAnsi="Calibri"/>
                <w:color w:val="333333"/>
                <w:sz w:val="18"/>
              </w:rPr>
              <w:t>550.0%</w:t>
            </w:r>
          </w:p>
        </w:tc>
      </w:tr>
      <w:tr>
        <w:tc>
          <w:tcPr>
            <w:tcW w:type="dxa" w:w="2520"/>
          </w:tcPr>
          <w:p>
            <w:r>
              <w:rPr>
                <w:rFonts w:ascii="Calibri" w:hAnsi="Calibri"/>
                <w:color w:val="333333"/>
                <w:sz w:val="18"/>
              </w:rPr>
              <w:t>Common stock par value</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Additional paid-in capital</w:t>
            </w:r>
          </w:p>
        </w:tc>
        <w:tc>
          <w:tcPr>
            <w:tcW w:type="dxa" w:w="2520"/>
            <w:shd w:fill="F2F4F8" w:val="clear"/>
          </w:tcPr>
          <w:p>
            <w:r>
              <w:rPr>
                <w:rFonts w:ascii="Calibri" w:hAnsi="Calibri"/>
                <w:color w:val="333333"/>
                <w:sz w:val="18"/>
              </w:rPr>
              <w:t>$866.0M</w:t>
            </w:r>
          </w:p>
        </w:tc>
        <w:tc>
          <w:tcPr>
            <w:tcW w:type="dxa" w:w="2520"/>
            <w:shd w:fill="F2F4F8" w:val="clear"/>
          </w:tcPr>
          <w:p>
            <w:r>
              <w:rPr>
                <w:rFonts w:ascii="Calibri" w:hAnsi="Calibri"/>
                <w:color w:val="333333"/>
                <w:sz w:val="18"/>
              </w:rPr>
              <w:t>$1.4B</w:t>
            </w:r>
          </w:p>
        </w:tc>
        <w:tc>
          <w:tcPr>
            <w:tcW w:type="dxa" w:w="2520"/>
            <w:shd w:fill="F2F4F8" w:val="clear"/>
            <w:shd w:fill="DCEEF8" w:val="clear"/>
          </w:tcPr>
          <w:p>
            <w:r>
              <w:rPr>
                <w:rFonts w:ascii="Calibri" w:hAnsi="Calibri"/>
                <w:color w:val="333333"/>
                <w:sz w:val="18"/>
              </w:rPr>
              <w:t>59.6%</w:t>
            </w:r>
          </w:p>
        </w:tc>
      </w:tr>
      <w:tr>
        <w:tc>
          <w:tcPr>
            <w:tcW w:type="dxa" w:w="2520"/>
          </w:tcPr>
          <w:p>
            <w:r>
              <w:rPr>
                <w:rFonts w:ascii="Calibri" w:hAnsi="Calibri"/>
                <w:color w:val="333333"/>
                <w:sz w:val="18"/>
              </w:rPr>
              <w:t>Total liabilities and stockholders' equity</w:t>
            </w:r>
          </w:p>
        </w:tc>
        <w:tc>
          <w:tcPr>
            <w:tcW w:type="dxa" w:w="2520"/>
          </w:tcPr>
          <w:p>
            <w:r>
              <w:rPr>
                <w:rFonts w:ascii="Calibri" w:hAnsi="Calibri"/>
                <w:color w:val="333333"/>
                <w:sz w:val="18"/>
              </w:rPr>
              <w:t>$14.1B</w:t>
            </w:r>
          </w:p>
        </w:tc>
        <w:tc>
          <w:tcPr>
            <w:tcW w:type="dxa" w:w="2520"/>
          </w:tcPr>
          <w:p>
            <w:r>
              <w:rPr>
                <w:rFonts w:ascii="Calibri" w:hAnsi="Calibri"/>
                <w:color w:val="333333"/>
                <w:sz w:val="18"/>
              </w:rPr>
              <w:t>$12.3B</w:t>
            </w:r>
          </w:p>
        </w:tc>
        <w:tc>
          <w:tcPr>
            <w:tcW w:type="dxa" w:w="2520"/>
            <w:shd w:fill="FCE8E6" w:val="clear"/>
          </w:tcPr>
          <w:p>
            <w:r>
              <w:rPr>
                <w:rFonts w:ascii="Calibri" w:hAnsi="Calibri"/>
                <w:color w:val="333333"/>
                <w:sz w:val="18"/>
              </w:rPr>
              <w:t>-12.8%</w:t>
            </w:r>
          </w:p>
        </w:tc>
      </w:tr>
      <w:tr>
        <w:tc>
          <w:tcPr>
            <w:tcW w:type="dxa" w:w="2520"/>
            <w:shd w:fill="F2F4F8" w:val="clear"/>
          </w:tcPr>
          <w:p>
            <w:r>
              <w:rPr>
                <w:rFonts w:ascii="Calibri" w:hAnsi="Calibri"/>
                <w:color w:val="333333"/>
                <w:sz w:val="18"/>
              </w:rPr>
              <w:t>Preferred stock value</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Right-of-use assets (operating and finance leases)</w:t>
            </w:r>
          </w:p>
        </w:tc>
        <w:tc>
          <w:tcPr>
            <w:tcW w:type="dxa" w:w="2520"/>
          </w:tcPr>
          <w:p>
            <w:r>
              <w:rPr>
                <w:rFonts w:ascii="Calibri" w:hAnsi="Calibri"/>
                <w:color w:val="333333"/>
                <w:sz w:val="18"/>
              </w:rPr>
              <w:t>$759.0M</w:t>
            </w:r>
          </w:p>
        </w:tc>
        <w:tc>
          <w:tcPr>
            <w:tcW w:type="dxa" w:w="2520"/>
          </w:tcPr>
          <w:p>
            <w:r>
              <w:rPr>
                <w:rFonts w:ascii="Calibri" w:hAnsi="Calibri"/>
                <w:color w:val="333333"/>
                <w:sz w:val="18"/>
              </w:rPr>
              <w:t>$719.0M</w:t>
            </w:r>
          </w:p>
        </w:tc>
        <w:tc>
          <w:tcPr>
            <w:tcW w:type="dxa" w:w="2520"/>
            <w:shd w:fill="FFF3CD" w:val="clear"/>
          </w:tcPr>
          <w:p>
            <w:r>
              <w:rPr>
                <w:rFonts w:ascii="Calibri" w:hAnsi="Calibri"/>
                <w:color w:val="333333"/>
                <w:sz w:val="18"/>
              </w:rPr>
              <w:t>-5.3%</w:t>
            </w:r>
          </w:p>
        </w:tc>
      </w:tr>
      <w:tr>
        <w:tc>
          <w:tcPr>
            <w:tcW w:type="dxa" w:w="2520"/>
            <w:shd w:fill="F2F4F8" w:val="clear"/>
          </w:tcPr>
          <w:p>
            <w:r>
              <w:rPr>
                <w:rFonts w:ascii="Calibri" w:hAnsi="Calibri"/>
                <w:color w:val="333333"/>
                <w:sz w:val="18"/>
              </w:rPr>
              <w:t>Other non-current assets</w:t>
            </w:r>
          </w:p>
        </w:tc>
        <w:tc>
          <w:tcPr>
            <w:tcW w:type="dxa" w:w="2520"/>
            <w:shd w:fill="F2F4F8" w:val="clear"/>
          </w:tcPr>
          <w:p>
            <w:r>
              <w:rPr>
                <w:rFonts w:ascii="Calibri" w:hAnsi="Calibri"/>
                <w:color w:val="333333"/>
                <w:sz w:val="18"/>
              </w:rPr>
              <w:t>$594.0M</w:t>
            </w:r>
          </w:p>
        </w:tc>
        <w:tc>
          <w:tcPr>
            <w:tcW w:type="dxa" w:w="2520"/>
            <w:shd w:fill="F2F4F8" w:val="clear"/>
          </w:tcPr>
          <w:p>
            <w:r>
              <w:rPr>
                <w:rFonts w:ascii="Calibri" w:hAnsi="Calibri"/>
                <w:color w:val="333333"/>
                <w:sz w:val="18"/>
              </w:rPr>
              <w:t>$605.0M</w:t>
            </w:r>
          </w:p>
        </w:tc>
        <w:tc>
          <w:tcPr>
            <w:tcW w:type="dxa" w:w="2520"/>
            <w:shd w:fill="F2F4F8" w:val="clear"/>
            <w:shd w:fill="FFF3CD" w:val="clear"/>
          </w:tcPr>
          <w:p>
            <w:r>
              <w:rPr>
                <w:rFonts w:ascii="Calibri" w:hAnsi="Calibri"/>
                <w:color w:val="333333"/>
                <w:sz w:val="18"/>
              </w:rPr>
              <w:t>1.9%</w:t>
            </w:r>
          </w:p>
        </w:tc>
      </w:tr>
      <w:tr>
        <w:tc>
          <w:tcPr>
            <w:tcW w:type="dxa" w:w="2520"/>
          </w:tcPr>
          <w:p>
            <w:r>
              <w:rPr>
                <w:rFonts w:ascii="Calibri" w:hAnsi="Calibri"/>
                <w:color w:val="333333"/>
                <w:sz w:val="18"/>
              </w:rPr>
              <w:t>Other non-current liabilities</w:t>
            </w:r>
          </w:p>
        </w:tc>
        <w:tc>
          <w:tcPr>
            <w:tcW w:type="dxa" w:w="2520"/>
          </w:tcPr>
          <w:p>
            <w:r>
              <w:rPr>
                <w:rFonts w:ascii="Calibri" w:hAnsi="Calibri"/>
                <w:color w:val="333333"/>
                <w:sz w:val="18"/>
              </w:rPr>
              <w:t>$267.0M</w:t>
            </w:r>
          </w:p>
        </w:tc>
        <w:tc>
          <w:tcPr>
            <w:tcW w:type="dxa" w:w="2520"/>
          </w:tcPr>
          <w:p>
            <w:r>
              <w:rPr>
                <w:rFonts w:ascii="Calibri" w:hAnsi="Calibri"/>
                <w:color w:val="333333"/>
                <w:sz w:val="18"/>
              </w:rPr>
              <w:t>$285.0M</w:t>
            </w:r>
          </w:p>
        </w:tc>
        <w:tc>
          <w:tcPr>
            <w:tcW w:type="dxa" w:w="2520"/>
            <w:shd w:fill="FFF3CD" w:val="clear"/>
          </w:tcPr>
          <w:p>
            <w:r>
              <w:rPr>
                <w:rFonts w:ascii="Calibri" w:hAnsi="Calibri"/>
                <w:color w:val="333333"/>
                <w:sz w:val="18"/>
              </w:rPr>
              <w:t>6.7%</w:t>
            </w:r>
          </w:p>
        </w:tc>
      </w:tr>
      <w:tr>
        <w:tc>
          <w:tcPr>
            <w:tcW w:type="dxa" w:w="2520"/>
            <w:shd w:fill="F2F4F8" w:val="clear"/>
          </w:tcPr>
          <w:p>
            <w:r>
              <w:rPr>
                <w:rFonts w:ascii="Calibri" w:hAnsi="Calibri"/>
                <w:color w:val="333333"/>
                <w:sz w:val="18"/>
              </w:rPr>
              <w:t>Finance / capital lease obligations</w:t>
            </w:r>
          </w:p>
        </w:tc>
        <w:tc>
          <w:tcPr>
            <w:tcW w:type="dxa" w:w="2520"/>
            <w:shd w:fill="F2F4F8" w:val="clear"/>
          </w:tcPr>
          <w:p>
            <w:r>
              <w:rPr>
                <w:rFonts w:ascii="Calibri" w:hAnsi="Calibri"/>
                <w:color w:val="333333"/>
                <w:sz w:val="18"/>
              </w:rPr>
              <w:t>$62.0M</w:t>
            </w:r>
          </w:p>
        </w:tc>
        <w:tc>
          <w:tcPr>
            <w:tcW w:type="dxa" w:w="2520"/>
            <w:shd w:fill="F2F4F8" w:val="clear"/>
          </w:tcPr>
          <w:p>
            <w:r>
              <w:rPr>
                <w:rFonts w:ascii="Calibri" w:hAnsi="Calibri"/>
                <w:color w:val="333333"/>
                <w:sz w:val="18"/>
              </w:rPr>
              <w:t>$45.0M</w:t>
            </w:r>
          </w:p>
        </w:tc>
        <w:tc>
          <w:tcPr>
            <w:tcW w:type="dxa" w:w="2520"/>
            <w:shd w:fill="F2F4F8" w:val="clear"/>
            <w:shd w:fill="FCE8E6" w:val="clear"/>
          </w:tcPr>
          <w:p>
            <w:r>
              <w:rPr>
                <w:rFonts w:ascii="Calibri" w:hAnsi="Calibri"/>
                <w:color w:val="333333"/>
                <w:sz w:val="18"/>
              </w:rPr>
              <w:t>-27.4%</w:t>
            </w:r>
          </w:p>
        </w:tc>
      </w:tr>
      <w:tr>
        <w:tc>
          <w:tcPr>
            <w:tcW w:type="dxa" w:w="2520"/>
          </w:tcPr>
          <w:p>
            <w:r>
              <w:rPr>
                <w:rFonts w:ascii="Calibri" w:hAnsi="Calibri"/>
                <w:color w:val="333333"/>
                <w:sz w:val="18"/>
              </w:rPr>
              <w:t>Contract liabilities (ASC 606 deferred revenue)</w:t>
            </w:r>
          </w:p>
        </w:tc>
        <w:tc>
          <w:tcPr>
            <w:tcW w:type="dxa" w:w="2520"/>
          </w:tcPr>
          <w:p>
            <w:r>
              <w:rPr>
                <w:rFonts w:ascii="Calibri" w:hAnsi="Calibri"/>
                <w:color w:val="333333"/>
                <w:sz w:val="18"/>
              </w:rPr>
              <w:t>$153.0M</w:t>
            </w:r>
          </w:p>
        </w:tc>
        <w:tc>
          <w:tcPr>
            <w:tcW w:type="dxa" w:w="2520"/>
          </w:tcPr>
          <w:p>
            <w:r>
              <w:rPr>
                <w:rFonts w:ascii="Calibri" w:hAnsi="Calibri"/>
                <w:color w:val="333333"/>
                <w:sz w:val="18"/>
              </w:rPr>
              <w:t>$99.0M</w:t>
            </w:r>
          </w:p>
        </w:tc>
        <w:tc>
          <w:tcPr>
            <w:tcW w:type="dxa" w:w="2520"/>
            <w:shd w:fill="FCE8E6" w:val="clear"/>
          </w:tcPr>
          <w:p>
            <w:r>
              <w:rPr>
                <w:rFonts w:ascii="Calibri" w:hAnsi="Calibri"/>
                <w:color w:val="333333"/>
                <w:sz w:val="18"/>
              </w:rPr>
              <w:t>-35.3%</w:t>
            </w:r>
          </w:p>
        </w:tc>
      </w:tr>
      <w:tr>
        <w:tc>
          <w:tcPr>
            <w:tcW w:type="dxa" w:w="2520"/>
            <w:shd w:fill="F2F4F8" w:val="clear"/>
          </w:tcPr>
          <w:p>
            <w:r>
              <w:rPr>
                <w:rFonts w:ascii="Calibri" w:hAnsi="Calibri"/>
                <w:color w:val="333333"/>
                <w:sz w:val="18"/>
              </w:rPr>
              <w:t>Unrecognized tax benefits (UTB) liability</w:t>
            </w:r>
          </w:p>
        </w:tc>
        <w:tc>
          <w:tcPr>
            <w:tcW w:type="dxa" w:w="2520"/>
            <w:shd w:fill="F2F4F8" w:val="clear"/>
          </w:tcPr>
          <w:p>
            <w:r>
              <w:rPr>
                <w:rFonts w:ascii="Calibri" w:hAnsi="Calibri"/>
                <w:color w:val="333333"/>
                <w:sz w:val="18"/>
              </w:rPr>
              <w:t>$240.0M</w:t>
            </w:r>
          </w:p>
        </w:tc>
        <w:tc>
          <w:tcPr>
            <w:tcW w:type="dxa" w:w="2520"/>
            <w:shd w:fill="F2F4F8" w:val="clear"/>
          </w:tcPr>
          <w:p>
            <w:r>
              <w:rPr>
                <w:rFonts w:ascii="Calibri" w:hAnsi="Calibri"/>
                <w:color w:val="333333"/>
                <w:sz w:val="18"/>
              </w:rPr>
              <w:t>$241.0M</w:t>
            </w:r>
          </w:p>
        </w:tc>
        <w:tc>
          <w:tcPr>
            <w:tcW w:type="dxa" w:w="2520"/>
            <w:shd w:fill="F2F4F8" w:val="clear"/>
          </w:tcPr>
          <w:p>
            <w:r>
              <w:rPr>
                <w:rFonts w:ascii="Calibri" w:hAnsi="Calibri"/>
                <w:color w:val="333333"/>
                <w:sz w:val="18"/>
              </w:rPr>
              <w:t>0.4%</w:t>
            </w:r>
          </w:p>
        </w:tc>
      </w:tr>
      <w:tr>
        <w:tc>
          <w:tcPr>
            <w:tcW w:type="dxa" w:w="2520"/>
          </w:tcPr>
          <w:p>
            <w:r>
              <w:rPr>
                <w:rFonts w:ascii="Calibri" w:hAnsi="Calibri"/>
                <w:color w:val="333333"/>
                <w:sz w:val="18"/>
              </w:rPr>
              <w:t>Unvested stock-based compensation cost not yet recognized</w:t>
            </w:r>
          </w:p>
        </w:tc>
        <w:tc>
          <w:tcPr>
            <w:tcW w:type="dxa" w:w="2520"/>
          </w:tcPr>
          <w:p>
            <w:r>
              <w:rPr>
                <w:rFonts w:ascii="Calibri" w:hAnsi="Calibri"/>
                <w:color w:val="333333"/>
                <w:sz w:val="18"/>
              </w:rPr>
              <w:t>$820.0M</w:t>
            </w:r>
          </w:p>
        </w:tc>
        <w:tc>
          <w:tcPr>
            <w:tcW w:type="dxa" w:w="2520"/>
          </w:tcPr>
          <w:p>
            <w:r>
              <w:rPr>
                <w:rFonts w:ascii="Calibri" w:hAnsi="Calibri"/>
                <w:color w:val="333333"/>
                <w:sz w:val="18"/>
              </w:rPr>
              <w:t>$633.0M</w:t>
            </w:r>
          </w:p>
        </w:tc>
        <w:tc>
          <w:tcPr>
            <w:tcW w:type="dxa" w:w="2520"/>
            <w:shd w:fill="FCE8E6" w:val="clear"/>
          </w:tcPr>
          <w:p>
            <w:r>
              <w:rPr>
                <w:rFonts w:ascii="Calibri" w:hAnsi="Calibri"/>
                <w:color w:val="333333"/>
                <w:sz w:val="18"/>
              </w:rPr>
              <w:t>-22.8%</w:t>
            </w:r>
          </w:p>
        </w:tc>
      </w:tr>
      <w:tr>
        <w:tc>
          <w:tcPr>
            <w:tcW w:type="dxa" w:w="2520"/>
            <w:shd w:fill="F2F4F8" w:val="clear"/>
          </w:tcPr>
          <w:p>
            <w:r>
              <w:rPr>
                <w:rFonts w:ascii="Calibri" w:hAnsi="Calibri"/>
                <w:color w:val="333333"/>
                <w:sz w:val="18"/>
              </w:rPr>
              <w:t>Common stock shares authorized</w:t>
            </w:r>
          </w:p>
        </w:tc>
        <w:tc>
          <w:tcPr>
            <w:tcW w:type="dxa" w:w="2520"/>
            <w:shd w:fill="F2F4F8" w:val="clear"/>
          </w:tcPr>
          <w:p>
            <w:r>
              <w:rPr>
                <w:rFonts w:ascii="Calibri" w:hAnsi="Calibri"/>
                <w:color w:val="333333"/>
                <w:sz w:val="18"/>
              </w:rPr>
              <w:t>1.6B</w:t>
            </w:r>
          </w:p>
        </w:tc>
        <w:tc>
          <w:tcPr>
            <w:tcW w:type="dxa" w:w="2520"/>
            <w:shd w:fill="F2F4F8" w:val="clear"/>
          </w:tcPr>
          <w:p>
            <w:r>
              <w:rPr>
                <w:rFonts w:ascii="Calibri" w:hAnsi="Calibri"/>
                <w:color w:val="333333"/>
                <w:sz w:val="18"/>
              </w:rPr>
              <w:t>1.6B</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Contract with customer liability (total deferred revenue under ASC 606)</w:t>
            </w:r>
          </w:p>
        </w:tc>
        <w:tc>
          <w:tcPr>
            <w:tcW w:type="dxa" w:w="2520"/>
          </w:tcPr>
          <w:p>
            <w:r>
              <w:rPr>
                <w:rFonts w:ascii="Calibri" w:hAnsi="Calibri"/>
                <w:color w:val="333333"/>
                <w:sz w:val="18"/>
              </w:rPr>
              <w:t>$211.0M</w:t>
            </w:r>
          </w:p>
        </w:tc>
        <w:tc>
          <w:tcPr>
            <w:tcW w:type="dxa" w:w="2520"/>
          </w:tcPr>
          <w:p>
            <w:r>
              <w:rPr>
                <w:rFonts w:ascii="Calibri" w:hAnsi="Calibri"/>
                <w:color w:val="333333"/>
                <w:sz w:val="18"/>
              </w:rPr>
              <w:t>$252.0M</w:t>
            </w:r>
          </w:p>
        </w:tc>
        <w:tc>
          <w:tcPr>
            <w:tcW w:type="dxa" w:w="2520"/>
            <w:shd w:fill="DCEEF8" w:val="clear"/>
          </w:tcPr>
          <w:p>
            <w:r>
              <w:rPr>
                <w:rFonts w:ascii="Calibri" w:hAnsi="Calibri"/>
                <w:color w:val="333333"/>
                <w:sz w:val="18"/>
              </w:rPr>
              <w:t>19.4%</w:t>
            </w:r>
          </w:p>
        </w:tc>
      </w:tr>
      <w:tr>
        <w:tc>
          <w:tcPr>
            <w:tcW w:type="dxa" w:w="2520"/>
            <w:shd w:fill="F2F4F8" w:val="clear"/>
          </w:tcPr>
          <w:p>
            <w:r>
              <w:rPr>
                <w:rFonts w:ascii="Calibri" w:hAnsi="Calibri"/>
                <w:color w:val="333333"/>
                <w:sz w:val="18"/>
              </w:rPr>
              <w:t>Current ratio</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$3</w:t>
            </w:r>
          </w:p>
        </w:tc>
        <w:tc>
          <w:tcPr>
            <w:tcW w:type="dxa" w:w="2520"/>
            <w:shd w:fill="F2F4F8" w:val="clear"/>
            <w:shd w:fill="FCE8E6" w:val="clear"/>
          </w:tcPr>
          <w:p>
            <w:r>
              <w:rPr>
                <w:rFonts w:ascii="Calibri" w:hAnsi="Calibri"/>
                <w:color w:val="333333"/>
                <w:sz w:val="18"/>
              </w:rPr>
              <w:t>-10.3%</w:t>
            </w:r>
          </w:p>
        </w:tc>
      </w:tr>
      <w:tr>
        <w:tc>
          <w:tcPr>
            <w:tcW w:type="dxa" w:w="2520"/>
          </w:tcPr>
          <w:p>
            <w:r>
              <w:rPr>
                <w:rFonts w:ascii="Calibri" w:hAnsi="Calibri"/>
                <w:color w:val="333333"/>
                <w:sz w:val="18"/>
              </w:rPr>
              <w:t>Quick ratio</w:t>
            </w:r>
          </w:p>
        </w:tc>
        <w:tc>
          <w:tcPr>
            <w:tcW w:type="dxa" w:w="2520"/>
          </w:tcPr>
          <w:p>
            <w:r>
              <w:rPr>
                <w:rFonts w:ascii="Calibri" w:hAnsi="Calibri"/>
                <w:color w:val="333333"/>
                <w:sz w:val="18"/>
              </w:rPr>
              <w:t>$4</w:t>
            </w:r>
          </w:p>
        </w:tc>
        <w:tc>
          <w:tcPr>
            <w:tcW w:type="dxa" w:w="2520"/>
          </w:tcPr>
          <w:p>
            <w:r>
              <w:rPr>
                <w:rFonts w:ascii="Calibri" w:hAnsi="Calibri"/>
                <w:color w:val="333333"/>
                <w:sz w:val="18"/>
              </w:rPr>
              <w:t>$3</w:t>
            </w:r>
          </w:p>
        </w:tc>
        <w:tc>
          <w:tcPr>
            <w:tcW w:type="dxa" w:w="2520"/>
            <w:shd w:fill="FCE8E6" w:val="clear"/>
          </w:tcPr>
          <w:p>
            <w:r>
              <w:rPr>
                <w:rFonts w:ascii="Calibri" w:hAnsi="Calibri"/>
                <w:color w:val="333333"/>
                <w:sz w:val="18"/>
              </w:rPr>
              <w:t>-11.1%</w:t>
            </w:r>
          </w:p>
        </w:tc>
      </w:tr>
      <w:tr>
        <w:tc>
          <w:tcPr>
            <w:tcW w:type="dxa" w:w="2520"/>
            <w:shd w:fill="F2F4F8" w:val="clear"/>
          </w:tcPr>
          <w:p>
            <w:r>
              <w:rPr>
                <w:rFonts w:ascii="Calibri" w:hAnsi="Calibri"/>
                <w:color w:val="333333"/>
                <w:sz w:val="18"/>
              </w:rPr>
              <w:t>Tangible book value</w:t>
            </w:r>
          </w:p>
        </w:tc>
        <w:tc>
          <w:tcPr>
            <w:tcW w:type="dxa" w:w="2520"/>
            <w:shd w:fill="F2F4F8" w:val="clear"/>
          </w:tcPr>
          <w:p>
            <w:r>
              <w:rPr>
                <w:rFonts w:ascii="Calibri" w:hAnsi="Calibri"/>
                <w:color w:val="333333"/>
                <w:sz w:val="18"/>
              </w:rPr>
              <w:t>$10.8B</w:t>
            </w:r>
          </w:p>
        </w:tc>
        <w:tc>
          <w:tcPr>
            <w:tcW w:type="dxa" w:w="2520"/>
            <w:shd w:fill="F2F4F8" w:val="clear"/>
          </w:tcPr>
          <w:p>
            <w:r>
              <w:rPr>
                <w:rFonts w:ascii="Calibri" w:hAnsi="Calibri"/>
                <w:color w:val="333333"/>
                <w:sz w:val="18"/>
              </w:rPr>
              <w:t>$8.6B</w:t>
            </w:r>
          </w:p>
        </w:tc>
        <w:tc>
          <w:tcPr>
            <w:tcW w:type="dxa" w:w="2520"/>
            <w:shd w:fill="F2F4F8" w:val="clear"/>
            <w:shd w:fill="FCE8E6" w:val="clear"/>
          </w:tcPr>
          <w:p>
            <w:r>
              <w:rPr>
                <w:rFonts w:ascii="Calibri" w:hAnsi="Calibri"/>
                <w:color w:val="333333"/>
                <w:sz w:val="18"/>
              </w:rPr>
              <w:t>-20.9%</w:t>
            </w:r>
          </w:p>
        </w:tc>
      </w:tr>
      <w:tr>
        <w:tc>
          <w:tcPr>
            <w:tcW w:type="dxa" w:w="2520"/>
          </w:tcPr>
          <w:p>
            <w:r>
              <w:rPr>
                <w:rFonts w:ascii="Calibri" w:hAnsi="Calibri"/>
                <w:color w:val="333333"/>
                <w:sz w:val="18"/>
              </w:rPr>
              <w:t>Book value per share</w:t>
            </w:r>
          </w:p>
        </w:tc>
        <w:tc>
          <w:tcPr>
            <w:tcW w:type="dxa" w:w="2520"/>
          </w:tcPr>
          <w:p>
            <w:r>
              <w:rPr>
                <w:rFonts w:ascii="Calibri" w:hAnsi="Calibri"/>
                <w:color w:val="333333"/>
                <w:sz w:val="18"/>
              </w:rPr>
              <w:t>$28.24</w:t>
            </w:r>
          </w:p>
        </w:tc>
        <w:tc>
          <w:tcPr>
            <w:tcW w:type="dxa" w:w="2520"/>
          </w:tcPr>
          <w:p>
            <w:r>
              <w:rPr>
                <w:rFonts w:ascii="Calibri" w:hAnsi="Calibri"/>
                <w:color w:val="333333"/>
                <w:sz w:val="18"/>
              </w:rPr>
              <w:t>$21.95</w:t>
            </w:r>
          </w:p>
        </w:tc>
        <w:tc>
          <w:tcPr>
            <w:tcW w:type="dxa" w:w="2520"/>
            <w:shd w:fill="FCE8E6" w:val="clear"/>
          </w:tcPr>
          <w:p>
            <w:r>
              <w:rPr>
                <w:rFonts w:ascii="Calibri" w:hAnsi="Calibri"/>
                <w:color w:val="333333"/>
                <w:sz w:val="18"/>
              </w:rPr>
              <w:t>-22.3%</w:t>
            </w:r>
          </w:p>
        </w:tc>
      </w:tr>
      <w:tr>
        <w:tc>
          <w:tcPr>
            <w:tcW w:type="dxa" w:w="2520"/>
            <w:shd w:fill="F2F4F8" w:val="clear"/>
          </w:tcPr>
          <w:p>
            <w:r>
              <w:rPr>
                <w:rFonts w:ascii="Calibri" w:hAnsi="Calibri"/>
                <w:color w:val="333333"/>
                <w:sz w:val="18"/>
              </w:rPr>
              <w:t>Return on assets</w:t>
            </w:r>
          </w:p>
        </w:tc>
        <w:tc>
          <w:tcPr>
            <w:tcW w:type="dxa" w:w="2520"/>
            <w:shd w:fill="F2F4F8" w:val="clear"/>
          </w:tcPr>
          <w:p>
            <w:r>
              <w:rPr>
                <w:rFonts w:ascii="Calibri" w:hAnsi="Calibri"/>
                <w:color w:val="333333"/>
                <w:sz w:val="18"/>
              </w:rPr>
              <w:t>$-25</w:t>
            </w:r>
          </w:p>
        </w:tc>
        <w:tc>
          <w:tcPr>
            <w:tcW w:type="dxa" w:w="2520"/>
            <w:shd w:fill="F2F4F8" w:val="clear"/>
          </w:tcPr>
          <w:p>
            <w:r>
              <w:rPr>
                <w:rFonts w:ascii="Calibri" w:hAnsi="Calibri"/>
                <w:color w:val="333333"/>
                <w:sz w:val="18"/>
              </w:rPr>
              <w:t>$-23</w:t>
            </w:r>
          </w:p>
        </w:tc>
        <w:tc>
          <w:tcPr>
            <w:tcW w:type="dxa" w:w="2520"/>
            <w:shd w:fill="F2F4F8" w:val="clear"/>
            <w:shd w:fill="FFF3CD" w:val="clear"/>
          </w:tcPr>
          <w:p>
            <w:r>
              <w:rPr>
                <w:rFonts w:ascii="Calibri" w:hAnsi="Calibri"/>
                <w:color w:val="333333"/>
                <w:sz w:val="18"/>
              </w:rPr>
              <w:t>9.2%</w:t>
            </w:r>
          </w:p>
        </w:tc>
      </w:tr>
      <w:tr>
        <w:tc>
          <w:tcPr>
            <w:tcW w:type="dxa" w:w="2520"/>
          </w:tcPr>
          <w:p>
            <w:r>
              <w:rPr>
                <w:rFonts w:ascii="Calibri" w:hAnsi="Calibri"/>
                <w:color w:val="333333"/>
                <w:sz w:val="18"/>
              </w:rPr>
              <w:t>Return on equity</w:t>
            </w:r>
          </w:p>
        </w:tc>
        <w:tc>
          <w:tcPr>
            <w:tcW w:type="dxa" w:w="2520"/>
          </w:tcPr>
          <w:p>
            <w:r>
              <w:rPr>
                <w:rFonts w:ascii="Calibri" w:hAnsi="Calibri"/>
                <w:color w:val="333333"/>
                <w:sz w:val="18"/>
              </w:rPr>
              <w:t>$-33</w:t>
            </w:r>
          </w:p>
        </w:tc>
        <w:tc>
          <w:tcPr>
            <w:tcW w:type="dxa" w:w="2520"/>
          </w:tcPr>
          <w:p>
            <w:r>
              <w:rPr>
                <w:rFonts w:ascii="Calibri" w:hAnsi="Calibri"/>
                <w:color w:val="333333"/>
                <w:sz w:val="18"/>
              </w:rPr>
              <w:t>$-33</w:t>
            </w:r>
          </w:p>
        </w:tc>
        <w:tc>
          <w:tcPr>
            <w:tcW w:type="dxa" w:w="2520"/>
          </w:tcPr>
          <w:p>
            <w:r>
              <w:rPr>
                <w:rFonts w:ascii="Calibri" w:hAnsi="Calibri"/>
                <w:color w:val="333333"/>
                <w:sz w:val="18"/>
              </w:rPr>
              <w:t>0.1%</w:t>
            </w:r>
          </w:p>
        </w:tc>
      </w:tr>
      <w:tr>
        <w:tc>
          <w:tcPr>
            <w:tcW w:type="dxa" w:w="2520"/>
            <w:shd w:fill="F2F4F8" w:val="clear"/>
          </w:tcPr>
          <w:p>
            <w:r>
              <w:rPr>
                <w:rFonts w:ascii="Calibri" w:hAnsi="Calibri"/>
                <w:color w:val="333333"/>
                <w:sz w:val="18"/>
              </w:rPr>
              <w:t>Asset turnover ratio</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-31.1%</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3.29</w:t>
            </w:r>
          </w:p>
        </w:tc>
        <w:tc>
          <w:tcPr>
            <w:tcW w:type="dxa" w:w="3360"/>
          </w:tcPr>
          <w:p>
            <w:r>
              <w:rPr>
                <w:rFonts w:ascii="Calibri" w:hAnsi="Calibri"/>
                <w:color w:val="333333"/>
                <w:sz w:val="18"/>
              </w:rPr>
              <w:t>Healthy</w:t>
            </w:r>
          </w:p>
        </w:tc>
      </w:tr>
      <w:tr>
        <w:tc>
          <w:tcPr>
            <w:tcW w:type="dxa" w:w="3360"/>
            <w:shd w:fill="F2F4F8" w:val="clear"/>
          </w:tcPr>
          <w:p>
            <w:r>
              <w:rPr>
                <w:rFonts w:ascii="Calibri" w:hAnsi="Calibri"/>
                <w:color w:val="333333"/>
                <w:sz w:val="18"/>
              </w:rPr>
              <w:t>Debt/Assets</w:t>
            </w:r>
          </w:p>
        </w:tc>
        <w:tc>
          <w:tcPr>
            <w:tcW w:type="dxa" w:w="3360"/>
            <w:shd w:fill="F2F4F8" w:val="clear"/>
          </w:tcPr>
          <w:p>
            <w:r>
              <w:rPr>
                <w:rFonts w:ascii="Calibri" w:hAnsi="Calibri"/>
                <w:color w:val="333333"/>
                <w:sz w:val="18"/>
              </w:rPr>
              <w:t>0.30</w:t>
            </w:r>
          </w:p>
        </w:tc>
        <w:tc>
          <w:tcPr>
            <w:tcW w:type="dxa" w:w="3360"/>
            <w:shd w:fill="F2F4F8" w:val="clear"/>
          </w:tcPr>
          <w:p>
            <w:r>
              <w:rPr>
                <w:rFonts w:ascii="Calibri" w:hAnsi="Calibri"/>
                <w:color w:val="333333"/>
                <w:sz w:val="18"/>
              </w:rPr>
              <w:t>Low</w:t>
            </w:r>
          </w:p>
        </w:tc>
      </w:tr>
      <w:tr>
        <w:tc>
          <w:tcPr>
            <w:tcW w:type="dxa" w:w="3360"/>
          </w:tcPr>
          <w:p>
            <w:r>
              <w:rPr>
                <w:rFonts w:ascii="Calibri" w:hAnsi="Calibri"/>
                <w:color w:val="333333"/>
                <w:sz w:val="18"/>
              </w:rPr>
              <w:t>Cash/Assets</w:t>
            </w:r>
          </w:p>
        </w:tc>
        <w:tc>
          <w:tcPr>
            <w:tcW w:type="dxa" w:w="3360"/>
          </w:tcPr>
          <w:p>
            <w:r>
              <w:rPr>
                <w:rFonts w:ascii="Calibri" w:hAnsi="Calibri"/>
                <w:color w:val="333333"/>
                <w:sz w:val="18"/>
              </w:rPr>
              <w:t>21.0%</w:t>
            </w:r>
          </w:p>
        </w:tc>
        <w:tc>
          <w:tcPr>
            <w:tcW w:type="dxa" w:w="3360"/>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$-3.0B</w:t>
            </w:r>
          </w:p>
        </w:tc>
        <w:tc>
          <w:tcPr>
            <w:tcW w:type="dxa" w:w="2520"/>
          </w:tcPr>
          <w:p>
            <w:r>
              <w:rPr>
                <w:rFonts w:ascii="Calibri" w:hAnsi="Calibri"/>
                <w:color w:val="333333"/>
                <w:sz w:val="18"/>
              </w:rPr>
              <w:t>$-1.9B</w:t>
            </w:r>
          </w:p>
        </w:tc>
        <w:tc>
          <w:tcPr>
            <w:tcW w:type="dxa" w:w="2520"/>
            <w:shd w:fill="DCEEF8" w:val="clear"/>
          </w:tcPr>
          <w:p>
            <w:r>
              <w:rPr>
                <w:rFonts w:ascii="Calibri" w:hAnsi="Calibri"/>
                <w:color w:val="333333"/>
                <w:sz w:val="18"/>
              </w:rPr>
              <w:t>37.6%</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$1.9B</w:t>
            </w:r>
          </w:p>
        </w:tc>
        <w:tc>
          <w:tcPr>
            <w:tcW w:type="dxa" w:w="2520"/>
            <w:shd w:fill="F2F4F8" w:val="clear"/>
          </w:tcPr>
          <w:p>
            <w:r>
              <w:rPr>
                <w:rFonts w:ascii="Calibri" w:hAnsi="Calibri"/>
                <w:color w:val="333333"/>
                <w:sz w:val="18"/>
              </w:rPr>
              <w:t>$1.9B</w:t>
            </w:r>
          </w:p>
        </w:tc>
        <w:tc>
          <w:tcPr>
            <w:tcW w:type="dxa" w:w="2520"/>
            <w:shd w:fill="F2F4F8" w:val="clear"/>
          </w:tcPr>
          <w:p>
            <w:r>
              <w:rPr>
                <w:rFonts w:ascii="Calibri" w:hAnsi="Calibri"/>
                <w:color w:val="333333"/>
                <w:sz w:val="18"/>
              </w:rPr>
              <w:t>-0.1%</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$56.0M</w:t>
            </w:r>
          </w:p>
        </w:tc>
        <w:tc>
          <w:tcPr>
            <w:tcW w:type="dxa" w:w="2520"/>
          </w:tcPr>
          <w:p>
            <w:r>
              <w:rPr>
                <w:rFonts w:ascii="Calibri" w:hAnsi="Calibri"/>
                <w:color w:val="333333"/>
                <w:sz w:val="18"/>
              </w:rPr>
              <w:t>$593.0M</w:t>
            </w:r>
          </w:p>
        </w:tc>
        <w:tc>
          <w:tcPr>
            <w:tcW w:type="dxa" w:w="2520"/>
            <w:shd w:fill="DCEEF8" w:val="clear"/>
          </w:tcPr>
          <w:p>
            <w:r>
              <w:rPr>
                <w:rFonts w:ascii="Calibri" w:hAnsi="Calibri"/>
                <w:color w:val="333333"/>
                <w:sz w:val="18"/>
              </w:rPr>
              <w:t>958.9%</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$1.1B</w:t>
            </w:r>
          </w:p>
        </w:tc>
        <w:tc>
          <w:tcPr>
            <w:tcW w:type="dxa" w:w="2520"/>
            <w:shd w:fill="F2F4F8" w:val="clear"/>
          </w:tcPr>
          <w:p>
            <w:r>
              <w:rPr>
                <w:rFonts w:ascii="Calibri" w:hAnsi="Calibri"/>
                <w:color w:val="333333"/>
                <w:sz w:val="18"/>
              </w:rPr>
              <w:t>$192.0M</w:t>
            </w:r>
          </w:p>
        </w:tc>
        <w:tc>
          <w:tcPr>
            <w:tcW w:type="dxa" w:w="2520"/>
            <w:shd w:fill="F2F4F8" w:val="clear"/>
            <w:shd w:fill="FCE8E6" w:val="clear"/>
          </w:tcPr>
          <w:p>
            <w:r>
              <w:rPr>
                <w:rFonts w:ascii="Calibri" w:hAnsi="Calibri"/>
                <w:color w:val="333333"/>
                <w:sz w:val="18"/>
              </w:rPr>
              <w:t>-81.7%</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$185.0M</w:t>
            </w:r>
          </w:p>
        </w:tc>
        <w:tc>
          <w:tcPr>
            <w:tcW w:type="dxa" w:w="2520"/>
          </w:tcPr>
          <w:p>
            <w:r>
              <w:rPr>
                <w:rFonts w:ascii="Calibri" w:hAnsi="Calibri"/>
                <w:color w:val="333333"/>
                <w:sz w:val="18"/>
              </w:rPr>
              <w:t>$211.0M</w:t>
            </w:r>
          </w:p>
        </w:tc>
        <w:tc>
          <w:tcPr>
            <w:tcW w:type="dxa" w:w="2520"/>
            <w:shd w:fill="DCEEF8" w:val="clear"/>
          </w:tcPr>
          <w:p>
            <w:r>
              <w:rPr>
                <w:rFonts w:ascii="Calibri" w:hAnsi="Calibri"/>
                <w:color w:val="333333"/>
                <w:sz w:val="18"/>
              </w:rPr>
              <w:t>14.1%</w:t>
            </w:r>
          </w:p>
        </w:tc>
      </w:tr>
      <w:tr>
        <w:tc>
          <w:tcPr>
            <w:tcW w:type="dxa" w:w="2520"/>
            <w:shd w:fill="F2F4F8" w:val="clear"/>
          </w:tcPr>
          <w:p>
            <w:r>
              <w:rPr>
                <w:rFonts w:ascii="Calibri" w:hAnsi="Calibri"/>
                <w:color w:val="333333"/>
                <w:sz w:val="18"/>
              </w:rPr>
              <w:t>Share repurchases / buybacks</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$2.0M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Acquisitions, net of cash acquired</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Proceeds from stock issuance</w:t>
            </w:r>
          </w:p>
        </w:tc>
        <w:tc>
          <w:tcPr>
            <w:tcW w:type="dxa" w:w="2520"/>
            <w:shd w:fill="F2F4F8" w:val="clear"/>
          </w:tcPr>
          <w:p>
            <w:r>
              <w:rPr>
                <w:rFonts w:ascii="Calibri" w:hAnsi="Calibri"/>
                <w:color w:val="333333"/>
                <w:sz w:val="18"/>
              </w:rPr>
              <w:t>$66.0M</w:t>
            </w:r>
          </w:p>
        </w:tc>
        <w:tc>
          <w:tcPr>
            <w:tcW w:type="dxa" w:w="2520"/>
            <w:shd w:fill="F2F4F8" w:val="clear"/>
          </w:tcPr>
          <w:p>
            <w:r>
              <w:rPr>
                <w:rFonts w:ascii="Calibri" w:hAnsi="Calibri"/>
                <w:color w:val="333333"/>
                <w:sz w:val="18"/>
              </w:rPr>
              <w:t>$35.0M</w:t>
            </w:r>
          </w:p>
        </w:tc>
        <w:tc>
          <w:tcPr>
            <w:tcW w:type="dxa" w:w="2520"/>
            <w:shd w:fill="F2F4F8" w:val="clear"/>
            <w:shd w:fill="FCE8E6" w:val="clear"/>
          </w:tcPr>
          <w:p>
            <w:r>
              <w:rPr>
                <w:rFonts w:ascii="Calibri" w:hAnsi="Calibri"/>
                <w:color w:val="333333"/>
                <w:sz w:val="18"/>
              </w:rPr>
              <w:t>-47.0%</w:t>
            </w:r>
          </w:p>
        </w:tc>
      </w:tr>
      <w:tr>
        <w:tc>
          <w:tcPr>
            <w:tcW w:type="dxa" w:w="2520"/>
          </w:tcPr>
          <w:p>
            <w:r>
              <w:rPr>
                <w:rFonts w:ascii="Calibri" w:hAnsi="Calibri"/>
                <w:color w:val="333333"/>
                <w:sz w:val="18"/>
              </w:rPr>
              <w:t>Interest paid (supplemental)</w:t>
            </w:r>
          </w:p>
        </w:tc>
        <w:tc>
          <w:tcPr>
            <w:tcW w:type="dxa" w:w="2520"/>
          </w:tcPr>
          <w:p>
            <w:r>
              <w:rPr>
                <w:rFonts w:ascii="Calibri" w:hAnsi="Calibri"/>
                <w:color w:val="333333"/>
                <w:sz w:val="18"/>
              </w:rPr>
              <w:t>$24.0M</w:t>
            </w:r>
          </w:p>
        </w:tc>
        <w:tc>
          <w:tcPr>
            <w:tcW w:type="dxa" w:w="2520"/>
          </w:tcPr>
          <w:p>
            <w:r>
              <w:rPr>
                <w:rFonts w:ascii="Calibri" w:hAnsi="Calibri"/>
                <w:color w:val="333333"/>
                <w:sz w:val="18"/>
              </w:rPr>
              <w:t>$10.0M</w:t>
            </w:r>
          </w:p>
        </w:tc>
        <w:tc>
          <w:tcPr>
            <w:tcW w:type="dxa" w:w="2520"/>
            <w:shd w:fill="FCE8E6" w:val="clear"/>
          </w:tcPr>
          <w:p>
            <w:r>
              <w:rPr>
                <w:rFonts w:ascii="Calibri" w:hAnsi="Calibri"/>
                <w:color w:val="333333"/>
                <w:sz w:val="18"/>
              </w:rPr>
              <w:t>-58.3%</w:t>
            </w:r>
          </w:p>
        </w:tc>
      </w:tr>
      <w:tr>
        <w:tc>
          <w:tcPr>
            <w:tcW w:type="dxa" w:w="2520"/>
            <w:shd w:fill="F2F4F8" w:val="clear"/>
          </w:tcPr>
          <w:p>
            <w:r>
              <w:rPr>
                <w:rFonts w:ascii="Calibri" w:hAnsi="Calibri"/>
                <w:color w:val="333333"/>
                <w:sz w:val="18"/>
              </w:rPr>
              <w:t>Income taxes paid (supplemental)</w:t>
            </w:r>
          </w:p>
        </w:tc>
        <w:tc>
          <w:tcPr>
            <w:tcW w:type="dxa" w:w="2520"/>
            <w:shd w:fill="F2F4F8" w:val="clear"/>
          </w:tcPr>
          <w:p>
            <w:r>
              <w:rPr>
                <w:rFonts w:ascii="Calibri" w:hAnsi="Calibri"/>
                <w:color w:val="333333"/>
                <w:sz w:val="18"/>
              </w:rPr>
              <w:t>$197.0M</w:t>
            </w:r>
          </w:p>
        </w:tc>
        <w:tc>
          <w:tcPr>
            <w:tcW w:type="dxa" w:w="2520"/>
            <w:shd w:fill="F2F4F8" w:val="clear"/>
          </w:tcPr>
          <w:p>
            <w:r>
              <w:rPr>
                <w:rFonts w:ascii="Calibri" w:hAnsi="Calibri"/>
                <w:color w:val="333333"/>
                <w:sz w:val="18"/>
              </w:rPr>
              <w:t>$26.0M</w:t>
            </w:r>
          </w:p>
        </w:tc>
        <w:tc>
          <w:tcPr>
            <w:tcW w:type="dxa" w:w="2520"/>
            <w:shd w:fill="F2F4F8" w:val="clear"/>
            <w:shd w:fill="FCE8E6" w:val="clear"/>
          </w:tcPr>
          <w:p>
            <w:r>
              <w:rPr>
                <w:rFonts w:ascii="Calibri" w:hAnsi="Calibri"/>
                <w:color w:val="333333"/>
                <w:sz w:val="18"/>
              </w:rPr>
              <w:t>-86.8%</w:t>
            </w:r>
          </w:p>
        </w:tc>
      </w:tr>
      <w:tr>
        <w:tc>
          <w:tcPr>
            <w:tcW w:type="dxa" w:w="2520"/>
          </w:tcPr>
          <w:p>
            <w:r>
              <w:rPr>
                <w:rFonts w:ascii="Calibri" w:hAnsi="Calibri"/>
                <w:color w:val="333333"/>
                <w:sz w:val="18"/>
              </w:rPr>
              <w:t>Stock-based compensation (cash flow adjustment)</w:t>
            </w:r>
          </w:p>
        </w:tc>
        <w:tc>
          <w:tcPr>
            <w:tcW w:type="dxa" w:w="2520"/>
          </w:tcPr>
          <w:p>
            <w:r>
              <w:rPr>
                <w:rFonts w:ascii="Calibri" w:hAnsi="Calibri"/>
                <w:color w:val="333333"/>
                <w:sz w:val="18"/>
              </w:rPr>
              <w:t>$429.0M</w:t>
            </w:r>
          </w:p>
        </w:tc>
        <w:tc>
          <w:tcPr>
            <w:tcW w:type="dxa" w:w="2520"/>
          </w:tcPr>
          <w:p>
            <w:r>
              <w:rPr>
                <w:rFonts w:ascii="Calibri" w:hAnsi="Calibri"/>
                <w:color w:val="333333"/>
                <w:sz w:val="18"/>
              </w:rPr>
              <w:t>$483.0M</w:t>
            </w:r>
          </w:p>
        </w:tc>
        <w:tc>
          <w:tcPr>
            <w:tcW w:type="dxa" w:w="2520"/>
            <w:shd w:fill="DCEEF8" w:val="clear"/>
          </w:tcPr>
          <w:p>
            <w:r>
              <w:rPr>
                <w:rFonts w:ascii="Calibri" w:hAnsi="Calibri"/>
                <w:color w:val="333333"/>
                <w:sz w:val="18"/>
              </w:rPr>
              <w:t>12.6%</w:t>
            </w:r>
          </w:p>
        </w:tc>
      </w:tr>
      <w:tr>
        <w:tc>
          <w:tcPr>
            <w:tcW w:type="dxa" w:w="2520"/>
            <w:shd w:fill="F2F4F8" w:val="clear"/>
          </w:tcPr>
          <w:p>
            <w:r>
              <w:rPr>
                <w:rFonts w:ascii="Calibri" w:hAnsi="Calibri"/>
                <w:color w:val="333333"/>
                <w:sz w:val="18"/>
              </w:rPr>
              <w:t>Net increase/decrease in cash and equivalents</w:t>
            </w:r>
          </w:p>
        </w:tc>
        <w:tc>
          <w:tcPr>
            <w:tcW w:type="dxa" w:w="2520"/>
            <w:shd w:fill="F2F4F8" w:val="clear"/>
          </w:tcPr>
          <w:p>
            <w:r>
              <w:rPr>
                <w:rFonts w:ascii="Calibri" w:hAnsi="Calibri"/>
                <w:color w:val="333333"/>
                <w:sz w:val="18"/>
              </w:rPr>
              <w:t>$-999.0M</w:t>
            </w:r>
          </w:p>
        </w:tc>
        <w:tc>
          <w:tcPr>
            <w:tcW w:type="dxa" w:w="2520"/>
            <w:shd w:fill="F2F4F8" w:val="clear"/>
          </w:tcPr>
          <w:p>
            <w:r>
              <w:rPr>
                <w:rFonts w:ascii="Calibri" w:hAnsi="Calibri"/>
                <w:color w:val="333333"/>
                <w:sz w:val="18"/>
              </w:rPr>
              <w:t>$668.0M</w:t>
            </w:r>
          </w:p>
        </w:tc>
        <w:tc>
          <w:tcPr>
            <w:tcW w:type="dxa" w:w="2520"/>
            <w:shd w:fill="F2F4F8" w:val="clear"/>
            <w:shd w:fill="DCEEF8" w:val="clear"/>
          </w:tcPr>
          <w:p>
            <w:r>
              <w:rPr>
                <w:rFonts w:ascii="Calibri" w:hAnsi="Calibri"/>
                <w:color w:val="333333"/>
                <w:sz w:val="18"/>
              </w:rPr>
              <w:t>166.9%</w:t>
            </w:r>
          </w:p>
        </w:tc>
      </w:tr>
      <w:tr>
        <w:tc>
          <w:tcPr>
            <w:tcW w:type="dxa" w:w="2520"/>
          </w:tcPr>
          <w:p>
            <w:r>
              <w:rPr>
                <w:rFonts w:ascii="Calibri" w:hAnsi="Calibri"/>
                <w:color w:val="333333"/>
                <w:sz w:val="18"/>
              </w:rPr>
              <w:t>Purchases of investments</w:t>
            </w:r>
          </w:p>
        </w:tc>
        <w:tc>
          <w:tcPr>
            <w:tcW w:type="dxa" w:w="2520"/>
          </w:tcPr>
          <w:p>
            <w:r>
              <w:rPr>
                <w:rFonts w:ascii="Calibri" w:hAnsi="Calibri"/>
                <w:color w:val="333333"/>
                <w:sz w:val="18"/>
              </w:rPr>
              <w:t>$6.5B</w:t>
            </w:r>
          </w:p>
        </w:tc>
        <w:tc>
          <w:tcPr>
            <w:tcW w:type="dxa" w:w="2520"/>
          </w:tcPr>
          <w:p>
            <w:r>
              <w:rPr>
                <w:rFonts w:ascii="Calibri" w:hAnsi="Calibri"/>
                <w:color w:val="333333"/>
                <w:sz w:val="18"/>
              </w:rPr>
              <w:t>$5.8B</w:t>
            </w:r>
          </w:p>
        </w:tc>
        <w:tc>
          <w:tcPr>
            <w:tcW w:type="dxa" w:w="2520"/>
            <w:shd w:fill="FCE8E6" w:val="clear"/>
          </w:tcPr>
          <w:p>
            <w:r>
              <w:rPr>
                <w:rFonts w:ascii="Calibri" w:hAnsi="Calibri"/>
                <w:color w:val="333333"/>
                <w:sz w:val="18"/>
              </w:rPr>
              <w:t>-11.7%</w:t>
            </w:r>
          </w:p>
        </w:tc>
      </w:tr>
      <w:tr>
        <w:tc>
          <w:tcPr>
            <w:tcW w:type="dxa" w:w="2520"/>
            <w:shd w:fill="F2F4F8" w:val="clear"/>
          </w:tcPr>
          <w:p>
            <w:r>
              <w:rPr>
                <w:rFonts w:ascii="Calibri" w:hAnsi="Calibri"/>
                <w:color w:val="333333"/>
                <w:sz w:val="18"/>
              </w:rPr>
              <w:t>Proceeds from sale/maturity of investments</w:t>
            </w:r>
          </w:p>
        </w:tc>
        <w:tc>
          <w:tcPr>
            <w:tcW w:type="dxa" w:w="2520"/>
            <w:shd w:fill="F2F4F8" w:val="clear"/>
          </w:tcPr>
          <w:p>
            <w:r>
              <w:rPr>
                <w:rFonts w:ascii="Calibri" w:hAnsi="Calibri"/>
                <w:color w:val="333333"/>
                <w:sz w:val="18"/>
              </w:rPr>
              <w:t>$4.0B</w:t>
            </w:r>
          </w:p>
        </w:tc>
        <w:tc>
          <w:tcPr>
            <w:tcW w:type="dxa" w:w="2520"/>
            <w:shd w:fill="F2F4F8" w:val="clear"/>
          </w:tcPr>
          <w:p>
            <w:r>
              <w:rPr>
                <w:rFonts w:ascii="Calibri" w:hAnsi="Calibri"/>
                <w:color w:val="333333"/>
                <w:sz w:val="18"/>
              </w:rPr>
              <w:t>$2.4B</w:t>
            </w:r>
          </w:p>
        </w:tc>
        <w:tc>
          <w:tcPr>
            <w:tcW w:type="dxa" w:w="2520"/>
            <w:shd w:fill="F2F4F8" w:val="clear"/>
            <w:shd w:fill="FCE8E6" w:val="clear"/>
          </w:tcPr>
          <w:p>
            <w:r>
              <w:rPr>
                <w:rFonts w:ascii="Calibri" w:hAnsi="Calibri"/>
                <w:color w:val="333333"/>
                <w:sz w:val="18"/>
              </w:rPr>
              <w:t>-40.7%</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$-1.0M</w:t>
            </w:r>
          </w:p>
        </w:tc>
        <w:tc>
          <w:tcPr>
            <w:tcW w:type="dxa" w:w="2520"/>
          </w:tcPr>
          <w:p>
            <w:r>
              <w:rPr>
                <w:rFonts w:ascii="Calibri" w:hAnsi="Calibri"/>
                <w:color w:val="333333"/>
                <w:sz w:val="18"/>
              </w:rPr>
              <w:t>$10.0M</w:t>
            </w:r>
          </w:p>
        </w:tc>
        <w:tc>
          <w:tcPr>
            <w:tcW w:type="dxa" w:w="2520"/>
            <w:shd w:fill="DCEEF8" w:val="clear"/>
          </w:tcPr>
          <w:p>
            <w:r>
              <w:rPr>
                <w:rFonts w:ascii="Calibri" w:hAnsi="Calibri"/>
                <w:color w:val="333333"/>
                <w:sz w:val="18"/>
              </w:rPr>
              <w:t>1100.0%</w:t>
            </w:r>
          </w:p>
        </w:tc>
      </w:tr>
      <w:tr>
        <w:tc>
          <w:tcPr>
            <w:tcW w:type="dxa" w:w="2520"/>
            <w:shd w:fill="F2F4F8" w:val="clear"/>
          </w:tcPr>
          <w:p>
            <w:r>
              <w:rPr>
                <w:rFonts w:ascii="Calibri" w:hAnsi="Calibri"/>
                <w:color w:val="333333"/>
                <w:sz w:val="18"/>
              </w:rPr>
              <w:t>Change in accounts receivable</w:t>
            </w:r>
          </w:p>
        </w:tc>
        <w:tc>
          <w:tcPr>
            <w:tcW w:type="dxa" w:w="2520"/>
            <w:shd w:fill="F2F4F8" w:val="clear"/>
          </w:tcPr>
          <w:p>
            <w:r>
              <w:rPr>
                <w:rFonts w:ascii="Calibri" w:hAnsi="Calibri"/>
                <w:color w:val="333333"/>
                <w:sz w:val="18"/>
              </w:rPr>
              <w:t>$-534.0M</w:t>
            </w:r>
          </w:p>
        </w:tc>
        <w:tc>
          <w:tcPr>
            <w:tcW w:type="dxa" w:w="2520"/>
            <w:shd w:fill="F2F4F8" w:val="clear"/>
          </w:tcPr>
          <w:p>
            <w:r>
              <w:rPr>
                <w:rFonts w:ascii="Calibri" w:hAnsi="Calibri"/>
                <w:color w:val="333333"/>
                <w:sz w:val="18"/>
              </w:rPr>
              <w:t>$-156.0M</w:t>
            </w:r>
          </w:p>
        </w:tc>
        <w:tc>
          <w:tcPr>
            <w:tcW w:type="dxa" w:w="2520"/>
            <w:shd w:fill="F2F4F8" w:val="clear"/>
            <w:shd w:fill="DCEEF8" w:val="clear"/>
          </w:tcPr>
          <w:p>
            <w:r>
              <w:rPr>
                <w:rFonts w:ascii="Calibri" w:hAnsi="Calibri"/>
                <w:color w:val="333333"/>
                <w:sz w:val="18"/>
              </w:rPr>
              <w:t>70.8%</w:t>
            </w:r>
          </w:p>
        </w:tc>
      </w:tr>
      <w:tr>
        <w:tc>
          <w:tcPr>
            <w:tcW w:type="dxa" w:w="2520"/>
          </w:tcPr>
          <w:p>
            <w:r>
              <w:rPr>
                <w:rFonts w:ascii="Calibri" w:hAnsi="Calibri"/>
                <w:color w:val="333333"/>
                <w:sz w:val="18"/>
              </w:rPr>
              <w:t>Change in inventory</w:t>
            </w:r>
          </w:p>
        </w:tc>
        <w:tc>
          <w:tcPr>
            <w:tcW w:type="dxa" w:w="2520"/>
          </w:tcPr>
          <w:p>
            <w:r>
              <w:rPr>
                <w:rFonts w:ascii="Calibri" w:hAnsi="Calibri"/>
                <w:color w:val="333333"/>
                <w:sz w:val="18"/>
              </w:rPr>
              <w:t>$-83.0M</w:t>
            </w:r>
          </w:p>
        </w:tc>
        <w:tc>
          <w:tcPr>
            <w:tcW w:type="dxa" w:w="2520"/>
          </w:tcPr>
          <w:p>
            <w:r>
              <w:rPr>
                <w:rFonts w:ascii="Calibri" w:hAnsi="Calibri"/>
                <w:color w:val="333333"/>
                <w:sz w:val="18"/>
              </w:rPr>
              <w:t>$34.0M</w:t>
            </w:r>
          </w:p>
        </w:tc>
        <w:tc>
          <w:tcPr>
            <w:tcW w:type="dxa" w:w="2520"/>
            <w:shd w:fill="DCEEF8" w:val="clear"/>
          </w:tcPr>
          <w:p>
            <w:r>
              <w:rPr>
                <w:rFonts w:ascii="Calibri" w:hAnsi="Calibri"/>
                <w:color w:val="333333"/>
                <w:sz w:val="18"/>
              </w:rPr>
              <w:t>141.0%</w:t>
            </w:r>
          </w:p>
        </w:tc>
      </w:tr>
      <w:tr>
        <w:tc>
          <w:tcPr>
            <w:tcW w:type="dxa" w:w="2520"/>
            <w:shd w:fill="F2F4F8" w:val="clear"/>
          </w:tcPr>
          <w:p>
            <w:r>
              <w:rPr>
                <w:rFonts w:ascii="Calibri" w:hAnsi="Calibri"/>
                <w:color w:val="333333"/>
                <w:sz w:val="18"/>
              </w:rPr>
              <w:t>Change in accounts payable</w:t>
            </w:r>
          </w:p>
        </w:tc>
        <w:tc>
          <w:tcPr>
            <w:tcW w:type="dxa" w:w="2520"/>
            <w:shd w:fill="F2F4F8" w:val="clear"/>
          </w:tcPr>
          <w:p>
            <w:r>
              <w:rPr>
                <w:rFonts w:ascii="Calibri" w:hAnsi="Calibri"/>
                <w:color w:val="333333"/>
                <w:sz w:val="18"/>
              </w:rPr>
              <w:t>$-69.0M</w:t>
            </w:r>
          </w:p>
        </w:tc>
        <w:tc>
          <w:tcPr>
            <w:tcW w:type="dxa" w:w="2520"/>
            <w:shd w:fill="F2F4F8" w:val="clear"/>
          </w:tcPr>
          <w:p>
            <w:r>
              <w:rPr>
                <w:rFonts w:ascii="Calibri" w:hAnsi="Calibri"/>
                <w:color w:val="333333"/>
                <w:sz w:val="18"/>
              </w:rPr>
              <w:t>$-92.0M</w:t>
            </w:r>
          </w:p>
        </w:tc>
        <w:tc>
          <w:tcPr>
            <w:tcW w:type="dxa" w:w="2520"/>
            <w:shd w:fill="F2F4F8" w:val="clear"/>
            <w:shd w:fill="FCE8E6" w:val="clear"/>
          </w:tcPr>
          <w:p>
            <w:r>
              <w:rPr>
                <w:rFonts w:ascii="Calibri" w:hAnsi="Calibri"/>
                <w:color w:val="333333"/>
                <w:sz w:val="18"/>
              </w:rPr>
              <w:t>-33.3%</w:t>
            </w:r>
          </w:p>
        </w:tc>
      </w:tr>
      <w:tr>
        <w:tc>
          <w:tcPr>
            <w:tcW w:type="dxa" w:w="2520"/>
          </w:tcPr>
          <w:p>
            <w:r>
              <w:rPr>
                <w:rFonts w:ascii="Calibri" w:hAnsi="Calibri"/>
                <w:color w:val="333333"/>
                <w:sz w:val="18"/>
              </w:rPr>
              <w:t>Effect of exchange rate changes on cash</w:t>
            </w:r>
          </w:p>
        </w:tc>
        <w:tc>
          <w:tcPr>
            <w:tcW w:type="dxa" w:w="2520"/>
          </w:tcPr>
          <w:p>
            <w:r>
              <w:rPr>
                <w:rFonts w:ascii="Calibri" w:hAnsi="Calibri"/>
                <w:color w:val="333333"/>
                <w:sz w:val="18"/>
              </w:rPr>
              <w:t>$1.0M</w:t>
            </w:r>
          </w:p>
        </w:tc>
        <w:tc>
          <w:tcPr>
            <w:tcW w:type="dxa" w:w="2520"/>
          </w:tcPr>
          <w:p>
            <w:r>
              <w:rPr>
                <w:rFonts w:ascii="Calibri" w:hAnsi="Calibri"/>
                <w:color w:val="333333"/>
                <w:sz w:val="18"/>
              </w:rPr>
              <w:t>$2.0M</w:t>
            </w:r>
          </w:p>
        </w:tc>
        <w:tc>
          <w:tcPr>
            <w:tcW w:type="dxa" w:w="2520"/>
            <w:shd w:fill="DCEEF8" w:val="clear"/>
          </w:tcPr>
          <w:p>
            <w:r>
              <w:rPr>
                <w:rFonts w:ascii="Calibri" w:hAnsi="Calibri"/>
                <w:color w:val="333333"/>
                <w:sz w:val="18"/>
              </w:rPr>
              <w:t>100.0%</w:t>
            </w:r>
          </w:p>
        </w:tc>
      </w:tr>
      <w:tr>
        <w:tc>
          <w:tcPr>
            <w:tcW w:type="dxa" w:w="2520"/>
            <w:shd w:fill="F2F4F8" w:val="clear"/>
          </w:tcPr>
          <w:p>
            <w:r>
              <w:rPr>
                <w:rFonts w:ascii="Calibri" w:hAnsi="Calibri"/>
                <w:color w:val="333333"/>
                <w:sz w:val="18"/>
              </w:rPr>
              <w:t>Free cash flow</w:t>
            </w:r>
          </w:p>
        </w:tc>
        <w:tc>
          <w:tcPr>
            <w:tcW w:type="dxa" w:w="2520"/>
            <w:shd w:fill="F2F4F8" w:val="clear"/>
          </w:tcPr>
          <w:p>
            <w:r>
              <w:rPr>
                <w:rFonts w:ascii="Calibri" w:hAnsi="Calibri"/>
                <w:color w:val="333333"/>
                <w:sz w:val="18"/>
              </w:rPr>
              <w:t>$-4.1B</w:t>
            </w:r>
          </w:p>
        </w:tc>
        <w:tc>
          <w:tcPr>
            <w:tcW w:type="dxa" w:w="2520"/>
            <w:shd w:fill="F2F4F8" w:val="clear"/>
          </w:tcPr>
          <w:p>
            <w:r>
              <w:rPr>
                <w:rFonts w:ascii="Calibri" w:hAnsi="Calibri"/>
                <w:color w:val="333333"/>
                <w:sz w:val="18"/>
              </w:rPr>
              <w:t>$-2.1B</w:t>
            </w:r>
          </w:p>
        </w:tc>
        <w:tc>
          <w:tcPr>
            <w:tcW w:type="dxa" w:w="2520"/>
            <w:shd w:fill="F2F4F8" w:val="clear"/>
            <w:shd w:fill="DCEEF8" w:val="clear"/>
          </w:tcPr>
          <w:p>
            <w:r>
              <w:rPr>
                <w:rFonts w:ascii="Calibri" w:hAnsi="Calibri"/>
                <w:color w:val="333333"/>
                <w:sz w:val="18"/>
              </w:rPr>
              <w:t>49.1%</w:t>
            </w:r>
          </w:p>
        </w:tc>
      </w:tr>
      <w:tr>
        <w:tc>
          <w:tcPr>
            <w:tcW w:type="dxa" w:w="2520"/>
          </w:tcPr>
          <w:p>
            <w:r>
              <w:rPr>
                <w:rFonts w:ascii="Calibri" w:hAnsi="Calibri"/>
                <w:color w:val="333333"/>
                <w:sz w:val="18"/>
              </w:rPr>
              <w:t>FCF-to-revenue ratio</w:t>
            </w:r>
          </w:p>
        </w:tc>
        <w:tc>
          <w:tcPr>
            <w:tcW w:type="dxa" w:w="2520"/>
          </w:tcPr>
          <w:p>
            <w:r>
              <w:rPr>
                <w:rFonts w:ascii="Calibri" w:hAnsi="Calibri"/>
                <w:color w:val="333333"/>
                <w:sz w:val="18"/>
              </w:rPr>
              <w:t>$-125</w:t>
            </w:r>
          </w:p>
        </w:tc>
        <w:tc>
          <w:tcPr>
            <w:tcW w:type="dxa" w:w="2520"/>
          </w:tcPr>
          <w:p>
            <w:r>
              <w:rPr>
                <w:rFonts w:ascii="Calibri" w:hAnsi="Calibri"/>
                <w:color w:val="333333"/>
                <w:sz w:val="18"/>
              </w:rPr>
              <w:t>$-106</w:t>
            </w:r>
          </w:p>
        </w:tc>
        <w:tc>
          <w:tcPr>
            <w:tcW w:type="dxa" w:w="2520"/>
            <w:shd w:fill="DCEEF8" w:val="clear"/>
          </w:tcPr>
          <w:p>
            <w:r>
              <w:rPr>
                <w:rFonts w:ascii="Calibri" w:hAnsi="Calibri"/>
                <w:color w:val="333333"/>
                <w:sz w:val="18"/>
              </w:rPr>
              <w:t>15.2%</w:t>
            </w:r>
          </w:p>
        </w:tc>
      </w:tr>
      <w:tr>
        <w:tc>
          <w:tcPr>
            <w:tcW w:type="dxa" w:w="2520"/>
            <w:shd w:fill="F2F4F8" w:val="clear"/>
          </w:tcPr>
          <w:p>
            <w:r>
              <w:rPr>
                <w:rFonts w:ascii="Calibri" w:hAnsi="Calibri"/>
                <w:color w:val="333333"/>
                <w:sz w:val="18"/>
              </w:rPr>
              <w:t>Capex-to-revenue ratio</w:t>
            </w:r>
          </w:p>
        </w:tc>
        <w:tc>
          <w:tcPr>
            <w:tcW w:type="dxa" w:w="2520"/>
            <w:shd w:fill="F2F4F8" w:val="clear"/>
          </w:tcPr>
          <w:p>
            <w:r>
              <w:rPr>
                <w:rFonts w:ascii="Calibri" w:hAnsi="Calibri"/>
                <w:color w:val="333333"/>
                <w:sz w:val="18"/>
              </w:rPr>
              <w:t>$32</w:t>
            </w:r>
          </w:p>
        </w:tc>
        <w:tc>
          <w:tcPr>
            <w:tcW w:type="dxa" w:w="2520"/>
            <w:shd w:fill="F2F4F8" w:val="clear"/>
          </w:tcPr>
          <w:p>
            <w:r>
              <w:rPr>
                <w:rFonts w:ascii="Calibri" w:hAnsi="Calibri"/>
                <w:color w:val="333333"/>
                <w:sz w:val="18"/>
              </w:rPr>
              <w:t>$10</w:t>
            </w:r>
          </w:p>
        </w:tc>
        <w:tc>
          <w:tcPr>
            <w:tcW w:type="dxa" w:w="2520"/>
            <w:shd w:fill="F2F4F8" w:val="clear"/>
            <w:shd w:fill="FCE8E6" w:val="clear"/>
          </w:tcPr>
          <w:p>
            <w:r>
              <w:rPr>
                <w:rFonts w:ascii="Calibri" w:hAnsi="Calibri"/>
                <w:color w:val="333333"/>
                <w:sz w:val="18"/>
              </w:rPr>
              <w:t>-69.6%</w:t>
            </w:r>
          </w:p>
        </w:tc>
      </w:tr>
      <w:tr>
        <w:tc>
          <w:tcPr>
            <w:tcW w:type="dxa" w:w="2520"/>
          </w:tcPr>
          <w:p>
            <w:r>
              <w:rPr>
                <w:rFonts w:ascii="Calibri" w:hAnsi="Calibri"/>
                <w:color w:val="333333"/>
                <w:sz w:val="18"/>
              </w:rPr>
              <w:t>Capex-to-depreciation ratio</w:t>
            </w:r>
          </w:p>
        </w:tc>
        <w:tc>
          <w:tcPr>
            <w:tcW w:type="dxa" w:w="2520"/>
          </w:tcPr>
          <w:p>
            <w:r>
              <w:rPr>
                <w:rFonts w:ascii="Calibri" w:hAnsi="Calibri"/>
                <w:color w:val="333333"/>
                <w:sz w:val="18"/>
              </w:rPr>
              <w:t>$6</w:t>
            </w:r>
          </w:p>
        </w:tc>
        <w:tc>
          <w:tcPr>
            <w:tcW w:type="dxa" w:w="2520"/>
          </w:tcPr>
          <w:p>
            <w:r>
              <w:rPr>
                <w:rFonts w:ascii="Calibri" w:hAnsi="Calibri"/>
                <w:color w:val="333333"/>
                <w:sz w:val="18"/>
              </w:rPr>
              <w:t>$1</w:t>
            </w:r>
          </w:p>
        </w:tc>
        <w:tc>
          <w:tcPr>
            <w:tcW w:type="dxa" w:w="2520"/>
            <w:shd w:fill="FCE8E6" w:val="clear"/>
          </w:tcPr>
          <w:p>
            <w:r>
              <w:rPr>
                <w:rFonts w:ascii="Calibri" w:hAnsi="Calibri"/>
                <w:color w:val="333333"/>
                <w:sz w:val="18"/>
              </w:rPr>
              <w:t>-84.0%</w:t>
            </w:r>
          </w:p>
        </w:tc>
      </w:tr>
      <w:tr>
        <w:tc>
          <w:tcPr>
            <w:tcW w:type="dxa" w:w="2520"/>
            <w:shd w:fill="F2F4F8" w:val="clear"/>
          </w:tcPr>
          <w:p>
            <w:r>
              <w:rPr>
                <w:rFonts w:ascii="Calibri" w:hAnsi="Calibri"/>
                <w:color w:val="333333"/>
                <w:sz w:val="18"/>
              </w:rPr>
              <w:t>Free cash flow per share</w:t>
            </w:r>
          </w:p>
        </w:tc>
        <w:tc>
          <w:tcPr>
            <w:tcW w:type="dxa" w:w="2520"/>
            <w:shd w:fill="F2F4F8" w:val="clear"/>
          </w:tcPr>
          <w:p>
            <w:r>
              <w:rPr>
                <w:rFonts w:ascii="Calibri" w:hAnsi="Calibri"/>
                <w:color w:val="333333"/>
                <w:sz w:val="18"/>
              </w:rPr>
              <w:t>$-10.51</w:t>
            </w:r>
          </w:p>
        </w:tc>
        <w:tc>
          <w:tcPr>
            <w:tcW w:type="dxa" w:w="2520"/>
            <w:shd w:fill="F2F4F8" w:val="clear"/>
          </w:tcPr>
          <w:p>
            <w:r>
              <w:rPr>
                <w:rFonts w:ascii="Calibri" w:hAnsi="Calibri"/>
                <w:color w:val="333333"/>
                <w:sz w:val="18"/>
              </w:rPr>
              <w:t>$-5.24</w:t>
            </w:r>
          </w:p>
        </w:tc>
        <w:tc>
          <w:tcPr>
            <w:tcW w:type="dxa" w:w="2520"/>
            <w:shd w:fill="F2F4F8" w:val="clear"/>
            <w:shd w:fill="DCEEF8" w:val="clear"/>
          </w:tcPr>
          <w:p>
            <w:r>
              <w:rPr>
                <w:rFonts w:ascii="Calibri" w:hAnsi="Calibri"/>
                <w:color w:val="333333"/>
                <w:sz w:val="18"/>
              </w:rPr>
              <w:t>50.1%</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3.29</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3.22</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0.07</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-307.4x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3.77</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FY2024: 4.4 -&gt; FY2025: 3.8 (declining)</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-4.01</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2.00</w:t>
            </w:r>
          </w:p>
        </w:tc>
        <w:tc>
          <w:tcPr>
            <w:tcW w:type="dxa" w:w="2016"/>
            <w:shd w:fill="F2F4F8" w:val="clear"/>
            <w:shd w:fill="FCE8E6" w:val="clear"/>
          </w:tcPr>
          <w:p>
            <w:r>
              <w:rPr>
                <w:rFonts w:ascii="Calibri" w:hAnsi="Calibri"/>
                <w:color w:val="333333"/>
                <w:sz w:val="18"/>
              </w:rPr>
              <w:t>Distress</w:t>
            </w:r>
          </w:p>
        </w:tc>
        <w:tc>
          <w:tcPr>
            <w:tcW w:type="dxa" w:w="2016"/>
            <w:shd w:fill="F2F4F8" w:val="clear"/>
          </w:tcPr>
          <w:p>
            <w:r>
              <w:rPr>
                <w:rFonts w:ascii="Calibri" w:hAnsi="Calibri"/>
                <w:color w:val="333333"/>
                <w:sz w:val="18"/>
              </w:rPr>
              <w:t>2/9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100th percentile among 0 peers (peer median: 3.0x).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0.66</w:t>
            </w:r>
          </w:p>
        </w:tc>
        <w:tc>
          <w:tcPr>
            <w:tcW w:type="dxa" w:w="3360"/>
            <w:shd w:fill="FFF3CD" w:val="clear"/>
          </w:tcPr>
          <w:p>
            <w:r>
              <w:rPr>
                <w:rFonts w:ascii="Calibri" w:hAnsi="Calibri"/>
                <w:color w:val="333333"/>
                <w:sz w:val="18"/>
              </w:rPr>
              <w:t>Adequate</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-0.08</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Ernst &amp; Young, 12 year tenure, 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0.07</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-0.21</w:t>
            </w:r>
          </w:p>
        </w:tc>
      </w:tr>
      <w:tr>
        <w:tc>
          <w:tcPr>
            <w:tcW w:type="dxa" w:w="5040"/>
          </w:tcPr>
          <w:p>
            <w:r>
              <w:rPr>
                <w:rFonts w:ascii="Calibri" w:hAnsi="Calibri"/>
                <w:color w:val="333333"/>
                <w:sz w:val="18"/>
              </w:rPr>
              <w:t>Interest Coverage</w:t>
            </w:r>
          </w:p>
        </w:tc>
        <w:tc>
          <w:tcPr>
            <w:tcW w:type="dxa" w:w="5040"/>
            <w:shd w:fill="FFF3CD" w:val="clear"/>
          </w:tcPr>
          <w:p>
            <w:r>
              <w:rPr>
                <w:rFonts w:ascii="Calibri" w:hAnsi="Calibri"/>
                <w:color w:val="333333"/>
                <w:sz w:val="18"/>
              </w:rPr>
              <w:t>-307.40</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1.9%</w:t>
            </w:r>
          </w:p>
        </w:tc>
        <w:tc>
          <w:tcPr>
            <w:tcW w:type="dxa" w:w="3360"/>
          </w:tcPr>
          <w:p>
            <w:r>
              <w:rPr>
                <w:rFonts w:ascii="Calibri" w:hAnsi="Calibri"/>
                <w:color w:val="333333"/>
                <w:sz w:val="18"/>
              </w:rPr>
              <w:t>Below statutory rate -- review required</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UNH</w:t>
            </w:r>
          </w:p>
        </w:tc>
        <w:tc>
          <w:tcPr>
            <w:tcW w:type="dxa" w:w="2016"/>
          </w:tcPr>
          <w:p>
            <w:r>
              <w:rPr>
                <w:rFonts w:ascii="Calibri" w:hAnsi="Calibri"/>
                <w:color w:val="333333"/>
                <w:sz w:val="18"/>
              </w:rPr>
              <w:t>UnitedHealth Group Incorporated</w:t>
            </w:r>
          </w:p>
        </w:tc>
        <w:tc>
          <w:tcPr>
            <w:tcW w:type="dxa" w:w="2016"/>
          </w:tcPr>
          <w:p>
            <w:r>
              <w:rPr>
                <w:rFonts w:ascii="Calibri" w:hAnsi="Calibri"/>
                <w:color w:val="333333"/>
                <w:sz w:val="18"/>
              </w:rPr>
              <w:t>$251.7B</w:t>
            </w:r>
          </w:p>
        </w:tc>
        <w:tc>
          <w:tcPr>
            <w:tcW w:type="dxa" w:w="2016"/>
          </w:tcPr>
          <w:p>
            <w:r>
              <w:rPr>
                <w:rFonts w:ascii="Calibri" w:hAnsi="Calibri"/>
                <w:color w:val="333333"/>
                <w:sz w:val="18"/>
              </w:rPr>
              <w:t>$447.6B</w:t>
            </w:r>
          </w:p>
        </w:tc>
        <w:tc>
          <w:tcPr>
            <w:tcW w:type="dxa" w:w="2016"/>
          </w:tcPr>
          <w:p>
            <w:r>
              <w:rPr>
                <w:rFonts w:ascii="Calibri" w:hAnsi="Calibri"/>
                <w:color w:val="333333"/>
                <w:sz w:val="18"/>
              </w:rPr>
              <w:t>11</w:t>
            </w:r>
          </w:p>
        </w:tc>
      </w:tr>
      <w:tr>
        <w:tc>
          <w:tcPr>
            <w:tcW w:type="dxa" w:w="2016"/>
            <w:shd w:fill="F2F4F8" w:val="clear"/>
          </w:tcPr>
          <w:p>
            <w:r>
              <w:rPr>
                <w:rFonts w:ascii="Calibri" w:hAnsi="Calibri"/>
                <w:color w:val="333333"/>
                <w:sz w:val="18"/>
              </w:rPr>
              <w:t>JNJ</w:t>
            </w:r>
          </w:p>
        </w:tc>
        <w:tc>
          <w:tcPr>
            <w:tcW w:type="dxa" w:w="2016"/>
            <w:shd w:fill="F2F4F8" w:val="clear"/>
          </w:tcPr>
          <w:p>
            <w:r>
              <w:rPr>
                <w:rFonts w:ascii="Calibri" w:hAnsi="Calibri"/>
                <w:color w:val="333333"/>
                <w:sz w:val="18"/>
              </w:rPr>
              <w:t>Johnson &amp; Johnson</w:t>
            </w:r>
          </w:p>
        </w:tc>
        <w:tc>
          <w:tcPr>
            <w:tcW w:type="dxa" w:w="2016"/>
            <w:shd w:fill="F2F4F8" w:val="clear"/>
          </w:tcPr>
          <w:p>
            <w:r>
              <w:rPr>
                <w:rFonts w:ascii="Calibri" w:hAnsi="Calibri"/>
                <w:color w:val="333333"/>
                <w:sz w:val="18"/>
              </w:rPr>
              <w:t>$585.7B</w:t>
            </w:r>
          </w:p>
        </w:tc>
        <w:tc>
          <w:tcPr>
            <w:tcW w:type="dxa" w:w="2016"/>
            <w:shd w:fill="F2F4F8" w:val="clear"/>
          </w:tcPr>
          <w:p>
            <w:r>
              <w:rPr>
                <w:rFonts w:ascii="Calibri" w:hAnsi="Calibri"/>
                <w:color w:val="333333"/>
                <w:sz w:val="18"/>
              </w:rPr>
              <w:t>$94.2B</w:t>
            </w:r>
          </w:p>
        </w:tc>
        <w:tc>
          <w:tcPr>
            <w:tcW w:type="dxa" w:w="2016"/>
            <w:shd w:fill="F2F4F8" w:val="clear"/>
          </w:tcPr>
          <w:p>
            <w:r>
              <w:rPr>
                <w:rFonts w:ascii="Calibri" w:hAnsi="Calibri"/>
                <w:color w:val="333333"/>
                <w:sz w:val="18"/>
              </w:rPr>
              <w:t>11</w:t>
            </w:r>
          </w:p>
        </w:tc>
      </w:tr>
      <w:tr>
        <w:tc>
          <w:tcPr>
            <w:tcW w:type="dxa" w:w="2016"/>
          </w:tcPr>
          <w:p>
            <w:r>
              <w:rPr>
                <w:rFonts w:ascii="Calibri" w:hAnsi="Calibri"/>
                <w:color w:val="333333"/>
                <w:sz w:val="18"/>
              </w:rPr>
              <w:t>LLY</w:t>
            </w:r>
          </w:p>
        </w:tc>
        <w:tc>
          <w:tcPr>
            <w:tcW w:type="dxa" w:w="2016"/>
          </w:tcPr>
          <w:p>
            <w:r>
              <w:rPr>
                <w:rFonts w:ascii="Calibri" w:hAnsi="Calibri"/>
                <w:color w:val="333333"/>
                <w:sz w:val="18"/>
              </w:rPr>
              <w:t>Eli Lilly and Company</w:t>
            </w:r>
          </w:p>
        </w:tc>
        <w:tc>
          <w:tcPr>
            <w:tcW w:type="dxa" w:w="2016"/>
          </w:tcPr>
          <w:p>
            <w:r>
              <w:rPr>
                <w:rFonts w:ascii="Calibri" w:hAnsi="Calibri"/>
                <w:color w:val="333333"/>
                <w:sz w:val="18"/>
              </w:rPr>
              <w:t>$837.4B</w:t>
            </w:r>
          </w:p>
        </w:tc>
        <w:tc>
          <w:tcPr>
            <w:tcW w:type="dxa" w:w="2016"/>
          </w:tcPr>
          <w:p>
            <w:r>
              <w:rPr>
                <w:rFonts w:ascii="Calibri" w:hAnsi="Calibri"/>
                <w:color w:val="333333"/>
                <w:sz w:val="18"/>
              </w:rPr>
              <w:t>$65.2B</w:t>
            </w:r>
          </w:p>
        </w:tc>
        <w:tc>
          <w:tcPr>
            <w:tcW w:type="dxa" w:w="2016"/>
          </w:tcPr>
          <w:p>
            <w:r>
              <w:rPr>
                <w:rFonts w:ascii="Calibri" w:hAnsi="Calibri"/>
                <w:color w:val="333333"/>
                <w:sz w:val="18"/>
              </w:rPr>
              <w:t>12</w:t>
            </w:r>
          </w:p>
        </w:tc>
      </w:tr>
      <w:tr>
        <w:tc>
          <w:tcPr>
            <w:tcW w:type="dxa" w:w="2016"/>
            <w:shd w:fill="F2F4F8" w:val="clear"/>
          </w:tcPr>
          <w:p>
            <w:r>
              <w:rPr>
                <w:rFonts w:ascii="Calibri" w:hAnsi="Calibri"/>
                <w:color w:val="333333"/>
                <w:sz w:val="18"/>
              </w:rPr>
              <w:t>PFE</w:t>
            </w:r>
          </w:p>
        </w:tc>
        <w:tc>
          <w:tcPr>
            <w:tcW w:type="dxa" w:w="2016"/>
            <w:shd w:fill="F2F4F8" w:val="clear"/>
          </w:tcPr>
          <w:p>
            <w:r>
              <w:rPr>
                <w:rFonts w:ascii="Calibri" w:hAnsi="Calibri"/>
                <w:color w:val="333333"/>
                <w:sz w:val="18"/>
              </w:rPr>
              <w:t>Pfizer, Inc.</w:t>
            </w:r>
          </w:p>
        </w:tc>
        <w:tc>
          <w:tcPr>
            <w:tcW w:type="dxa" w:w="2016"/>
            <w:shd w:fill="F2F4F8" w:val="clear"/>
          </w:tcPr>
          <w:p>
            <w:r>
              <w:rPr>
                <w:rFonts w:ascii="Calibri" w:hAnsi="Calibri"/>
                <w:color w:val="333333"/>
                <w:sz w:val="18"/>
              </w:rPr>
              <w:t>$161.1B</w:t>
            </w:r>
          </w:p>
        </w:tc>
        <w:tc>
          <w:tcPr>
            <w:tcW w:type="dxa" w:w="2016"/>
            <w:shd w:fill="F2F4F8" w:val="clear"/>
          </w:tcPr>
          <w:p>
            <w:r>
              <w:rPr>
                <w:rFonts w:ascii="Calibri" w:hAnsi="Calibri"/>
                <w:color w:val="333333"/>
                <w:sz w:val="18"/>
              </w:rPr>
              <w:t>$62.6B</w:t>
            </w:r>
          </w:p>
        </w:tc>
        <w:tc>
          <w:tcPr>
            <w:tcW w:type="dxa" w:w="2016"/>
            <w:shd w:fill="F2F4F8" w:val="clear"/>
          </w:tcPr>
          <w:p>
            <w:r>
              <w:rPr>
                <w:rFonts w:ascii="Calibri" w:hAnsi="Calibri"/>
                <w:color w:val="333333"/>
                <w:sz w:val="18"/>
              </w:rPr>
              <w:t>12</w:t>
            </w:r>
          </w:p>
        </w:tc>
      </w:tr>
      <w:tr>
        <w:tc>
          <w:tcPr>
            <w:tcW w:type="dxa" w:w="2016"/>
          </w:tcPr>
          <w:p>
            <w:r>
              <w:rPr>
                <w:rFonts w:ascii="Calibri" w:hAnsi="Calibri"/>
                <w:color w:val="333333"/>
                <w:sz w:val="18"/>
              </w:rPr>
              <w:t>ABBV</w:t>
            </w:r>
          </w:p>
        </w:tc>
        <w:tc>
          <w:tcPr>
            <w:tcW w:type="dxa" w:w="2016"/>
          </w:tcPr>
          <w:p>
            <w:r>
              <w:rPr>
                <w:rFonts w:ascii="Calibri" w:hAnsi="Calibri"/>
                <w:color w:val="333333"/>
                <w:sz w:val="18"/>
              </w:rPr>
              <w:t>AbbVie Inc.</w:t>
            </w:r>
          </w:p>
        </w:tc>
        <w:tc>
          <w:tcPr>
            <w:tcW w:type="dxa" w:w="2016"/>
          </w:tcPr>
          <w:p>
            <w:r>
              <w:rPr>
                <w:rFonts w:ascii="Calibri" w:hAnsi="Calibri"/>
                <w:color w:val="333333"/>
                <w:sz w:val="18"/>
              </w:rPr>
              <w:t>$369.4B</w:t>
            </w:r>
          </w:p>
        </w:tc>
        <w:tc>
          <w:tcPr>
            <w:tcW w:type="dxa" w:w="2016"/>
          </w:tcPr>
          <w:p>
            <w:r>
              <w:rPr>
                <w:rFonts w:ascii="Calibri" w:hAnsi="Calibri"/>
                <w:color w:val="333333"/>
                <w:sz w:val="18"/>
              </w:rPr>
              <w:t>$61.2B</w:t>
            </w:r>
          </w:p>
        </w:tc>
        <w:tc>
          <w:tcPr>
            <w:tcW w:type="dxa" w:w="2016"/>
          </w:tcPr>
          <w:p>
            <w:r>
              <w:rPr>
                <w:rFonts w:ascii="Calibri" w:hAnsi="Calibri"/>
                <w:color w:val="333333"/>
                <w:sz w:val="18"/>
              </w:rPr>
              <w:t>11</w:t>
            </w:r>
          </w:p>
        </w:tc>
      </w:tr>
      <w:tr>
        <w:tc>
          <w:tcPr>
            <w:tcW w:type="dxa" w:w="2016"/>
            <w:shd w:fill="F2F4F8" w:val="clear"/>
          </w:tcPr>
          <w:p>
            <w:r>
              <w:rPr>
                <w:rFonts w:ascii="Calibri" w:hAnsi="Calibri"/>
                <w:color w:val="333333"/>
                <w:sz w:val="18"/>
              </w:rPr>
              <w:t>MRK</w:t>
            </w:r>
          </w:p>
        </w:tc>
        <w:tc>
          <w:tcPr>
            <w:tcW w:type="dxa" w:w="2016"/>
            <w:shd w:fill="F2F4F8" w:val="clear"/>
          </w:tcPr>
          <w:p>
            <w:r>
              <w:rPr>
                <w:rFonts w:ascii="Calibri" w:hAnsi="Calibri"/>
                <w:color w:val="333333"/>
                <w:sz w:val="18"/>
              </w:rPr>
              <w:t>Merck &amp; Company, Inc.</w:t>
            </w:r>
          </w:p>
        </w:tc>
        <w:tc>
          <w:tcPr>
            <w:tcW w:type="dxa" w:w="2016"/>
            <w:shd w:fill="F2F4F8" w:val="clear"/>
          </w:tcPr>
          <w:p>
            <w:r>
              <w:rPr>
                <w:rFonts w:ascii="Calibri" w:hAnsi="Calibri"/>
                <w:color w:val="333333"/>
                <w:sz w:val="18"/>
              </w:rPr>
              <w:t>$298.8B</w:t>
            </w:r>
          </w:p>
        </w:tc>
        <w:tc>
          <w:tcPr>
            <w:tcW w:type="dxa" w:w="2016"/>
            <w:shd w:fill="F2F4F8" w:val="clear"/>
          </w:tcPr>
          <w:p>
            <w:r>
              <w:rPr>
                <w:rFonts w:ascii="Calibri" w:hAnsi="Calibri"/>
                <w:color w:val="333333"/>
                <w:sz w:val="18"/>
              </w:rPr>
              <w:t>$65.0B</w:t>
            </w:r>
          </w:p>
        </w:tc>
        <w:tc>
          <w:tcPr>
            <w:tcW w:type="dxa" w:w="2016"/>
            <w:shd w:fill="F2F4F8" w:val="clear"/>
          </w:tcPr>
          <w:p>
            <w:r>
              <w:rPr>
                <w:rFonts w:ascii="Calibri" w:hAnsi="Calibri"/>
                <w:color w:val="333333"/>
                <w:sz w:val="18"/>
              </w:rPr>
              <w:t>11</w:t>
            </w:r>
          </w:p>
        </w:tc>
      </w:tr>
      <w:tr>
        <w:tc>
          <w:tcPr>
            <w:tcW w:type="dxa" w:w="2016"/>
          </w:tcPr>
          <w:p>
            <w:r>
              <w:rPr>
                <w:rFonts w:ascii="Calibri" w:hAnsi="Calibri"/>
                <w:color w:val="333333"/>
                <w:sz w:val="18"/>
              </w:rPr>
              <w:t>TMO</w:t>
            </w:r>
          </w:p>
        </w:tc>
        <w:tc>
          <w:tcPr>
            <w:tcW w:type="dxa" w:w="2016"/>
          </w:tcPr>
          <w:p>
            <w:r>
              <w:rPr>
                <w:rFonts w:ascii="Calibri" w:hAnsi="Calibri"/>
                <w:color w:val="333333"/>
                <w:sz w:val="18"/>
              </w:rPr>
              <w:t>Thermo Fisher Scientific Inc</w:t>
            </w:r>
          </w:p>
        </w:tc>
        <w:tc>
          <w:tcPr>
            <w:tcW w:type="dxa" w:w="2016"/>
          </w:tcPr>
          <w:p>
            <w:r>
              <w:rPr>
                <w:rFonts w:ascii="Calibri" w:hAnsi="Calibri"/>
                <w:color w:val="333333"/>
                <w:sz w:val="18"/>
              </w:rPr>
              <w:t>$182.6B</w:t>
            </w:r>
          </w:p>
        </w:tc>
        <w:tc>
          <w:tcPr>
            <w:tcW w:type="dxa" w:w="2016"/>
          </w:tcPr>
          <w:p>
            <w:r>
              <w:rPr>
                <w:rFonts w:ascii="Calibri" w:hAnsi="Calibri"/>
                <w:color w:val="333333"/>
                <w:sz w:val="18"/>
              </w:rPr>
              <w:t>$44.6B</w:t>
            </w:r>
          </w:p>
        </w:tc>
        <w:tc>
          <w:tcPr>
            <w:tcW w:type="dxa" w:w="2016"/>
          </w:tcPr>
          <w:p>
            <w:r>
              <w:rPr>
                <w:rFonts w:ascii="Calibri" w:hAnsi="Calibri"/>
                <w:color w:val="333333"/>
                <w:sz w:val="18"/>
              </w:rPr>
              <w:t>12</w:t>
            </w:r>
          </w:p>
        </w:tc>
      </w:tr>
      <w:tr>
        <w:tc>
          <w:tcPr>
            <w:tcW w:type="dxa" w:w="2016"/>
            <w:shd w:fill="F2F4F8" w:val="clear"/>
          </w:tcPr>
          <w:p>
            <w:r>
              <w:rPr>
                <w:rFonts w:ascii="Calibri" w:hAnsi="Calibri"/>
                <w:color w:val="333333"/>
                <w:sz w:val="18"/>
              </w:rPr>
              <w:t>ABT</w:t>
            </w:r>
          </w:p>
        </w:tc>
        <w:tc>
          <w:tcPr>
            <w:tcW w:type="dxa" w:w="2016"/>
            <w:shd w:fill="F2F4F8" w:val="clear"/>
          </w:tcPr>
          <w:p>
            <w:r>
              <w:rPr>
                <w:rFonts w:ascii="Calibri" w:hAnsi="Calibri"/>
                <w:color w:val="333333"/>
                <w:sz w:val="18"/>
              </w:rPr>
              <w:t>Abbott Laboratories</w:t>
            </w:r>
          </w:p>
        </w:tc>
        <w:tc>
          <w:tcPr>
            <w:tcW w:type="dxa" w:w="2016"/>
            <w:shd w:fill="F2F4F8" w:val="clear"/>
          </w:tcPr>
          <w:p>
            <w:r>
              <w:rPr>
                <w:rFonts w:ascii="Calibri" w:hAnsi="Calibri"/>
                <w:color w:val="333333"/>
                <w:sz w:val="18"/>
              </w:rPr>
              <w:t>$178.8B</w:t>
            </w:r>
          </w:p>
        </w:tc>
        <w:tc>
          <w:tcPr>
            <w:tcW w:type="dxa" w:w="2016"/>
            <w:shd w:fill="F2F4F8" w:val="clear"/>
          </w:tcPr>
          <w:p>
            <w:r>
              <w:rPr>
                <w:rFonts w:ascii="Calibri" w:hAnsi="Calibri"/>
                <w:color w:val="333333"/>
                <w:sz w:val="18"/>
              </w:rPr>
              <w:t>$44.3B</w:t>
            </w:r>
          </w:p>
        </w:tc>
        <w:tc>
          <w:tcPr>
            <w:tcW w:type="dxa" w:w="2016"/>
            <w:shd w:fill="F2F4F8" w:val="clear"/>
          </w:tcPr>
          <w:p>
            <w:r>
              <w:rPr>
                <w:rFonts w:ascii="Calibri" w:hAnsi="Calibri"/>
                <w:color w:val="333333"/>
                <w:sz w:val="18"/>
              </w:rPr>
              <w:t>12</w:t>
            </w:r>
          </w:p>
        </w:tc>
      </w:tr>
      <w:tr>
        <w:tc>
          <w:tcPr>
            <w:tcW w:type="dxa" w:w="2016"/>
          </w:tcPr>
          <w:p>
            <w:r>
              <w:rPr>
                <w:rFonts w:ascii="Calibri" w:hAnsi="Calibri"/>
                <w:color w:val="333333"/>
                <w:sz w:val="18"/>
              </w:rPr>
              <w:t>DHR</w:t>
            </w:r>
          </w:p>
        </w:tc>
        <w:tc>
          <w:tcPr>
            <w:tcW w:type="dxa" w:w="2016"/>
          </w:tcPr>
          <w:p>
            <w:r>
              <w:rPr>
                <w:rFonts w:ascii="Calibri" w:hAnsi="Calibri"/>
                <w:color w:val="333333"/>
                <w:sz w:val="18"/>
              </w:rPr>
              <w:t>Danaher Corporation</w:t>
            </w:r>
          </w:p>
        </w:tc>
        <w:tc>
          <w:tcPr>
            <w:tcW w:type="dxa" w:w="2016"/>
          </w:tcPr>
          <w:p>
            <w:r>
              <w:rPr>
                <w:rFonts w:ascii="Calibri" w:hAnsi="Calibri"/>
                <w:color w:val="333333"/>
                <w:sz w:val="18"/>
              </w:rPr>
              <w:t>$135.3B</w:t>
            </w:r>
          </w:p>
        </w:tc>
        <w:tc>
          <w:tcPr>
            <w:tcW w:type="dxa" w:w="2016"/>
          </w:tcPr>
          <w:p>
            <w:r>
              <w:rPr>
                <w:rFonts w:ascii="Calibri" w:hAnsi="Calibri"/>
                <w:color w:val="333333"/>
                <w:sz w:val="18"/>
              </w:rPr>
              <w:t>$24.6B</w:t>
            </w:r>
          </w:p>
        </w:tc>
        <w:tc>
          <w:tcPr>
            <w:tcW w:type="dxa" w:w="2016"/>
          </w:tcPr>
          <w:p>
            <w:r>
              <w:rPr>
                <w:rFonts w:ascii="Calibri" w:hAnsi="Calibri"/>
                <w:color w:val="333333"/>
                <w:sz w:val="18"/>
              </w:rPr>
              <w:t>12</w:t>
            </w:r>
          </w:p>
        </w:tc>
      </w:tr>
      <w:tr>
        <w:tc>
          <w:tcPr>
            <w:tcW w:type="dxa" w:w="2016"/>
            <w:shd w:fill="F2F4F8" w:val="clear"/>
          </w:tcPr>
          <w:p>
            <w:r>
              <w:rPr>
                <w:rFonts w:ascii="Calibri" w:hAnsi="Calibri"/>
                <w:color w:val="333333"/>
                <w:sz w:val="18"/>
              </w:rPr>
              <w:t>BMY</w:t>
            </w:r>
          </w:p>
        </w:tc>
        <w:tc>
          <w:tcPr>
            <w:tcW w:type="dxa" w:w="2016"/>
            <w:shd w:fill="F2F4F8" w:val="clear"/>
          </w:tcPr>
          <w:p>
            <w:r>
              <w:rPr>
                <w:rFonts w:ascii="Calibri" w:hAnsi="Calibri"/>
                <w:color w:val="333333"/>
                <w:sz w:val="18"/>
              </w:rPr>
              <w:t>Bristol-Myers Squibb Company</w:t>
            </w:r>
          </w:p>
        </w:tc>
        <w:tc>
          <w:tcPr>
            <w:tcW w:type="dxa" w:w="2016"/>
            <w:shd w:fill="F2F4F8" w:val="clear"/>
          </w:tcPr>
          <w:p>
            <w:r>
              <w:rPr>
                <w:rFonts w:ascii="Calibri" w:hAnsi="Calibri"/>
                <w:color w:val="333333"/>
                <w:sz w:val="18"/>
              </w:rPr>
              <w:t>$121.7B</w:t>
            </w:r>
          </w:p>
        </w:tc>
        <w:tc>
          <w:tcPr>
            <w:tcW w:type="dxa" w:w="2016"/>
            <w:shd w:fill="F2F4F8" w:val="clear"/>
          </w:tcPr>
          <w:p>
            <w:r>
              <w:rPr>
                <w:rFonts w:ascii="Calibri" w:hAnsi="Calibri"/>
                <w:color w:val="333333"/>
                <w:sz w:val="18"/>
              </w:rPr>
              <w:t>$48.2B</w:t>
            </w:r>
          </w:p>
        </w:tc>
        <w:tc>
          <w:tcPr>
            <w:tcW w:type="dxa" w:w="2016"/>
            <w:shd w:fill="F2F4F8" w:val="clear"/>
          </w:tcPr>
          <w:p>
            <w:r>
              <w:rPr>
                <w:rFonts w:ascii="Calibri" w:hAnsi="Calibri"/>
                <w:color w:val="333333"/>
                <w:sz w:val="18"/>
              </w:rPr>
              <w:t>11</w:t>
            </w:r>
          </w:p>
        </w:tc>
      </w:tr>
    </w:tbl>
    <w:p>
      <w:pPr>
        <w:pStyle w:val="DOBody"/>
      </w:pPr>
      <w:r>
        <w:t>Revenue: Ranks at the 0th percentile among 10 peers. Leverage: Ranks at the 100th percentile among 0 peers (peer median: 3.0x).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Moderna’s governance is structurally immature for its scale, with CEO/Chair duality persisting and a CEO total compensation of $19.93 million receiving only 77% shareholder approval, indicating palpable investor discontent. The board’s independence ratio is indeterminable from public filings, a disclosure opacity that compounds concern alongside an unusually large 17-person board, which inherently dilutes oversight accountability. Every named executive officer among the 3 listed reports zero years of tenure, revealing a complete lack of seasoned leadership at the operational helm during a critical strategic pivot beyond its COVID-19 windfall. This confluence—an untested C-suite, a potentially non-independent and oversized 17-director board, and weak pay alignment with a 77% say-on-pay vote—materially elevates Caremark duty of oversight exposure, particularly around pipeline capital allocation. Derivative action risk is heightened further by the duty of candor obligations for this board in future proxy disclosures, which must rationalize this governance framework to increasingly skeptical institutional holders following a governance score of 40.8 out of 100.</w:t>
      </w:r>
    </w:p>
    <w:p>
      <w:pPr>
        <w:pStyle w:val="DOHeading1"/>
      </w:pPr>
      <w:r>
        <w:t>Section 5: Governance &amp; Leadership</w:t>
      </w:r>
    </w:p>
    <w:p>
      <w:pPr>
        <w:pStyle w:val="DOBody"/>
      </w:pPr>
      <w:r>
        <w:rPr>
          <w:rFonts w:ascii="Calibri" w:hAnsi="Calibri"/>
          <w:color w:val="333333"/>
          <w:sz w:val="20"/>
        </w:rPr>
        <w:t>Board governance is moderate (41/100) with some areas for improvement.</w:t>
      </w:r>
      <w:r>
        <w:rPr>
          <w:rFonts w:ascii="Consolas" w:hAnsi="Consolas"/>
          <w:color w:val="666666"/>
          <w:sz w:val="16"/>
        </w:rPr>
        <w:t xml:space="preserve">  [Rule-based synthesis of governance extraction results, 2026-04-02, LOW]</w:t>
      </w:r>
    </w:p>
    <w:p>
      <w:pPr>
        <w:pStyle w:val="DOBody"/>
      </w:pPr>
      <w:r>
        <w:rPr>
          <w:rFonts w:ascii="Calibri" w:hAnsi="Calibri"/>
          <w:color w:val="333333"/>
          <w:sz w:val="20"/>
        </w:rPr>
        <w:t>Governance Quality Score: 40.8/10</w:t>
      </w:r>
      <w:r>
        <w:rPr>
          <w:rFonts w:ascii="Consolas" w:hAnsi="Consolas"/>
          <w:color w:val="666666"/>
          <w:sz w:val="16"/>
        </w:rPr>
        <w:t xml:space="preserve">  [Computed from governance dimensions, 2026-04-02,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Director Cambridge</w:t>
            </w:r>
          </w:p>
        </w:tc>
        <w:tc>
          <w:tcPr>
            <w:tcW w:type="dxa" w:w="1680"/>
          </w:tcPr>
          <w:p>
            <w:r>
              <w:rPr>
                <w:rFonts w:ascii="Calibri" w:hAnsi="Calibri"/>
                <w:color w:val="333333"/>
                <w:sz w:val="18"/>
              </w:rPr>
              <w:t>CEO</w:t>
            </w:r>
          </w:p>
        </w:tc>
        <w:tc>
          <w:tcPr>
            <w:tcW w:type="dxa" w:w="1680"/>
          </w:tcPr>
          <w:p>
            <w:r>
              <w:rPr>
                <w:rFonts w:ascii="Calibri" w:hAnsi="Calibri"/>
                <w:color w:val="333333"/>
                <w:sz w:val="18"/>
              </w:rPr>
              <w:t>0.0</w:t>
            </w:r>
          </w:p>
        </w:tc>
        <w:tc>
          <w:tcPr>
            <w:tcW w:type="dxa" w:w="1680"/>
          </w:tcPr>
          <w:p>
            <w:r>
              <w:rPr>
                <w:rFonts w:ascii="Calibri" w:hAnsi="Calibri"/>
                <w:color w:val="333333"/>
                <w:sz w:val="18"/>
              </w:rPr>
              <w:t>ACTIVE</w:t>
            </w:r>
          </w:p>
        </w:tc>
        <w:tc>
          <w:tcPr>
            <w:tcW w:type="dxa" w:w="1680"/>
          </w:tcPr>
          <w:p>
            <w:r>
              <w:rPr>
                <w:rFonts w:ascii="Calibri" w:hAnsi="Calibri"/>
                <w:color w:val="333333"/>
                <w:sz w:val="18"/>
              </w:rPr>
              <w:t>2</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Sagan Meetings</w:t>
            </w:r>
          </w:p>
        </w:tc>
        <w:tc>
          <w:tcPr>
            <w:tcW w:type="dxa" w:w="1680"/>
            <w:shd w:fill="F2F4F8" w:val="clear"/>
          </w:tcPr>
          <w:p>
            <w:r>
              <w:rPr>
                <w:rFonts w:ascii="Calibri" w:hAnsi="Calibri"/>
                <w:color w:val="333333"/>
                <w:sz w:val="18"/>
              </w:rPr>
              <w:t>CFO</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None</w:t>
            </w:r>
          </w:p>
        </w:tc>
      </w:tr>
      <w:tr>
        <w:tc>
          <w:tcPr>
            <w:tcW w:type="dxa" w:w="1680"/>
          </w:tcPr>
          <w:p>
            <w:r>
              <w:rPr>
                <w:rFonts w:ascii="Calibri" w:hAnsi="Calibri"/>
                <w:color w:val="333333"/>
                <w:sz w:val="18"/>
              </w:rPr>
              <w:t>Noubar Afeyan</w:t>
            </w:r>
          </w:p>
        </w:tc>
        <w:tc>
          <w:tcPr>
            <w:tcW w:type="dxa" w:w="1680"/>
          </w:tcPr>
          <w:p>
            <w:r>
              <w:rPr>
                <w:rFonts w:ascii="Calibri" w:hAnsi="Calibri"/>
                <w:color w:val="333333"/>
                <w:sz w:val="18"/>
              </w:rPr>
              <w:t>President</w:t>
            </w:r>
          </w:p>
        </w:tc>
        <w:tc>
          <w:tcPr>
            <w:tcW w:type="dxa" w:w="1680"/>
          </w:tcPr>
          <w:p>
            <w:r>
              <w:rPr>
                <w:rFonts w:ascii="Calibri" w:hAnsi="Calibri"/>
                <w:color w:val="333333"/>
                <w:sz w:val="18"/>
              </w:rPr>
              <w:t>0.0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bl>
    <w:p>
      <w:pPr>
        <w:pStyle w:val="DOBody"/>
      </w:pPr>
      <w:r>
        <w:rPr>
          <w:i/>
          <w:sz w:val="16"/>
        </w:rPr>
        <w:t>D&amp;O Context (Director Cambridge, 2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2026-04-02,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Paul Sagan</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Sandra Horning</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Global Head</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Product Development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Abbas Hussain</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Vifor Pharma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Former Global President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Noubar Afeyan</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Flagship Pioneering</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Elizabeth Nabel</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Former President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Brigham Health</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David Rubenstein</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Elizabeth Tallett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Former Principal</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Hunter Partners</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Technology Member</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Body"/>
        <w:shd w:fill="FFF3CD" w:val="clear"/>
      </w:pPr>
      <w:r>
        <w:rPr>
          <w:b/>
          <w:color w:val="EAB308"/>
          <w:sz w:val="18"/>
        </w:rPr>
        <w:t xml:space="preserve">[ELEVATED] </w:t>
      </w:r>
      <w:r>
        <w:rPr>
          <w:b/>
          <w:sz w:val="20"/>
        </w:rPr>
        <w:t>CEO/Chair Duality</w:t>
      </w:r>
      <w:r>
        <w:rPr>
          <w:color w:val="666666"/>
          <w:sz w:val="16"/>
        </w:rPr>
        <w:t xml:space="preserve"> -- Single individual holds both CEO and Board Chair roles</w:t>
      </w:r>
    </w:p>
    <w:p>
      <w:pPr>
        <w:pStyle w:val="DOCaption"/>
        <w:ind w:left="360"/>
      </w:pPr>
      <w:r>
        <w:rPr>
          <w:i/>
          <w:color w:val="666666"/>
          <w:sz w:val="18"/>
        </w:rPr>
        <w:t>Context: Companies with CEO/Chair duality face 1.8x higher derivative suit filing rates due to governance concentration.</w:t>
      </w:r>
    </w:p>
    <w:p>
      <w:pPr>
        <w:pStyle w:val="DOBody"/>
      </w:pPr>
      <w:r>
        <w:rPr>
          <w:i/>
          <w:color w:val="FFD000"/>
          <w:sz w:val="18"/>
        </w:rPr>
        <w:t>See Meeting Prep: Governance Structure</w:t>
      </w:r>
    </w:p>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Body"/>
      </w:pPr>
      <w:r>
        <w:rPr>
          <w:i/>
          <w:sz w:val="16"/>
        </w:rPr>
        <w:t>D&amp;O Context: CEO/Chair duality reduces board independence in oversight of management, increasing derivative suit risk.</w:t>
      </w:r>
      <w:r>
        <w:rPr>
          <w:b/>
          <w:color w:val="EAB308"/>
          <w:sz w:val="18"/>
        </w:rPr>
        <w:t xml:space="preserve"> [ELEVATED]</w:t>
      </w:r>
    </w:p>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$19.9M</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We do not provide any tax reimbursement payments (including "gross-ups") on any change-in-control or severance payments or benefits, We have in the past provided, and may in the future provide, security services to our directors, These offer letters set forth the basic terms and conditions of their employment, including initial base salary, initial equity awards, eligibility to participate in our standard employee benefits plans, the at-will employment relationship and, in certain cases, a one-time signing bonus and relocati: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634927"/>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634927"/>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77.1%</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7.3%</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15.6%</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FMR, LLC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BAILLIE GIFFORD &amp; CO</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Moderna faces three active SCAs, including *In re Moderna, Inc. Securities Litigation (24-cv-12058)* covering 2023-01-18 to 2024-06-25 and another with a class period from 2024-02-15 to 2024-05-31, indicating recurrent allegations across overlapping periods. Its company-adjusted SCA filing rate of 17.92% is 4.5 times the 4.0% sector average, signaling a litigation profile significantly more active than its biopharma peers and elevating the risk of follow-on suits. While SEC enforcement is currently at the NONE stage, the specific industry patterns of clinical trial disclosure and drug pricing present a clear path for a future Wells Notice or investigative subpoena to serve as a corrective disclosure, which could materially impact the three existing SCAs. The defense posture is only MODERATE despite seven open solicitation letters, suggesting potential plaintiff bar coordination that may increase settlement pressure. Benchmark settlements against peer companies with similar clinical trial disclosure claims must be factored, but the primary underwriting concern is the high probability of a subsequent SCA; with three already filed and a 17.92% adjusted filing rate, recurrence within the policy period is highly likely. Defense costs across three SCAs and three derivative actions will burn primary layer limits quickly, necessitating specific attritional loss budgeting above the retention given the scale of active litigation.</w:t>
      </w:r>
    </w:p>
    <w:p>
      <w:pPr>
        <w:pStyle w:val="DOHeading1"/>
      </w:pPr>
      <w:r>
        <w:t>Section 6: Litigation &amp; Regulatory Exposure</w:t>
      </w:r>
    </w:p>
    <w:p>
      <w:pPr>
        <w:pStyle w:val="DOBody"/>
      </w:pPr>
      <w:r>
        <w:rPr>
          <w:rFonts w:ascii="Calibri" w:hAnsi="Calibri"/>
          <w:color w:val="333333"/>
          <w:sz w:val="20"/>
        </w:rPr>
        <w:t>The company faces 3 active securities class action(s). The primary case, In re Moderna, Inc. Securities Litigation (24-cv-12058) (2024), covers a class period from 2023-01-18 to 2024-06-25. 3 derivative action(s) pending, alleging breach of fiduciary duty by directors and officers. Industry claim exposure: clinical_trial_disclosure, off_label_promotion, drug_pricing. 7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2 active matter(s), 1 historical matter(s)</w:t>
      </w:r>
    </w:p>
    <w:p>
      <w:pPr>
        <w:pStyle w:val="DOHeading3"/>
      </w:pPr>
      <w:r>
        <w:t>Litigation Timeline</w:t>
      </w:r>
    </w:p>
    <w:p>
      <w:pPr>
        <w:pStyle w:val="DOBody"/>
      </w:pPr>
      <w:r>
        <w:t>Timeline chart not available (no timeline events).</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Moderna, Inc. Securities Litigation (24-cv-12058) (2024)</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D. Mass.</w:t>
            </w:r>
          </w:p>
        </w:tc>
        <w:tc>
          <w:tcPr>
            <w:tcW w:type="dxa" w:w="1008"/>
          </w:tcPr>
          <w:p>
            <w:r>
              <w:rPr>
                <w:rFonts w:ascii="Calibri" w:hAnsi="Calibri"/>
                <w:color w:val="333333"/>
                <w:sz w:val="18"/>
              </w:rPr>
              <w:t>2024-08-09</w:t>
            </w:r>
          </w:p>
        </w:tc>
        <w:tc>
          <w:tcPr>
            <w:tcW w:type="dxa" w:w="1008"/>
          </w:tcPr>
          <w:p>
            <w:r>
              <w:rPr>
                <w:rFonts w:ascii="Calibri" w:hAnsi="Calibri"/>
                <w:color w:val="333333"/>
                <w:sz w:val="18"/>
              </w:rPr>
              <w:t>ACTIVE</w:t>
            </w:r>
          </w:p>
        </w:tc>
        <w:tc>
          <w:tcPr>
            <w:tcW w:type="dxa" w:w="1008"/>
          </w:tcPr>
          <w:p>
            <w:r>
              <w:rPr>
                <w:rFonts w:ascii="Calibri" w:hAnsi="Calibri"/>
                <w:color w:val="333333"/>
                <w:sz w:val="18"/>
              </w:rPr>
              <w:t>Jan 2023 - Jun 2024</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[Supabase SCA database, 2026-04-02, MEDIUM]</w:t>
            </w:r>
          </w:p>
        </w:tc>
      </w:tr>
      <w:tr>
        <w:tc>
          <w:tcPr>
            <w:tcW w:type="dxa" w:w="1008"/>
            <w:shd w:fill="F2F4F8" w:val="clear"/>
          </w:tcPr>
          <w:p>
            <w:r>
              <w:rPr>
                <w:rFonts w:ascii="Calibri" w:hAnsi="Calibri"/>
                <w:color w:val="333333"/>
                <w:sz w:val="18"/>
              </w:rPr>
              <w:t>Securities Class Action Litigation (2024)</w:t>
            </w:r>
          </w:p>
        </w:tc>
        <w:tc>
          <w:tcPr>
            <w:tcW w:type="dxa" w:w="1008"/>
            <w:shd w:fill="F2F4F8" w:val="clear"/>
          </w:tcPr>
          <w:p>
            <w:r>
              <w:rPr>
                <w:rFonts w:ascii="Calibri" w:hAnsi="Calibri"/>
                <w:color w:val="333333"/>
                <w:sz w:val="18"/>
              </w:rPr>
              <w:t>Rule 10b-5</w:t>
            </w:r>
          </w:p>
        </w:tc>
        <w:tc>
          <w:tcPr>
            <w:tcW w:type="dxa" w:w="1008"/>
            <w:shd w:fill="F2F4F8" w:val="clear"/>
          </w:tcPr>
          <w:p>
            <w:r>
              <w:rPr>
                <w:rFonts w:ascii="Calibri" w:hAnsi="Calibri"/>
                <w:color w:val="333333"/>
                <w:sz w:val="18"/>
              </w:rPr>
              <w:t>Commercial</w:t>
            </w:r>
          </w:p>
        </w:tc>
        <w:tc>
          <w:tcPr>
            <w:tcW w:type="dxa" w:w="1008"/>
            <w:shd w:fill="F2F4F8" w:val="clear"/>
          </w:tcPr>
          <w:p>
            <w:r>
              <w:rPr>
                <w:rFonts w:ascii="Calibri" w:hAnsi="Calibri"/>
                <w:color w:val="333333"/>
                <w:sz w:val="18"/>
              </w:rPr>
              <w:t>U.S. District Court for the District of Massachusetts</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ACTIVE</w:t>
            </w:r>
          </w:p>
        </w:tc>
        <w:tc>
          <w:tcPr>
            <w:tcW w:type="dxa" w:w="1008"/>
            <w:shd w:fill="F2F4F8" w:val="clear"/>
          </w:tcPr>
          <w:p>
            <w:r>
              <w:rPr>
                <w:rFonts w:ascii="Calibri" w:hAnsi="Calibri"/>
                <w:color w:val="333333"/>
                <w:sz w:val="18"/>
              </w:rPr>
              <w:t>Feb 2024 - May 2024</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[10-K (LLM), 2026-04-02, HIGH]</w:t>
            </w:r>
          </w:p>
        </w:tc>
      </w:tr>
    </w:tbl>
    <w:p>
      <w:pPr>
        <w:pStyle w:val="DOBody"/>
        <w:shd w:fill="FCE8E6" w:val="clear"/>
      </w:pPr>
      <w:r>
        <w:rPr>
          <w:b/>
          <w:color w:val="EA580C"/>
          <w:sz w:val="18"/>
        </w:rPr>
        <w:t xml:space="preserve">[HIGH] </w:t>
      </w:r>
      <w:r>
        <w:rPr>
          <w:b/>
          <w:sz w:val="20"/>
        </w:rPr>
        <w:t>2 Active Securities Class Action(s)</w:t>
      </w:r>
      <w:r>
        <w:rPr>
          <w:color w:val="666666"/>
          <w:sz w:val="16"/>
        </w:rPr>
        <w:t xml:space="preserve"> --  triggered Active SCA Status (F1) — this agent risk (executive/director actions and decisions that create D&amp;O exposure) indicates Litigation History / Settlement Patterns. Evidence: Boolean check: Active case.</w:t>
      </w:r>
    </w:p>
    <w:p>
      <w:pPr>
        <w:pStyle w:val="DOCaption"/>
        <w:ind w:left="360"/>
      </w:pPr>
      <w:r>
        <w:rPr>
          <w:i/>
          <w:color w:val="666666"/>
          <w:sz w:val="18"/>
        </w:rPr>
        <w:t>Context: Cases with PSLRA safe harbor and forum selection provisions settle at 40% lower median amounts.</w:t>
      </w:r>
    </w:p>
    <w:p>
      <w:pPr>
        <w:pStyle w:val="DOBody"/>
      </w:pPr>
      <w:r>
        <w:rPr>
          <w:i/>
          <w:color w:val="FFD000"/>
          <w:sz w:val="18"/>
        </w:rPr>
        <w:t>See Meeting Prep: Active Litigation</w:t>
      </w:r>
    </w:p>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2026-04-02, LOW]</w:t>
      </w:r>
    </w:p>
    <w:p>
      <w:pPr>
        <w:pStyle w:val="DOHeading3"/>
      </w:pPr>
      <w:r>
        <w:t>Derivative Suits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Case Name</w:t>
            </w:r>
          </w:p>
        </w:tc>
        <w:tc>
          <w:tcPr>
            <w:tcW w:type="dxa" w:w="2016"/>
            <w:shd w:fill="1A1446" w:val="clear"/>
          </w:tcPr>
          <w:p>
            <w:r>
              <w:rPr>
                <w:rFonts w:ascii="Calibri" w:hAnsi="Calibri"/>
                <w:b/>
                <w:color w:val="FFFFFF"/>
                <w:sz w:val="18"/>
              </w:rPr>
              <w:t>Filing Date</w:t>
            </w:r>
          </w:p>
        </w:tc>
        <w:tc>
          <w:tcPr>
            <w:tcW w:type="dxa" w:w="2016"/>
            <w:shd w:fill="1A1446" w:val="clear"/>
          </w:tcPr>
          <w:p>
            <w:r>
              <w:rPr>
                <w:rFonts w:ascii="Calibri" w:hAnsi="Calibri"/>
                <w:b/>
                <w:color w:val="FFFFFF"/>
                <w:sz w:val="18"/>
              </w:rPr>
              <w:t>Status</w:t>
            </w:r>
          </w:p>
        </w:tc>
        <w:tc>
          <w:tcPr>
            <w:tcW w:type="dxa" w:w="2016"/>
            <w:shd w:fill="1A1446" w:val="clear"/>
          </w:tcPr>
          <w:p>
            <w:r>
              <w:rPr>
                <w:rFonts w:ascii="Calibri" w:hAnsi="Calibri"/>
                <w:b/>
                <w:color w:val="FFFFFF"/>
                <w:sz w:val="18"/>
              </w:rPr>
              <w:t>Court</w:t>
            </w:r>
          </w:p>
        </w:tc>
        <w:tc>
          <w:tcPr>
            <w:tcW w:type="dxa" w:w="2016"/>
            <w:shd w:fill="1A1446" w:val="clear"/>
          </w:tcPr>
          <w:p>
            <w:r>
              <w:rPr>
                <w:rFonts w:ascii="Calibri" w:hAnsi="Calibri"/>
                <w:b/>
                <w:color w:val="FFFFFF"/>
                <w:sz w:val="18"/>
              </w:rPr>
              <w:t>Settlement</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DISMISSED</w:t>
            </w:r>
          </w:p>
        </w:tc>
        <w:tc>
          <w:tcPr>
            <w:tcW w:type="dxa" w:w="2016"/>
          </w:tcPr>
          <w:p>
            <w:r>
              <w:rPr>
                <w:rFonts w:ascii="Calibri" w:hAnsi="Calibri"/>
                <w:color w:val="333333"/>
                <w:sz w:val="18"/>
              </w:rPr>
              <w:t>D. Del.</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bl>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FDA</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FDA</w:t>
            </w:r>
          </w:p>
        </w:tc>
        <w:tc>
          <w:tcPr>
            <w:tcW w:type="dxa" w:w="3360"/>
            <w:shd w:fill="F2F4F8" w:val="clear"/>
          </w:tcPr>
          <w:p>
            <w:r>
              <w:rPr>
                <w:rFonts w:ascii="Calibri" w:hAnsi="Calibri"/>
                <w:color w:val="333333"/>
                <w:sz w:val="18"/>
              </w:rPr>
              <w:t>investigation</w:t>
            </w:r>
          </w:p>
        </w:tc>
        <w:tc>
          <w:tcPr>
            <w:tcW w:type="dxa" w:w="3360"/>
            <w:shd w:fill="F2F4F8" w:val="clear"/>
          </w:tcPr>
          <w:p>
            <w:r>
              <w:rPr>
                <w:rFonts w:ascii="Calibri" w:hAnsi="Calibri"/>
                <w:color w:val="333333"/>
                <w:sz w:val="18"/>
              </w:rPr>
              <w:t>disclosed</w:t>
            </w:r>
          </w:p>
        </w:tc>
      </w:tr>
    </w:tbl>
    <w:p>
      <w:pPr>
        <w:pStyle w:val="DOHeading3"/>
      </w:pPr>
      <w:r>
        <w:t>Industry Claim Patterns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Legal Theory</w:t>
            </w:r>
          </w:p>
        </w:tc>
        <w:tc>
          <w:tcPr>
            <w:tcW w:type="dxa" w:w="2520"/>
            <w:shd w:fill="1A1446" w:val="clear"/>
          </w:tcPr>
          <w:p>
            <w:r>
              <w:rPr>
                <w:rFonts w:ascii="Calibri" w:hAnsi="Calibri"/>
                <w:b/>
                <w:color w:val="FFFFFF"/>
                <w:sz w:val="18"/>
              </w:rPr>
              <w:t>Exposed</w:t>
            </w:r>
          </w:p>
        </w:tc>
        <w:tc>
          <w:tcPr>
            <w:tcW w:type="dxa" w:w="2520"/>
            <w:shd w:fill="1A1446" w:val="clear"/>
          </w:tcPr>
          <w:p>
            <w:r>
              <w:rPr>
                <w:rFonts w:ascii="Calibri" w:hAnsi="Calibri"/>
                <w:b/>
                <w:color w:val="FFFFFF"/>
                <w:sz w:val="18"/>
              </w:rPr>
              <w:t>Contagion Risk</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Clinical Trial Disclosure</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[Pharmaceuticals] Failure to disclose adverse clinical trial</w:t>
            </w:r>
          </w:p>
        </w:tc>
      </w:tr>
      <w:tr>
        <w:tc>
          <w:tcPr>
            <w:tcW w:type="dxa" w:w="2520"/>
            <w:shd w:fill="F2F4F8" w:val="clear"/>
          </w:tcPr>
          <w:p>
            <w:r>
              <w:rPr>
                <w:rFonts w:ascii="Calibri" w:hAnsi="Calibri"/>
                <w:color w:val="333333"/>
                <w:sz w:val="18"/>
              </w:rPr>
              <w:t>Off Label Promotion</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[Pharmaceuticals] Off-label marketing leading to DOJ/FTC enf</w:t>
            </w:r>
          </w:p>
        </w:tc>
      </w:tr>
      <w:tr>
        <w:tc>
          <w:tcPr>
            <w:tcW w:type="dxa" w:w="2520"/>
          </w:tcPr>
          <w:p>
            <w:r>
              <w:rPr>
                <w:rFonts w:ascii="Calibri" w:hAnsi="Calibri"/>
                <w:color w:val="333333"/>
                <w:sz w:val="18"/>
              </w:rPr>
              <w:t>Drug Pricing</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[Pharmaceuticals] Drug pricing manipulation or anti-competit</w:t>
            </w:r>
          </w:p>
        </w:tc>
      </w:tr>
      <w:tr>
        <w:tc>
          <w:tcPr>
            <w:tcW w:type="dxa" w:w="2520"/>
            <w:shd w:fill="F2F4F8" w:val="clear"/>
          </w:tcPr>
          <w:p>
            <w:r>
              <w:rPr>
                <w:rFonts w:ascii="Calibri" w:hAnsi="Calibri"/>
                <w:color w:val="333333"/>
                <w:sz w:val="18"/>
              </w:rPr>
              <w:t>Fda Approval Fraud</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[Pharmaceuticals] Misleading FDA approval likelihood stateme</w:t>
            </w:r>
          </w:p>
        </w:tc>
      </w:tr>
    </w:tbl>
    <w:p>
      <w:pPr>
        <w:pStyle w:val="DOBody"/>
      </w:pPr>
      <w:r>
        <w:rPr>
          <w:i/>
          <w:sz w:val="16"/>
        </w:rPr>
        <w:t>D&amp;O Context: Company exposed to 4 industry claim pattern(s). Peer lawsuits create contagion risk -- plaintiff firms often file similar claims across the industry.</w:t>
      </w:r>
      <w:r>
        <w:rPr>
          <w:b/>
          <w:color w:val="EAB308"/>
          <w:sz w:val="18"/>
        </w:rPr>
        <w:t xml:space="preserve"> [ELEVATED]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2026-02-20</w:t>
            </w:r>
          </w:p>
        </w:tc>
        <w:tc>
          <w:tcPr>
            <w:tcW w:type="dxa" w:w="2016"/>
          </w:tcPr>
          <w:p>
            <w:r>
              <w:rPr>
                <w:rFonts w:ascii="Calibri" w:hAnsi="Calibri"/>
                <w:color w:val="333333"/>
                <w:sz w:val="18"/>
              </w:rPr>
              <w:t>2028-02-20</w:t>
            </w:r>
          </w:p>
        </w:tc>
        <w:tc>
          <w:tcPr>
            <w:tcW w:type="dxa" w:w="2016"/>
          </w:tcPr>
          <w:p>
            <w:r>
              <w:rPr>
                <w:rFonts w:ascii="Calibri" w:hAnsi="Calibri"/>
                <w:color w:val="333333"/>
                <w:sz w:val="18"/>
              </w:rPr>
              <w:t>2028-02-20</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10b-5</w:t>
            </w:r>
          </w:p>
        </w:tc>
        <w:tc>
          <w:tcPr>
            <w:tcW w:type="dxa" w:w="2016"/>
            <w:shd w:fill="F2F4F8" w:val="clear"/>
          </w:tcPr>
          <w:p>
            <w:r>
              <w:rPr>
                <w:rFonts w:ascii="Calibri" w:hAnsi="Calibri"/>
                <w:color w:val="333333"/>
                <w:sz w:val="18"/>
              </w:rPr>
              <w:t>2024-05-31</w:t>
            </w:r>
          </w:p>
        </w:tc>
        <w:tc>
          <w:tcPr>
            <w:tcW w:type="dxa" w:w="2016"/>
            <w:shd w:fill="F2F4F8" w:val="clear"/>
          </w:tcPr>
          <w:p>
            <w:r>
              <w:rPr>
                <w:rFonts w:ascii="Calibri" w:hAnsi="Calibri"/>
                <w:color w:val="333333"/>
                <w:sz w:val="18"/>
              </w:rPr>
              <w:t>2026-05-31</w:t>
            </w:r>
          </w:p>
        </w:tc>
        <w:tc>
          <w:tcPr>
            <w:tcW w:type="dxa" w:w="2016"/>
            <w:shd w:fill="F2F4F8" w:val="clear"/>
          </w:tcPr>
          <w:p>
            <w:r>
              <w:rPr>
                <w:rFonts w:ascii="Calibri" w:hAnsi="Calibri"/>
                <w:color w:val="333333"/>
                <w:sz w:val="18"/>
              </w:rPr>
              <w:t>2029-05-30</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antitrust</w:t>
            </w:r>
          </w:p>
        </w:tc>
        <w:tc>
          <w:tcPr>
            <w:tcW w:type="dxa" w:w="2016"/>
          </w:tcPr>
          <w:p>
            <w:r>
              <w:rPr>
                <w:rFonts w:ascii="Calibri" w:hAnsi="Calibri"/>
                <w:color w:val="333333"/>
                <w:sz w:val="18"/>
              </w:rPr>
              <w:t>2026-02-20</w:t>
            </w:r>
          </w:p>
        </w:tc>
        <w:tc>
          <w:tcPr>
            <w:tcW w:type="dxa" w:w="2016"/>
          </w:tcPr>
          <w:p>
            <w:r>
              <w:rPr>
                <w:rFonts w:ascii="Calibri" w:hAnsi="Calibri"/>
                <w:color w:val="333333"/>
                <w:sz w:val="18"/>
              </w:rPr>
              <w:t>2030-02-19</w:t>
            </w:r>
          </w:p>
        </w:tc>
        <w:tc>
          <w:tcPr>
            <w:tcW w:type="dxa" w:w="2016"/>
          </w:tcPr>
          <w:p>
            <w:r>
              <w:rPr>
                <w:rFonts w:ascii="Calibri" w:hAnsi="Calibri"/>
                <w:color w:val="333333"/>
                <w:sz w:val="18"/>
              </w:rPr>
              <w:t>2030-02-19</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FCPA</w:t>
            </w:r>
          </w:p>
        </w:tc>
        <w:tc>
          <w:tcPr>
            <w:tcW w:type="dxa" w:w="2016"/>
            <w:shd w:fill="F2F4F8" w:val="clear"/>
          </w:tcPr>
          <w:p>
            <w:r>
              <w:rPr>
                <w:rFonts w:ascii="Calibri" w:hAnsi="Calibri"/>
                <w:color w:val="333333"/>
                <w:sz w:val="18"/>
              </w:rPr>
              <w:t>2026-02-20</w:t>
            </w:r>
          </w:p>
        </w:tc>
        <w:tc>
          <w:tcPr>
            <w:tcW w:type="dxa" w:w="2016"/>
            <w:shd w:fill="F2F4F8" w:val="clear"/>
          </w:tcPr>
          <w:p>
            <w:r>
              <w:rPr>
                <w:rFonts w:ascii="Calibri" w:hAnsi="Calibri"/>
                <w:color w:val="333333"/>
                <w:sz w:val="18"/>
              </w:rPr>
              <w:t>2031-02-19</w:t>
            </w:r>
          </w:p>
        </w:tc>
        <w:tc>
          <w:tcPr>
            <w:tcW w:type="dxa" w:w="2016"/>
            <w:shd w:fill="F2F4F8" w:val="clear"/>
          </w:tcPr>
          <w:p>
            <w:r>
              <w:rPr>
                <w:rFonts w:ascii="Calibri" w:hAnsi="Calibri"/>
                <w:color w:val="333333"/>
                <w:sz w:val="18"/>
              </w:rPr>
              <w:t>2031-02-19</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environmental</w:t>
            </w:r>
          </w:p>
        </w:tc>
        <w:tc>
          <w:tcPr>
            <w:tcW w:type="dxa" w:w="2016"/>
          </w:tcPr>
          <w:p>
            <w:r>
              <w:rPr>
                <w:rFonts w:ascii="Calibri" w:hAnsi="Calibri"/>
                <w:color w:val="333333"/>
                <w:sz w:val="18"/>
              </w:rPr>
              <w:t>2026-02-20</w:t>
            </w:r>
          </w:p>
        </w:tc>
        <w:tc>
          <w:tcPr>
            <w:tcW w:type="dxa" w:w="2016"/>
          </w:tcPr>
          <w:p>
            <w:r>
              <w:rPr>
                <w:rFonts w:ascii="Calibri" w:hAnsi="Calibri"/>
                <w:color w:val="333333"/>
                <w:sz w:val="18"/>
              </w:rPr>
              <w:t>2031-02-19</w:t>
            </w:r>
          </w:p>
        </w:tc>
        <w:tc>
          <w:tcPr>
            <w:tcW w:type="dxa" w:w="2016"/>
          </w:tcPr>
          <w:p>
            <w:r>
              <w:rPr>
                <w:rFonts w:ascii="Calibri" w:hAnsi="Calibri"/>
                <w:color w:val="333333"/>
                <w:sz w:val="18"/>
              </w:rPr>
              <w:t>2031-02-19</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derivative</w:t>
            </w:r>
          </w:p>
        </w:tc>
        <w:tc>
          <w:tcPr>
            <w:tcW w:type="dxa" w:w="2016"/>
            <w:shd w:fill="F2F4F8" w:val="clear"/>
          </w:tcPr>
          <w:p>
            <w:r>
              <w:rPr>
                <w:rFonts w:ascii="Calibri" w:hAnsi="Calibri"/>
                <w:color w:val="333333"/>
                <w:sz w:val="18"/>
              </w:rPr>
              <w:t>2026-02-20</w:t>
            </w:r>
          </w:p>
        </w:tc>
        <w:tc>
          <w:tcPr>
            <w:tcW w:type="dxa" w:w="2016"/>
            <w:shd w:fill="F2F4F8" w:val="clear"/>
          </w:tcPr>
          <w:p>
            <w:r>
              <w:rPr>
                <w:rFonts w:ascii="Calibri" w:hAnsi="Calibri"/>
                <w:color w:val="333333"/>
                <w:sz w:val="18"/>
              </w:rPr>
              <w:t>2029-02-19</w:t>
            </w:r>
          </w:p>
        </w:tc>
        <w:tc>
          <w:tcPr>
            <w:tcW w:type="dxa" w:w="2016"/>
            <w:shd w:fill="F2F4F8" w:val="clear"/>
          </w:tcPr>
          <w:p>
            <w:r>
              <w:rPr>
                <w:rFonts w:ascii="Calibri" w:hAnsi="Calibri"/>
                <w:color w:val="333333"/>
                <w:sz w:val="18"/>
              </w:rPr>
              <w:t>2032-02-19</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ERISA</w:t>
            </w:r>
          </w:p>
        </w:tc>
        <w:tc>
          <w:tcPr>
            <w:tcW w:type="dxa" w:w="2016"/>
          </w:tcPr>
          <w:p>
            <w:r>
              <w:rPr>
                <w:rFonts w:ascii="Calibri" w:hAnsi="Calibri"/>
                <w:color w:val="333333"/>
                <w:sz w:val="18"/>
              </w:rPr>
              <w:t>2026-02-20</w:t>
            </w:r>
          </w:p>
        </w:tc>
        <w:tc>
          <w:tcPr>
            <w:tcW w:type="dxa" w:w="2016"/>
          </w:tcPr>
          <w:p>
            <w:r>
              <w:rPr>
                <w:rFonts w:ascii="Calibri" w:hAnsi="Calibri"/>
                <w:color w:val="333333"/>
                <w:sz w:val="18"/>
              </w:rPr>
              <w:t>2029-02-19</w:t>
            </w:r>
          </w:p>
        </w:tc>
        <w:tc>
          <w:tcPr>
            <w:tcW w:type="dxa" w:w="2016"/>
          </w:tcPr>
          <w:p>
            <w:r>
              <w:rPr>
                <w:rFonts w:ascii="Calibri" w:hAnsi="Calibri"/>
                <w:color w:val="333333"/>
                <w:sz w:val="18"/>
              </w:rPr>
              <w:t>2032-02-19</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Section_11</w:t>
            </w:r>
          </w:p>
        </w:tc>
        <w:tc>
          <w:tcPr>
            <w:tcW w:type="dxa" w:w="2016"/>
            <w:shd w:fill="F2F4F8" w:val="clear"/>
          </w:tcPr>
          <w:p>
            <w:r>
              <w:rPr>
                <w:rFonts w:ascii="Calibri" w:hAnsi="Calibri"/>
                <w:color w:val="333333"/>
                <w:sz w:val="18"/>
              </w:rPr>
              <w:t>2024-05-31</w:t>
            </w:r>
          </w:p>
        </w:tc>
        <w:tc>
          <w:tcPr>
            <w:tcW w:type="dxa" w:w="2016"/>
            <w:shd w:fill="F2F4F8" w:val="clear"/>
          </w:tcPr>
          <w:p>
            <w:r>
              <w:rPr>
                <w:rFonts w:ascii="Calibri" w:hAnsi="Calibri"/>
                <w:color w:val="333333"/>
                <w:sz w:val="18"/>
              </w:rPr>
              <w:t>2025-05-31</w:t>
            </w:r>
          </w:p>
        </w:tc>
        <w:tc>
          <w:tcPr>
            <w:tcW w:type="dxa" w:w="2016"/>
            <w:shd w:fill="F2F4F8" w:val="clear"/>
          </w:tcPr>
          <w:p>
            <w:r>
              <w:rPr>
                <w:rFonts w:ascii="Calibri" w:hAnsi="Calibri"/>
                <w:color w:val="333333"/>
                <w:sz w:val="18"/>
              </w:rPr>
              <w:t>2027-05-31</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Section_14a</w:t>
            </w:r>
          </w:p>
        </w:tc>
        <w:tc>
          <w:tcPr>
            <w:tcW w:type="dxa" w:w="2016"/>
          </w:tcPr>
          <w:p>
            <w:r>
              <w:rPr>
                <w:rFonts w:ascii="Calibri" w:hAnsi="Calibri"/>
                <w:color w:val="333333"/>
                <w:sz w:val="18"/>
              </w:rPr>
              <w:t>2024-05-31</w:t>
            </w:r>
          </w:p>
        </w:tc>
        <w:tc>
          <w:tcPr>
            <w:tcW w:type="dxa" w:w="2016"/>
          </w:tcPr>
          <w:p>
            <w:r>
              <w:rPr>
                <w:rFonts w:ascii="Calibri" w:hAnsi="Calibri"/>
                <w:color w:val="333333"/>
                <w:sz w:val="18"/>
              </w:rPr>
              <w:t>2025-05-31</w:t>
            </w:r>
          </w:p>
        </w:tc>
        <w:tc>
          <w:tcPr>
            <w:tcW w:type="dxa" w:w="2016"/>
          </w:tcPr>
          <w:p>
            <w:r>
              <w:rPr>
                <w:rFonts w:ascii="Calibri" w:hAnsi="Calibri"/>
                <w:color w:val="333333"/>
                <w:sz w:val="18"/>
              </w:rPr>
              <w:t>2027-05-31</w:t>
            </w:r>
          </w:p>
        </w:tc>
        <w:tc>
          <w:tcPr>
            <w:tcW w:type="dxa" w:w="2016"/>
          </w:tcPr>
          <w:p>
            <w:r>
              <w:rPr>
                <w:rFonts w:ascii="Calibri" w:hAnsi="Calibri"/>
                <w:color w:val="333333"/>
                <w:sz w:val="18"/>
              </w:rPr>
              <w:t>CLOSED</w:t>
            </w:r>
          </w:p>
        </w:tc>
      </w:tr>
    </w:tbl>
    <w:p>
      <w:pPr>
        <w:pStyle w:val="DOBody"/>
      </w:pPr>
      <w:r>
        <w:rPr>
          <w:i/>
          <w:sz w:val="16"/>
        </w:rPr>
        <w:t>D&amp;O Context: 7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PARTIAL</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MODERATE with standard forward-looking statement protections.</w:t>
      </w:r>
      <w:r>
        <w:rPr>
          <w:rFonts w:ascii="Consolas" w:hAnsi="Consolas"/>
          <w:color w:val="666666"/>
          <w:sz w:val="16"/>
        </w:rPr>
        <w:t xml:space="preserve">  [DEF 14A; 10-K, 2026-04-02,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We are involved in various claims and legal proceedings of a</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Most of the issues raised by these claims are highly complex</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Proceedings In August 2022, we filed a lawsuit in the U.S.</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The case has been stayed pending the outcome of two Inter Pa</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action, we seek a judgment of infringement of the asserted p</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and BioNTech SE have filed oppositions seeking revocation of</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Arbutus Patent Litigation In February 2022, Arbutus Biopharm</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 March 2025, Arbutus and Genevant filed five international</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 xml:space="preserve">The companies filed lawsuits in the Canadian Federal Court, </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 xml:space="preserve">The UPC actions seek relief in all UPC member states and in </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Hearings for the UPC actions are set for May 19 and 20, 2026</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The Canadian lawsuit is scheduled for trial beginning in Sep</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79 GSK Patent Litigation In October 2024, GlaxoSmithKline Bi</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 July 2025, GSK submitted two lawsuits to the UPC assertin</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In December 2025, GSK served us with two separate complaints</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Northwestern University Patent Litigation In October 2024, N</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(Alnylam) filed two complaints against us in the U.S.</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On August 25, 2023, the Court entered a Final Judgment of no</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Relatedly, in May 2023, Alnylam filed a third complaint agai</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Following the June 2025 Federal Circuit decision in our favo</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 xml:space="preserve">Bayer CropSciences Patent Litigation In January 2026, Bayer </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mNG Bio Patent Litigation In January 2026, mNG Bio, LLC (mNG</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BioNTech Patent Litigation In February 2026, BioNTech SE fil</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80 Securities Class Action Litigation In August 2024, a puta</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The action was purportedly brought on behalf of a class of s</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The complaint asserts claims under the Securities Exchange A</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On August 25, 2025, plaintiff filed an amended complaint, wh</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 xml:space="preserve">On October 24, 2025, the Company filed a motion to dismiss, </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Derivative Litigation Between September and November 2024, p</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 xml:space="preserve">The complaints allege breaches of fiduciary duty and claims </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The cases were stayed pending a decision on defendants' moti</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3"/>
      </w:pPr>
      <w:r>
        <w:t>Workforce, Product &amp; Environmental Matters</w:t>
      </w:r>
    </w:p>
    <w:p>
      <w:pPr>
        <w:pStyle w:val="DOBody"/>
      </w:pPr>
      <w:r>
        <w:t>None found.</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Moderna's 51 quality score places it in the NO-TOUCH tier with a 4.0-5.6% claim probability, driven by an active securities class action and a whistleblower disclosure that impose a binding ceiling of CRF-1. The company's Prior Litigation risk factor deducted 4.64 points, the largest driver of its total 12.66 in deductions, indicating a history that elevates future suit likelihood. This is compounded by IPO/M&amp;A activity (1.56-point deduction) and Restatement/Audit Issues (1.35-point deduction), which are common catalysts for shareholder allegations. The combination of an active class action and a formal whistleblower matter creates a layered, high-severity profile that standard D&amp;O pricing cannot accommodate, leading to a clear decline.</w:t>
      </w:r>
    </w:p>
    <w:p>
      <w:pPr>
        <w:pStyle w:val="DOHeading1"/>
      </w:pPr>
      <w:r>
        <w:t>Section 7: Risk Scoring &amp; Synthesis</w:t>
      </w:r>
    </w:p>
    <w:p>
      <w:pPr>
        <w:pStyle w:val="DOBody"/>
      </w:pPr>
      <w:r>
        <w:rPr>
          <w:rFonts w:ascii="Calibri" w:hAnsi="Calibri"/>
          <w:color w:val="333333"/>
          <w:sz w:val="20"/>
        </w:rPr>
        <w:t>Underwriting tier: **NO_TOUCH** (quality score: 50.9/100). Recommended action: Decline. Expected claim probability band: 4.0-5.6%. Top risk contributors: Prior Litigation (F1: -4.6 pts); IPO/SPAC/M&amp;A (F4: -1.6 pts); Restatement/Audit Issues (F3: -1.4 pts). **Red flag gates active**: Active Securities Class Action (ceiling: 55); Whistleblower/Qui Tam Disclosure (ceiling: 100). Binding ceiling: CRF-1. Claim probability band: MODERATE (4.0%-5.6%).</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50.9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87.3</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12.7</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NO_TOUCH</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0 - 10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Decline</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4.0-5.6%</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Binding Ceiling</w:t>
            </w:r>
          </w:p>
        </w:tc>
        <w:tc>
          <w:tcPr>
            <w:tcW w:type="dxa" w:w="5040"/>
          </w:tcPr>
          <w:p>
            <w:r>
              <w:rPr>
                <w:rFonts w:ascii="Calibri" w:hAnsi="Calibri"/>
                <w:color w:val="333333"/>
                <w:sz w:val="18"/>
              </w:rPr>
              <w:t>CRF-1</w:t>
            </w:r>
          </w:p>
        </w:tc>
      </w:tr>
    </w:tbl>
    <w:p>
      <w:pPr>
        <w:pStyle w:val="DOBody"/>
      </w:pPr>
      <w:r>
        <w:rPr>
          <w:b/>
        </w:rPr>
        <w:t>Risk Assessment: HIGH</w:t>
      </w:r>
      <w:r>
        <w:rPr>
          <w:b/>
          <w:color w:val="EA580C"/>
          <w:sz w:val="18"/>
        </w:rPr>
        <w:t xml:space="preserve"> [HIGH]</w:t>
      </w:r>
    </w:p>
    <w:p>
      <w:pPr>
        <w:pStyle w:val="DOHeading3"/>
      </w:pPr>
      <w:r>
        <w:t>D&amp;O Claim Peril Assessment</w:t>
      </w:r>
    </w:p>
    <w:p>
      <w:pPr>
        <w:pStyle w:val="DOBody"/>
      </w:pPr>
      <w:r>
        <w:t>1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0/5</w:t>
            </w:r>
          </w:p>
        </w:tc>
        <w:tc>
          <w:tcPr>
            <w:tcW w:type="dxa" w:w="2520"/>
          </w:tcPr>
          <w:p>
            <w:r>
              <w:rPr>
                <w:rFonts w:ascii="Calibri" w:hAnsi="Calibri"/>
                <w:color w:val="666666"/>
                <w:sz w:val="18"/>
              </w:rPr>
              <w:t>—</w:t>
            </w:r>
          </w:p>
        </w:tc>
      </w:tr>
      <w:tr>
        <w:tc>
          <w:tcPr>
            <w:tcW w:type="dxa" w:w="2520"/>
          </w:tcPr>
          <w:p>
            <w:r>
              <w:rPr>
                <w:rFonts w:ascii="Calibri" w:hAnsi="Calibri"/>
                <w:b/>
                <w:color w:val="333333"/>
                <w:sz w:val="18"/>
              </w:rPr>
              <w:t>Fiduciary Breach</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1/3</w:t>
            </w:r>
          </w:p>
        </w:tc>
        <w:tc>
          <w:tcPr>
            <w:tcW w:type="dxa" w:w="2520"/>
          </w:tcPr>
          <w:p>
            <w:r>
              <w:rPr>
                <w:rFonts w:ascii="Calibri" w:hAnsi="Calibri"/>
                <w:color w:val="666666"/>
                <w:sz w:val="18"/>
              </w:rPr>
              <w:t>Verified (value: 0); Detected (value). Limited corroborating data available.</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Fiduciary Breach: MODERATE</w:t>
      </w:r>
      <w:r>
        <w:rPr>
          <w:b/>
          <w:color w:val="2563EB"/>
          <w:sz w:val="18"/>
        </w:rPr>
        <w:t xml:space="preserve"> [MODERATE]</w:t>
      </w:r>
    </w:p>
    <w:p>
      <w:pPr>
        <w:pStyle w:val="DOBody"/>
      </w:pPr>
      <w:r>
        <w:rPr>
          <w:color w:val="666666"/>
          <w:sz w:val="16"/>
        </w:rPr>
        <w:t>Frequency: growing | Severity: variable | Typical range: $1M - $100M</w:t>
      </w:r>
    </w:p>
    <w:p>
      <w:pPr>
        <w:pStyle w:val="DOBody"/>
      </w:pPr>
      <w:r>
        <w:t>1 of 3 causal chains active.</w:t>
      </w:r>
    </w:p>
    <w:p>
      <w:pPr>
        <w:pStyle w:val="DOBody"/>
      </w:pPr>
      <w:r>
        <w:rPr>
          <w:b/>
        </w:rPr>
        <w:t>Chain: Governance Failure → Derivative Suit</w:t>
      </w:r>
      <w:r>
        <w:t xml:space="preserve"> [MODERATE]</w:t>
      </w:r>
    </w:p>
    <w:p>
      <w:pPr>
        <w:pStyle w:val="DOBody"/>
      </w:pPr>
      <w:r>
        <w:rPr>
          <w:i/>
          <w:sz w:val="16"/>
        </w:rPr>
        <w:t>Weak governance structure (low independence, CEO/Chair duality, poor say-on-pay) creates basis for Caremark duty of oversight claims and derivative suits.</w:t>
        <w:br/>
      </w:r>
    </w:p>
    <w:p>
      <w:pPr>
        <w:pStyle w:val="DOBody"/>
      </w:pPr>
      <w:r>
        <w:rPr>
          <w:b/>
          <w:sz w:val="20"/>
        </w:rPr>
        <w:t xml:space="preserve">  Triggers: </w:t>
      </w:r>
      <w:r>
        <w:br/>
        <w:t xml:space="preserve">    • GOV.BOARD.ceo_chair</w:t>
      </w:r>
    </w:p>
    <w:p>
      <w:pPr>
        <w:pStyle w:val="DOBody"/>
      </w:pPr>
      <w:r>
        <w:rPr>
          <w:color w:val="666666"/>
          <w:sz w:val="16"/>
        </w:rPr>
        <w:t xml:space="preserve">  Historical filing rate: 3% | Median severity: $8M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4.6</w:t>
            </w:r>
          </w:p>
        </w:tc>
        <w:tc>
          <w:tcPr>
            <w:tcW w:type="dxa" w:w="1680"/>
          </w:tcPr>
          <w:p>
            <w:r>
              <w:rPr>
                <w:rFonts w:ascii="Calibri" w:hAnsi="Calibri"/>
                <w:color w:val="333333"/>
                <w:sz w:val="18"/>
              </w:rPr>
              <w:t>23%</w:t>
            </w:r>
          </w:p>
        </w:tc>
        <w:tc>
          <w:tcPr>
            <w:tcW w:type="dxa" w:w="1680"/>
          </w:tcPr>
          <w:p>
            <w:r>
              <w:rPr>
                <w:rFonts w:ascii="Calibri" w:hAnsi="Calibri"/>
                <w:color w:val="333333"/>
                <w:sz w:val="18"/>
              </w:rPr>
              <w:t>Signal-driven scoring: 70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0.9</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Signal-driven scoring: 28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1.4</w:t>
            </w:r>
          </w:p>
        </w:tc>
        <w:tc>
          <w:tcPr>
            <w:tcW w:type="dxa" w:w="1680"/>
          </w:tcPr>
          <w:p>
            <w:r>
              <w:rPr>
                <w:rFonts w:ascii="Calibri" w:hAnsi="Calibri"/>
                <w:color w:val="333333"/>
                <w:sz w:val="18"/>
              </w:rPr>
              <w:t>11%</w:t>
            </w:r>
          </w:p>
        </w:tc>
        <w:tc>
          <w:tcPr>
            <w:tcW w:type="dxa" w:w="1680"/>
          </w:tcPr>
          <w:p>
            <w:r>
              <w:rPr>
                <w:rFonts w:ascii="Calibri" w:hAnsi="Calibri"/>
                <w:color w:val="333333"/>
                <w:sz w:val="18"/>
              </w:rPr>
              <w:t>Signal-driven scoring: 86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1.6</w:t>
            </w:r>
          </w:p>
        </w:tc>
        <w:tc>
          <w:tcPr>
            <w:tcW w:type="dxa" w:w="1680"/>
            <w:shd w:fill="F2F4F8" w:val="clear"/>
          </w:tcPr>
          <w:p>
            <w:r>
              <w:rPr>
                <w:rFonts w:ascii="Calibri" w:hAnsi="Calibri"/>
                <w:color w:val="333333"/>
                <w:sz w:val="18"/>
              </w:rPr>
              <w:t>16%</w:t>
            </w:r>
          </w:p>
        </w:tc>
        <w:tc>
          <w:tcPr>
            <w:tcW w:type="dxa" w:w="1680"/>
            <w:shd w:fill="F2F4F8" w:val="clear"/>
          </w:tcPr>
          <w:p>
            <w:r>
              <w:rPr>
                <w:rFonts w:ascii="Calibri" w:hAnsi="Calibri"/>
                <w:color w:val="333333"/>
                <w:sz w:val="18"/>
              </w:rPr>
              <w:t>Signal-driven scoring: 16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10</w:t>
            </w:r>
          </w:p>
        </w:tc>
        <w:tc>
          <w:tcPr>
            <w:tcW w:type="dxa" w:w="1680"/>
          </w:tcPr>
          <w:p>
            <w:r>
              <w:rPr>
                <w:rFonts w:ascii="Calibri" w:hAnsi="Calibri"/>
                <w:color w:val="333333"/>
                <w:sz w:val="18"/>
              </w:rPr>
              <w:t>0.0</w:t>
            </w:r>
          </w:p>
        </w:tc>
        <w:tc>
          <w:tcPr>
            <w:tcW w:type="dxa" w:w="1680"/>
          </w:tcPr>
          <w:p>
            <w:r>
              <w:rPr>
                <w:rFonts w:ascii="Calibri" w:hAnsi="Calibri"/>
                <w:color w:val="333333"/>
                <w:sz w:val="18"/>
              </w:rPr>
              <w:t>0%</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1.1</w:t>
            </w:r>
          </w:p>
        </w:tc>
        <w:tc>
          <w:tcPr>
            <w:tcW w:type="dxa" w:w="1680"/>
            <w:shd w:fill="F2F4F8" w:val="clear"/>
          </w:tcPr>
          <w:p>
            <w:r>
              <w:rPr>
                <w:rFonts w:ascii="Calibri" w:hAnsi="Calibri"/>
                <w:color w:val="333333"/>
                <w:sz w:val="18"/>
              </w:rPr>
              <w:t>14%</w:t>
            </w:r>
          </w:p>
        </w:tc>
        <w:tc>
          <w:tcPr>
            <w:tcW w:type="dxa" w:w="1680"/>
            <w:shd w:fill="F2F4F8" w:val="clear"/>
          </w:tcPr>
          <w:p>
            <w:r>
              <w:rPr>
                <w:rFonts w:ascii="Calibri" w:hAnsi="Calibri"/>
                <w:color w:val="333333"/>
                <w:sz w:val="18"/>
              </w:rPr>
              <w:t>Signal-driven scoring: 26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9</w:t>
            </w:r>
          </w:p>
        </w:tc>
        <w:tc>
          <w:tcPr>
            <w:tcW w:type="dxa" w:w="1680"/>
          </w:tcPr>
          <w:p>
            <w:r>
              <w:rPr>
                <w:rFonts w:ascii="Calibri" w:hAnsi="Calibri"/>
                <w:color w:val="333333"/>
                <w:sz w:val="18"/>
              </w:rPr>
              <w:t>1.2</w:t>
            </w:r>
          </w:p>
        </w:tc>
        <w:tc>
          <w:tcPr>
            <w:tcW w:type="dxa" w:w="1680"/>
          </w:tcPr>
          <w:p>
            <w:r>
              <w:rPr>
                <w:rFonts w:ascii="Calibri" w:hAnsi="Calibri"/>
                <w:color w:val="333333"/>
                <w:sz w:val="18"/>
              </w:rPr>
              <w:t>14%</w:t>
            </w:r>
          </w:p>
        </w:tc>
        <w:tc>
          <w:tcPr>
            <w:tcW w:type="dxa" w:w="1680"/>
          </w:tcPr>
          <w:p>
            <w:r>
              <w:rPr>
                <w:rFonts w:ascii="Calibri" w:hAnsi="Calibri"/>
                <w:color w:val="333333"/>
                <w:sz w:val="18"/>
              </w:rPr>
              <w:t>Signal-driven scoring: 31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1.1</w:t>
            </w:r>
          </w:p>
        </w:tc>
        <w:tc>
          <w:tcPr>
            <w:tcW w:type="dxa" w:w="1680"/>
            <w:shd w:fill="F2F4F8" w:val="clear"/>
          </w:tcPr>
          <w:p>
            <w:r>
              <w:rPr>
                <w:rFonts w:ascii="Calibri" w:hAnsi="Calibri"/>
                <w:color w:val="333333"/>
                <w:sz w:val="18"/>
              </w:rPr>
              <w:t>13%</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0.7</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40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0.2</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Signal-driven scoring: 90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Active Securities Class Action</w:t>
            </w:r>
          </w:p>
        </w:tc>
        <w:tc>
          <w:tcPr>
            <w:tcW w:type="dxa" w:w="2016"/>
          </w:tcPr>
          <w:p>
            <w:r>
              <w:rPr>
                <w:rFonts w:ascii="Calibri" w:hAnsi="Calibri"/>
                <w:color w:val="333333"/>
                <w:sz w:val="18"/>
              </w:rPr>
              <w:t>Active SCA: In re Moderna, Inc. Securities Litigation (24-cv-12058) (2024)</w:t>
            </w:r>
          </w:p>
        </w:tc>
        <w:tc>
          <w:tcPr>
            <w:tcW w:type="dxa" w:w="2016"/>
          </w:tcPr>
          <w:p>
            <w:r>
              <w:rPr>
                <w:rFonts w:ascii="Calibri" w:hAnsi="Calibri"/>
                <w:color w:val="333333"/>
                <w:sz w:val="18"/>
              </w:rPr>
              <w:t>Ceiling: 55</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Critical Red Flag: Whistleblower/Qui Tam Disclosure</w:t>
            </w:r>
          </w:p>
        </w:tc>
        <w:tc>
          <w:tcPr>
            <w:tcW w:type="dxa" w:w="2016"/>
            <w:shd w:fill="F2F4F8" w:val="clear"/>
          </w:tcPr>
          <w:p>
            <w:r>
              <w:rPr>
                <w:rFonts w:ascii="Calibri" w:hAnsi="Calibri"/>
                <w:color w:val="333333"/>
                <w:sz w:val="18"/>
              </w:rPr>
              <w:t>NLP whistleblower signal: Whistleblower/qui tam language detected: whistleblower, false claims act. Presence of such language in filings may indicate pending or potential False Claims Act or SEC whistleblower actions.</w:t>
            </w:r>
          </w:p>
        </w:tc>
        <w:tc>
          <w:tcPr>
            <w:tcW w:type="dxa" w:w="2016"/>
            <w:shd w:fill="F2F4F8" w:val="clear"/>
          </w:tcPr>
          <w:p>
            <w:r>
              <w:rPr>
                <w:rFonts w:ascii="Calibri" w:hAnsi="Calibri"/>
                <w:color w:val="333333"/>
                <w:sz w:val="18"/>
              </w:rPr>
              <w:t>Ceiling: 100</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Prior Litigation: 5/20 points</w:t>
            </w:r>
          </w:p>
        </w:tc>
        <w:tc>
          <w:tcPr>
            <w:tcW w:type="dxa" w:w="2016"/>
          </w:tcPr>
          <w:p>
            <w:r>
              <w:rPr>
                <w:rFonts w:ascii="Calibri" w:hAnsi="Calibri"/>
                <w:color w:val="333333"/>
                <w:sz w:val="18"/>
              </w:rPr>
              <w:t>Signal-driven scoring: 70 signals, coverage=100%</w:t>
            </w:r>
          </w:p>
        </w:tc>
        <w:tc>
          <w:tcPr>
            <w:tcW w:type="dxa" w:w="2016"/>
          </w:tcPr>
          <w:p>
            <w:r>
              <w:rPr>
                <w:rFonts w:ascii="Calibri" w:hAnsi="Calibri"/>
                <w:color w:val="333333"/>
                <w:sz w:val="18"/>
              </w:rPr>
              <w:t>F1: 5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Decline: 1/15 points</w:t>
            </w:r>
          </w:p>
        </w:tc>
        <w:tc>
          <w:tcPr>
            <w:tcW w:type="dxa" w:w="2016"/>
            <w:shd w:fill="F2F4F8" w:val="clear"/>
          </w:tcPr>
          <w:p>
            <w:r>
              <w:rPr>
                <w:rFonts w:ascii="Calibri" w:hAnsi="Calibri"/>
                <w:color w:val="333333"/>
                <w:sz w:val="18"/>
              </w:rPr>
              <w:t>Signal-driven scoring: 28 signals, coverage=100%; Drop contribution modifier: 0.19x (decay + company-specific + disclosure)</w:t>
            </w:r>
          </w:p>
        </w:tc>
        <w:tc>
          <w:tcPr>
            <w:tcW w:type="dxa" w:w="2016"/>
            <w:shd w:fill="F2F4F8" w:val="clear"/>
          </w:tcPr>
          <w:p>
            <w:r>
              <w:rPr>
                <w:rFonts w:ascii="Calibri" w:hAnsi="Calibri"/>
                <w:color w:val="333333"/>
                <w:sz w:val="18"/>
              </w:rPr>
              <w:t>F2: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Restatement/Audit Issues: 1/12 points</w:t>
            </w:r>
          </w:p>
        </w:tc>
        <w:tc>
          <w:tcPr>
            <w:tcW w:type="dxa" w:w="2016"/>
          </w:tcPr>
          <w:p>
            <w:r>
              <w:rPr>
                <w:rFonts w:ascii="Calibri" w:hAnsi="Calibri"/>
                <w:color w:val="333333"/>
                <w:sz w:val="18"/>
              </w:rPr>
              <w:t>Signal-driven scoring: 86 signals, coverage=100%</w:t>
            </w:r>
          </w:p>
        </w:tc>
        <w:tc>
          <w:tcPr>
            <w:tcW w:type="dxa" w:w="2016"/>
          </w:tcPr>
          <w:p>
            <w:r>
              <w:rPr>
                <w:rFonts w:ascii="Calibri" w:hAnsi="Calibri"/>
                <w:color w:val="333333"/>
                <w:sz w:val="18"/>
              </w:rPr>
              <w:t>F3: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IPO/SPAC/M&amp;A: 2/10 points</w:t>
            </w:r>
          </w:p>
        </w:tc>
        <w:tc>
          <w:tcPr>
            <w:tcW w:type="dxa" w:w="2016"/>
            <w:shd w:fill="F2F4F8" w:val="clear"/>
          </w:tcPr>
          <w:p>
            <w:r>
              <w:rPr>
                <w:rFonts w:ascii="Calibri" w:hAnsi="Calibri"/>
                <w:color w:val="333333"/>
                <w:sz w:val="18"/>
              </w:rPr>
              <w:t>Signal-driven scoring: 16 signals, coverage=100%</w:t>
            </w:r>
          </w:p>
        </w:tc>
        <w:tc>
          <w:tcPr>
            <w:tcW w:type="dxa" w:w="2016"/>
            <w:shd w:fill="F2F4F8" w:val="clear"/>
          </w:tcPr>
          <w:p>
            <w:r>
              <w:rPr>
                <w:rFonts w:ascii="Calibri" w:hAnsi="Calibri"/>
                <w:color w:val="333333"/>
                <w:sz w:val="18"/>
              </w:rPr>
              <w:t>F4: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Short Interest: 1/8 points</w:t>
            </w:r>
          </w:p>
        </w:tc>
        <w:tc>
          <w:tcPr>
            <w:tcW w:type="dxa" w:w="2016"/>
          </w:tcPr>
          <w:p>
            <w:r>
              <w:rPr>
                <w:rFonts w:ascii="Calibri" w:hAnsi="Calibri"/>
                <w:color w:val="333333"/>
                <w:sz w:val="18"/>
              </w:rPr>
              <w:t>Signal-driven scoring: 26 signals, coverage=100%</w:t>
            </w:r>
          </w:p>
        </w:tc>
        <w:tc>
          <w:tcPr>
            <w:tcW w:type="dxa" w:w="2016"/>
          </w:tcPr>
          <w:p>
            <w:r>
              <w:rPr>
                <w:rFonts w:ascii="Calibri" w:hAnsi="Calibri"/>
                <w:color w:val="333333"/>
                <w:sz w:val="18"/>
              </w:rPr>
              <w:t>F6: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Volatility: 1/9 points</w:t>
            </w:r>
          </w:p>
        </w:tc>
        <w:tc>
          <w:tcPr>
            <w:tcW w:type="dxa" w:w="2016"/>
            <w:shd w:fill="F2F4F8" w:val="clear"/>
          </w:tcPr>
          <w:p>
            <w:r>
              <w:rPr>
                <w:rFonts w:ascii="Calibri" w:hAnsi="Calibri"/>
                <w:color w:val="333333"/>
                <w:sz w:val="18"/>
              </w:rPr>
              <w:t>Signal-driven scoring: 31 signals, coverage=100%</w:t>
            </w:r>
          </w:p>
        </w:tc>
        <w:tc>
          <w:tcPr>
            <w:tcW w:type="dxa" w:w="2016"/>
            <w:shd w:fill="F2F4F8" w:val="clear"/>
          </w:tcPr>
          <w:p>
            <w:r>
              <w:rPr>
                <w:rFonts w:ascii="Calibri" w:hAnsi="Calibri"/>
                <w:color w:val="333333"/>
                <w:sz w:val="18"/>
              </w:rPr>
              <w:t>F7: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Financial Distress: 1/8 points</w:t>
            </w:r>
          </w:p>
        </w:tc>
        <w:tc>
          <w:tcPr>
            <w:tcW w:type="dxa" w:w="2016"/>
          </w:tcPr>
          <w:p>
            <w:r>
              <w:rPr>
                <w:rFonts w:ascii="Calibri" w:hAnsi="Calibri"/>
                <w:color w:val="333333"/>
                <w:sz w:val="18"/>
              </w:rPr>
              <w:t>Signal-driven scoring: 15 signals, coverage=100%</w:t>
            </w:r>
          </w:p>
        </w:tc>
        <w:tc>
          <w:tcPr>
            <w:tcW w:type="dxa" w:w="2016"/>
          </w:tcPr>
          <w:p>
            <w:r>
              <w:rPr>
                <w:rFonts w:ascii="Calibri" w:hAnsi="Calibri"/>
                <w:color w:val="333333"/>
                <w:sz w:val="18"/>
              </w:rPr>
              <w:t>F8: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Issues: 1/6 points</w:t>
            </w:r>
          </w:p>
        </w:tc>
        <w:tc>
          <w:tcPr>
            <w:tcW w:type="dxa" w:w="2016"/>
            <w:shd w:fill="F2F4F8" w:val="clear"/>
          </w:tcPr>
          <w:p>
            <w:r>
              <w:rPr>
                <w:rFonts w:ascii="Calibri" w:hAnsi="Calibri"/>
                <w:color w:val="333333"/>
                <w:sz w:val="18"/>
              </w:rPr>
              <w:t>Signal-driven scoring: 40 signals, coverage=100%</w:t>
            </w:r>
          </w:p>
        </w:tc>
        <w:tc>
          <w:tcPr>
            <w:tcW w:type="dxa" w:w="2016"/>
            <w:shd w:fill="F2F4F8" w:val="clear"/>
          </w:tcPr>
          <w:p>
            <w:r>
              <w:rPr>
                <w:rFonts w:ascii="Calibri" w:hAnsi="Calibri"/>
                <w:color w:val="333333"/>
                <w:sz w:val="18"/>
              </w:rPr>
              <w:t>F9: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Officer Stability: 0/2 points</w:t>
            </w:r>
          </w:p>
        </w:tc>
        <w:tc>
          <w:tcPr>
            <w:tcW w:type="dxa" w:w="2016"/>
          </w:tcPr>
          <w:p>
            <w:r>
              <w:rPr>
                <w:rFonts w:ascii="Calibri" w:hAnsi="Calibri"/>
                <w:color w:val="333333"/>
                <w:sz w:val="18"/>
              </w:rPr>
              <w:t>Signal-driven scoring: 90 signals, coverage=100%</w:t>
            </w:r>
          </w:p>
        </w:tc>
        <w:tc>
          <w:tcPr>
            <w:tcW w:type="dxa" w:w="2016"/>
          </w:tcPr>
          <w:p>
            <w:r>
              <w:rPr>
                <w:rFonts w:ascii="Calibri" w:hAnsi="Calibri"/>
                <w:color w:val="333333"/>
                <w:sz w:val="18"/>
              </w:rPr>
              <w:t>F10: 0 pts</w:t>
            </w:r>
          </w:p>
        </w:tc>
        <w:tc>
          <w:tcPr>
            <w:tcW w:type="dxa" w:w="2016"/>
          </w:tcPr>
          <w:p>
            <w:r>
              <w:rPr>
                <w:rFonts w:ascii="Calibri" w:hAnsi="Calibri"/>
                <w:color w:val="333333"/>
                <w:sz w:val="18"/>
              </w:rPr>
              <w:t>NEW</w:t>
            </w:r>
          </w:p>
        </w:tc>
      </w:tr>
    </w:tbl>
    <w:p>
      <w:pPr>
        <w:pStyle w:val="DOBody"/>
      </w:pPr>
      <w:r>
        <w:t>Critical: 2, High: 0, Moderate: 0, Low: 9</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REGULATORY_SENSITIVE</w:t>
            </w:r>
          </w:p>
        </w:tc>
      </w:tr>
      <w:tr>
        <w:tc>
          <w:tcPr>
            <w:tcW w:type="dxa" w:w="5040"/>
            <w:shd w:fill="F2F4F8" w:val="clear"/>
          </w:tcPr>
          <w:p>
            <w:r>
              <w:rPr>
                <w:rFonts w:ascii="Calibri" w:hAnsi="Calibri"/>
                <w:color w:val="333333"/>
                <w:sz w:val="18"/>
              </w:rPr>
              <w:t>Secondary Risk Type</w:t>
            </w:r>
          </w:p>
        </w:tc>
        <w:tc>
          <w:tcPr>
            <w:tcW w:type="dxa" w:w="5040"/>
            <w:shd w:fill="F2F4F8" w:val="clear"/>
          </w:tcPr>
          <w:p>
            <w:r>
              <w:rPr>
                <w:rFonts w:ascii="Calibri" w:hAnsi="Calibri"/>
                <w:color w:val="333333"/>
                <w:sz w:val="18"/>
              </w:rPr>
              <w:t>TRANSFORMATION</w:t>
            </w:r>
          </w:p>
        </w:tc>
      </w:tr>
      <w:tr>
        <w:tc>
          <w:tcPr>
            <w:tcW w:type="dxa" w:w="5040"/>
          </w:tcPr>
          <w:p>
            <w:r>
              <w:rPr>
                <w:rFonts w:ascii="Calibri" w:hAnsi="Calibri"/>
                <w:color w:val="333333"/>
                <w:sz w:val="18"/>
              </w:rPr>
              <w:t>Supporting Evidence</w:t>
            </w:r>
          </w:p>
        </w:tc>
        <w:tc>
          <w:tcPr>
            <w:tcW w:type="dxa" w:w="5040"/>
          </w:tcPr>
          <w:p>
            <w:r>
              <w:rPr>
                <w:rFonts w:ascii="Calibri" w:hAnsi="Calibri"/>
                <w:color w:val="333333"/>
                <w:sz w:val="18"/>
              </w:rPr>
              <w:t>Regulated industry SIC: 2836</w:t>
            </w:r>
          </w:p>
        </w:tc>
      </w:tr>
    </w:tbl>
    <w:p>
      <w:pPr>
        <w:pStyle w:val="DOHeading3"/>
      </w:pPr>
      <w:r>
        <w:t>Severity Scenarios</w:t>
      </w:r>
    </w:p>
    <w:p>
      <w:pPr>
        <w:pStyle w:val="DOBody"/>
      </w:pPr>
      <w:r>
        <w:t>Analysis based on market cap: $19.5B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$1.5B</w:t>
            </w:r>
          </w:p>
        </w:tc>
        <w:tc>
          <w:tcPr>
            <w:tcW w:type="dxa" w:w="2016"/>
          </w:tcPr>
          <w:p>
            <w:r>
              <w:rPr>
                <w:rFonts w:ascii="Calibri" w:hAnsi="Calibri"/>
                <w:color w:val="333333"/>
                <w:sz w:val="18"/>
              </w:rPr>
              <w:t>$224.5M</w:t>
            </w:r>
          </w:p>
        </w:tc>
        <w:tc>
          <w:tcPr>
            <w:tcW w:type="dxa" w:w="2016"/>
          </w:tcPr>
          <w:p>
            <w:r>
              <w:rPr>
                <w:rFonts w:ascii="Calibri" w:hAnsi="Calibri"/>
                <w:color w:val="333333"/>
                <w:sz w:val="18"/>
              </w:rPr>
              <w:t>$1.7B</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$3.0B</w:t>
            </w:r>
          </w:p>
        </w:tc>
        <w:tc>
          <w:tcPr>
            <w:tcW w:type="dxa" w:w="2016"/>
            <w:shd w:fill="F2F4F8" w:val="clear"/>
          </w:tcPr>
          <w:p>
            <w:r>
              <w:rPr>
                <w:rFonts w:ascii="Calibri" w:hAnsi="Calibri"/>
                <w:color w:val="333333"/>
                <w:sz w:val="18"/>
              </w:rPr>
              <w:t>$598.7M</w:t>
            </w:r>
          </w:p>
        </w:tc>
        <w:tc>
          <w:tcPr>
            <w:tcW w:type="dxa" w:w="2016"/>
            <w:shd w:fill="F2F4F8" w:val="clear"/>
          </w:tcPr>
          <w:p>
            <w:r>
              <w:rPr>
                <w:rFonts w:ascii="Calibri" w:hAnsi="Calibri"/>
                <w:color w:val="333333"/>
                <w:sz w:val="18"/>
              </w:rPr>
              <w:t>$3.6B</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$6.0B</w:t>
            </w:r>
          </w:p>
        </w:tc>
        <w:tc>
          <w:tcPr>
            <w:tcW w:type="dxa" w:w="2016"/>
          </w:tcPr>
          <w:p>
            <w:r>
              <w:rPr>
                <w:rFonts w:ascii="Calibri" w:hAnsi="Calibri"/>
                <w:color w:val="333333"/>
                <w:sz w:val="18"/>
              </w:rPr>
              <w:t>$1.5B</w:t>
            </w:r>
          </w:p>
        </w:tc>
        <w:tc>
          <w:tcPr>
            <w:tcW w:type="dxa" w:w="2016"/>
          </w:tcPr>
          <w:p>
            <w:r>
              <w:rPr>
                <w:rFonts w:ascii="Calibri" w:hAnsi="Calibri"/>
                <w:color w:val="333333"/>
                <w:sz w:val="18"/>
              </w:rPr>
              <w:t>$7.5B</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$12.0B</w:t>
            </w:r>
          </w:p>
        </w:tc>
        <w:tc>
          <w:tcPr>
            <w:tcW w:type="dxa" w:w="2016"/>
            <w:shd w:fill="F2F4F8" w:val="clear"/>
          </w:tcPr>
          <w:p>
            <w:r>
              <w:rPr>
                <w:rFonts w:ascii="Calibri" w:hAnsi="Calibri"/>
                <w:color w:val="333333"/>
                <w:sz w:val="18"/>
              </w:rPr>
              <w:t>$3.6B</w:t>
            </w:r>
          </w:p>
        </w:tc>
        <w:tc>
          <w:tcPr>
            <w:tcW w:type="dxa" w:w="2016"/>
            <w:shd w:fill="F2F4F8" w:val="clear"/>
          </w:tcPr>
          <w:p>
            <w:r>
              <w:rPr>
                <w:rFonts w:ascii="Calibri" w:hAnsi="Calibri"/>
                <w:color w:val="333333"/>
                <w:sz w:val="18"/>
              </w:rPr>
              <w:t>$15.6B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4.6</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70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0.9</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28 signals, coverage=100%; Drop contribution modifier: 0.19x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1.4</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86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1.6</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16 signals, coverage=100%</w:t>
            </w:r>
          </w:p>
        </w:tc>
      </w:tr>
      <w:tr>
        <w:tc>
          <w:tcPr>
            <w:tcW w:type="dxa" w:w="2016"/>
          </w:tcPr>
          <w:p>
            <w:r>
              <w:rPr>
                <w:rFonts w:ascii="Calibri" w:hAnsi="Calibri"/>
                <w:color w:val="333333"/>
                <w:sz w:val="18"/>
              </w:rPr>
              <w:t>F6</w:t>
            </w:r>
          </w:p>
        </w:tc>
        <w:tc>
          <w:tcPr>
            <w:tcW w:type="dxa" w:w="2016"/>
          </w:tcPr>
          <w:p>
            <w:r>
              <w:rPr>
                <w:rFonts w:ascii="Calibri" w:hAnsi="Calibri"/>
                <w:color w:val="333333"/>
                <w:sz w:val="18"/>
              </w:rPr>
              <w:t>Short Interest</w:t>
            </w:r>
          </w:p>
        </w:tc>
        <w:tc>
          <w:tcPr>
            <w:tcW w:type="dxa" w:w="2016"/>
          </w:tcPr>
          <w:p>
            <w:r>
              <w:rPr>
                <w:rFonts w:ascii="Calibri" w:hAnsi="Calibri"/>
                <w:color w:val="333333"/>
                <w:sz w:val="18"/>
              </w:rPr>
              <w:t>1.1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26 signals, coverage=100%</w:t>
            </w:r>
          </w:p>
        </w:tc>
      </w:tr>
      <w:tr>
        <w:tc>
          <w:tcPr>
            <w:tcW w:type="dxa" w:w="2016"/>
            <w:shd w:fill="F2F4F8" w:val="clear"/>
          </w:tcPr>
          <w:p>
            <w:r>
              <w:rPr>
                <w:rFonts w:ascii="Calibri" w:hAnsi="Calibri"/>
                <w:color w:val="333333"/>
                <w:sz w:val="18"/>
              </w:rPr>
              <w:t>F7</w:t>
            </w:r>
          </w:p>
        </w:tc>
        <w:tc>
          <w:tcPr>
            <w:tcW w:type="dxa" w:w="2016"/>
            <w:shd w:fill="F2F4F8" w:val="clear"/>
          </w:tcPr>
          <w:p>
            <w:r>
              <w:rPr>
                <w:rFonts w:ascii="Calibri" w:hAnsi="Calibri"/>
                <w:color w:val="333333"/>
                <w:sz w:val="18"/>
              </w:rPr>
              <w:t>Stock Volatility</w:t>
            </w:r>
          </w:p>
        </w:tc>
        <w:tc>
          <w:tcPr>
            <w:tcW w:type="dxa" w:w="2016"/>
            <w:shd w:fill="F2F4F8" w:val="clear"/>
          </w:tcPr>
          <w:p>
            <w:r>
              <w:rPr>
                <w:rFonts w:ascii="Calibri" w:hAnsi="Calibri"/>
                <w:color w:val="333333"/>
                <w:sz w:val="18"/>
              </w:rPr>
              <w:t>1.2</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31 signals, coverage=100%</w:t>
            </w:r>
          </w:p>
        </w:tc>
      </w:tr>
      <w:tr>
        <w:tc>
          <w:tcPr>
            <w:tcW w:type="dxa" w:w="2016"/>
          </w:tcPr>
          <w:p>
            <w:r>
              <w:rPr>
                <w:rFonts w:ascii="Calibri" w:hAnsi="Calibri"/>
                <w:color w:val="333333"/>
                <w:sz w:val="18"/>
              </w:rPr>
              <w:t>F8</w:t>
            </w:r>
          </w:p>
        </w:tc>
        <w:tc>
          <w:tcPr>
            <w:tcW w:type="dxa" w:w="2016"/>
          </w:tcPr>
          <w:p>
            <w:r>
              <w:rPr>
                <w:rFonts w:ascii="Calibri" w:hAnsi="Calibri"/>
                <w:color w:val="333333"/>
                <w:sz w:val="18"/>
              </w:rPr>
              <w:t>Financial Distress</w:t>
            </w:r>
          </w:p>
        </w:tc>
        <w:tc>
          <w:tcPr>
            <w:tcW w:type="dxa" w:w="2016"/>
          </w:tcPr>
          <w:p>
            <w:r>
              <w:rPr>
                <w:rFonts w:ascii="Calibri" w:hAnsi="Calibri"/>
                <w:color w:val="333333"/>
                <w:sz w:val="18"/>
              </w:rPr>
              <w:t>1.1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15 signals, coverage=100%</w:t>
            </w:r>
          </w:p>
        </w:tc>
      </w:tr>
      <w:tr>
        <w:tc>
          <w:tcPr>
            <w:tcW w:type="dxa" w:w="2016"/>
            <w:shd w:fill="F2F4F8" w:val="clear"/>
          </w:tcPr>
          <w:p>
            <w:r>
              <w:rPr>
                <w:rFonts w:ascii="Calibri" w:hAnsi="Calibri"/>
                <w:color w:val="333333"/>
                <w:sz w:val="18"/>
              </w:rPr>
              <w:t>F9</w:t>
            </w:r>
          </w:p>
        </w:tc>
        <w:tc>
          <w:tcPr>
            <w:tcW w:type="dxa" w:w="2016"/>
            <w:shd w:fill="F2F4F8" w:val="clear"/>
          </w:tcPr>
          <w:p>
            <w:r>
              <w:rPr>
                <w:rFonts w:ascii="Calibri" w:hAnsi="Calibri"/>
                <w:color w:val="333333"/>
                <w:sz w:val="18"/>
              </w:rPr>
              <w:t>Governance Issues</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40 signals, coverage=100%</w:t>
            </w:r>
          </w:p>
        </w:tc>
      </w:tr>
      <w:tr>
        <w:tc>
          <w:tcPr>
            <w:tcW w:type="dxa" w:w="2016"/>
          </w:tcPr>
          <w:p>
            <w:r>
              <w:rPr>
                <w:rFonts w:ascii="Calibri" w:hAnsi="Calibri"/>
                <w:color w:val="333333"/>
                <w:sz w:val="18"/>
              </w:rPr>
              <w:t>F10</w:t>
            </w:r>
          </w:p>
        </w:tc>
        <w:tc>
          <w:tcPr>
            <w:tcW w:type="dxa" w:w="2016"/>
          </w:tcPr>
          <w:p>
            <w:r>
              <w:rPr>
                <w:rFonts w:ascii="Calibri" w:hAnsi="Calibri"/>
                <w:color w:val="333333"/>
                <w:sz w:val="18"/>
              </w:rPr>
              <w:t>Officer Stability</w:t>
            </w:r>
          </w:p>
        </w:tc>
        <w:tc>
          <w:tcPr>
            <w:tcW w:type="dxa" w:w="2016"/>
          </w:tcPr>
          <w:p>
            <w:r>
              <w:rPr>
                <w:rFonts w:ascii="Calibri" w:hAnsi="Calibri"/>
                <w:color w:val="333333"/>
                <w:sz w:val="18"/>
              </w:rPr>
              <w:t>0.2</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90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4.64</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4.64</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4.64</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4.41</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0.19</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1.59</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1.59</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1.59</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F4</w:t>
            </w:r>
          </w:p>
        </w:tc>
        <w:tc>
          <w:tcPr>
            <w:tcW w:type="dxa" w:w="3360"/>
          </w:tcPr>
          <w:p>
            <w:r>
              <w:rPr>
                <w:rFonts w:ascii="Calibri" w:hAnsi="Calibri"/>
                <w:color w:val="333333"/>
                <w:sz w:val="18"/>
              </w:rPr>
              <w:t>base</w:t>
            </w:r>
          </w:p>
        </w:tc>
        <w:tc>
          <w:tcPr>
            <w:tcW w:type="dxa" w:w="3360"/>
          </w:tcPr>
          <w:p>
            <w:r>
              <w:rPr>
                <w:rFonts w:ascii="Calibri" w:hAnsi="Calibri"/>
                <w:color w:val="333333"/>
                <w:sz w:val="18"/>
              </w:rPr>
              <w:t>1.56</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1.56</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1.56</w:t>
            </w:r>
          </w:p>
        </w:tc>
      </w:tr>
      <w:tr>
        <w:tc>
          <w:tcPr>
            <w:tcW w:type="dxa" w:w="3360"/>
          </w:tcPr>
          <w:p>
            <w:r>
              <w:rPr>
                <w:rFonts w:ascii="Calibri" w:hAnsi="Calibri"/>
                <w:color w:val="333333"/>
                <w:sz w:val="18"/>
              </w:rPr>
              <w:t>F6</w:t>
            </w:r>
          </w:p>
        </w:tc>
        <w:tc>
          <w:tcPr>
            <w:tcW w:type="dxa" w:w="3360"/>
          </w:tcPr>
          <w:p>
            <w:r>
              <w:rPr>
                <w:rFonts w:ascii="Calibri" w:hAnsi="Calibri"/>
                <w:color w:val="333333"/>
                <w:sz w:val="18"/>
              </w:rPr>
              <w:t>base</w:t>
            </w:r>
          </w:p>
        </w:tc>
        <w:tc>
          <w:tcPr>
            <w:tcW w:type="dxa" w:w="3360"/>
          </w:tcPr>
          <w:p>
            <w:r>
              <w:rPr>
                <w:rFonts w:ascii="Calibri" w:hAnsi="Calibri"/>
                <w:color w:val="333333"/>
                <w:sz w:val="18"/>
              </w:rPr>
              <w:t>1.28</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1.28</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1.28</w:t>
            </w:r>
          </w:p>
        </w:tc>
      </w:tr>
      <w:tr>
        <w:tc>
          <w:tcPr>
            <w:tcW w:type="dxa" w:w="3360"/>
          </w:tcPr>
          <w:p>
            <w:r>
              <w:rPr>
                <w:rFonts w:ascii="Calibri" w:hAnsi="Calibri"/>
                <w:color w:val="333333"/>
                <w:sz w:val="18"/>
              </w:rPr>
              <w:t>F6</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1.45</w:t>
            </w:r>
          </w:p>
        </w:tc>
      </w:tr>
      <w:tr>
        <w:tc>
          <w:tcPr>
            <w:tcW w:type="dxa" w:w="3360"/>
          </w:tcPr>
          <w:p>
            <w:r>
              <w:rPr>
                <w:rFonts w:ascii="Calibri" w:hAnsi="Calibri"/>
                <w:color w:val="333333"/>
                <w:sz w:val="18"/>
              </w:rPr>
              <w:t>F7</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1.45</w:t>
            </w:r>
          </w:p>
        </w:tc>
      </w:tr>
      <w:tr>
        <w:tc>
          <w:tcPr>
            <w:tcW w:type="dxa" w:w="3360"/>
          </w:tcPr>
          <w:p>
            <w:r>
              <w:rPr>
                <w:rFonts w:ascii="Calibri" w:hAnsi="Calibri"/>
                <w:color w:val="333333"/>
                <w:sz w:val="18"/>
              </w:rPr>
              <w:t>F7</w:t>
            </w:r>
          </w:p>
        </w:tc>
        <w:tc>
          <w:tcPr>
            <w:tcW w:type="dxa" w:w="3360"/>
          </w:tcPr>
          <w:p>
            <w:r>
              <w:rPr>
                <w:rFonts w:ascii="Calibri" w:hAnsi="Calibri"/>
                <w:color w:val="333333"/>
                <w:sz w:val="18"/>
              </w:rPr>
              <w:t>capped</w:t>
            </w:r>
          </w:p>
        </w:tc>
        <w:tc>
          <w:tcPr>
            <w:tcW w:type="dxa" w:w="3360"/>
          </w:tcPr>
          <w:p>
            <w:r>
              <w:rPr>
                <w:rFonts w:ascii="Calibri" w:hAnsi="Calibri"/>
                <w:color w:val="333333"/>
                <w:sz w:val="18"/>
              </w:rPr>
              <w:t>1.45</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F8</w:t>
            </w:r>
          </w:p>
        </w:tc>
        <w:tc>
          <w:tcPr>
            <w:tcW w:type="dxa" w:w="3360"/>
          </w:tcPr>
          <w:p>
            <w:r>
              <w:rPr>
                <w:rFonts w:ascii="Calibri" w:hAnsi="Calibri"/>
                <w:color w:val="333333"/>
                <w:sz w:val="18"/>
              </w:rPr>
              <w:t>base</w:t>
            </w:r>
          </w:p>
        </w:tc>
        <w:tc>
          <w:tcPr>
            <w:tcW w:type="dxa" w:w="3360"/>
          </w:tcPr>
          <w:p>
            <w:r>
              <w:rPr>
                <w:rFonts w:ascii="Calibri" w:hAnsi="Calibri"/>
                <w:color w:val="333333"/>
                <w:sz w:val="18"/>
              </w:rPr>
              <w:t>1.07</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F8</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F8</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1.07</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1.07</w:t>
            </w:r>
          </w:p>
        </w:tc>
      </w:tr>
      <w:tr>
        <w:tc>
          <w:tcPr>
            <w:tcW w:type="dxa" w:w="3360"/>
          </w:tcPr>
          <w:p>
            <w:r>
              <w:rPr>
                <w:rFonts w:ascii="Calibri" w:hAnsi="Calibri"/>
                <w:color w:val="333333"/>
                <w:sz w:val="18"/>
              </w:rPr>
              <w:t>F9</w:t>
            </w:r>
          </w:p>
        </w:tc>
        <w:tc>
          <w:tcPr>
            <w:tcW w:type="dxa" w:w="3360"/>
          </w:tcPr>
          <w:p>
            <w:r>
              <w:rPr>
                <w:rFonts w:ascii="Calibri" w:hAnsi="Calibri"/>
                <w:color w:val="333333"/>
                <w:sz w:val="18"/>
              </w:rPr>
              <w:t>base</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F9</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0.15</w:t>
            </w:r>
          </w:p>
        </w:tc>
      </w:tr>
      <w:tr>
        <w:tc>
          <w:tcPr>
            <w:tcW w:type="dxa" w:w="3360"/>
          </w:tcPr>
          <w:p>
            <w:r>
              <w:rPr>
                <w:rFonts w:ascii="Calibri" w:hAnsi="Calibri"/>
                <w:color w:val="333333"/>
                <w:sz w:val="18"/>
              </w:rPr>
              <w:t>F10</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0.15</w:t>
            </w:r>
          </w:p>
        </w:tc>
      </w:tr>
      <w:tr>
        <w:tc>
          <w:tcPr>
            <w:tcW w:type="dxa" w:w="3360"/>
          </w:tcPr>
          <w:p>
            <w:r>
              <w:rPr>
                <w:rFonts w:ascii="Calibri" w:hAnsi="Calibri"/>
                <w:color w:val="333333"/>
                <w:sz w:val="18"/>
              </w:rPr>
              <w:t>F10</w:t>
            </w:r>
          </w:p>
        </w:tc>
        <w:tc>
          <w:tcPr>
            <w:tcW w:type="dxa" w:w="3360"/>
          </w:tcPr>
          <w:p>
            <w:r>
              <w:rPr>
                <w:rFonts w:ascii="Calibri" w:hAnsi="Calibri"/>
                <w:color w:val="333333"/>
                <w:sz w:val="18"/>
              </w:rPr>
              <w:t>capped</w:t>
            </w:r>
          </w:p>
        </w:tc>
        <w:tc>
          <w:tcPr>
            <w:tcW w:type="dxa" w:w="3360"/>
          </w:tcPr>
          <w:p>
            <w:r>
              <w:rPr>
                <w:rFonts w:ascii="Calibri" w:hAnsi="Calibri"/>
                <w:color w:val="333333"/>
                <w:sz w:val="18"/>
              </w:rPr>
              <w:t>0.15</w:t>
            </w:r>
          </w:p>
        </w:tc>
      </w:tr>
    </w:tbl>
    <w:p>
      <w:pPr>
        <w:pStyle w:val="DOHeading3"/>
      </w:pPr>
      <w:r>
        <w:t>Pattern Detection Results</w:t>
      </w:r>
    </w:p>
    <w:p>
      <w:pPr>
        <w:pStyle w:val="DOBody"/>
      </w:pPr>
      <w:r>
        <w:t>No composite patterns detected.</w:t>
      </w:r>
    </w:p>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w:t>
            </w:r>
          </w:p>
        </w:tc>
        <w:tc>
          <w:tcPr>
            <w:tcW w:type="dxa" w:w="2520"/>
          </w:tcPr>
          <w:p>
            <w:r>
              <w:rPr>
                <w:rFonts w:ascii="Calibri" w:hAnsi="Calibri"/>
                <w:color w:val="333333"/>
                <w:sz w:val="18"/>
              </w:rPr>
              <w:t>F1: Signal-driven scoring: 70 signals, coverage=100%; F3: Signal-driven scoring: 86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w:t>
            </w:r>
          </w:p>
        </w:tc>
        <w:tc>
          <w:tcPr>
            <w:tcW w:type="dxa" w:w="2520"/>
            <w:shd w:fill="F2F4F8" w:val="clear"/>
          </w:tcPr>
          <w:p>
            <w:r>
              <w:rPr>
                <w:rFonts w:ascii="Calibri" w:hAnsi="Calibri"/>
                <w:color w:val="333333"/>
                <w:sz w:val="18"/>
              </w:rPr>
              <w:t>F2: Signal-driven scoring: 28 signals, coverage=100%; F2: Drop contribution modifier: 0.19x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 F8</w:t>
            </w:r>
          </w:p>
        </w:tc>
        <w:tc>
          <w:tcPr>
            <w:tcW w:type="dxa" w:w="2520"/>
          </w:tcPr>
          <w:p>
            <w:r>
              <w:rPr>
                <w:rFonts w:ascii="Calibri" w:hAnsi="Calibri"/>
                <w:color w:val="333333"/>
                <w:sz w:val="18"/>
              </w:rPr>
              <w:t>F7: Signal-driven scoring: 31 signals, coverage=100%; F8: Signal-driven scoring: 15 signals, coverage=100%</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40 signals, coverage=100%; F10: Signal-driven scoring: 90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16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4.0% - 5.6%</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4.0%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Industry base rate: 4.0%. Tier NO_TOUCH (20-25%): Substantially above base rate.</w:t>
            </w:r>
          </w:p>
        </w:tc>
      </w:tr>
    </w:tbl>
    <w:p>
      <w:pPr>
        <w:pStyle w:val="DOBody"/>
      </w:pPr>
      <w:r>
        <w:rPr>
          <w:b/>
        </w:rPr>
        <w:t>Claim probability: MODERATE</w:t>
      </w:r>
      <w:r>
        <w:rPr>
          <w:b/>
          <w:color w:val="EAB308"/>
          <w:sz w:val="18"/>
        </w:rPr>
        <w:t xml:space="preserve"> [ELEVATED]</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DECLINE</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$2993.4M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9</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[Director Cambridge (CEO)]: Prior litigation: snippet: CAMBRIDGE, MA / ACCESS Newswire / March 3, 2026 / Moderna, Inc. (NASDAQ:MRNA) today announc</w:t>
      </w:r>
    </w:p>
    <w:p>
      <w:pPr>
        <w:pStyle w:val="DOBody"/>
      </w:pPr>
      <w:r>
        <w:t>- [Director Cambridge (CEO)]: Prior litigation: snippet: CAMBRIDGE, MA / ACCESS Newswire / March 3, 2026 / Moderna, Inc. (NASDAQ:MRNA) today announc</w:t>
      </w:r>
    </w:p>
    <w:p>
      <w:pPr>
        <w:pStyle w:val="DOBody"/>
      </w:pPr>
      <w:r>
        <w:t>- [Director Cambridge (CEO)]: Very short tenure: 0.0 years</w:t>
      </w:r>
    </w:p>
    <w:p>
      <w:pPr>
        <w:pStyle w:val="DOBody"/>
      </w:pPr>
      <w:r>
        <w:t>- [Sagan Meetings (CFO)]: Very short tenure: 0.0 years</w:t>
      </w:r>
    </w:p>
    <w:p>
      <w:pPr>
        <w:pStyle w:val="DOBody"/>
      </w:pPr>
      <w:r>
        <w:t>- [Sagan Meetings (CFO)]: Recent CFO appointment (&lt;1 year)</w:t>
      </w:r>
    </w:p>
    <w:p>
      <w:pPr>
        <w:pStyle w:val="DOBody"/>
      </w:pPr>
      <w:r>
        <w:t>- [Noubar Afeyan (COO)]: Very short tenure: 0.0 years</w:t>
      </w:r>
    </w:p>
    <w:p>
      <w:pPr>
        <w:pStyle w:val="DOBody"/>
      </w:pPr>
      <w:r>
        <w:t>- [Global Head (Director)]: Prior litigation: snippet: Moderna, Inc. (MRNA) · News headlines Moderna (MRNA) has gained attention following a signi</w:t>
      </w:r>
    </w:p>
    <w:p>
      <w:pPr>
        <w:pStyle w:val="DOBody"/>
      </w:pPr>
      <w:r>
        <w:t>- [Global Head (Director)]: Prior litigation: title: Moderna, Inc. Common Stock (MRNA) News Headlines - Nasdaq</w:t>
      </w:r>
    </w:p>
    <w:p>
      <w:pPr>
        <w:pStyle w:val="DOBody"/>
      </w:pPr>
      <w:r>
        <w:t>- [Global Head (Director)]: Prior litigation: url: https://www.nasdaq.com/market-activity/stocks/mrna/news-headlines</w:t>
      </w:r>
    </w:p>
    <w:p>
      <w:pPr>
        <w:pStyle w:val="DOBody"/>
      </w:pPr>
      <w:r>
        <w:t>- [Product Development (Director)]: Prior litigation: snippet: Moderna, Inc. engages in the development of transformative medicines based on messenger rib</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21.25, 'prior_fog': None, 'fog_change': None, 'current_flesch': 14.89, 'prior_flesch': None, 'classification': 'CURRENT_ONLY', 'evidence': 'Current Fog Index: 21.3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E0B2" w:val="clear"/>
          </w:tcPr>
          <w:p>
            <w:r>
              <w:rPr>
                <w:rFonts w:ascii="Calibri" w:hAnsi="Calibri"/>
                <w:b/>
                <w:color w:val="E67300"/>
                <w:sz w:val="18"/>
              </w:rPr>
              <w:t>MODERATE</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Government</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bl>
    <w:p>
      <w:pPr>
        <w:pStyle w:val="DOBody"/>
      </w:pPr>
      <w:r>
        <w:rPr>
          <w:color w:val="666666"/>
          <w:sz w:val="16"/>
        </w:rPr>
        <w:t>Shareholders: 59 triggered checks. Key: Litigation History Profile: 2 (elevated vs benchmark of 0)</w:t>
      </w:r>
    </w:p>
    <w:p>
      <w:pPr>
        <w:pStyle w:val="DOBody"/>
      </w:pPr>
      <w:r>
        <w:rPr>
          <w:color w:val="666666"/>
          <w:sz w:val="16"/>
        </w:rPr>
        <w:t>Regulators: 14 triggered checks. Key: Disclosure Complexity Score: 33 (elevated vs benchmark of 25)</w:t>
      </w:r>
    </w:p>
    <w:p>
      <w:pPr>
        <w:pStyle w:val="DOBody"/>
      </w:pPr>
      <w:r>
        <w:rPr>
          <w:color w:val="666666"/>
          <w:sz w:val="16"/>
        </w:rPr>
        <w:t>Creditors: 5 triggered checks. Key: Cash Flow Debt Service Coverage: -307.40 (below benchmark of 1)</w:t>
      </w:r>
    </w:p>
    <w:p>
      <w:pPr>
        <w:pStyle w:val="DOHeading3"/>
      </w:pPr>
      <w:r>
        <w:t>Bear Cases</w:t>
      </w:r>
    </w:p>
    <w:p>
      <w:pPr>
        <w:pStyle w:val="DOHeading3"/>
      </w:pPr>
      <w:r>
        <w:t>Bear Case: A Disclosure</w:t>
      </w:r>
    </w:p>
    <w:p>
      <w:pPr>
        <w:pStyle w:val="DOBody"/>
      </w:pPr>
      <w:r>
        <w:rPr>
          <w:b/>
        </w:rPr>
        <w:t>Moderna, Inc.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[BIZ.DEPEND.regulatory_dep] Single-Source Suppliers (Source: regulatory_dependency_count)</w:t>
      </w:r>
    </w:p>
    <w:p>
      <w:pPr>
        <w:pStyle w:val="DOBody"/>
      </w:pPr>
      <w:r>
        <w:rPr>
          <w:sz w:val="16"/>
        </w:rPr>
        <w:t>4. [BIZ.EVENT.ipo_exposure] IPO/Offering Exposure Window (Source: event_ipo_exposure_score)</w:t>
      </w:r>
    </w:p>
    <w:p>
      <w:pPr>
        <w:pStyle w:val="DOBody"/>
      </w:pPr>
      <w:r>
        <w:rPr>
          <w:sz w:val="16"/>
        </w:rPr>
        <w:t>5. [BIZ.OPS.workforce] Workforce Distribution (Source: workforce_distribution)</w:t>
      </w:r>
    </w:p>
    <w:p>
      <w:pPr>
        <w:pStyle w:val="DOBody"/>
      </w:pPr>
      <w:r>
        <w:rPr>
          <w:sz w:val="16"/>
        </w:rPr>
        <w:t>6. [DISC.YOY.removed_risk_factors] Removed Risk Factors (YoY) (Source: yoy_removed_risk_count)</w:t>
      </w:r>
    </w:p>
    <w:p>
      <w:pPr>
        <w:pStyle w:val="DOBody"/>
      </w:pPr>
      <w:r>
        <w:rPr>
          <w:sz w:val="16"/>
        </w:rPr>
        <w:t>7. [EXEC.PRIOR_LIT.any_officer] Any Officer With Prior Litigation at Previous Company (Source: value)</w:t>
      </w:r>
    </w:p>
    <w:p>
      <w:pPr>
        <w:pStyle w:val="DOBody"/>
      </w:pPr>
      <w:r>
        <w:rPr>
          <w:sz w:val="16"/>
        </w:rPr>
        <w:t>8. [EXEC.PRIOR_LIT.ceo_cfo] CEO or CFO With Prior Litigation (Source: value)</w:t>
      </w:r>
    </w:p>
    <w:p>
      <w:pPr>
        <w:pStyle w:val="DOBody"/>
      </w:pPr>
      <w:r>
        <w:rPr>
          <w:sz w:val="16"/>
        </w:rPr>
        <w:t>9. [EXEC.AGGREGATE.board_risk] Board Aggregate Risk Score (Source: value)</w:t>
      </w:r>
    </w:p>
    <w:p>
      <w:pPr>
        <w:pStyle w:val="DOBody"/>
      </w:pPr>
      <w:r>
        <w:rPr>
          <w:sz w:val="16"/>
        </w:rPr>
        <w:t>10. [EXEC.TENURE.ceo_new] CEO Tenure Less Than 2 Years (Source: value)</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Executive Summary &amp; Key Metrics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BIZ.MA.acquisition_spend (Acquisition Spend Magnitude): Required data not available from filings</w:t>
      </w:r>
    </w:p>
    <w:p>
      <w:pPr>
        <w:pStyle w:val="DOBody"/>
      </w:pPr>
      <w:r>
        <w:rPr>
          <w:b/>
          <w:sz w:val="16"/>
        </w:rPr>
        <w:t xml:space="preserve">  [EVALUATIVE] </w:t>
      </w:r>
      <w:r>
        <w:rPr>
          <w:sz w:val="16"/>
        </w:rPr>
        <w:t>BIZ.MA.goodwill_change (Goodwill Trajectory): Required data not available from filings</w:t>
      </w:r>
    </w:p>
    <w:p>
      <w:pPr>
        <w:pStyle w:val="DOBody"/>
      </w:pPr>
      <w:r>
        <w:rPr>
          <w:b/>
          <w:sz w:val="16"/>
        </w:rPr>
        <w:t xml:space="preserve">  [REQUIRED] </w:t>
      </w:r>
      <w:r>
        <w:rPr>
          <w:sz w:val="16"/>
        </w:rPr>
        <w:t>BIZ.MA.acquisition_list (Recent Acquisitions):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EXEC.INSIDER.ceo_net_selling (CEO Net Seller of Stock): Required data not available from filings</w:t>
      </w:r>
    </w:p>
    <w:p>
      <w:pPr>
        <w:pStyle w:val="DOBody"/>
      </w:pPr>
      <w:r>
        <w:rPr>
          <w:b/>
          <w:sz w:val="16"/>
        </w:rPr>
        <w:t xml:space="preserve">  [EVALUATIVE] </w:t>
      </w:r>
      <w:r>
        <w:rPr>
          <w:sz w:val="16"/>
        </w:rPr>
        <w:t>EXEC.INSIDER.cfo_net_selling (CFO Net Seller of Stock): Required data not available from filings</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GOV.PAY.ceo_total (Ceo Total): Required data not available from filings</w:t>
      </w:r>
    </w:p>
    <w:p>
      <w:pPr>
        <w:pStyle w:val="DOBody"/>
      </w:pPr>
      <w:r>
        <w:rPr>
          <w:b/>
          <w:sz w:val="16"/>
        </w:rPr>
        <w:t xml:space="preserve">  [REQUIRED] </w:t>
      </w:r>
      <w:r>
        <w:rPr>
          <w:sz w:val="16"/>
        </w:rPr>
        <w:t>GOV.PAY.ceo_structure (Ceo Structure): Required data not available from filings</w:t>
      </w:r>
    </w:p>
    <w:p>
      <w:pPr>
        <w:pStyle w:val="DOBody"/>
      </w:pPr>
      <w:r>
        <w:rPr>
          <w:b/>
          <w:sz w:val="16"/>
        </w:rPr>
        <w:t xml:space="preserve">  [EVALUATIVE] </w:t>
      </w:r>
      <w:r>
        <w:rPr>
          <w:sz w:val="16"/>
        </w:rPr>
        <w:t>GOV.PAY.peer_comparison (Peer Comparison):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FIN.FORENSIC.margin_compression (Forensic Margin Compression): Data mapping not configured for this check</w:t>
      </w:r>
    </w:p>
    <w:p>
      <w:pPr>
        <w:pStyle w:val="DOBody"/>
      </w:pPr>
      <w:r>
        <w:rPr>
          <w:b/>
          <w:sz w:val="16"/>
        </w:rPr>
        <w:t xml:space="preserve">  [EVALUATIVE] </w:t>
      </w:r>
      <w:r>
        <w:rPr>
          <w:sz w:val="16"/>
        </w:rPr>
        <w:t>FIN.FORENSIC.acquisition_effectiveness (Acquisition Effectiveness):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FIN.FORENSIC.dividend_sustainability (Dividend Sustainability): Data mapping not configured for this check</w:t>
      </w:r>
    </w:p>
    <w:p>
      <w:pPr>
        <w:pStyle w:val="DOBody"/>
      </w:pPr>
      <w:r>
        <w:rPr>
          <w:b/>
          <w:sz w:val="16"/>
        </w:rPr>
        <w:t xml:space="preserve">  [EVALUATIVE] </w:t>
      </w:r>
      <w:r>
        <w:rPr>
          <w:sz w:val="16"/>
        </w:rPr>
        <w:t>FIN.FORENSIC.debt_maturity_concentration (Debt Maturity Concentration): Data mapping not configured for this check</w:t>
      </w:r>
    </w:p>
    <w:p>
      <w:pPr>
        <w:pStyle w:val="DOBody"/>
      </w:pPr>
      <w:r>
        <w:rPr>
          <w:b/>
          <w:sz w:val="16"/>
        </w:rPr>
        <w:t xml:space="preserve">  [EVALUATIVE] </w:t>
      </w:r>
      <w:r>
        <w:rPr>
          <w:sz w:val="16"/>
        </w:rPr>
        <w:t>FIN.FORENSIC.etr_anomaly (Effective Tax Rate Anomaly):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FIN.RESTRUCT.charges (Restructuring Charges):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[EVALUATIVE] </w:t>
      </w:r>
      <w:r>
        <w:rPr>
          <w:sz w:val="16"/>
        </w:rPr>
        <w:t>FIN.IMPAIR.intangible_writedown (Intangible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STOCK.INSIDER.notable_activity (Notable Activity): Required data not available from filings</w:t>
      </w:r>
    </w:p>
    <w:p>
      <w:pPr>
        <w:pStyle w:val="DOBody"/>
      </w:pPr>
      <w:r>
        <w:rPr>
          <w:b/>
          <w:sz w:val="16"/>
        </w:rPr>
        <w:t xml:space="preserve">  [EVALUATIVE] </w:t>
      </w:r>
      <w:r>
        <w:rPr>
          <w:sz w:val="16"/>
        </w:rPr>
        <w:t>STOCK.VALUATION.pe_ratio (Pe Ratio): Required data not available from filings</w:t>
      </w:r>
    </w:p>
    <w:p>
      <w:pPr>
        <w:pStyle w:val="DOBody"/>
      </w:pPr>
      <w:r>
        <w:rPr>
          <w:b/>
          <w:sz w:val="16"/>
        </w:rPr>
        <w:t xml:space="preserve">  [EVALUATIVE] </w:t>
      </w:r>
      <w:r>
        <w:rPr>
          <w:sz w:val="16"/>
        </w:rPr>
        <w:t>STOCK.VALUATION.peg_ratio (Peg Ratio):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10 | Evaluative checks: 106</w:t>
      </w:r>
    </w:p>
    <w:p>
      <w:pPr>
        <w:pStyle w:val="DOBody"/>
      </w:pPr>
      <w:r>
        <w:rPr>
          <w:b/>
        </w:rPr>
        <w:t>Total: 116 checks data-unavailable out of 576 total checks (80%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VAERS_DATA_MONITORING</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VACCINE_SAFETY_OVERSIGHT_BOARD</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PEDIATRIC_SAFETY_DISCLOSURE_GAP</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GOV.FOUNDER_CRIMINAL_EXPOSURE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BIZ.CHINA_EXPOSURE_DISCLOSURE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GOV.EXPORT_CONTROL_COMPLIANCE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TECH_DEVELOPMENT_VS_MARKETING_HYPE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AI_PROMISE_DISCONNECT</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TECH_DEVELOPMENT_RISK_DISCLOSURE</w:t>
            </w:r>
          </w:p>
        </w:tc>
        <w:tc>
          <w:tcPr>
            <w:tcW w:type="dxa" w:w="2520"/>
          </w:tcPr>
          <w:p>
            <w:r>
              <w:rPr>
                <w:sz w:val="18"/>
              </w:rPr>
              <w:t>Proposed by ingestion of 'blind_spot:AAPL:Apple Inc. (NASDAQ</w:t>
            </w:r>
          </w:p>
        </w:tc>
        <w:tc>
          <w:tcPr>
            <w:tcW w:type="dxa" w:w="2520"/>
          </w:tcPr>
          <w:p>
            <w:r>
              <w:rPr>
                <w:sz w:val="18"/>
              </w:rPr>
              <w:t>ingestion_pipeline</w:t>
            </w:r>
          </w:p>
        </w:tc>
      </w:tr>
    </w:tbl>
    <w:p>
      <w:pPr>
        <w:pStyle w:val="DOHeading3"/>
      </w:pPr>
      <w:r>
        <w:t>Discovery Findings</w:t>
      </w:r>
    </w:p>
    <w:p>
      <w:pPr>
        <w:pStyle w:val="DOBody"/>
      </w:pPr>
      <w:r>
        <w:t>3 document(s) analyzed, 4 proposal(s) generated, from blind spot search</w:t>
      </w:r>
    </w:p>
    <w:p>
      <w:pPr>
        <w:pStyle w:val="DOHeading3"/>
      </w:pPr>
      <w:r>
        <w:t>Feedback for MRNA</w:t>
      </w:r>
    </w:p>
    <w:p>
      <w:pPr>
        <w:pStyle w:val="DOBody"/>
      </w:pPr>
      <w:r>
        <w:t>No pending feedback for MRNA.</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Moderna, Inc. (MRNA)</w:t>
    </w:r>
    <w:r>
      <w:rPr>
        <w:color w:val="999999"/>
        <w:sz w:val="16"/>
      </w:rPr>
      <w:t xml:space="preserve">  |  Generated: 2026-04-02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