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drawing>
          <wp:inline xmlns:a="http://schemas.openxmlformats.org/drawingml/2006/main" xmlns:pic="http://schemas.openxmlformats.org/drawingml/2006/picture">
            <wp:extent cx="1600200" cy="1600200"/>
            <wp:docPr id="1" name="Picture 1"/>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1600200" cy="1600200"/>
                    </a:xfrm>
                    <a:prstGeom prst="rect"/>
                  </pic:spPr>
                </pic:pic>
              </a:graphicData>
            </a:graphic>
          </wp:inline>
        </w:drawing>
      </w:r>
    </w:p>
    <w:p>
      <w:pPr>
        <w:pStyle w:val="DOHeading1"/>
      </w:pPr>
      <w:r>
        <w:t>Angry Dolphin -- D&amp;O Underwriting Worksheet</w:t>
      </w:r>
    </w:p>
    <w:p>
      <w:pPr>
        <w:pStyle w:val="DOHeading2"/>
      </w:pPr>
      <w:r>
        <w:t>NVIDIA CORP (NVDA)</w:t>
      </w:r>
    </w:p>
    <w:p>
      <w:pPr>
        <w:pStyle w:val="DOBody"/>
      </w:pPr>
      <w:r>
        <w:rPr>
          <w:color w:val="666666"/>
          <w:sz w:val="20"/>
        </w:rPr>
        <w:t>Generated: April 02, 2026</w:t>
      </w:r>
    </w:p>
    <w:p>
      <w:r>
        <w:fldChar w:fldCharType="begin"/>
        <w:instrText xml:space="preserve"> TOC \o "1-3" \h \z \u </w:instrText>
        <w:fldChar w:fldCharType="separate"/>
      </w:r>
      <w:r>
        <w:rPr>
          <w:color w:val="999999"/>
          <w:sz w:val="18"/>
        </w:rPr>
        <w:t>[Table of Contents -- Update in Word]</w:t>
      </w:r>
      <w:r>
        <w:fldChar w:fldCharType="end"/>
      </w:r>
    </w:p>
    <w:p>
      <w:pPr>
        <w:spacing w:before="120" w:after="40"/>
        <w:pBdr>
          <w:bottom w:val="single" w:sz="6" w:space="1" w:color="FFD000"/>
        </w:pBdr>
      </w:pPr>
    </w:p>
    <w:p>
      <w:pPr>
        <w:pStyle w:val="DOBody"/>
        <w:spacing w:before="40" w:after="120"/>
      </w:pPr>
      <w:r>
        <w:rPr>
          <w:color w:val="333333"/>
          <w:sz w:val="20"/>
        </w:rPr>
        <w:t>**Underwriting Thesis for NVIDIA Corp. D&amp;O Liability**</w:t>
        <w:br/>
        <w:t>NVIDIA Corp. (Ticker: NVDA) is a Tier 1 "WIN" account demanding aggressive underwriting pursuit, justified by its dominant market position and a robust composite risk score of 88.75. The elevated claim probability band of 5.45% to 7.79% is primarily driven by three forensic deductions: "Prior Litigation" (3.24 pts deducted), "IPO/SPAC/M&amp;A" activity (2.11 pts), and "Restatement/Audit Issues" (1.58 pts). These deductions stem from 69 identified litigation signals and 19 M&amp;A-related signals, per SECT1 and SECT4 data, reflecting inherent execution and integration risks from its acquisition strategy. The 3.59% inherent risk percentage is materially offset by four key mitigants: a clean audit opinion with no material weaknesses (SECT3), no financial distress per Altman Z-Score, sustained positive free cash flow (SECT3), and short interest below 5% of float (SECT4). NVIDIA’s $4.27 trillion market cap and 42,000 employees create a deep-pocketed target for shareholder plaintiffs, particularly following any stock volatility, which already registered a 1-point deduction from 27 signals. The "Must-have" tier is validated by the company’s operational strength, which converts litigation exposure from a deterrent into a manageable, priced risk. Consequently, underwriters should structure limits competitively, pricing for the elevated band while using the strong disclosure history and financial health as leverage for favorable terms.</w:t>
      </w:r>
    </w:p>
    <w:p>
      <w:pPr>
        <w:pStyle w:val="DOHeading1"/>
      </w:pPr>
      <w:r>
        <w:t>Executive Summary</w:t>
      </w:r>
    </w:p>
    <w:p>
      <w:pPr>
        <w:pStyle w:val="DOHeading2"/>
      </w:pPr>
      <w:r>
        <w:t>Underwriting Thesis</w:t>
      </w:r>
    </w:p>
    <w:p>
      <w:pPr>
        <w:pStyle w:val="DOBody"/>
      </w:pPr>
      <w:r>
        <w:rPr>
          <w:color w:val="1A1446"/>
        </w:rPr>
        <w:t>NVIDIA CORP is a $4.3T (Decile 1 of 10) mega-cap technology company scoring 89/100 (WIN tier). The balance sheet is strong (D/E 0.05, Z-Score 56.43), eliminating financial distress as a D&amp;O claim catalyst. The primary risk driver is Prior Litigation, driving elevated risk in this area. Signal-driven scoring: 69 signals, coverage=100%. At a 5-8% claim probability (3.6% adjusted rate, 0.7x the Technology sector baseline of 5.0%), this account requires primary or low-excess participation.</w:t>
      </w:r>
    </w:p>
    <w:p>
      <w:pPr>
        <w:pStyle w:val="DOHeading3"/>
      </w:pPr>
      <w:r>
        <w:t>Company Snapshot</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Attribute</w:t>
            </w:r>
          </w:p>
        </w:tc>
        <w:tc>
          <w:tcPr>
            <w:tcW w:type="dxa" w:w="3360"/>
            <w:shd w:fill="1A1446" w:val="clear"/>
          </w:tcPr>
          <w:p>
            <w:r>
              <w:rPr>
                <w:rFonts w:ascii="Calibri" w:hAnsi="Calibri"/>
                <w:b/>
                <w:color w:val="FFFFFF"/>
                <w:sz w:val="18"/>
              </w:rPr>
              <w:t>Value</w:t>
            </w:r>
          </w:p>
        </w:tc>
        <w:tc>
          <w:tcPr>
            <w:tcW w:type="dxa" w:w="3360"/>
            <w:shd w:fill="1A1446" w:val="clear"/>
          </w:tcPr>
          <w:p>
            <w:r>
              <w:rPr>
                <w:rFonts w:ascii="Calibri" w:hAnsi="Calibri"/>
                <w:b/>
                <w:color w:val="FFFFFF"/>
                <w:sz w:val="18"/>
              </w:rPr>
              <w:t>Source</w:t>
            </w:r>
          </w:p>
        </w:tc>
      </w:tr>
      <w:tr>
        <w:tc>
          <w:tcPr>
            <w:tcW w:type="dxa" w:w="3360"/>
          </w:tcPr>
          <w:p>
            <w:r>
              <w:rPr>
                <w:rFonts w:ascii="Calibri" w:hAnsi="Calibri"/>
                <w:color w:val="333333"/>
                <w:sz w:val="18"/>
              </w:rPr>
              <w:t>Company</w:t>
            </w:r>
          </w:p>
        </w:tc>
        <w:tc>
          <w:tcPr>
            <w:tcW w:type="dxa" w:w="3360"/>
          </w:tcPr>
          <w:p>
            <w:r>
              <w:rPr>
                <w:rFonts w:ascii="Calibri" w:hAnsi="Calibri"/>
                <w:color w:val="333333"/>
                <w:sz w:val="18"/>
              </w:rPr>
              <w:t>NVIDIA CORP</w:t>
            </w:r>
          </w:p>
        </w:tc>
        <w:tc>
          <w:tcPr>
            <w:tcW w:type="dxa" w:w="3360"/>
          </w:tcPr>
          <w:p>
            <w:r>
              <w:rPr>
                <w:rFonts w:ascii="Calibri" w:hAnsi="Calibri"/>
                <w:color w:val="333333"/>
                <w:sz w:val="18"/>
              </w:rPr>
            </w:r>
          </w:p>
        </w:tc>
      </w:tr>
      <w:tr>
        <w:tc>
          <w:tcPr>
            <w:tcW w:type="dxa" w:w="3360"/>
            <w:shd w:fill="F2F4F8" w:val="clear"/>
          </w:tcPr>
          <w:p>
            <w:r>
              <w:rPr>
                <w:rFonts w:ascii="Calibri" w:hAnsi="Calibri"/>
                <w:color w:val="333333"/>
                <w:sz w:val="18"/>
              </w:rPr>
              <w:t>Ticker</w:t>
            </w:r>
          </w:p>
        </w:tc>
        <w:tc>
          <w:tcPr>
            <w:tcW w:type="dxa" w:w="3360"/>
            <w:shd w:fill="F2F4F8" w:val="clear"/>
          </w:tcPr>
          <w:p>
            <w:r>
              <w:rPr>
                <w:rFonts w:ascii="Calibri" w:hAnsi="Calibri"/>
                <w:color w:val="333333"/>
                <w:sz w:val="18"/>
              </w:rPr>
              <w:t>NVDA</w:t>
            </w:r>
          </w:p>
        </w:tc>
        <w:tc>
          <w:tcPr>
            <w:tcW w:type="dxa" w:w="3360"/>
            <w:shd w:fill="F2F4F8" w:val="clear"/>
          </w:tcPr>
          <w:p>
            <w:r>
              <w:rPr>
                <w:rFonts w:ascii="Calibri" w:hAnsi="Calibri"/>
                <w:color w:val="333333"/>
                <w:sz w:val="18"/>
              </w:rPr>
            </w:r>
          </w:p>
        </w:tc>
      </w:tr>
      <w:tr>
        <w:tc>
          <w:tcPr>
            <w:tcW w:type="dxa" w:w="3360"/>
          </w:tcPr>
          <w:p>
            <w:r>
              <w:rPr>
                <w:rFonts w:ascii="Calibri" w:hAnsi="Calibri"/>
                <w:color w:val="333333"/>
                <w:sz w:val="18"/>
              </w:rPr>
              <w:t>Exchange</w:t>
            </w:r>
          </w:p>
        </w:tc>
        <w:tc>
          <w:tcPr>
            <w:tcW w:type="dxa" w:w="3360"/>
          </w:tcPr>
          <w:p>
            <w:r>
              <w:rPr>
                <w:rFonts w:ascii="Calibri" w:hAnsi="Calibri"/>
                <w:color w:val="333333"/>
                <w:sz w:val="18"/>
              </w:rPr>
              <w:t>Nasdaq</w:t>
            </w:r>
          </w:p>
        </w:tc>
        <w:tc>
          <w:tcPr>
            <w:tcW w:type="dxa" w:w="3360"/>
          </w:tcPr>
          <w:p>
            <w:r>
              <w:rPr>
                <w:rFonts w:ascii="Calibri" w:hAnsi="Calibri"/>
                <w:color w:val="333333"/>
                <w:sz w:val="18"/>
              </w:rPr>
            </w:r>
          </w:p>
        </w:tc>
      </w:tr>
      <w:tr>
        <w:tc>
          <w:tcPr>
            <w:tcW w:type="dxa" w:w="3360"/>
            <w:shd w:fill="F2F4F8" w:val="clear"/>
          </w:tcPr>
          <w:p>
            <w:r>
              <w:rPr>
                <w:rFonts w:ascii="Calibri" w:hAnsi="Calibri"/>
                <w:color w:val="333333"/>
                <w:sz w:val="18"/>
              </w:rPr>
              <w:t>Sector</w:t>
            </w:r>
          </w:p>
        </w:tc>
        <w:tc>
          <w:tcPr>
            <w:tcW w:type="dxa" w:w="3360"/>
            <w:shd w:fill="F2F4F8" w:val="clear"/>
          </w:tcPr>
          <w:p>
            <w:r>
              <w:rPr>
                <w:rFonts w:ascii="Calibri" w:hAnsi="Calibri"/>
                <w:color w:val="333333"/>
                <w:sz w:val="18"/>
              </w:rPr>
              <w:t>Technology</w:t>
            </w:r>
          </w:p>
        </w:tc>
        <w:tc>
          <w:tcPr>
            <w:tcW w:type="dxa" w:w="3360"/>
            <w:shd w:fill="F2F4F8" w:val="clear"/>
          </w:tcPr>
          <w:p>
            <w:r>
              <w:rPr>
                <w:rFonts w:ascii="Calibri" w:hAnsi="Calibri"/>
                <w:color w:val="333333"/>
                <w:sz w:val="18"/>
              </w:rPr>
            </w:r>
          </w:p>
        </w:tc>
      </w:tr>
      <w:tr>
        <w:tc>
          <w:tcPr>
            <w:tcW w:type="dxa" w:w="3360"/>
          </w:tcPr>
          <w:p>
            <w:r>
              <w:rPr>
                <w:rFonts w:ascii="Calibri" w:hAnsi="Calibri"/>
                <w:color w:val="333333"/>
                <w:sz w:val="18"/>
              </w:rPr>
              <w:t>Industry</w:t>
            </w:r>
          </w:p>
        </w:tc>
        <w:tc>
          <w:tcPr>
            <w:tcW w:type="dxa" w:w="3360"/>
          </w:tcPr>
          <w:p>
            <w:r>
              <w:rPr>
                <w:rFonts w:ascii="Calibri" w:hAnsi="Calibri"/>
                <w:color w:val="333333"/>
                <w:sz w:val="18"/>
              </w:rPr>
              <w:t>Semiconductors</w:t>
            </w:r>
          </w:p>
        </w:tc>
        <w:tc>
          <w:tcPr>
            <w:tcW w:type="dxa" w:w="3360"/>
          </w:tcPr>
          <w:p>
            <w:r>
              <w:rPr>
                <w:rFonts w:ascii="Calibri" w:hAnsi="Calibri"/>
                <w:color w:val="333333"/>
                <w:sz w:val="18"/>
              </w:rPr>
            </w:r>
          </w:p>
        </w:tc>
      </w:tr>
      <w:tr>
        <w:tc>
          <w:tcPr>
            <w:tcW w:type="dxa" w:w="3360"/>
            <w:shd w:fill="F2F4F8" w:val="clear"/>
          </w:tcPr>
          <w:p>
            <w:r>
              <w:rPr>
                <w:rFonts w:ascii="Calibri" w:hAnsi="Calibri"/>
                <w:color w:val="333333"/>
                <w:sz w:val="18"/>
              </w:rPr>
              <w:t>Market Cap</w:t>
            </w:r>
          </w:p>
        </w:tc>
        <w:tc>
          <w:tcPr>
            <w:tcW w:type="dxa" w:w="3360"/>
            <w:shd w:fill="F2F4F8" w:val="clear"/>
          </w:tcPr>
          <w:p>
            <w:r>
              <w:rPr>
                <w:rFonts w:ascii="Calibri" w:hAnsi="Calibri"/>
                <w:color w:val="333333"/>
                <w:sz w:val="18"/>
              </w:rPr>
              <w:t>$4.3T  [Decile 1 (largest ~400 accounts)]  (Ranks at the 100th percentile among 9 peers)</w:t>
            </w:r>
          </w:p>
        </w:tc>
        <w:tc>
          <w:tcPr>
            <w:tcW w:type="dxa" w:w="3360"/>
            <w:shd w:fill="F2F4F8" w:val="clear"/>
          </w:tcPr>
          <w:p>
            <w:r>
              <w:rPr>
                <w:rFonts w:ascii="Calibri" w:hAnsi="Calibri"/>
                <w:color w:val="333333"/>
                <w:sz w:val="18"/>
              </w:rPr>
              <w:t>[yfinance, filed 2026-04-02, MEDIUM confidence]</w:t>
            </w:r>
          </w:p>
        </w:tc>
      </w:tr>
      <w:tr>
        <w:tc>
          <w:tcPr>
            <w:tcW w:type="dxa" w:w="3360"/>
          </w:tcPr>
          <w:p>
            <w:r>
              <w:rPr>
                <w:rFonts w:ascii="Calibri" w:hAnsi="Calibri"/>
                <w:color w:val="333333"/>
                <w:sz w:val="18"/>
              </w:rPr>
              <w:t>Revenue</w:t>
            </w:r>
          </w:p>
        </w:tc>
        <w:tc>
          <w:tcPr>
            <w:tcW w:type="dxa" w:w="3360"/>
          </w:tcPr>
          <w:p>
            <w:r>
              <w:rPr>
                <w:rFonts w:ascii="Calibri" w:hAnsi="Calibri"/>
                <w:color w:val="333333"/>
                <w:sz w:val="18"/>
              </w:rPr>
              <w:t>$215.9B</w:t>
            </w:r>
          </w:p>
        </w:tc>
        <w:tc>
          <w:tcPr>
            <w:tcW w:type="dxa" w:w="3360"/>
          </w:tcPr>
          <w:p>
            <w:r>
              <w:rPr>
                <w:rFonts w:ascii="Calibri" w:hAnsi="Calibri"/>
                <w:color w:val="333333"/>
                <w:sz w:val="18"/>
              </w:rPr>
              <w:t>[10-K 2026-01-25 CIK1045810 accn:0001045810-26-000021, filed 2026-01-25, HIGH confidence]</w:t>
            </w:r>
          </w:p>
        </w:tc>
      </w:tr>
      <w:tr>
        <w:tc>
          <w:tcPr>
            <w:tcW w:type="dxa" w:w="3360"/>
            <w:shd w:fill="F2F4F8" w:val="clear"/>
          </w:tcPr>
          <w:p>
            <w:r>
              <w:rPr>
                <w:rFonts w:ascii="Calibri" w:hAnsi="Calibri"/>
                <w:color w:val="333333"/>
                <w:sz w:val="18"/>
              </w:rPr>
              <w:t>Employees</w:t>
            </w:r>
          </w:p>
        </w:tc>
        <w:tc>
          <w:tcPr>
            <w:tcW w:type="dxa" w:w="3360"/>
            <w:shd w:fill="F2F4F8" w:val="clear"/>
          </w:tcPr>
          <w:p>
            <w:r>
              <w:rPr>
                <w:rFonts w:ascii="Calibri" w:hAnsi="Calibri"/>
                <w:color w:val="333333"/>
                <w:sz w:val="18"/>
              </w:rPr>
              <w:t>42,000</w:t>
            </w:r>
          </w:p>
        </w:tc>
        <w:tc>
          <w:tcPr>
            <w:tcW w:type="dxa" w:w="3360"/>
            <w:shd w:fill="F2F4F8" w:val="clear"/>
          </w:tcPr>
          <w:p>
            <w:r>
              <w:rPr>
                <w:rFonts w:ascii="Calibri" w:hAnsi="Calibri"/>
                <w:color w:val="333333"/>
                <w:sz w:val="18"/>
              </w:rPr>
              <w:t>[yfinance, filed 2026-04-02, MEDIUM confidence]</w:t>
            </w:r>
          </w:p>
        </w:tc>
      </w:tr>
      <w:tr>
        <w:tc>
          <w:tcPr>
            <w:tcW w:type="dxa" w:w="3360"/>
          </w:tcPr>
          <w:p>
            <w:r>
              <w:rPr>
                <w:rFonts w:ascii="Calibri" w:hAnsi="Calibri"/>
                <w:color w:val="333333"/>
                <w:sz w:val="18"/>
              </w:rPr>
              <w:t>SIC</w:t>
            </w:r>
          </w:p>
        </w:tc>
        <w:tc>
          <w:tcPr>
            <w:tcW w:type="dxa" w:w="3360"/>
          </w:tcPr>
          <w:p>
            <w:r>
              <w:rPr>
                <w:rFonts w:ascii="Calibri" w:hAnsi="Calibri"/>
                <w:color w:val="333333"/>
                <w:sz w:val="18"/>
              </w:rPr>
              <w:t>3674 -- Semiconductors &amp; Related Devices</w:t>
            </w:r>
          </w:p>
        </w:tc>
        <w:tc>
          <w:tcPr>
            <w:tcW w:type="dxa" w:w="3360"/>
          </w:tcPr>
          <w:p>
            <w:r>
              <w:rPr>
                <w:rFonts w:ascii="Calibri" w:hAnsi="Calibri"/>
                <w:color w:val="333333"/>
                <w:sz w:val="18"/>
              </w:rPr>
            </w:r>
          </w:p>
        </w:tc>
      </w:tr>
      <w:tr>
        <w:tc>
          <w:tcPr>
            <w:tcW w:type="dxa" w:w="3360"/>
            <w:shd w:fill="F2F4F8" w:val="clear"/>
          </w:tcPr>
          <w:p>
            <w:r>
              <w:rPr>
                <w:rFonts w:ascii="Calibri" w:hAnsi="Calibri"/>
                <w:color w:val="333333"/>
                <w:sz w:val="18"/>
              </w:rPr>
              <w:t>GICS</w:t>
            </w:r>
          </w:p>
        </w:tc>
        <w:tc>
          <w:tcPr>
            <w:tcW w:type="dxa" w:w="3360"/>
            <w:shd w:fill="F2F4F8" w:val="clear"/>
          </w:tcPr>
          <w:p>
            <w:r>
              <w:rPr>
                <w:rFonts w:ascii="Calibri" w:hAnsi="Calibri"/>
                <w:color w:val="333333"/>
                <w:sz w:val="18"/>
              </w:rPr>
              <w:t>45301020</w:t>
            </w:r>
          </w:p>
        </w:tc>
        <w:tc>
          <w:tcPr>
            <w:tcW w:type="dxa" w:w="3360"/>
            <w:shd w:fill="F2F4F8" w:val="clear"/>
          </w:tcPr>
          <w:p>
            <w:r>
              <w:rPr>
                <w:rFonts w:ascii="Calibri" w:hAnsi="Calibri"/>
                <w:color w:val="333333"/>
                <w:sz w:val="18"/>
              </w:rPr>
            </w:r>
          </w:p>
        </w:tc>
      </w:tr>
      <w:tr>
        <w:tc>
          <w:tcPr>
            <w:tcW w:type="dxa" w:w="3360"/>
          </w:tcPr>
          <w:p>
            <w:r>
              <w:rPr>
                <w:rFonts w:ascii="Calibri" w:hAnsi="Calibri"/>
                <w:color w:val="333333"/>
                <w:sz w:val="18"/>
              </w:rPr>
              <w:t>NAICS</w:t>
            </w:r>
          </w:p>
        </w:tc>
        <w:tc>
          <w:tcPr>
            <w:tcW w:type="dxa" w:w="3360"/>
          </w:tcPr>
          <w:p>
            <w:r>
              <w:rPr>
                <w:rFonts w:ascii="Calibri" w:hAnsi="Calibri"/>
                <w:color w:val="333333"/>
                <w:sz w:val="18"/>
              </w:rPr>
              <w:t>334413</w:t>
            </w:r>
          </w:p>
        </w:tc>
        <w:tc>
          <w:tcPr>
            <w:tcW w:type="dxa" w:w="3360"/>
          </w:tcPr>
          <w:p>
            <w:r>
              <w:rPr>
                <w:rFonts w:ascii="Calibri" w:hAnsi="Calibri"/>
                <w:color w:val="333333"/>
                <w:sz w:val="18"/>
              </w:rPr>
            </w:r>
          </w:p>
        </w:tc>
      </w:tr>
      <w:tr>
        <w:tc>
          <w:tcPr>
            <w:tcW w:type="dxa" w:w="3360"/>
            <w:shd w:fill="F2F4F8" w:val="clear"/>
          </w:tcPr>
          <w:p>
            <w:r>
              <w:rPr>
                <w:rFonts w:ascii="Calibri" w:hAnsi="Calibri"/>
                <w:color w:val="333333"/>
                <w:sz w:val="18"/>
              </w:rPr>
              <w:t>FPI Status</w:t>
            </w:r>
          </w:p>
        </w:tc>
        <w:tc>
          <w:tcPr>
            <w:tcW w:type="dxa" w:w="3360"/>
            <w:shd w:fill="F2F4F8" w:val="clear"/>
          </w:tcPr>
          <w:p>
            <w:r>
              <w:rPr>
                <w:rFonts w:ascii="Calibri" w:hAnsi="Calibri"/>
                <w:color w:val="333333"/>
                <w:sz w:val="18"/>
              </w:rPr>
              <w:t>No</w:t>
            </w:r>
          </w:p>
        </w:tc>
        <w:tc>
          <w:tcPr>
            <w:tcW w:type="dxa" w:w="3360"/>
            <w:shd w:fill="F2F4F8" w:val="clear"/>
          </w:tcPr>
          <w:p>
            <w:r>
              <w:rPr>
                <w:rFonts w:ascii="Calibri" w:hAnsi="Calibri"/>
                <w:color w:val="333333"/>
                <w:sz w:val="18"/>
              </w:rPr>
            </w:r>
          </w:p>
        </w:tc>
      </w:tr>
      <w:tr>
        <w:tc>
          <w:tcPr>
            <w:tcW w:type="dxa" w:w="3360"/>
          </w:tcPr>
          <w:p>
            <w:r>
              <w:rPr>
                <w:rFonts w:ascii="Calibri" w:hAnsi="Calibri"/>
                <w:color w:val="333333"/>
                <w:sz w:val="18"/>
              </w:rPr>
              <w:t>Fiscal Year End</w:t>
            </w:r>
          </w:p>
        </w:tc>
        <w:tc>
          <w:tcPr>
            <w:tcW w:type="dxa" w:w="3360"/>
          </w:tcPr>
          <w:p>
            <w:r>
              <w:rPr>
                <w:rFonts w:ascii="Calibri" w:hAnsi="Calibri"/>
                <w:color w:val="333333"/>
                <w:sz w:val="18"/>
              </w:rPr>
              <w:t>01-31</w:t>
            </w:r>
          </w:p>
        </w:tc>
        <w:tc>
          <w:tcPr>
            <w:tcW w:type="dxa" w:w="3360"/>
          </w:tcPr>
          <w:p>
            <w:r>
              <w:rPr>
                <w:rFonts w:ascii="Calibri" w:hAnsi="Calibri"/>
                <w:color w:val="333333"/>
                <w:sz w:val="18"/>
              </w:rPr>
            </w:r>
          </w:p>
        </w:tc>
      </w:tr>
    </w:tbl>
    <w:p>
      <w:pPr>
        <w:pStyle w:val="DOHeading3"/>
      </w:pPr>
      <w:r>
        <w:t>Tier Classification</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Attribute</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Tier</w:t>
            </w:r>
          </w:p>
        </w:tc>
        <w:tc>
          <w:tcPr>
            <w:tcW w:type="dxa" w:w="5040"/>
          </w:tcPr>
          <w:p>
            <w:r>
              <w:rPr>
                <w:rFonts w:ascii="Calibri" w:hAnsi="Calibri"/>
                <w:color w:val="333333"/>
                <w:sz w:val="18"/>
              </w:rPr>
              <w:t>WIN</w:t>
            </w:r>
          </w:p>
        </w:tc>
      </w:tr>
      <w:tr>
        <w:tc>
          <w:tcPr>
            <w:tcW w:type="dxa" w:w="5040"/>
            <w:shd w:fill="F2F4F8" w:val="clear"/>
          </w:tcPr>
          <w:p>
            <w:r>
              <w:rPr>
                <w:rFonts w:ascii="Calibri" w:hAnsi="Calibri"/>
                <w:color w:val="333333"/>
                <w:sz w:val="18"/>
              </w:rPr>
              <w:t>Composite Score</w:t>
            </w:r>
          </w:p>
        </w:tc>
        <w:tc>
          <w:tcPr>
            <w:tcW w:type="dxa" w:w="5040"/>
            <w:shd w:fill="F2F4F8" w:val="clear"/>
          </w:tcPr>
          <w:p>
            <w:r>
              <w:rPr>
                <w:rFonts w:ascii="Calibri" w:hAnsi="Calibri"/>
                <w:color w:val="333333"/>
                <w:sz w:val="18"/>
              </w:rPr>
              <w:t>88.8/100</w:t>
            </w:r>
          </w:p>
        </w:tc>
      </w:tr>
      <w:tr>
        <w:tc>
          <w:tcPr>
            <w:tcW w:type="dxa" w:w="5040"/>
          </w:tcPr>
          <w:p>
            <w:r>
              <w:rPr>
                <w:rFonts w:ascii="Calibri" w:hAnsi="Calibri"/>
                <w:color w:val="333333"/>
                <w:sz w:val="18"/>
              </w:rPr>
              <w:t>Quality Score</w:t>
            </w:r>
          </w:p>
        </w:tc>
        <w:tc>
          <w:tcPr>
            <w:tcW w:type="dxa" w:w="5040"/>
          </w:tcPr>
          <w:p>
            <w:r>
              <w:rPr>
                <w:rFonts w:ascii="Calibri" w:hAnsi="Calibri"/>
                <w:color w:val="333333"/>
                <w:sz w:val="18"/>
              </w:rPr>
              <w:t>88.8/100</w:t>
            </w:r>
          </w:p>
        </w:tc>
      </w:tr>
      <w:tr>
        <w:tc>
          <w:tcPr>
            <w:tcW w:type="dxa" w:w="5040"/>
            <w:shd w:fill="F2F4F8" w:val="clear"/>
          </w:tcPr>
          <w:p>
            <w:r>
              <w:rPr>
                <w:rFonts w:ascii="Calibri" w:hAnsi="Calibri"/>
                <w:color w:val="333333"/>
                <w:sz w:val="18"/>
              </w:rPr>
              <w:t>Factor Breakdown</w:t>
            </w:r>
          </w:p>
        </w:tc>
        <w:tc>
          <w:tcPr>
            <w:tcW w:type="dxa" w:w="5040"/>
            <w:shd w:fill="F2F4F8" w:val="clear"/>
          </w:tcPr>
          <w:p>
            <w:r>
              <w:rPr>
                <w:rFonts w:ascii="Calibri" w:hAnsi="Calibri"/>
                <w:color w:val="333333"/>
                <w:sz w:val="18"/>
              </w:rPr>
              <w:t>F1: 3.2, F2: 0.6, F3: 1.6, F4: 2.1, F5: 0.4, F6: 1.5, F7: 1.0, F8: 0.0, F9: 0.7, F10: 0.2</w:t>
            </w:r>
          </w:p>
        </w:tc>
      </w:tr>
      <w:tr>
        <w:tc>
          <w:tcPr>
            <w:tcW w:type="dxa" w:w="5040"/>
          </w:tcPr>
          <w:p>
            <w:r>
              <w:rPr>
                <w:rFonts w:ascii="Calibri" w:hAnsi="Calibri"/>
                <w:color w:val="333333"/>
                <w:sz w:val="18"/>
              </w:rPr>
              <w:t>Position</w:t>
            </w:r>
          </w:p>
        </w:tc>
        <w:tc>
          <w:tcPr>
            <w:tcW w:type="dxa" w:w="5040"/>
          </w:tcPr>
          <w:p>
            <w:r>
              <w:rPr>
                <w:rFonts w:ascii="Calibri" w:hAnsi="Calibri"/>
                <w:color w:val="333333"/>
                <w:sz w:val="18"/>
              </w:rPr>
              <w:t>88.8 falls in WIN range (86-100)</w:t>
            </w:r>
          </w:p>
        </w:tc>
      </w:tr>
      <w:tr>
        <w:tc>
          <w:tcPr>
            <w:tcW w:type="dxa" w:w="5040"/>
            <w:shd w:fill="F2F4F8" w:val="clear"/>
          </w:tcPr>
          <w:p>
            <w:r>
              <w:rPr>
                <w:rFonts w:ascii="Calibri" w:hAnsi="Calibri"/>
                <w:color w:val="333333"/>
                <w:sz w:val="18"/>
              </w:rPr>
              <w:t>Appetite</w:t>
            </w:r>
          </w:p>
        </w:tc>
        <w:tc>
          <w:tcPr>
            <w:tcW w:type="dxa" w:w="5040"/>
            <w:shd w:fill="F2F4F8" w:val="clear"/>
          </w:tcPr>
          <w:p>
            <w:r>
              <w:rPr>
                <w:rFonts w:ascii="Calibri" w:hAnsi="Calibri"/>
                <w:color w:val="333333"/>
                <w:sz w:val="18"/>
              </w:rPr>
              <w:t>Must-have account, compete aggressively</w:t>
            </w:r>
          </w:p>
        </w:tc>
      </w:tr>
    </w:tbl>
    <w:p>
      <w:pPr>
        <w:pStyle w:val="DOBody"/>
      </w:pPr>
      <w:r>
        <w:t>Classification: WIN</w:t>
      </w:r>
      <w:r>
        <w:rPr>
          <w:b/>
          <w:color w:val="2563EB"/>
          <w:sz w:val="18"/>
        </w:rPr>
        <w:t xml:space="preserve"> [MODERATE]</w:t>
      </w:r>
    </w:p>
    <w:p>
      <w:pPr>
        <w:pStyle w:val="DOHeading3"/>
      </w:pPr>
      <w:r>
        <w:t>Inherent Risk Baseline</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Component</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Market Cap Tier</w:t>
            </w:r>
          </w:p>
        </w:tc>
        <w:tc>
          <w:tcPr>
            <w:tcW w:type="dxa" w:w="5040"/>
          </w:tcPr>
          <w:p>
            <w:r>
              <w:rPr>
                <w:rFonts w:ascii="Calibri" w:hAnsi="Calibri"/>
                <w:color w:val="333333"/>
                <w:sz w:val="18"/>
              </w:rPr>
              <w:t>MEGA  [Decile 1 (largest ~400 accounts)]</w:t>
            </w:r>
          </w:p>
        </w:tc>
      </w:tr>
      <w:tr>
        <w:tc>
          <w:tcPr>
            <w:tcW w:type="dxa" w:w="5040"/>
            <w:shd w:fill="F2F4F8" w:val="clear"/>
          </w:tcPr>
          <w:p>
            <w:r>
              <w:rPr>
                <w:rFonts w:ascii="Calibri" w:hAnsi="Calibri"/>
                <w:color w:val="333333"/>
                <w:sz w:val="18"/>
              </w:rPr>
              <w:t>Sector</w:t>
            </w:r>
          </w:p>
        </w:tc>
        <w:tc>
          <w:tcPr>
            <w:tcW w:type="dxa" w:w="5040"/>
            <w:shd w:fill="F2F4F8" w:val="clear"/>
          </w:tcPr>
          <w:p>
            <w:r>
              <w:rPr>
                <w:rFonts w:ascii="Calibri" w:hAnsi="Calibri"/>
                <w:color w:val="333333"/>
                <w:sz w:val="18"/>
              </w:rPr>
              <w:t>Technology (Base rate: 5.0%)</w:t>
            </w:r>
          </w:p>
        </w:tc>
      </w:tr>
      <w:tr>
        <w:tc>
          <w:tcPr>
            <w:tcW w:type="dxa" w:w="5040"/>
          </w:tcPr>
          <w:p>
            <w:r>
              <w:rPr>
                <w:rFonts w:ascii="Calibri" w:hAnsi="Calibri"/>
                <w:color w:val="333333"/>
                <w:sz w:val="18"/>
              </w:rPr>
              <w:t>Size Adjustment</w:t>
            </w:r>
          </w:p>
        </w:tc>
        <w:tc>
          <w:tcPr>
            <w:tcW w:type="dxa" w:w="5040"/>
          </w:tcPr>
          <w:p>
            <w:r>
              <w:rPr>
                <w:rFonts w:ascii="Calibri" w:hAnsi="Calibri"/>
                <w:color w:val="333333"/>
                <w:sz w:val="18"/>
              </w:rPr>
              <w:t>1.56x (MEGA cap multiplier) -&gt; 7.8%</w:t>
            </w:r>
          </w:p>
        </w:tc>
      </w:tr>
      <w:tr>
        <w:tc>
          <w:tcPr>
            <w:tcW w:type="dxa" w:w="5040"/>
            <w:shd w:fill="F2F4F8" w:val="clear"/>
          </w:tcPr>
          <w:p>
            <w:r>
              <w:rPr>
                <w:rFonts w:ascii="Calibri" w:hAnsi="Calibri"/>
                <w:color w:val="333333"/>
                <w:sz w:val="18"/>
              </w:rPr>
              <w:t>Score Adjustment</w:t>
            </w:r>
          </w:p>
        </w:tc>
        <w:tc>
          <w:tcPr>
            <w:tcW w:type="dxa" w:w="5040"/>
            <w:shd w:fill="F2F4F8" w:val="clear"/>
          </w:tcPr>
          <w:p>
            <w:r>
              <w:rPr>
                <w:rFonts w:ascii="Calibri" w:hAnsi="Calibri"/>
                <w:color w:val="333333"/>
                <w:sz w:val="18"/>
              </w:rPr>
              <w:t>0.46x (quality score multiplier) -&gt; 3.6%</w:t>
            </w:r>
          </w:p>
        </w:tc>
      </w:tr>
    </w:tbl>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Severity Percentile</w:t>
            </w:r>
          </w:p>
        </w:tc>
        <w:tc>
          <w:tcPr>
            <w:tcW w:type="dxa" w:w="5040"/>
            <w:shd w:fill="1A1446" w:val="clear"/>
          </w:tcPr>
          <w:p>
            <w:r>
              <w:rPr>
                <w:rFonts w:ascii="Calibri" w:hAnsi="Calibri"/>
                <w:b/>
                <w:color w:val="FFFFFF"/>
                <w:sz w:val="18"/>
              </w:rPr>
              <w:t>Settlement Estimate</w:t>
            </w:r>
          </w:p>
        </w:tc>
      </w:tr>
      <w:tr>
        <w:tc>
          <w:tcPr>
            <w:tcW w:type="dxa" w:w="5040"/>
          </w:tcPr>
          <w:p>
            <w:r>
              <w:rPr>
                <w:rFonts w:ascii="Calibri" w:hAnsi="Calibri"/>
                <w:color w:val="333333"/>
                <w:sz w:val="18"/>
              </w:rPr>
              <w:t>25th (favorable)</w:t>
            </w:r>
          </w:p>
        </w:tc>
        <w:tc>
          <w:tcPr>
            <w:tcW w:type="dxa" w:w="5040"/>
          </w:tcPr>
          <w:p>
            <w:r>
              <w:rPr>
                <w:rFonts w:ascii="Calibri" w:hAnsi="Calibri"/>
                <w:color w:val="333333"/>
                <w:sz w:val="18"/>
              </w:rPr>
              <w:t>$25.0M</w:t>
            </w:r>
          </w:p>
        </w:tc>
      </w:tr>
      <w:tr>
        <w:tc>
          <w:tcPr>
            <w:tcW w:type="dxa" w:w="5040"/>
            <w:shd w:fill="F2F4F8" w:val="clear"/>
          </w:tcPr>
          <w:p>
            <w:r>
              <w:rPr>
                <w:rFonts w:ascii="Calibri" w:hAnsi="Calibri"/>
                <w:color w:val="333333"/>
                <w:sz w:val="18"/>
              </w:rPr>
              <w:t>50th (median)</w:t>
            </w:r>
          </w:p>
        </w:tc>
        <w:tc>
          <w:tcPr>
            <w:tcW w:type="dxa" w:w="5040"/>
            <w:shd w:fill="F2F4F8" w:val="clear"/>
          </w:tcPr>
          <w:p>
            <w:r>
              <w:rPr>
                <w:rFonts w:ascii="Calibri" w:hAnsi="Calibri"/>
                <w:color w:val="333333"/>
                <w:sz w:val="18"/>
              </w:rPr>
              <w:t>$75.0M</w:t>
            </w:r>
          </w:p>
        </w:tc>
      </w:tr>
      <w:tr>
        <w:tc>
          <w:tcPr>
            <w:tcW w:type="dxa" w:w="5040"/>
          </w:tcPr>
          <w:p>
            <w:r>
              <w:rPr>
                <w:rFonts w:ascii="Calibri" w:hAnsi="Calibri"/>
                <w:color w:val="333333"/>
                <w:sz w:val="18"/>
              </w:rPr>
              <w:t>75th (adverse)</w:t>
            </w:r>
          </w:p>
        </w:tc>
        <w:tc>
          <w:tcPr>
            <w:tcW w:type="dxa" w:w="5040"/>
          </w:tcPr>
          <w:p>
            <w:r>
              <w:rPr>
                <w:rFonts w:ascii="Calibri" w:hAnsi="Calibri"/>
                <w:color w:val="333333"/>
                <w:sz w:val="18"/>
              </w:rPr>
              <w:t>$112.5M</w:t>
            </w:r>
          </w:p>
        </w:tc>
      </w:tr>
      <w:tr>
        <w:tc>
          <w:tcPr>
            <w:tcW w:type="dxa" w:w="5040"/>
            <w:shd w:fill="F2F4F8" w:val="clear"/>
          </w:tcPr>
          <w:p>
            <w:r>
              <w:rPr>
                <w:rFonts w:ascii="Calibri" w:hAnsi="Calibri"/>
                <w:color w:val="333333"/>
                <w:sz w:val="18"/>
              </w:rPr>
              <w:t>95th (catastrophic)</w:t>
            </w:r>
          </w:p>
        </w:tc>
        <w:tc>
          <w:tcPr>
            <w:tcW w:type="dxa" w:w="5040"/>
            <w:shd w:fill="F2F4F8" w:val="clear"/>
          </w:tcPr>
          <w:p>
            <w:r>
              <w:rPr>
                <w:rFonts w:ascii="Calibri" w:hAnsi="Calibri"/>
                <w:color w:val="333333"/>
                <w:sz w:val="18"/>
              </w:rPr>
              <w:t>$150.0M</w:t>
            </w:r>
          </w:p>
        </w:tc>
      </w:tr>
    </w:tbl>
    <w:p>
      <w:pPr>
        <w:pStyle w:val="DOBody"/>
      </w:pPr>
      <w:r>
        <w:t>At a 3.6% adjusted claim rate, the company faces 0.7x its sector baseline of 5.0% for Technology companies. This rate reflects the MEGA cap multiplier (1.56x) combined with the quality score multiplier (0.46x from WIN tier classification).</w:t>
      </w:r>
    </w:p>
    <w:p>
      <w:pPr>
        <w:pStyle w:val="DOCaption"/>
      </w:pPr>
      <w:r>
        <w:t>Note: NEEDS CALIBRATION</w:t>
      </w:r>
    </w:p>
    <w:p>
      <w:pPr>
        <w:pStyle w:val="DOHeading3"/>
      </w:pPr>
      <w:r>
        <w:t>Underwriting Headwinds</w:t>
      </w:r>
    </w:p>
    <w:p>
      <w:pPr>
        <w:pStyle w:val="DOBody"/>
      </w:pPr>
      <w:r>
        <w:rPr>
          <w:b/>
        </w:rPr>
        <w:t>1. Structural Complexity &amp; Litigation History</w:t>
      </w:r>
      <w:r>
        <w:rPr>
          <w:b/>
          <w:color w:val="EA580C"/>
          <w:sz w:val="18"/>
        </w:rPr>
        <w:t xml:space="preserve"> [HIGH]</w:t>
      </w:r>
    </w:p>
    <w:p>
      <w:pPr>
        <w:pStyle w:val="DOBody"/>
      </w:pPr>
      <w:r>
        <w:t>The current docket includes 3 derivative suits. With 3 pending matters at $4.3T market cap, Nvidia Corp. has an active litigation profile that will factor into loss-pick and pricing. (see Litigation)</w:t>
      </w:r>
    </w:p>
    <w:p>
      <w:pPr>
        <w:pStyle w:val="DOBody"/>
      </w:pPr>
      <w:r>
        <w:rPr>
          <w:b/>
        </w:rPr>
        <w:t>2. Earnings Guidance Track Record</w:t>
      </w:r>
      <w:r>
        <w:rPr>
          <w:b/>
          <w:color w:val="EA580C"/>
          <w:sz w:val="18"/>
        </w:rPr>
        <w:t xml:space="preserve"> [HIGH]</w:t>
      </w:r>
    </w:p>
    <w:p>
      <w:pPr>
        <w:pStyle w:val="DOBody"/>
      </w:pPr>
      <w:r>
        <w:t>Nvidia Corp. has missed earnings guidance in 1 quarter, with management credibility score at 88%. At $4.3T market cap with an estimated DDL of $307.6B, guidance misses generate large absolute loss figures that attract institutional lead plaintiffs. (see Market &amp; Trading)</w:t>
      </w:r>
    </w:p>
    <w:p>
      <w:pPr>
        <w:pStyle w:val="DOBody"/>
      </w:pPr>
      <w:r>
        <w:rPr>
          <w:b/>
        </w:rPr>
        <w:t>3. Stock Price Decline</w:t>
      </w:r>
      <w:r>
        <w:rPr>
          <w:b/>
          <w:color w:val="EAB308"/>
          <w:sz w:val="18"/>
        </w:rPr>
        <w:t xml:space="preserve"> [ELEVATED]</w:t>
      </w:r>
    </w:p>
    <w:p>
      <w:pPr>
        <w:pStyle w:val="DOBody"/>
      </w:pPr>
      <w:r>
        <w:t>Nvidia Corp.'s stock has undergone a -17% dip of -17.2% from $212.19 to $175.75 over 252 trading days. This creates an estimated Disclosure Dollar Loss (DDL) of $307.6B, among the largest potential DDL exposures in the market. (see Market &amp; Trading)</w:t>
      </w:r>
    </w:p>
    <w:p>
      <w:pPr>
        <w:pStyle w:val="DOBody"/>
      </w:pPr>
      <w:r>
        <w:rPr>
          <w:b/>
        </w:rPr>
        <w:t>4. Transaction-Related Exposure</w:t>
      </w:r>
      <w:r>
        <w:rPr>
          <w:b/>
          <w:color w:val="EAB308"/>
          <w:sz w:val="18"/>
        </w:rPr>
        <w:t xml:space="preserve"> [ELEVATED]</w:t>
      </w:r>
    </w:p>
    <w:p>
      <w:pPr>
        <w:pStyle w:val="DOBody"/>
      </w:pPr>
      <w:r>
        <w:t>Nvidia Corp. has transaction-related risk factors. At $4.3T market cap, transaction claims carry both Section 10(b) exposure (misleading disclosures) and Section 14(a) exposure (deficient proxy statements).</w:t>
      </w:r>
    </w:p>
    <w:p>
      <w:pPr>
        <w:pStyle w:val="DOBody"/>
      </w:pPr>
      <w:r>
        <w:rPr>
          <w:b/>
        </w:rPr>
        <w:t>5. Stock Volatility</w:t>
      </w:r>
      <w:r>
        <w:rPr>
          <w:b/>
          <w:color w:val="EAB308"/>
          <w:sz w:val="18"/>
        </w:rPr>
        <w:t xml:space="preserve"> [ELEVATED]</w:t>
      </w:r>
    </w:p>
    <w:p>
      <w:pPr>
        <w:pStyle w:val="DOBody"/>
      </w:pPr>
      <w:r>
        <w:t>Nvidia Corp.'s stock exhibits elevated volatility with a -17% dip of -17.2% from its 52-week high. The estimated DDL of $307.6B amplifies settlement severity for any corrective disclosure event. (see Market &amp; Trading)</w:t>
      </w:r>
    </w:p>
    <w:p>
      <w:pPr>
        <w:pStyle w:val="DOHeading3"/>
      </w:pPr>
      <w:r>
        <w:t>Risk Mitigants</w:t>
      </w:r>
    </w:p>
    <w:p>
      <w:pPr>
        <w:pStyle w:val="DOBody"/>
      </w:pPr>
      <w:r>
        <w:rPr>
          <w:b/>
        </w:rPr>
        <w:t>1. Clean Audit &amp; Accounting History</w:t>
      </w:r>
    </w:p>
    <w:p>
      <w:pPr>
        <w:pStyle w:val="DOBody"/>
      </w:pPr>
      <w:r>
        <w:t>Nvidia Corp. maintains a clean audit opinion from Ernst &amp; Young (tenure: 22 years) with no material weaknesses, restatements, or going concern qualifications. The 22-year relationship with Ernst &amp; Young provides audit continuity that reduces the likelihood of restatement-driven class actions. (see Financial Health)</w:t>
      </w:r>
    </w:p>
    <w:p>
      <w:pPr>
        <w:pStyle w:val="DOBody"/>
      </w:pPr>
      <w:r>
        <w:rPr>
          <w:b/>
        </w:rPr>
        <w:t>2. Sound Financial Position</w:t>
      </w:r>
    </w:p>
    <w:p>
      <w:pPr>
        <w:pStyle w:val="DOBody"/>
      </w:pPr>
      <w:r>
        <w:t>No financial distress indicators present (Altman Z-Score of 56.43, D/E of 0.05, current ratio of 4.4x, interest coverage of 331.1x). An Altman Z of 56.43 places Nvidia Corp. firmly in the safe zone, eliminating going-concern, covenant violation, and creditor-related D&amp;O exposure. (see Financial Health)</w:t>
      </w:r>
    </w:p>
    <w:p>
      <w:pPr>
        <w:pStyle w:val="DOBody"/>
      </w:pPr>
      <w:r>
        <w:rPr>
          <w:b/>
        </w:rPr>
        <w:t>3. Low Short Interest</w:t>
      </w:r>
    </w:p>
    <w:p>
      <w:pPr>
        <w:pStyle w:val="DOBody"/>
      </w:pPr>
      <w:r>
        <w:t>Short interest is low at 1.0% of float, indicating institutional investors are not positioning against the stock. At 1.0%, short positioning is minimal -- there is no institutional bearish thesis driving potential short-seller reports or activist campaigns against Nvidia Corp.. (see Market &amp; Trading)</w:t>
      </w:r>
    </w:p>
    <w:p>
      <w:pPr>
        <w:pStyle w:val="DOBody"/>
      </w:pPr>
      <w:r>
        <w:rPr>
          <w:b/>
        </w:rPr>
        <w:t xml:space="preserve">4. Positive free cash flow from most recent period, indicating </w:t>
      </w:r>
    </w:p>
    <w:p>
      <w:pPr>
        <w:pStyle w:val="DOBody"/>
      </w:pPr>
      <w:r>
        <w:t>Positive free cash flow from most recent period, indicating operational strength. (see Financial Health)</w:t>
      </w:r>
    </w:p>
    <w:p>
      <w:pPr>
        <w:pStyle w:val="DOHeading3"/>
      </w:pPr>
      <w:r>
        <w:t>Claim Probability</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Band</w:t>
            </w:r>
          </w:p>
        </w:tc>
        <w:tc>
          <w:tcPr>
            <w:tcW w:type="dxa" w:w="5040"/>
          </w:tcPr>
          <w:p>
            <w:r>
              <w:rPr>
                <w:rFonts w:ascii="Calibri" w:hAnsi="Calibri"/>
                <w:color w:val="333333"/>
                <w:sz w:val="18"/>
              </w:rPr>
              <w:t>ELEVATED</w:t>
            </w:r>
          </w:p>
        </w:tc>
      </w:tr>
      <w:tr>
        <w:tc>
          <w:tcPr>
            <w:tcW w:type="dxa" w:w="5040"/>
            <w:shd w:fill="F2F4F8" w:val="clear"/>
          </w:tcPr>
          <w:p>
            <w:r>
              <w:rPr>
                <w:rFonts w:ascii="Calibri" w:hAnsi="Calibri"/>
                <w:color w:val="333333"/>
                <w:sz w:val="18"/>
              </w:rPr>
              <w:t>Company Rate</w:t>
            </w:r>
          </w:p>
        </w:tc>
        <w:tc>
          <w:tcPr>
            <w:tcW w:type="dxa" w:w="5040"/>
            <w:shd w:fill="F2F4F8" w:val="clear"/>
          </w:tcPr>
          <w:p>
            <w:r>
              <w:rPr>
                <w:rFonts w:ascii="Calibri" w:hAnsi="Calibri"/>
                <w:color w:val="333333"/>
                <w:sz w:val="18"/>
              </w:rPr>
              <w:t>5.5% - 7.8%</w:t>
            </w:r>
          </w:p>
        </w:tc>
      </w:tr>
      <w:tr>
        <w:tc>
          <w:tcPr>
            <w:tcW w:type="dxa" w:w="5040"/>
          </w:tcPr>
          <w:p>
            <w:r>
              <w:rPr>
                <w:rFonts w:ascii="Calibri" w:hAnsi="Calibri"/>
                <w:color w:val="333333"/>
                <w:sz w:val="18"/>
              </w:rPr>
              <w:t>Industry Base Rate</w:t>
            </w:r>
          </w:p>
        </w:tc>
        <w:tc>
          <w:tcPr>
            <w:tcW w:type="dxa" w:w="5040"/>
          </w:tcPr>
          <w:p>
            <w:r>
              <w:rPr>
                <w:rFonts w:ascii="Calibri" w:hAnsi="Calibri"/>
                <w:color w:val="333333"/>
                <w:sz w:val="18"/>
              </w:rPr>
              <w:t>5.0%</w:t>
            </w:r>
          </w:p>
        </w:tc>
      </w:tr>
      <w:tr>
        <w:tc>
          <w:tcPr>
            <w:tcW w:type="dxa" w:w="5040"/>
            <w:shd w:fill="F2F4F8" w:val="clear"/>
          </w:tcPr>
          <w:p>
            <w:r>
              <w:rPr>
                <w:rFonts w:ascii="Calibri" w:hAnsi="Calibri"/>
                <w:color w:val="333333"/>
                <w:sz w:val="18"/>
              </w:rPr>
              <w:t>Severity Favorable</w:t>
            </w:r>
          </w:p>
        </w:tc>
        <w:tc>
          <w:tcPr>
            <w:tcW w:type="dxa" w:w="5040"/>
            <w:shd w:fill="F2F4F8" w:val="clear"/>
          </w:tcPr>
          <w:p>
            <w:r>
              <w:rPr>
                <w:rFonts w:ascii="Calibri" w:hAnsi="Calibri"/>
                <w:color w:val="333333"/>
                <w:sz w:val="18"/>
              </w:rPr>
              <w:t>$1.1B</w:t>
            </w:r>
          </w:p>
        </w:tc>
      </w:tr>
      <w:tr>
        <w:tc>
          <w:tcPr>
            <w:tcW w:type="dxa" w:w="5040"/>
          </w:tcPr>
          <w:p>
            <w:r>
              <w:rPr>
                <w:rFonts w:ascii="Calibri" w:hAnsi="Calibri"/>
                <w:color w:val="333333"/>
                <w:sz w:val="18"/>
              </w:rPr>
              <w:t>Severity Median</w:t>
            </w:r>
          </w:p>
        </w:tc>
        <w:tc>
          <w:tcPr>
            <w:tcW w:type="dxa" w:w="5040"/>
          </w:tcPr>
          <w:p>
            <w:r>
              <w:rPr>
                <w:rFonts w:ascii="Calibri" w:hAnsi="Calibri"/>
                <w:color w:val="333333"/>
                <w:sz w:val="18"/>
              </w:rPr>
              <w:t>$2.3B</w:t>
            </w:r>
          </w:p>
        </w:tc>
      </w:tr>
      <w:tr>
        <w:tc>
          <w:tcPr>
            <w:tcW w:type="dxa" w:w="5040"/>
            <w:shd w:fill="F2F4F8" w:val="clear"/>
          </w:tcPr>
          <w:p>
            <w:r>
              <w:rPr>
                <w:rFonts w:ascii="Calibri" w:hAnsi="Calibri"/>
                <w:color w:val="333333"/>
                <w:sz w:val="18"/>
              </w:rPr>
              <w:t>Severity Adverse</w:t>
            </w:r>
          </w:p>
        </w:tc>
        <w:tc>
          <w:tcPr>
            <w:tcW w:type="dxa" w:w="5040"/>
            <w:shd w:fill="F2F4F8" w:val="clear"/>
          </w:tcPr>
          <w:p>
            <w:r>
              <w:rPr>
                <w:rFonts w:ascii="Calibri" w:hAnsi="Calibri"/>
                <w:color w:val="333333"/>
                <w:sz w:val="18"/>
              </w:rPr>
              <w:t>$4.7B</w:t>
            </w:r>
          </w:p>
        </w:tc>
      </w:tr>
      <w:tr>
        <w:tc>
          <w:tcPr>
            <w:tcW w:type="dxa" w:w="5040"/>
          </w:tcPr>
          <w:p>
            <w:r>
              <w:rPr>
                <w:rFonts w:ascii="Calibri" w:hAnsi="Calibri"/>
                <w:color w:val="333333"/>
                <w:sz w:val="18"/>
              </w:rPr>
              <w:t>Severity Catastrophic</w:t>
            </w:r>
          </w:p>
        </w:tc>
        <w:tc>
          <w:tcPr>
            <w:tcW w:type="dxa" w:w="5040"/>
          </w:tcPr>
          <w:p>
            <w:r>
              <w:rPr>
                <w:rFonts w:ascii="Calibri" w:hAnsi="Calibri"/>
                <w:color w:val="333333"/>
                <w:sz w:val="18"/>
              </w:rPr>
              <w:t>$9.8B</w:t>
            </w:r>
          </w:p>
        </w:tc>
      </w:tr>
    </w:tbl>
    <w:p>
      <w:pPr>
        <w:pStyle w:val="DOBody"/>
      </w:pPr>
      <w:r>
        <w:t>Probability Band: ELEVATED</w:t>
      </w:r>
      <w:r>
        <w:rPr>
          <w:b/>
          <w:color w:val="EA580C"/>
          <w:sz w:val="18"/>
        </w:rPr>
        <w:t xml:space="preserve"> [HIGH]</w:t>
      </w:r>
    </w:p>
    <w:p>
      <w:pPr>
        <w:pStyle w:val="DOBody"/>
      </w:pPr>
      <w:r>
        <w:t>The 5-8% probability band represents approximately 1x the Technology sector base rate of 5.0%. Accounts in WIN tier historically produce claims at elevated frequency. Industry base rate: 5.0%. Tier WIN (0-2%): Below base rate. Strong risk profile reduces claim probability below industry average. NEEDS CALIBRATION: Probability estimates are indicative and require actuarial validation per SECT7-11. Enhanced frequency: 9.00% base x 0.87 hazard x 1.00 signal = 7.79%.</w:t>
      </w:r>
    </w:p>
    <w:p>
      <w:pPr>
        <w:pStyle w:val="DOHeading3"/>
      </w:pPr>
      <w:r>
        <w:t>Tower Recommendation</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Position</w:t>
            </w:r>
          </w:p>
        </w:tc>
        <w:tc>
          <w:tcPr>
            <w:tcW w:type="dxa" w:w="5040"/>
          </w:tcPr>
          <w:p>
            <w:r>
              <w:rPr>
                <w:rFonts w:ascii="Calibri" w:hAnsi="Calibri"/>
                <w:color w:val="333333"/>
                <w:sz w:val="18"/>
              </w:rPr>
              <w:t>Primary</w:t>
            </w:r>
          </w:p>
        </w:tc>
      </w:tr>
      <w:tr>
        <w:tc>
          <w:tcPr>
            <w:tcW w:type="dxa" w:w="5040"/>
            <w:shd w:fill="F2F4F8" w:val="clear"/>
          </w:tcPr>
          <w:p>
            <w:r>
              <w:rPr>
                <w:rFonts w:ascii="Calibri" w:hAnsi="Calibri"/>
                <w:color w:val="333333"/>
                <w:sz w:val="18"/>
              </w:rPr>
              <w:t>Min Attachment</w:t>
            </w:r>
          </w:p>
        </w:tc>
        <w:tc>
          <w:tcPr>
            <w:tcW w:type="dxa" w:w="5040"/>
            <w:shd w:fill="F2F4F8" w:val="clear"/>
          </w:tcPr>
          <w:p>
            <w:r>
              <w:rPr>
                <w:rFonts w:ascii="Calibri" w:hAnsi="Calibri"/>
                <w:color w:val="333333"/>
                <w:sz w:val="18"/>
              </w:rPr>
              <w:t>$1885.6M (based on 50th percentile settlement)</w:t>
            </w:r>
          </w:p>
        </w:tc>
      </w:tr>
      <w:tr>
        <w:tc>
          <w:tcPr>
            <w:tcW w:type="dxa" w:w="5040"/>
          </w:tcPr>
          <w:p>
            <w:r>
              <w:rPr>
                <w:rFonts w:ascii="Calibri" w:hAnsi="Calibri"/>
                <w:color w:val="333333"/>
                <w:sz w:val="18"/>
              </w:rPr>
              <w:t>Side A/DIC</w:t>
            </w:r>
          </w:p>
        </w:tc>
        <w:tc>
          <w:tcPr>
            <w:tcW w:type="dxa" w:w="5040"/>
          </w:tcPr>
          <w:p>
            <w:r>
              <w:rPr>
                <w:rFonts w:ascii="Calibri" w:hAnsi="Calibri"/>
                <w:color w:val="333333"/>
                <w:sz w:val="18"/>
              </w:rPr>
              <w:t>Standard Side A considerations</w:t>
            </w:r>
          </w:p>
        </w:tc>
      </w:tr>
    </w:tbl>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Layer</w:t>
            </w:r>
          </w:p>
        </w:tc>
        <w:tc>
          <w:tcPr>
            <w:tcW w:type="dxa" w:w="3360"/>
            <w:shd w:fill="1A1446" w:val="clear"/>
          </w:tcPr>
          <w:p>
            <w:r>
              <w:rPr>
                <w:rFonts w:ascii="Calibri" w:hAnsi="Calibri"/>
                <w:b/>
                <w:color w:val="FFFFFF"/>
                <w:sz w:val="18"/>
              </w:rPr>
              <w:t>Risk Assessment</w:t>
            </w:r>
          </w:p>
        </w:tc>
        <w:tc>
          <w:tcPr>
            <w:tcW w:type="dxa" w:w="3360"/>
            <w:shd w:fill="1A1446" w:val="clear"/>
          </w:tcPr>
          <w:p>
            <w:r>
              <w:rPr>
                <w:rFonts w:ascii="Calibri" w:hAnsi="Calibri"/>
                <w:b/>
                <w:color w:val="FFFFFF"/>
                <w:sz w:val="18"/>
              </w:rPr>
              <w:t>Premium Guidance</w:t>
            </w:r>
          </w:p>
        </w:tc>
      </w:tr>
      <w:tr>
        <w:tc>
          <w:tcPr>
            <w:tcW w:type="dxa" w:w="3360"/>
          </w:tcPr>
          <w:p>
            <w:r>
              <w:rPr>
                <w:rFonts w:ascii="Calibri" w:hAnsi="Calibri"/>
                <w:color w:val="333333"/>
                <w:sz w:val="18"/>
              </w:rPr>
              <w:t>PRIMARY</w:t>
            </w:r>
          </w:p>
        </w:tc>
        <w:tc>
          <w:tcPr>
            <w:tcW w:type="dxa" w:w="3360"/>
          </w:tcPr>
          <w:p>
            <w:r>
              <w:rPr>
                <w:rFonts w:ascii="Calibri" w:hAnsi="Calibri"/>
                <w:color w:val="333333"/>
                <w:sz w:val="18"/>
              </w:rPr>
              <w:t>Primary layer carries 57% of expected loss exposure. Highest frequency of attachment; most likely to be eroded in any claim scenario.</w:t>
            </w:r>
          </w:p>
        </w:tc>
        <w:tc>
          <w:tcPr>
            <w:tcW w:type="dxa" w:w="3360"/>
          </w:tcPr>
          <w:p>
            <w:r>
              <w:rPr>
                <w:rFonts w:ascii="Calibri" w:hAnsi="Calibri"/>
                <w:color w:val="333333"/>
                <w:sz w:val="18"/>
              </w:rPr>
              <w:t>Full rate, slight discount for WIN</w:t>
            </w:r>
          </w:p>
        </w:tc>
      </w:tr>
      <w:tr>
        <w:tc>
          <w:tcPr>
            <w:tcW w:type="dxa" w:w="3360"/>
            <w:shd w:fill="F2F4F8" w:val="clear"/>
          </w:tcPr>
          <w:p>
            <w:r>
              <w:rPr>
                <w:rFonts w:ascii="Calibri" w:hAnsi="Calibri"/>
                <w:color w:val="333333"/>
                <w:sz w:val="18"/>
              </w:rPr>
              <w:t>LOW_EXCESS</w:t>
            </w:r>
          </w:p>
        </w:tc>
        <w:tc>
          <w:tcPr>
            <w:tcW w:type="dxa" w:w="3360"/>
            <w:shd w:fill="F2F4F8" w:val="clear"/>
          </w:tcPr>
          <w:p>
            <w:r>
              <w:rPr>
                <w:rFonts w:ascii="Calibri" w:hAnsi="Calibri"/>
                <w:color w:val="333333"/>
                <w:sz w:val="18"/>
              </w:rPr>
              <w:t>Low excess layer carries 18% of expected loss exposure. Attaches after primary exhaustion; moderate frequency in adverse scenarios.</w:t>
            </w:r>
          </w:p>
        </w:tc>
        <w:tc>
          <w:tcPr>
            <w:tcW w:type="dxa" w:w="3360"/>
            <w:shd w:fill="F2F4F8" w:val="clear"/>
          </w:tcPr>
          <w:p>
            <w:r>
              <w:rPr>
                <w:rFonts w:ascii="Calibri" w:hAnsi="Calibri"/>
                <w:color w:val="333333"/>
                <w:sz w:val="18"/>
              </w:rPr>
              <w:t>Market rate</w:t>
            </w:r>
          </w:p>
        </w:tc>
      </w:tr>
      <w:tr>
        <w:tc>
          <w:tcPr>
            <w:tcW w:type="dxa" w:w="3360"/>
          </w:tcPr>
          <w:p>
            <w:r>
              <w:rPr>
                <w:rFonts w:ascii="Calibri" w:hAnsi="Calibri"/>
                <w:color w:val="333333"/>
                <w:sz w:val="18"/>
              </w:rPr>
              <w:t>MID_EXCESS</w:t>
            </w:r>
          </w:p>
        </w:tc>
        <w:tc>
          <w:tcPr>
            <w:tcW w:type="dxa" w:w="3360"/>
          </w:tcPr>
          <w:p>
            <w:r>
              <w:rPr>
                <w:rFonts w:ascii="Calibri" w:hAnsi="Calibri"/>
                <w:color w:val="333333"/>
                <w:sz w:val="18"/>
              </w:rPr>
              <w:t>Mid excess layer carries 13% of expected loss exposure. Attaches in adverse scenarios; lower frequency but higher severity when reached.</w:t>
            </w:r>
          </w:p>
        </w:tc>
        <w:tc>
          <w:tcPr>
            <w:tcW w:type="dxa" w:w="3360"/>
          </w:tcPr>
          <w:p>
            <w:r>
              <w:rPr>
                <w:rFonts w:ascii="Calibri" w:hAnsi="Calibri"/>
                <w:color w:val="333333"/>
                <w:sz w:val="18"/>
              </w:rPr>
              <w:t>Market to 1.3x</w:t>
            </w:r>
          </w:p>
        </w:tc>
      </w:tr>
      <w:tr>
        <w:tc>
          <w:tcPr>
            <w:tcW w:type="dxa" w:w="3360"/>
            <w:shd w:fill="F2F4F8" w:val="clear"/>
          </w:tcPr>
          <w:p>
            <w:r>
              <w:rPr>
                <w:rFonts w:ascii="Calibri" w:hAnsi="Calibri"/>
                <w:color w:val="333333"/>
                <w:sz w:val="18"/>
              </w:rPr>
              <w:t>HIGH_EXCESS</w:t>
            </w:r>
          </w:p>
        </w:tc>
        <w:tc>
          <w:tcPr>
            <w:tcW w:type="dxa" w:w="3360"/>
            <w:shd w:fill="F2F4F8" w:val="clear"/>
          </w:tcPr>
          <w:p>
            <w:r>
              <w:rPr>
                <w:rFonts w:ascii="Calibri" w:hAnsi="Calibri"/>
                <w:color w:val="333333"/>
                <w:sz w:val="18"/>
              </w:rPr>
              <w:t>High excess layer carries 11% of expected loss exposure. Attaches only in catastrophic scenarios; lowest frequency, highest severity.</w:t>
            </w:r>
          </w:p>
        </w:tc>
        <w:tc>
          <w:tcPr>
            <w:tcW w:type="dxa" w:w="3360"/>
            <w:shd w:fill="F2F4F8" w:val="clear"/>
          </w:tcPr>
          <w:p>
            <w:r>
              <w:rPr>
                <w:rFonts w:ascii="Calibri" w:hAnsi="Calibri"/>
                <w:color w:val="333333"/>
                <w:sz w:val="18"/>
              </w:rPr>
              <w:t>1.3-2x with attachment</w:t>
            </w:r>
          </w:p>
        </w:tc>
      </w:tr>
      <w:tr>
        <w:tc>
          <w:tcPr>
            <w:tcW w:type="dxa" w:w="3360"/>
          </w:tcPr>
          <w:p>
            <w:r>
              <w:rPr>
                <w:rFonts w:ascii="Calibri" w:hAnsi="Calibri"/>
                <w:color w:val="333333"/>
                <w:sz w:val="18"/>
              </w:rPr>
              <w:t>DECLINE</w:t>
            </w:r>
          </w:p>
        </w:tc>
        <w:tc>
          <w:tcPr>
            <w:tcW w:type="dxa" w:w="3360"/>
          </w:tcPr>
          <w:p>
            <w:r>
              <w:rPr>
                <w:rFonts w:ascii="Calibri" w:hAnsi="Calibri"/>
                <w:color w:val="333333"/>
                <w:sz w:val="18"/>
              </w:rPr>
              <w:t>WALK+ with compounding factors</w:t>
            </w:r>
          </w:p>
        </w:tc>
        <w:tc>
          <w:tcPr>
            <w:tcW w:type="dxa" w:w="3360"/>
          </w:tcPr>
          <w:p>
            <w:r>
              <w:rPr>
                <w:rFonts w:ascii="Calibri" w:hAnsi="Calibri"/>
                <w:color w:val="333333"/>
                <w:sz w:val="18"/>
              </w:rPr>
              <w:t>N/A</w:t>
            </w:r>
          </w:p>
        </w:tc>
      </w:tr>
    </w:tbl>
    <w:p>
      <w:pPr>
        <w:pStyle w:val="DOHeading3"/>
      </w:pPr>
      <w:r>
        <w:t>Market Context</w:t>
      </w:r>
    </w:p>
    <w:p>
      <w:pPr>
        <w:pStyle w:val="DOBody"/>
      </w:pPr>
      <w:r>
        <w:t>No market pricing data available.</w:t>
      </w:r>
    </w:p>
    <w:p>
      <w:pPr>
        <w:spacing w:before="120" w:after="40"/>
        <w:pBdr>
          <w:bottom w:val="single" w:sz="6" w:space="1" w:color="FFD000"/>
        </w:pBdr>
      </w:pPr>
    </w:p>
    <w:p>
      <w:pPr>
        <w:pStyle w:val="DOBody"/>
        <w:spacing w:before="40" w:after="80"/>
      </w:pPr>
      <w:r>
        <w:rPr>
          <w:b/>
          <w:color w:val="FFB800"/>
          <w:sz w:val="20"/>
        </w:rPr>
        <w:t>ELEVATED CONCERN</w:t>
      </w:r>
    </w:p>
    <w:p>
      <w:pPr>
        <w:pStyle w:val="DOBody"/>
        <w:spacing w:before="40" w:after="120"/>
      </w:pPr>
      <w:r>
        <w:rPr>
          <w:color w:val="333333"/>
          <w:sz w:val="20"/>
        </w:rPr>
        <w:t>Company Overview</w:t>
        <w:br/>
        <w:t>NVIDIA is a $4.27 trillion market cap data center-scale AI infrastructure company that pioneered accelerated computing; its 42,000 employees design and sell GPUs, systems, and a full software stack for AI. Public for 27 years, it has evolved from a gaming graphics specialist into the foundational hardware and software provider for the generative AI boom, with its technology now critical across data centers, automotive, and professional visualization. Its scale as a Large Accelerated Filer and MEGA risk classification reflects its dominant, systemically important position in the global tech supply chain, creating a target for securities litigation given any perceived failure to manage its concentrated geographic footprint in Taiwan and China.</w:t>
        <w:br/>
        <w:br/>
        <w:t>Revenue Model</w:t>
        <w:br/>
        <w:t>Revenue is driven by sales of data center GPUs and networking systems, a segment generating tens of billions annually that is both highly concentrated and exceptionally sticky due to CUDA software lock-in. The gaming and professional visualization segments provide cyclical revenue streams, but the core engine—selling AI infrastructure to hyperscalers and enterprises—would break if a competitor successfully challenged CUDA's ecosystem dominance or if a geopolitical event severed its critical Taiwan and China supply chain, representing a material risk that directors must disclose. Discretionary enterprise spending on AI is a near-term vulnerability for its 42,000-employee operations, but the installed base and software dependency create formidable recurring revenue, making forward projections a key source of potential misstatement liability.</w:t>
        <w:br/>
        <w:br/>
        <w:t>D&amp;O Risk Profile</w:t>
        <w:br/>
        <w:t>The primary D&amp;O exposure is existential litigation from the $4.27 trillion market cap's dependence on a single narrative: that its CUDA software stack and hardware roadmap will maintain an unassailable moat in AI. Any material misstatement on technological superiority, supply chain resilience (especially regarding Taiwan and China), or competition from rivals like AMD or custom silicon triggers catastrophic shareholder loss, as seen in its exposure to TRANSACTION_LITIGATION_RISK and IP_LITIGATION_RISK. Secondary exposure is multi-jurisdictional IP and antitrust litigation across the United States, Taiwan, and China, as seen in ongoing regulatory scrutiny, where the company's vertical integration from chips to software invites claims of anti-competitive bundling and market dominance abuse, directly implicating director oversight duties under its REGULATORY_MULTI_JURISDICTION exposure.</w:t>
      </w:r>
    </w:p>
    <w:p>
      <w:pPr>
        <w:pStyle w:val="DOHeading1"/>
      </w:pPr>
      <w:r>
        <w:t>Section 2: Company Profile</w:t>
      </w:r>
    </w:p>
    <w:p>
      <w:pPr>
        <w:pStyle w:val="DOBody"/>
      </w:pPr>
      <w:r>
        <w:rPr>
          <w:rFonts w:ascii="Calibri" w:hAnsi="Calibri"/>
          <w:color w:val="333333"/>
          <w:sz w:val="20"/>
        </w:rPr>
        <w:t>NVIDIA CORP operates in the Semiconductors industry. The company has 42,000 employees and $4271.6B market cap. Key D&amp;O exposure factors include: Regulatory Multi Jurisdiction, Employment Litigation Risk, Transaction Litigation Risk.</w:t>
      </w:r>
      <w:r>
        <w:rPr>
          <w:rFonts w:ascii="Consolas" w:hAnsi="Consolas"/>
          <w:color w:val="666666"/>
          <w:sz w:val="16"/>
        </w:rPr>
        <w:t xml:space="preserve">  [derived:section_summary, 2026-04-02, LOW]</w:t>
      </w:r>
    </w:p>
    <w:p>
      <w:pPr>
        <w:pStyle w:val="DOHeading2"/>
      </w:pPr>
      <w:r>
        <w:t>Company Identity</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Field</w:t>
            </w:r>
          </w:p>
        </w:tc>
        <w:tc>
          <w:tcPr>
            <w:tcW w:type="dxa" w:w="3360"/>
            <w:shd w:fill="1A1446" w:val="clear"/>
          </w:tcPr>
          <w:p>
            <w:r>
              <w:rPr>
                <w:rFonts w:ascii="Calibri" w:hAnsi="Calibri"/>
                <w:b/>
                <w:color w:val="FFFFFF"/>
                <w:sz w:val="18"/>
              </w:rPr>
              <w:t>Value</w:t>
            </w:r>
          </w:p>
        </w:tc>
        <w:tc>
          <w:tcPr>
            <w:tcW w:type="dxa" w:w="3360"/>
            <w:shd w:fill="1A1446" w:val="clear"/>
          </w:tcPr>
          <w:p>
            <w:r>
              <w:rPr>
                <w:rFonts w:ascii="Calibri" w:hAnsi="Calibri"/>
                <w:b/>
                <w:color w:val="FFFFFF"/>
                <w:sz w:val="18"/>
              </w:rPr>
              <w:t>Source</w:t>
            </w:r>
          </w:p>
        </w:tc>
      </w:tr>
      <w:tr>
        <w:tc>
          <w:tcPr>
            <w:tcW w:type="dxa" w:w="3360"/>
          </w:tcPr>
          <w:p>
            <w:r>
              <w:rPr>
                <w:rFonts w:ascii="Calibri" w:hAnsi="Calibri"/>
                <w:color w:val="333333"/>
                <w:sz w:val="18"/>
              </w:rPr>
              <w:t>Legal Name</w:t>
            </w:r>
          </w:p>
        </w:tc>
        <w:tc>
          <w:tcPr>
            <w:tcW w:type="dxa" w:w="3360"/>
          </w:tcPr>
          <w:p>
            <w:r>
              <w:rPr>
                <w:rFonts w:ascii="Calibri" w:hAnsi="Calibri"/>
                <w:color w:val="333333"/>
                <w:sz w:val="18"/>
              </w:rPr>
              <w:t>NVIDIA CORP</w:t>
            </w:r>
          </w:p>
        </w:tc>
        <w:tc>
          <w:tcPr>
            <w:tcW w:type="dxa" w:w="3360"/>
          </w:tcPr>
          <w:p>
            <w:r>
              <w:rPr>
                <w:rFonts w:ascii="Calibri" w:hAnsi="Calibri"/>
                <w:color w:val="333333"/>
                <w:sz w:val="18"/>
              </w:rPr>
              <w:t>[SEC EDGAR submissions, filed 2026-04-02, HIGH confidence]</w:t>
            </w:r>
          </w:p>
        </w:tc>
      </w:tr>
      <w:tr>
        <w:tc>
          <w:tcPr>
            <w:tcW w:type="dxa" w:w="3360"/>
            <w:shd w:fill="F2F4F8" w:val="clear"/>
          </w:tcPr>
          <w:p>
            <w:r>
              <w:rPr>
                <w:rFonts w:ascii="Calibri" w:hAnsi="Calibri"/>
                <w:color w:val="333333"/>
                <w:sz w:val="18"/>
              </w:rPr>
              <w:t>Ticker</w:t>
            </w:r>
          </w:p>
        </w:tc>
        <w:tc>
          <w:tcPr>
            <w:tcW w:type="dxa" w:w="3360"/>
            <w:shd w:fill="F2F4F8" w:val="clear"/>
          </w:tcPr>
          <w:p>
            <w:r>
              <w:rPr>
                <w:rFonts w:ascii="Calibri" w:hAnsi="Calibri"/>
                <w:color w:val="333333"/>
                <w:sz w:val="18"/>
              </w:rPr>
              <w:t>NVDA</w:t>
            </w:r>
          </w:p>
        </w:tc>
        <w:tc>
          <w:tcPr>
            <w:tcW w:type="dxa" w:w="3360"/>
            <w:shd w:fill="F2F4F8" w:val="clear"/>
          </w:tcPr>
          <w:p>
            <w:r>
              <w:rPr>
                <w:rFonts w:ascii="Calibri" w:hAnsi="Calibri"/>
                <w:color w:val="333333"/>
                <w:sz w:val="18"/>
              </w:rPr>
            </w:r>
          </w:p>
        </w:tc>
      </w:tr>
      <w:tr>
        <w:tc>
          <w:tcPr>
            <w:tcW w:type="dxa" w:w="3360"/>
          </w:tcPr>
          <w:p>
            <w:r>
              <w:rPr>
                <w:rFonts w:ascii="Calibri" w:hAnsi="Calibri"/>
                <w:color w:val="333333"/>
                <w:sz w:val="18"/>
              </w:rPr>
              <w:t>CIK</w:t>
            </w:r>
          </w:p>
        </w:tc>
        <w:tc>
          <w:tcPr>
            <w:tcW w:type="dxa" w:w="3360"/>
          </w:tcPr>
          <w:p>
            <w:r>
              <w:rPr>
                <w:rFonts w:ascii="Calibri" w:hAnsi="Calibri"/>
                <w:color w:val="333333"/>
                <w:sz w:val="18"/>
              </w:rPr>
              <w:t>1045810</w:t>
            </w:r>
          </w:p>
        </w:tc>
        <w:tc>
          <w:tcPr>
            <w:tcW w:type="dxa" w:w="3360"/>
          </w:tcPr>
          <w:p>
            <w:r>
              <w:rPr>
                <w:rFonts w:ascii="Calibri" w:hAnsi="Calibri"/>
                <w:color w:val="333333"/>
                <w:sz w:val="18"/>
              </w:rPr>
              <w:t>[SEC EDGAR submissions, filed 2026-04-02, HIGH confidence]</w:t>
            </w:r>
          </w:p>
        </w:tc>
      </w:tr>
      <w:tr>
        <w:tc>
          <w:tcPr>
            <w:tcW w:type="dxa" w:w="3360"/>
            <w:shd w:fill="F2F4F8" w:val="clear"/>
          </w:tcPr>
          <w:p>
            <w:r>
              <w:rPr>
                <w:rFonts w:ascii="Calibri" w:hAnsi="Calibri"/>
                <w:color w:val="333333"/>
                <w:sz w:val="18"/>
              </w:rPr>
              <w:t>Sector</w:t>
            </w:r>
          </w:p>
        </w:tc>
        <w:tc>
          <w:tcPr>
            <w:tcW w:type="dxa" w:w="3360"/>
            <w:shd w:fill="F2F4F8" w:val="clear"/>
          </w:tcPr>
          <w:p>
            <w:r>
              <w:rPr>
                <w:rFonts w:ascii="Calibri" w:hAnsi="Calibri"/>
                <w:color w:val="333333"/>
                <w:sz w:val="18"/>
              </w:rPr>
              <w:t>Technology</w:t>
            </w:r>
          </w:p>
        </w:tc>
        <w:tc>
          <w:tcPr>
            <w:tcW w:type="dxa" w:w="3360"/>
            <w:shd w:fill="F2F4F8" w:val="clear"/>
          </w:tcPr>
          <w:p>
            <w:r>
              <w:rPr>
                <w:rFonts w:ascii="Calibri" w:hAnsi="Calibri"/>
                <w:color w:val="333333"/>
                <w:sz w:val="18"/>
              </w:rPr>
              <w:t>[SEC EDGAR submissions, filed 2026-04-02, HIGH confidence]</w:t>
            </w:r>
          </w:p>
        </w:tc>
      </w:tr>
      <w:tr>
        <w:tc>
          <w:tcPr>
            <w:tcW w:type="dxa" w:w="3360"/>
          </w:tcPr>
          <w:p>
            <w:r>
              <w:rPr>
                <w:rFonts w:ascii="Calibri" w:hAnsi="Calibri"/>
                <w:color w:val="333333"/>
                <w:sz w:val="18"/>
              </w:rPr>
              <w:t>SIC Code</w:t>
            </w:r>
          </w:p>
        </w:tc>
        <w:tc>
          <w:tcPr>
            <w:tcW w:type="dxa" w:w="3360"/>
          </w:tcPr>
          <w:p>
            <w:r>
              <w:rPr>
                <w:rFonts w:ascii="Calibri" w:hAnsi="Calibri"/>
                <w:color w:val="333333"/>
                <w:sz w:val="18"/>
              </w:rPr>
              <w:t>3674</w:t>
            </w:r>
          </w:p>
        </w:tc>
        <w:tc>
          <w:tcPr>
            <w:tcW w:type="dxa" w:w="3360"/>
          </w:tcPr>
          <w:p>
            <w:r>
              <w:rPr>
                <w:rFonts w:ascii="Calibri" w:hAnsi="Calibri"/>
                <w:color w:val="333333"/>
                <w:sz w:val="18"/>
              </w:rPr>
              <w:t>[SEC EDGAR submissions, filed 2026-04-02, HIGH confidence]</w:t>
            </w:r>
          </w:p>
        </w:tc>
      </w:tr>
      <w:tr>
        <w:tc>
          <w:tcPr>
            <w:tcW w:type="dxa" w:w="3360"/>
            <w:shd w:fill="F2F4F8" w:val="clear"/>
          </w:tcPr>
          <w:p>
            <w:r>
              <w:rPr>
                <w:rFonts w:ascii="Calibri" w:hAnsi="Calibri"/>
                <w:color w:val="333333"/>
                <w:sz w:val="18"/>
              </w:rPr>
              <w:t>SIC Description</w:t>
            </w:r>
          </w:p>
        </w:tc>
        <w:tc>
          <w:tcPr>
            <w:tcW w:type="dxa" w:w="3360"/>
            <w:shd w:fill="F2F4F8" w:val="clear"/>
          </w:tcPr>
          <w:p>
            <w:r>
              <w:rPr>
                <w:rFonts w:ascii="Calibri" w:hAnsi="Calibri"/>
                <w:color w:val="333333"/>
                <w:sz w:val="18"/>
              </w:rPr>
              <w:t>Semiconductors &amp; Related Devices</w:t>
            </w:r>
          </w:p>
        </w:tc>
        <w:tc>
          <w:tcPr>
            <w:tcW w:type="dxa" w:w="3360"/>
            <w:shd w:fill="F2F4F8" w:val="clear"/>
          </w:tcPr>
          <w:p>
            <w:r>
              <w:rPr>
                <w:rFonts w:ascii="Calibri" w:hAnsi="Calibri"/>
                <w:color w:val="333333"/>
                <w:sz w:val="18"/>
              </w:rPr>
            </w:r>
          </w:p>
        </w:tc>
      </w:tr>
      <w:tr>
        <w:tc>
          <w:tcPr>
            <w:tcW w:type="dxa" w:w="3360"/>
          </w:tcPr>
          <w:p>
            <w:r>
              <w:rPr>
                <w:rFonts w:ascii="Calibri" w:hAnsi="Calibri"/>
                <w:color w:val="333333"/>
                <w:sz w:val="18"/>
              </w:rPr>
              <w:t>GICS Code</w:t>
            </w:r>
          </w:p>
        </w:tc>
        <w:tc>
          <w:tcPr>
            <w:tcW w:type="dxa" w:w="3360"/>
          </w:tcPr>
          <w:p>
            <w:r>
              <w:rPr>
                <w:rFonts w:ascii="Calibri" w:hAnsi="Calibri"/>
                <w:color w:val="333333"/>
                <w:sz w:val="18"/>
              </w:rPr>
              <w:t>45301020</w:t>
            </w:r>
          </w:p>
        </w:tc>
        <w:tc>
          <w:tcPr>
            <w:tcW w:type="dxa" w:w="3360"/>
          </w:tcPr>
          <w:p>
            <w:r>
              <w:rPr>
                <w:rFonts w:ascii="Calibri" w:hAnsi="Calibri"/>
                <w:color w:val="333333"/>
                <w:sz w:val="18"/>
              </w:rPr>
              <w:t>[SIC-&gt;GICS mapping (SIC 3674), filed 2026-04-02, MEDIUM confidence]</w:t>
            </w:r>
          </w:p>
        </w:tc>
      </w:tr>
      <w:tr>
        <w:tc>
          <w:tcPr>
            <w:tcW w:type="dxa" w:w="3360"/>
            <w:shd w:fill="F2F4F8" w:val="clear"/>
          </w:tcPr>
          <w:p>
            <w:r>
              <w:rPr>
                <w:rFonts w:ascii="Calibri" w:hAnsi="Calibri"/>
                <w:color w:val="333333"/>
                <w:sz w:val="18"/>
              </w:rPr>
              <w:t>NAICS Code</w:t>
            </w:r>
          </w:p>
        </w:tc>
        <w:tc>
          <w:tcPr>
            <w:tcW w:type="dxa" w:w="3360"/>
            <w:shd w:fill="F2F4F8" w:val="clear"/>
          </w:tcPr>
          <w:p>
            <w:r>
              <w:rPr>
                <w:rFonts w:ascii="Calibri" w:hAnsi="Calibri"/>
                <w:color w:val="333333"/>
                <w:sz w:val="18"/>
              </w:rPr>
              <w:t>334413</w:t>
            </w:r>
          </w:p>
        </w:tc>
        <w:tc>
          <w:tcPr>
            <w:tcW w:type="dxa" w:w="3360"/>
            <w:shd w:fill="F2F4F8" w:val="clear"/>
          </w:tcPr>
          <w:p>
            <w:r>
              <w:rPr>
                <w:rFonts w:ascii="Calibri" w:hAnsi="Calibri"/>
                <w:color w:val="333333"/>
                <w:sz w:val="18"/>
              </w:rPr>
              <w:t>[SIC-&gt;NAICS crosswalk (SIC 3674), filed 2026-04-02, MEDIUM confidence]</w:t>
            </w:r>
          </w:p>
        </w:tc>
      </w:tr>
      <w:tr>
        <w:tc>
          <w:tcPr>
            <w:tcW w:type="dxa" w:w="3360"/>
          </w:tcPr>
          <w:p>
            <w:r>
              <w:rPr>
                <w:rFonts w:ascii="Calibri" w:hAnsi="Calibri"/>
                <w:color w:val="333333"/>
                <w:sz w:val="18"/>
              </w:rPr>
              <w:t>Exchange</w:t>
            </w:r>
          </w:p>
        </w:tc>
        <w:tc>
          <w:tcPr>
            <w:tcW w:type="dxa" w:w="3360"/>
          </w:tcPr>
          <w:p>
            <w:r>
              <w:rPr>
                <w:rFonts w:ascii="Calibri" w:hAnsi="Calibri"/>
                <w:color w:val="333333"/>
                <w:sz w:val="18"/>
              </w:rPr>
              <w:t>Nasdaq</w:t>
            </w:r>
          </w:p>
        </w:tc>
        <w:tc>
          <w:tcPr>
            <w:tcW w:type="dxa" w:w="3360"/>
          </w:tcPr>
          <w:p>
            <w:r>
              <w:rPr>
                <w:rFonts w:ascii="Calibri" w:hAnsi="Calibri"/>
                <w:color w:val="333333"/>
                <w:sz w:val="18"/>
              </w:rPr>
              <w:t>[SEC EDGAR submissions, filed 2026-04-02, HIGH confidence]</w:t>
            </w:r>
          </w:p>
        </w:tc>
      </w:tr>
      <w:tr>
        <w:tc>
          <w:tcPr>
            <w:tcW w:type="dxa" w:w="3360"/>
            <w:shd w:fill="F2F4F8" w:val="clear"/>
          </w:tcPr>
          <w:p>
            <w:r>
              <w:rPr>
                <w:rFonts w:ascii="Calibri" w:hAnsi="Calibri"/>
                <w:color w:val="333333"/>
                <w:sz w:val="18"/>
              </w:rPr>
              <w:t>State of Incorporation</w:t>
            </w:r>
          </w:p>
        </w:tc>
        <w:tc>
          <w:tcPr>
            <w:tcW w:type="dxa" w:w="3360"/>
            <w:shd w:fill="F2F4F8" w:val="clear"/>
          </w:tcPr>
          <w:p>
            <w:r>
              <w:rPr>
                <w:rFonts w:ascii="Calibri" w:hAnsi="Calibri"/>
                <w:color w:val="333333"/>
                <w:sz w:val="18"/>
              </w:rPr>
              <w:t>DE</w:t>
            </w:r>
          </w:p>
        </w:tc>
        <w:tc>
          <w:tcPr>
            <w:tcW w:type="dxa" w:w="3360"/>
            <w:shd w:fill="F2F4F8" w:val="clear"/>
          </w:tcPr>
          <w:p>
            <w:r>
              <w:rPr>
                <w:rFonts w:ascii="Calibri" w:hAnsi="Calibri"/>
                <w:color w:val="333333"/>
                <w:sz w:val="18"/>
              </w:rPr>
              <w:t>[SEC EDGAR submissions, filed 2026-04-02, HIGH confidence]</w:t>
            </w:r>
          </w:p>
        </w:tc>
      </w:tr>
      <w:tr>
        <w:tc>
          <w:tcPr>
            <w:tcW w:type="dxa" w:w="3360"/>
          </w:tcPr>
          <w:p>
            <w:r>
              <w:rPr>
                <w:rFonts w:ascii="Calibri" w:hAnsi="Calibri"/>
                <w:color w:val="333333"/>
                <w:sz w:val="18"/>
              </w:rPr>
              <w:t>FPI Status</w:t>
            </w:r>
          </w:p>
        </w:tc>
        <w:tc>
          <w:tcPr>
            <w:tcW w:type="dxa" w:w="3360"/>
          </w:tcPr>
          <w:p>
            <w:r>
              <w:rPr>
                <w:rFonts w:ascii="Calibri" w:hAnsi="Calibri"/>
                <w:color w:val="333333"/>
                <w:sz w:val="18"/>
              </w:rPr>
              <w:t>No</w:t>
            </w:r>
          </w:p>
        </w:tc>
        <w:tc>
          <w:tcPr>
            <w:tcW w:type="dxa" w:w="3360"/>
          </w:tcPr>
          <w:p>
            <w:r>
              <w:rPr>
                <w:rFonts w:ascii="Calibri" w:hAnsi="Calibri"/>
                <w:color w:val="333333"/>
                <w:sz w:val="18"/>
              </w:rPr>
            </w:r>
          </w:p>
        </w:tc>
      </w:tr>
      <w:tr>
        <w:tc>
          <w:tcPr>
            <w:tcW w:type="dxa" w:w="3360"/>
            <w:shd w:fill="F2F4F8" w:val="clear"/>
          </w:tcPr>
          <w:p>
            <w:r>
              <w:rPr>
                <w:rFonts w:ascii="Calibri" w:hAnsi="Calibri"/>
                <w:color w:val="333333"/>
                <w:sz w:val="18"/>
              </w:rPr>
              <w:t>Fiscal Year End</w:t>
            </w:r>
          </w:p>
        </w:tc>
        <w:tc>
          <w:tcPr>
            <w:tcW w:type="dxa" w:w="3360"/>
            <w:shd w:fill="F2F4F8" w:val="clear"/>
          </w:tcPr>
          <w:p>
            <w:r>
              <w:rPr>
                <w:rFonts w:ascii="Calibri" w:hAnsi="Calibri"/>
                <w:color w:val="333333"/>
                <w:sz w:val="18"/>
              </w:rPr>
              <w:t>01-31</w:t>
            </w:r>
          </w:p>
        </w:tc>
        <w:tc>
          <w:tcPr>
            <w:tcW w:type="dxa" w:w="3360"/>
            <w:shd w:fill="F2F4F8" w:val="clear"/>
          </w:tcPr>
          <w:p>
            <w:r>
              <w:rPr>
                <w:rFonts w:ascii="Calibri" w:hAnsi="Calibri"/>
                <w:color w:val="333333"/>
                <w:sz w:val="18"/>
              </w:rPr>
              <w:t>[SEC EDGAR submissions, filed 2026-04-02, HIGH confidence]</w:t>
            </w:r>
          </w:p>
        </w:tc>
      </w:tr>
    </w:tbl>
    <w:p>
      <w:pPr>
        <w:pStyle w:val="DOHeading2"/>
      </w:pPr>
      <w:r>
        <w:t>Business Description</w:t>
      </w:r>
    </w:p>
    <w:p>
      <w:pPr>
        <w:pStyle w:val="DOBody"/>
      </w:pPr>
      <w:r>
        <w:rPr>
          <w:rFonts w:ascii="Calibri" w:hAnsi="Calibri"/>
          <w:color w:val="333333"/>
          <w:sz w:val="20"/>
        </w:rPr>
        <w:t>NVIDIA is a data center scale AI infrastructure company that pioneered accelerated computing. The company designs and sells graphics processing units (GPUs), systems, networking hardware, and a comprehensive software stack for accelerated computing and artificial intelligence (AI). Its technology is used across multiple industries including gaming, data centers, professional visualization, and automotive. NVIDIA operates on a platform strategy, integrating hardware, systems, software, algorithms, and services. The company generates revenue primarily from product sales, including hardware and systems, with its two operating segments being Compute &amp; Networking (data center and automotive platforms) and Graphics (gaming and professional workstation GPUs).</w:t>
      </w:r>
      <w:r>
        <w:rPr>
          <w:rFonts w:ascii="Consolas" w:hAnsi="Consolas"/>
          <w:color w:val="666666"/>
          <w:sz w:val="16"/>
        </w:rPr>
        <w:t xml:space="preserve">  [10-K (LLM), filed 2026-04-02, HIGH confidence]</w:t>
      </w:r>
    </w:p>
    <w:p>
      <w:pPr>
        <w:pStyle w:val="DOHeading2"/>
      </w:pPr>
      <w:r>
        <w:t>Subsidiaries</w:t>
      </w:r>
    </w:p>
    <w:p>
      <w:pPr>
        <w:pStyle w:val="DOBody"/>
      </w:pPr>
      <w:r>
        <w:t>Subsidiary data not available.</w:t>
      </w:r>
    </w:p>
    <w:p>
      <w:pPr>
        <w:pStyle w:val="DOHeading2"/>
      </w:pPr>
      <w:r>
        <w:t>Business Model Profile</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Dimension</w:t>
            </w:r>
          </w:p>
        </w:tc>
        <w:tc>
          <w:tcPr>
            <w:tcW w:type="dxa" w:w="5040"/>
            <w:shd w:fill="1A1446" w:val="clear"/>
          </w:tcPr>
          <w:p>
            <w:r>
              <w:rPr>
                <w:rFonts w:ascii="Calibri" w:hAnsi="Calibri"/>
                <w:b/>
                <w:color w:val="FFFFFF"/>
                <w:sz w:val="18"/>
              </w:rPr>
              <w:t>Assessment</w:t>
            </w:r>
          </w:p>
        </w:tc>
      </w:tr>
      <w:tr>
        <w:tc>
          <w:tcPr>
            <w:tcW w:type="dxa" w:w="5040"/>
          </w:tcPr>
          <w:p>
            <w:r>
              <w:rPr>
                <w:rFonts w:ascii="Calibri" w:hAnsi="Calibri"/>
                <w:color w:val="333333"/>
                <w:sz w:val="18"/>
              </w:rPr>
              <w:t>Revenue Model</w:t>
            </w:r>
          </w:p>
        </w:tc>
        <w:tc>
          <w:tcPr>
            <w:tcW w:type="dxa" w:w="5040"/>
          </w:tcPr>
          <w:p>
            <w:r>
              <w:rPr>
                <w:rFonts w:ascii="Calibri" w:hAnsi="Calibri"/>
                <w:color w:val="333333"/>
                <w:sz w:val="18"/>
              </w:rPr>
              <w:t>TRANSACTION</w:t>
            </w:r>
          </w:p>
        </w:tc>
      </w:tr>
      <w:tr>
        <w:tc>
          <w:tcPr>
            <w:tcW w:type="dxa" w:w="5040"/>
            <w:shd w:fill="F2F4F8" w:val="clear"/>
          </w:tcPr>
          <w:p>
            <w:r>
              <w:rPr>
                <w:rFonts w:ascii="Calibri" w:hAnsi="Calibri"/>
                <w:color w:val="333333"/>
                <w:sz w:val="18"/>
              </w:rPr>
              <w:t>Concentration Risk</w:t>
            </w:r>
          </w:p>
        </w:tc>
        <w:tc>
          <w:tcPr>
            <w:tcW w:type="dxa" w:w="5040"/>
            <w:shd w:fill="F2F4F8" w:val="clear"/>
          </w:tcPr>
          <w:p>
            <w:r>
              <w:rPr>
                <w:rFonts w:ascii="Calibri" w:hAnsi="Calibri"/>
                <w:color w:val="333333"/>
                <w:sz w:val="18"/>
              </w:rPr>
              <w:t>LOW (Score: 1/3) - Single geography 69%</w:t>
            </w:r>
          </w:p>
        </w:tc>
      </w:tr>
      <w:tr>
        <w:tc>
          <w:tcPr>
            <w:tcW w:type="dxa" w:w="5040"/>
          </w:tcPr>
          <w:p>
            <w:r>
              <w:rPr>
                <w:rFonts w:ascii="Calibri" w:hAnsi="Calibri"/>
                <w:color w:val="333333"/>
                <w:sz w:val="18"/>
              </w:rPr>
              <w:t>Key Person Risk</w:t>
            </w:r>
          </w:p>
        </w:tc>
        <w:tc>
          <w:tcPr>
            <w:tcW w:type="dxa" w:w="5040"/>
          </w:tcPr>
          <w:p>
            <w:r>
              <w:rPr>
                <w:rFonts w:ascii="Calibri" w:hAnsi="Calibri"/>
                <w:color w:val="333333"/>
                <w:sz w:val="18"/>
              </w:rPr>
              <w:t>MODERATE (Score: 2/3) - Founder-led | CEO tenure: 33yr</w:t>
            </w:r>
          </w:p>
        </w:tc>
      </w:tr>
      <w:tr>
        <w:tc>
          <w:tcPr>
            <w:tcW w:type="dxa" w:w="5040"/>
            <w:shd w:fill="F2F4F8" w:val="clear"/>
          </w:tcPr>
          <w:p>
            <w:r>
              <w:rPr>
                <w:rFonts w:ascii="Calibri" w:hAnsi="Calibri"/>
                <w:color w:val="333333"/>
                <w:sz w:val="18"/>
              </w:rPr>
              <w:t>Disruption Risk</w:t>
            </w:r>
          </w:p>
        </w:tc>
        <w:tc>
          <w:tcPr>
            <w:tcW w:type="dxa" w:w="5040"/>
            <w:shd w:fill="F2F4F8" w:val="clear"/>
          </w:tcPr>
          <w:p>
            <w:r>
              <w:rPr>
                <w:rFonts w:ascii="Calibri" w:hAnsi="Calibri"/>
                <w:color w:val="333333"/>
                <w:sz w:val="18"/>
              </w:rPr>
              <w:t>HIGH (3 threats) - Rise of high-quality open-source foundation models reducing demand for NVIDIA products if deployed on competitors' platforms.; U.S. export controls restricting sales to China market.; Chinese government actions favoring domestic competitors and imposing standards that may restrict NVIDIA products.</w:t>
            </w:r>
          </w:p>
        </w:tc>
      </w:tr>
    </w:tbl>
    <w:p>
      <w:pPr>
        <w:pStyle w:val="DOHeading3"/>
      </w:pPr>
      <w:r>
        <w:t>Segment Lifecycle</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Segment</w:t>
            </w:r>
          </w:p>
        </w:tc>
        <w:tc>
          <w:tcPr>
            <w:tcW w:type="dxa" w:w="3360"/>
            <w:shd w:fill="1A1446" w:val="clear"/>
          </w:tcPr>
          <w:p>
            <w:r>
              <w:rPr>
                <w:rFonts w:ascii="Calibri" w:hAnsi="Calibri"/>
                <w:b/>
                <w:color w:val="FFFFFF"/>
                <w:sz w:val="18"/>
              </w:rPr>
              <w:t>Stage</w:t>
            </w:r>
          </w:p>
        </w:tc>
        <w:tc>
          <w:tcPr>
            <w:tcW w:type="dxa" w:w="3360"/>
            <w:shd w:fill="1A1446" w:val="clear"/>
          </w:tcPr>
          <w:p>
            <w:r>
              <w:rPr>
                <w:rFonts w:ascii="Calibri" w:hAnsi="Calibri"/>
                <w:b/>
                <w:color w:val="FFFFFF"/>
                <w:sz w:val="18"/>
              </w:rPr>
              <w:t>Growth Rate</w:t>
            </w:r>
          </w:p>
        </w:tc>
      </w:tr>
      <w:tr>
        <w:tc>
          <w:tcPr>
            <w:tcW w:type="dxa" w:w="3360"/>
          </w:tcPr>
          <w:p>
            <w:r>
              <w:rPr>
                <w:rFonts w:ascii="Calibri" w:hAnsi="Calibri"/>
                <w:color w:val="333333"/>
                <w:sz w:val="18"/>
              </w:rPr>
              <w:t>Compute &amp; Networking</w:t>
            </w:r>
          </w:p>
        </w:tc>
        <w:tc>
          <w:tcPr>
            <w:tcW w:type="dxa" w:w="3360"/>
          </w:tcPr>
          <w:p>
            <w:r>
              <w:rPr>
                <w:rFonts w:ascii="Calibri" w:hAnsi="Calibri"/>
                <w:color w:val="333333"/>
                <w:sz w:val="18"/>
              </w:rPr>
              <w:t>GROWTH</w:t>
            </w:r>
          </w:p>
        </w:tc>
        <w:tc>
          <w:tcPr>
            <w:tcW w:type="dxa" w:w="3360"/>
          </w:tcPr>
          <w:p>
            <w:r>
              <w:rPr>
                <w:rFonts w:ascii="Calibri" w:hAnsi="Calibri"/>
                <w:color w:val="333333"/>
                <w:sz w:val="18"/>
              </w:rPr>
              <w:t>68.0%</w:t>
            </w:r>
          </w:p>
        </w:tc>
      </w:tr>
      <w:tr>
        <w:tc>
          <w:tcPr>
            <w:tcW w:type="dxa" w:w="3360"/>
            <w:shd w:fill="F2F4F8" w:val="clear"/>
          </w:tcPr>
          <w:p>
            <w:r>
              <w:rPr>
                <w:rFonts w:ascii="Calibri" w:hAnsi="Calibri"/>
                <w:color w:val="333333"/>
                <w:sz w:val="18"/>
              </w:rPr>
              <w:t>Graphics</w:t>
            </w:r>
          </w:p>
        </w:tc>
        <w:tc>
          <w:tcPr>
            <w:tcW w:type="dxa" w:w="3360"/>
            <w:shd w:fill="F2F4F8" w:val="clear"/>
          </w:tcPr>
          <w:p>
            <w:r>
              <w:rPr>
                <w:rFonts w:ascii="Calibri" w:hAnsi="Calibri"/>
                <w:color w:val="333333"/>
                <w:sz w:val="18"/>
              </w:rPr>
              <w:t>GROWTH</w:t>
            </w:r>
          </w:p>
        </w:tc>
        <w:tc>
          <w:tcPr>
            <w:tcW w:type="dxa" w:w="3360"/>
            <w:shd w:fill="F2F4F8" w:val="clear"/>
          </w:tcPr>
          <w:p>
            <w:r>
              <w:rPr>
                <w:rFonts w:ascii="Calibri" w:hAnsi="Calibri"/>
                <w:color w:val="333333"/>
                <w:sz w:val="18"/>
              </w:rPr>
              <w:t>41.0%</w:t>
            </w:r>
          </w:p>
        </w:tc>
      </w:tr>
    </w:tbl>
    <w:p>
      <w:pPr>
        <w:pStyle w:val="DOHeading2"/>
      </w:pPr>
      <w:r>
        <w:t>Operational Complexity</w:t>
      </w:r>
    </w:p>
    <w:p>
      <w:pPr>
        <w:pStyle w:val="DOBody"/>
      </w:pPr>
      <w:r>
        <w:rPr>
          <w:b/>
        </w:rPr>
        <w:t>Complexity Score: 42000/20 -- HIGH</w:t>
      </w:r>
      <w:r>
        <w:rPr>
          <w:b/>
          <w:color w:val="EA580C"/>
          <w:sz w:val="18"/>
        </w:rPr>
        <w:t xml:space="preserve"> [HIGH]</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Component</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Jurisdictions</w:t>
            </w:r>
          </w:p>
        </w:tc>
        <w:tc>
          <w:tcPr>
            <w:tcW w:type="dxa" w:w="5040"/>
          </w:tcPr>
          <w:p>
            <w:r>
              <w:rPr>
                <w:rFonts w:ascii="Calibri" w:hAnsi="Calibri"/>
                <w:color w:val="333333"/>
                <w:sz w:val="18"/>
              </w:rPr>
              <w:t>0 (0 high-regulatory)</w:t>
            </w:r>
          </w:p>
        </w:tc>
      </w:tr>
      <w:tr>
        <w:tc>
          <w:tcPr>
            <w:tcW w:type="dxa" w:w="5040"/>
            <w:shd w:fill="F2F4F8" w:val="clear"/>
          </w:tcPr>
          <w:p>
            <w:r>
              <w:rPr>
                <w:rFonts w:ascii="Calibri" w:hAnsi="Calibri"/>
                <w:color w:val="333333"/>
                <w:sz w:val="18"/>
              </w:rPr>
              <w:t>Workforce</w:t>
            </w:r>
          </w:p>
        </w:tc>
        <w:tc>
          <w:tcPr>
            <w:tcW w:type="dxa" w:w="5040"/>
            <w:shd w:fill="F2F4F8" w:val="clear"/>
          </w:tcPr>
          <w:p>
            <w:r>
              <w:rPr>
                <w:rFonts w:ascii="Calibri" w:hAnsi="Calibri"/>
                <w:color w:val="333333"/>
                <w:sz w:val="18"/>
              </w:rPr>
              <w:t>42,000</w:t>
            </w:r>
          </w:p>
        </w:tc>
      </w:tr>
      <w:tr>
        <w:tc>
          <w:tcPr>
            <w:tcW w:type="dxa" w:w="5040"/>
          </w:tcPr>
          <w:p>
            <w:r>
              <w:rPr>
                <w:rFonts w:ascii="Calibri" w:hAnsi="Calibri"/>
                <w:color w:val="333333"/>
                <w:sz w:val="18"/>
              </w:rPr>
              <w:t>Segments</w:t>
            </w:r>
          </w:p>
        </w:tc>
        <w:tc>
          <w:tcPr>
            <w:tcW w:type="dxa" w:w="5040"/>
          </w:tcPr>
          <w:p>
            <w:r>
              <w:rPr>
                <w:rFonts w:ascii="Calibri" w:hAnsi="Calibri"/>
                <w:color w:val="333333"/>
                <w:sz w:val="18"/>
              </w:rPr>
              <w:t>2</w:t>
            </w:r>
          </w:p>
        </w:tc>
      </w:tr>
      <w:tr>
        <w:tc>
          <w:tcPr>
            <w:tcW w:type="dxa" w:w="5040"/>
            <w:shd w:fill="F2F4F8" w:val="clear"/>
          </w:tcPr>
          <w:p>
            <w:r>
              <w:rPr>
                <w:rFonts w:ascii="Calibri" w:hAnsi="Calibri"/>
                <w:color w:val="333333"/>
                <w:sz w:val="18"/>
              </w:rPr>
              <w:t>Geographic Concentration</w:t>
            </w:r>
          </w:p>
        </w:tc>
        <w:tc>
          <w:tcPr>
            <w:tcW w:type="dxa" w:w="5040"/>
            <w:shd w:fill="F2F4F8" w:val="clear"/>
          </w:tcPr>
          <w:p>
            <w:r>
              <w:rPr>
                <w:rFonts w:ascii="Calibri" w:hAnsi="Calibri"/>
                <w:color w:val="333333"/>
                <w:sz w:val="18"/>
              </w:rPr>
              <w:t>0/100</w:t>
            </w:r>
          </w:p>
        </w:tc>
      </w:tr>
      <w:tr>
        <w:tc>
          <w:tcPr>
            <w:tcW w:type="dxa" w:w="5040"/>
          </w:tcPr>
          <w:p>
            <w:r>
              <w:rPr>
                <w:rFonts w:ascii="Calibri" w:hAnsi="Calibri"/>
                <w:color w:val="333333"/>
                <w:sz w:val="18"/>
              </w:rPr>
              <w:t>Supply Chain</w:t>
            </w:r>
          </w:p>
        </w:tc>
        <w:tc>
          <w:tcPr>
            <w:tcW w:type="dxa" w:w="5040"/>
          </w:tcPr>
          <w:p>
            <w:r>
              <w:rPr>
                <w:rFonts w:ascii="Calibri" w:hAnsi="Calibri"/>
                <w:color w:val="333333"/>
                <w:sz w:val="18"/>
              </w:rPr>
              <w:t>shallow</w:t>
            </w:r>
          </w:p>
        </w:tc>
      </w:tr>
      <w:tr>
        <w:tc>
          <w:tcPr>
            <w:tcW w:type="dxa" w:w="5040"/>
            <w:shd w:fill="F2F4F8" w:val="clear"/>
          </w:tcPr>
          <w:p>
            <w:r>
              <w:rPr>
                <w:rFonts w:ascii="Calibri" w:hAnsi="Calibri"/>
                <w:color w:val="333333"/>
                <w:sz w:val="18"/>
              </w:rPr>
              <w:t>Overall Resilience</w:t>
            </w:r>
          </w:p>
        </w:tc>
        <w:tc>
          <w:tcPr>
            <w:tcW w:type="dxa" w:w="5040"/>
            <w:shd w:fill="F2F4F8" w:val="clear"/>
          </w:tcPr>
          <w:p>
            <w:r>
              <w:rPr>
                <w:rFonts w:ascii="Calibri" w:hAnsi="Calibri"/>
                <w:color w:val="333333"/>
                <w:sz w:val="18"/>
              </w:rPr>
              <w:t>ADEQUATE</w:t>
            </w:r>
          </w:p>
        </w:tc>
      </w:tr>
    </w:tbl>
    <w:p>
      <w:pPr>
        <w:pStyle w:val="DOCaption"/>
      </w:pPr>
      <w:r>
        <w:t>Structural Indicators: [ ] VIE / SPE  |  [ ] Dual-Class  |  [ ] Holding Depth  |  [X] OBS Exposure</w:t>
      </w:r>
    </w:p>
    <w:p>
      <w:pPr>
        <w:pStyle w:val="DOHeading2"/>
      </w:pPr>
      <w:r>
        <w:t>Corporate Events &amp; Transaction Risk</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Event Type</w:t>
            </w:r>
          </w:p>
        </w:tc>
        <w:tc>
          <w:tcPr>
            <w:tcW w:type="dxa" w:w="5040"/>
            <w:shd w:fill="1A1446" w:val="clear"/>
          </w:tcPr>
          <w:p>
            <w:r>
              <w:rPr>
                <w:rFonts w:ascii="Calibri" w:hAnsi="Calibri"/>
                <w:b/>
                <w:color w:val="FFFFFF"/>
                <w:sz w:val="18"/>
              </w:rPr>
              <w:t>Assessment</w:t>
            </w:r>
          </w:p>
        </w:tc>
      </w:tr>
      <w:tr>
        <w:tc>
          <w:tcPr>
            <w:tcW w:type="dxa" w:w="5040"/>
          </w:tcPr>
          <w:p>
            <w:r>
              <w:rPr>
                <w:rFonts w:ascii="Calibri" w:hAnsi="Calibri"/>
                <w:color w:val="333333"/>
                <w:sz w:val="18"/>
              </w:rPr>
              <w:t>M&amp;A Activity</w:t>
            </w:r>
          </w:p>
        </w:tc>
        <w:tc>
          <w:tcPr>
            <w:tcW w:type="dxa" w:w="5040"/>
          </w:tcPr>
          <w:p>
            <w:r>
              <w:rPr>
                <w:rFonts w:ascii="Calibri" w:hAnsi="Calibri"/>
                <w:color w:val="333333"/>
                <w:sz w:val="18"/>
              </w:rPr>
              <w:t>MODERATE (Score: 2/4) | 2 acquisition years | Goodwill growth: 460.6% | Acq/Rev: 1.2%</w:t>
            </w:r>
          </w:p>
        </w:tc>
      </w:tr>
      <w:tr>
        <w:tc>
          <w:tcPr>
            <w:tcW w:type="dxa" w:w="5040"/>
            <w:shd w:fill="F2F4F8" w:val="clear"/>
          </w:tcPr>
          <w:p>
            <w:r>
              <w:rPr>
                <w:rFonts w:ascii="Calibri" w:hAnsi="Calibri"/>
                <w:color w:val="333333"/>
                <w:sz w:val="18"/>
              </w:rPr>
              <w:t>IPO / Offering Exposure</w:t>
            </w:r>
          </w:p>
        </w:tc>
        <w:tc>
          <w:tcPr>
            <w:tcW w:type="dxa" w:w="5040"/>
            <w:shd w:fill="F2F4F8" w:val="clear"/>
          </w:tcPr>
          <w:p>
            <w:r>
              <w:rPr>
                <w:rFonts w:ascii="Calibri" w:hAnsi="Calibri"/>
                <w:color w:val="333333"/>
                <w:sz w:val="18"/>
              </w:rPr>
              <w:t>LOW - 27 years public</w:t>
            </w:r>
          </w:p>
        </w:tc>
      </w:tr>
    </w:tbl>
    <w:p>
      <w:pPr>
        <w:pStyle w:val="DOBody"/>
      </w:pPr>
      <w:r>
        <w:rPr>
          <w:b/>
        </w:rPr>
        <w:t>Business Changes:</w:t>
      </w:r>
    </w:p>
    <w:p>
      <w:pPr>
        <w:pStyle w:val="DOBody"/>
      </w:pPr>
      <w:r>
        <w:t xml:space="preserve">  - 9 current event filings (8-K), most recent 2026-03-06</w:t>
      </w:r>
    </w:p>
    <w:p>
      <w:pPr>
        <w:pStyle w:val="DOBody"/>
      </w:pPr>
      <w:r>
        <w:t xml:space="preserve">  - M&amp;A activity indicated (acquisition)</w:t>
      </w:r>
    </w:p>
    <w:p>
      <w:pPr>
        <w:pStyle w:val="DOHeading2"/>
      </w:pPr>
      <w:r>
        <w:t>Structural Complexity</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Dimension</w:t>
            </w:r>
          </w:p>
        </w:tc>
        <w:tc>
          <w:tcPr>
            <w:tcW w:type="dxa" w:w="5040"/>
            <w:shd w:fill="1A1446" w:val="clear"/>
          </w:tcPr>
          <w:p>
            <w:r>
              <w:rPr>
                <w:rFonts w:ascii="Calibri" w:hAnsi="Calibri"/>
                <w:b/>
                <w:color w:val="FFFFFF"/>
                <w:sz w:val="18"/>
              </w:rPr>
              <w:t>Assessment</w:t>
            </w:r>
          </w:p>
        </w:tc>
      </w:tr>
      <w:tr>
        <w:tc>
          <w:tcPr>
            <w:tcW w:type="dxa" w:w="5040"/>
          </w:tcPr>
          <w:p>
            <w:r>
              <w:rPr>
                <w:rFonts w:ascii="Calibri" w:hAnsi="Calibri"/>
                <w:color w:val="333333"/>
                <w:sz w:val="18"/>
              </w:rPr>
              <w:t>Disclosure Complexity</w:t>
            </w:r>
          </w:p>
        </w:tc>
        <w:tc>
          <w:tcPr>
            <w:tcW w:type="dxa" w:w="5040"/>
          </w:tcPr>
          <w:p>
            <w:r>
              <w:rPr>
                <w:rFonts w:ascii="Calibri" w:hAnsi="Calibri"/>
                <w:color w:val="333333"/>
                <w:sz w:val="18"/>
              </w:rPr>
              <w:t>LOW</w:t>
            </w:r>
          </w:p>
        </w:tc>
      </w:tr>
      <w:tr>
        <w:tc>
          <w:tcPr>
            <w:tcW w:type="dxa" w:w="5040"/>
            <w:shd w:fill="F2F4F8" w:val="clear"/>
          </w:tcPr>
          <w:p>
            <w:r>
              <w:rPr>
                <w:rFonts w:ascii="Calibri" w:hAnsi="Calibri"/>
                <w:color w:val="333333"/>
                <w:sz w:val="18"/>
              </w:rPr>
              <w:t>Non-GAAP Usage</w:t>
            </w:r>
          </w:p>
        </w:tc>
        <w:tc>
          <w:tcPr>
            <w:tcW w:type="dxa" w:w="5040"/>
            <w:shd w:fill="F2F4F8" w:val="clear"/>
          </w:tcPr>
          <w:p>
            <w:r>
              <w:rPr>
                <w:rFonts w:ascii="Calibri" w:hAnsi="Calibri"/>
                <w:color w:val="333333"/>
                <w:sz w:val="18"/>
              </w:rPr>
              <w:t>LOW</w:t>
            </w:r>
          </w:p>
        </w:tc>
      </w:tr>
      <w:tr>
        <w:tc>
          <w:tcPr>
            <w:tcW w:type="dxa" w:w="5040"/>
          </w:tcPr>
          <w:p>
            <w:r>
              <w:rPr>
                <w:rFonts w:ascii="Calibri" w:hAnsi="Calibri"/>
                <w:color w:val="333333"/>
                <w:sz w:val="18"/>
              </w:rPr>
              <w:t>Related Party Density</w:t>
            </w:r>
          </w:p>
        </w:tc>
        <w:tc>
          <w:tcPr>
            <w:tcW w:type="dxa" w:w="5040"/>
          </w:tcPr>
          <w:p>
            <w:r>
              <w:rPr>
                <w:rFonts w:ascii="Calibri" w:hAnsi="Calibri"/>
                <w:color w:val="333333"/>
                <w:sz w:val="18"/>
              </w:rPr>
              <w:t>LOW</w:t>
            </w:r>
          </w:p>
        </w:tc>
      </w:tr>
      <w:tr>
        <w:tc>
          <w:tcPr>
            <w:tcW w:type="dxa" w:w="5040"/>
            <w:shd w:fill="F2F4F8" w:val="clear"/>
          </w:tcPr>
          <w:p>
            <w:r>
              <w:rPr>
                <w:rFonts w:ascii="Calibri" w:hAnsi="Calibri"/>
                <w:color w:val="333333"/>
                <w:sz w:val="18"/>
              </w:rPr>
              <w:t>Off-Balance-Sheet Exposure</w:t>
            </w:r>
          </w:p>
        </w:tc>
        <w:tc>
          <w:tcPr>
            <w:tcW w:type="dxa" w:w="5040"/>
            <w:shd w:fill="F2F4F8" w:val="clear"/>
          </w:tcPr>
          <w:p>
            <w:r>
              <w:rPr>
                <w:rFonts w:ascii="Calibri" w:hAnsi="Calibri"/>
                <w:color w:val="333333"/>
                <w:sz w:val="18"/>
              </w:rPr>
              <w:t>HIGH (4)</w:t>
            </w:r>
          </w:p>
        </w:tc>
      </w:tr>
      <w:tr>
        <w:tc>
          <w:tcPr>
            <w:tcW w:type="dxa" w:w="5040"/>
          </w:tcPr>
          <w:p>
            <w:r>
              <w:rPr>
                <w:rFonts w:ascii="Calibri" w:hAnsi="Calibri"/>
                <w:color w:val="333333"/>
                <w:sz w:val="18"/>
              </w:rPr>
              <w:t>Holding Structure Depth</w:t>
            </w:r>
          </w:p>
        </w:tc>
        <w:tc>
          <w:tcPr>
            <w:tcW w:type="dxa" w:w="5040"/>
          </w:tcPr>
          <w:p>
            <w:r>
              <w:rPr>
                <w:rFonts w:ascii="Calibri" w:hAnsi="Calibri"/>
                <w:color w:val="333333"/>
                <w:sz w:val="18"/>
              </w:rPr>
              <w:t>LOW</w:t>
            </w:r>
          </w:p>
        </w:tc>
      </w:tr>
    </w:tbl>
    <w:p>
      <w:pPr>
        <w:pStyle w:val="DOHeading3"/>
      </w:pPr>
      <w:r>
        <w:t>Peer Group Comparison</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Ticker</w:t>
            </w:r>
          </w:p>
        </w:tc>
        <w:tc>
          <w:tcPr>
            <w:tcW w:type="dxa" w:w="2016"/>
            <w:shd w:fill="1A1446" w:val="clear"/>
          </w:tcPr>
          <w:p>
            <w:r>
              <w:rPr>
                <w:rFonts w:ascii="Calibri" w:hAnsi="Calibri"/>
                <w:b/>
                <w:color w:val="FFFFFF"/>
                <w:sz w:val="18"/>
              </w:rPr>
              <w:t>Name</w:t>
            </w:r>
          </w:p>
        </w:tc>
        <w:tc>
          <w:tcPr>
            <w:tcW w:type="dxa" w:w="2016"/>
            <w:shd w:fill="1A1446" w:val="clear"/>
          </w:tcPr>
          <w:p>
            <w:r>
              <w:rPr>
                <w:rFonts w:ascii="Calibri" w:hAnsi="Calibri"/>
                <w:b/>
                <w:color w:val="FFFFFF"/>
                <w:sz w:val="18"/>
              </w:rPr>
              <w:t>Market Cap</w:t>
            </w:r>
          </w:p>
        </w:tc>
        <w:tc>
          <w:tcPr>
            <w:tcW w:type="dxa" w:w="2016"/>
            <w:shd w:fill="1A1446" w:val="clear"/>
          </w:tcPr>
          <w:p>
            <w:r>
              <w:rPr>
                <w:rFonts w:ascii="Calibri" w:hAnsi="Calibri"/>
                <w:b/>
                <w:color w:val="FFFFFF"/>
                <w:sz w:val="18"/>
              </w:rPr>
              <w:t>Quality Score</w:t>
            </w:r>
          </w:p>
        </w:tc>
        <w:tc>
          <w:tcPr>
            <w:tcW w:type="dxa" w:w="2016"/>
            <w:shd w:fill="1A1446" w:val="clear"/>
          </w:tcPr>
          <w:p>
            <w:r>
              <w:rPr>
                <w:rFonts w:ascii="Calibri" w:hAnsi="Calibri"/>
                <w:b/>
                <w:color w:val="FFFFFF"/>
                <w:sz w:val="18"/>
              </w:rPr>
              <w:t>Similarity</w:t>
            </w:r>
          </w:p>
        </w:tc>
      </w:tr>
      <w:tr>
        <w:tc>
          <w:tcPr>
            <w:tcW w:type="dxa" w:w="2016"/>
          </w:tcPr>
          <w:p>
            <w:r>
              <w:rPr>
                <w:rFonts w:ascii="Calibri" w:hAnsi="Calibri"/>
                <w:color w:val="333333"/>
                <w:sz w:val="18"/>
              </w:rPr>
              <w:t>MSFT</w:t>
            </w:r>
          </w:p>
        </w:tc>
        <w:tc>
          <w:tcPr>
            <w:tcW w:type="dxa" w:w="2016"/>
          </w:tcPr>
          <w:p>
            <w:r>
              <w:rPr>
                <w:rFonts w:ascii="Calibri" w:hAnsi="Calibri"/>
                <w:color w:val="333333"/>
                <w:sz w:val="18"/>
              </w:rPr>
              <w:t>Microsoft Corporation</w:t>
            </w:r>
          </w:p>
        </w:tc>
        <w:tc>
          <w:tcPr>
            <w:tcW w:type="dxa" w:w="2016"/>
          </w:tcPr>
          <w:p>
            <w:r>
              <w:rPr>
                <w:rFonts w:ascii="Calibri" w:hAnsi="Calibri"/>
                <w:color w:val="333333"/>
                <w:sz w:val="18"/>
              </w:rPr>
              <w:t>$2.8T</w:t>
            </w:r>
          </w:p>
        </w:tc>
        <w:tc>
          <w:tcPr>
            <w:tcW w:type="dxa" w:w="2016"/>
          </w:tcPr>
          <w:p>
            <w:r>
              <w:rPr>
                <w:rFonts w:ascii="Calibri" w:hAnsi="Calibri"/>
                <w:color w:val="333333"/>
                <w:sz w:val="18"/>
              </w:rPr>
              <w:t>N/A</w:t>
            </w:r>
          </w:p>
        </w:tc>
        <w:tc>
          <w:tcPr>
            <w:tcW w:type="dxa" w:w="2016"/>
          </w:tcPr>
          <w:p>
            <w:r>
              <w:rPr>
                <w:rFonts w:ascii="Calibri" w:hAnsi="Calibri"/>
                <w:color w:val="333333"/>
                <w:sz w:val="18"/>
              </w:rPr>
              <w:t>Sector Etf / 30%</w:t>
            </w:r>
          </w:p>
        </w:tc>
      </w:tr>
      <w:tr>
        <w:tc>
          <w:tcPr>
            <w:tcW w:type="dxa" w:w="2016"/>
            <w:shd w:fill="F2F4F8" w:val="clear"/>
          </w:tcPr>
          <w:p>
            <w:r>
              <w:rPr>
                <w:rFonts w:ascii="Calibri" w:hAnsi="Calibri"/>
                <w:color w:val="333333"/>
                <w:sz w:val="18"/>
              </w:rPr>
              <w:t>GOOGL</w:t>
            </w:r>
          </w:p>
        </w:tc>
        <w:tc>
          <w:tcPr>
            <w:tcW w:type="dxa" w:w="2016"/>
            <w:shd w:fill="F2F4F8" w:val="clear"/>
          </w:tcPr>
          <w:p>
            <w:r>
              <w:rPr>
                <w:rFonts w:ascii="Calibri" w:hAnsi="Calibri"/>
                <w:color w:val="333333"/>
                <w:sz w:val="18"/>
              </w:rPr>
              <w:t>Alphabet Inc.</w:t>
            </w:r>
          </w:p>
        </w:tc>
        <w:tc>
          <w:tcPr>
            <w:tcW w:type="dxa" w:w="2016"/>
            <w:shd w:fill="F2F4F8" w:val="clear"/>
          </w:tcPr>
          <w:p>
            <w:r>
              <w:rPr>
                <w:rFonts w:ascii="Calibri" w:hAnsi="Calibri"/>
                <w:color w:val="333333"/>
                <w:sz w:val="18"/>
              </w:rPr>
              <w:t>$3.6T</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Sector Etf / 27%</w:t>
            </w:r>
          </w:p>
        </w:tc>
      </w:tr>
      <w:tr>
        <w:tc>
          <w:tcPr>
            <w:tcW w:type="dxa" w:w="2016"/>
          </w:tcPr>
          <w:p>
            <w:r>
              <w:rPr>
                <w:rFonts w:ascii="Calibri" w:hAnsi="Calibri"/>
                <w:color w:val="333333"/>
                <w:sz w:val="18"/>
              </w:rPr>
              <w:t>AMZN</w:t>
            </w:r>
          </w:p>
        </w:tc>
        <w:tc>
          <w:tcPr>
            <w:tcW w:type="dxa" w:w="2016"/>
          </w:tcPr>
          <w:p>
            <w:r>
              <w:rPr>
                <w:rFonts w:ascii="Calibri" w:hAnsi="Calibri"/>
                <w:color w:val="333333"/>
                <w:sz w:val="18"/>
              </w:rPr>
              <w:t>Amazon.com, Inc.</w:t>
            </w:r>
          </w:p>
        </w:tc>
        <w:tc>
          <w:tcPr>
            <w:tcW w:type="dxa" w:w="2016"/>
          </w:tcPr>
          <w:p>
            <w:r>
              <w:rPr>
                <w:rFonts w:ascii="Calibri" w:hAnsi="Calibri"/>
                <w:color w:val="333333"/>
                <w:sz w:val="18"/>
              </w:rPr>
              <w:t>$2.3T</w:t>
            </w:r>
          </w:p>
        </w:tc>
        <w:tc>
          <w:tcPr>
            <w:tcW w:type="dxa" w:w="2016"/>
          </w:tcPr>
          <w:p>
            <w:r>
              <w:rPr>
                <w:rFonts w:ascii="Calibri" w:hAnsi="Calibri"/>
                <w:color w:val="333333"/>
                <w:sz w:val="18"/>
              </w:rPr>
              <w:t>N/A</w:t>
            </w:r>
          </w:p>
        </w:tc>
        <w:tc>
          <w:tcPr>
            <w:tcW w:type="dxa" w:w="2016"/>
          </w:tcPr>
          <w:p>
            <w:r>
              <w:rPr>
                <w:rFonts w:ascii="Calibri" w:hAnsi="Calibri"/>
                <w:color w:val="333333"/>
                <w:sz w:val="18"/>
              </w:rPr>
              <w:t>Sector Etf / 7%</w:t>
            </w:r>
          </w:p>
        </w:tc>
      </w:tr>
      <w:tr>
        <w:tc>
          <w:tcPr>
            <w:tcW w:type="dxa" w:w="2016"/>
            <w:shd w:fill="F2F4F8" w:val="clear"/>
          </w:tcPr>
          <w:p>
            <w:r>
              <w:rPr>
                <w:rFonts w:ascii="Calibri" w:hAnsi="Calibri"/>
                <w:color w:val="333333"/>
                <w:sz w:val="18"/>
              </w:rPr>
              <w:t>META</w:t>
            </w:r>
          </w:p>
        </w:tc>
        <w:tc>
          <w:tcPr>
            <w:tcW w:type="dxa" w:w="2016"/>
            <w:shd w:fill="F2F4F8" w:val="clear"/>
          </w:tcPr>
          <w:p>
            <w:r>
              <w:rPr>
                <w:rFonts w:ascii="Calibri" w:hAnsi="Calibri"/>
                <w:color w:val="333333"/>
                <w:sz w:val="18"/>
              </w:rPr>
              <w:t>Meta Platforms, Inc.</w:t>
            </w:r>
          </w:p>
        </w:tc>
        <w:tc>
          <w:tcPr>
            <w:tcW w:type="dxa" w:w="2016"/>
            <w:shd w:fill="F2F4F8" w:val="clear"/>
          </w:tcPr>
          <w:p>
            <w:r>
              <w:rPr>
                <w:rFonts w:ascii="Calibri" w:hAnsi="Calibri"/>
                <w:color w:val="333333"/>
                <w:sz w:val="18"/>
              </w:rPr>
              <w:t>$1.5T</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Sector Etf / 15%</w:t>
            </w:r>
          </w:p>
        </w:tc>
      </w:tr>
      <w:tr>
        <w:tc>
          <w:tcPr>
            <w:tcW w:type="dxa" w:w="2016"/>
          </w:tcPr>
          <w:p>
            <w:r>
              <w:rPr>
                <w:rFonts w:ascii="Calibri" w:hAnsi="Calibri"/>
                <w:color w:val="333333"/>
                <w:sz w:val="18"/>
              </w:rPr>
              <w:t>CRM</w:t>
            </w:r>
          </w:p>
        </w:tc>
        <w:tc>
          <w:tcPr>
            <w:tcW w:type="dxa" w:w="2016"/>
          </w:tcPr>
          <w:p>
            <w:r>
              <w:rPr>
                <w:rFonts w:ascii="Calibri" w:hAnsi="Calibri"/>
                <w:color w:val="333333"/>
                <w:sz w:val="18"/>
              </w:rPr>
              <w:t>Salesforce, Inc.</w:t>
            </w:r>
          </w:p>
        </w:tc>
        <w:tc>
          <w:tcPr>
            <w:tcW w:type="dxa" w:w="2016"/>
          </w:tcPr>
          <w:p>
            <w:r>
              <w:rPr>
                <w:rFonts w:ascii="Calibri" w:hAnsi="Calibri"/>
                <w:color w:val="333333"/>
                <w:sz w:val="18"/>
              </w:rPr>
              <w:t>$175.4B</w:t>
            </w:r>
          </w:p>
        </w:tc>
        <w:tc>
          <w:tcPr>
            <w:tcW w:type="dxa" w:w="2016"/>
          </w:tcPr>
          <w:p>
            <w:r>
              <w:rPr>
                <w:rFonts w:ascii="Calibri" w:hAnsi="Calibri"/>
                <w:color w:val="333333"/>
                <w:sz w:val="18"/>
              </w:rPr>
              <w:t>N/A</w:t>
            </w:r>
          </w:p>
        </w:tc>
        <w:tc>
          <w:tcPr>
            <w:tcW w:type="dxa" w:w="2016"/>
          </w:tcPr>
          <w:p>
            <w:r>
              <w:rPr>
                <w:rFonts w:ascii="Calibri" w:hAnsi="Calibri"/>
                <w:color w:val="333333"/>
                <w:sz w:val="18"/>
              </w:rPr>
              <w:t>Sector Etf / 14%</w:t>
            </w:r>
          </w:p>
        </w:tc>
      </w:tr>
      <w:tr>
        <w:tc>
          <w:tcPr>
            <w:tcW w:type="dxa" w:w="2016"/>
            <w:shd w:fill="F2F4F8" w:val="clear"/>
          </w:tcPr>
          <w:p>
            <w:r>
              <w:rPr>
                <w:rFonts w:ascii="Calibri" w:hAnsi="Calibri"/>
                <w:color w:val="333333"/>
                <w:sz w:val="18"/>
              </w:rPr>
              <w:t>ADBE</w:t>
            </w:r>
          </w:p>
        </w:tc>
        <w:tc>
          <w:tcPr>
            <w:tcW w:type="dxa" w:w="2016"/>
            <w:shd w:fill="F2F4F8" w:val="clear"/>
          </w:tcPr>
          <w:p>
            <w:r>
              <w:rPr>
                <w:rFonts w:ascii="Calibri" w:hAnsi="Calibri"/>
                <w:color w:val="333333"/>
                <w:sz w:val="18"/>
              </w:rPr>
              <w:t>Adobe Inc.</w:t>
            </w:r>
          </w:p>
        </w:tc>
        <w:tc>
          <w:tcPr>
            <w:tcW w:type="dxa" w:w="2016"/>
            <w:shd w:fill="F2F4F8" w:val="clear"/>
          </w:tcPr>
          <w:p>
            <w:r>
              <w:rPr>
                <w:rFonts w:ascii="Calibri" w:hAnsi="Calibri"/>
                <w:color w:val="333333"/>
                <w:sz w:val="18"/>
              </w:rPr>
              <w:t>$99.0B</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Sector Etf / 13%</w:t>
            </w:r>
          </w:p>
        </w:tc>
      </w:tr>
      <w:tr>
        <w:tc>
          <w:tcPr>
            <w:tcW w:type="dxa" w:w="2016"/>
          </w:tcPr>
          <w:p>
            <w:r>
              <w:rPr>
                <w:rFonts w:ascii="Calibri" w:hAnsi="Calibri"/>
                <w:color w:val="333333"/>
                <w:sz w:val="18"/>
              </w:rPr>
              <w:t>ORCL</w:t>
            </w:r>
          </w:p>
        </w:tc>
        <w:tc>
          <w:tcPr>
            <w:tcW w:type="dxa" w:w="2016"/>
          </w:tcPr>
          <w:p>
            <w:r>
              <w:rPr>
                <w:rFonts w:ascii="Calibri" w:hAnsi="Calibri"/>
                <w:color w:val="333333"/>
                <w:sz w:val="18"/>
              </w:rPr>
              <w:t>Oracle Corporation</w:t>
            </w:r>
          </w:p>
        </w:tc>
        <w:tc>
          <w:tcPr>
            <w:tcW w:type="dxa" w:w="2016"/>
          </w:tcPr>
          <w:p>
            <w:r>
              <w:rPr>
                <w:rFonts w:ascii="Calibri" w:hAnsi="Calibri"/>
                <w:color w:val="333333"/>
                <w:sz w:val="18"/>
              </w:rPr>
              <w:t>$421.0B</w:t>
            </w:r>
          </w:p>
        </w:tc>
        <w:tc>
          <w:tcPr>
            <w:tcW w:type="dxa" w:w="2016"/>
          </w:tcPr>
          <w:p>
            <w:r>
              <w:rPr>
                <w:rFonts w:ascii="Calibri" w:hAnsi="Calibri"/>
                <w:color w:val="333333"/>
                <w:sz w:val="18"/>
              </w:rPr>
              <w:t>N/A</w:t>
            </w:r>
          </w:p>
        </w:tc>
        <w:tc>
          <w:tcPr>
            <w:tcW w:type="dxa" w:w="2016"/>
          </w:tcPr>
          <w:p>
            <w:r>
              <w:rPr>
                <w:rFonts w:ascii="Calibri" w:hAnsi="Calibri"/>
                <w:color w:val="333333"/>
                <w:sz w:val="18"/>
              </w:rPr>
              <w:t>Sector Etf / 16%</w:t>
            </w:r>
          </w:p>
        </w:tc>
      </w:tr>
      <w:tr>
        <w:tc>
          <w:tcPr>
            <w:tcW w:type="dxa" w:w="2016"/>
            <w:shd w:fill="F2F4F8" w:val="clear"/>
          </w:tcPr>
          <w:p>
            <w:r>
              <w:rPr>
                <w:rFonts w:ascii="Calibri" w:hAnsi="Calibri"/>
                <w:color w:val="333333"/>
                <w:sz w:val="18"/>
              </w:rPr>
              <w:t>CSCO</w:t>
            </w:r>
          </w:p>
        </w:tc>
        <w:tc>
          <w:tcPr>
            <w:tcW w:type="dxa" w:w="2016"/>
            <w:shd w:fill="F2F4F8" w:val="clear"/>
          </w:tcPr>
          <w:p>
            <w:r>
              <w:rPr>
                <w:rFonts w:ascii="Calibri" w:hAnsi="Calibri"/>
                <w:color w:val="333333"/>
                <w:sz w:val="18"/>
              </w:rPr>
              <w:t>Cisco Systems, Inc.</w:t>
            </w:r>
          </w:p>
        </w:tc>
        <w:tc>
          <w:tcPr>
            <w:tcW w:type="dxa" w:w="2016"/>
            <w:shd w:fill="F2F4F8" w:val="clear"/>
          </w:tcPr>
          <w:p>
            <w:r>
              <w:rPr>
                <w:rFonts w:ascii="Calibri" w:hAnsi="Calibri"/>
                <w:color w:val="333333"/>
                <w:sz w:val="18"/>
              </w:rPr>
              <w:t>$312.2B</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Sector Etf / 16%</w:t>
            </w:r>
          </w:p>
        </w:tc>
      </w:tr>
      <w:tr>
        <w:tc>
          <w:tcPr>
            <w:tcW w:type="dxa" w:w="2016"/>
          </w:tcPr>
          <w:p>
            <w:r>
              <w:rPr>
                <w:rFonts w:ascii="Calibri" w:hAnsi="Calibri"/>
                <w:color w:val="333333"/>
                <w:sz w:val="18"/>
              </w:rPr>
              <w:t>INTC</w:t>
            </w:r>
          </w:p>
        </w:tc>
        <w:tc>
          <w:tcPr>
            <w:tcW w:type="dxa" w:w="2016"/>
          </w:tcPr>
          <w:p>
            <w:r>
              <w:rPr>
                <w:rFonts w:ascii="Calibri" w:hAnsi="Calibri"/>
                <w:color w:val="333333"/>
                <w:sz w:val="18"/>
              </w:rPr>
              <w:t>Intel Corporation</w:t>
            </w:r>
          </w:p>
        </w:tc>
        <w:tc>
          <w:tcPr>
            <w:tcW w:type="dxa" w:w="2016"/>
          </w:tcPr>
          <w:p>
            <w:r>
              <w:rPr>
                <w:rFonts w:ascii="Calibri" w:hAnsi="Calibri"/>
                <w:color w:val="333333"/>
                <w:sz w:val="18"/>
              </w:rPr>
              <w:t>$253.0B</w:t>
            </w:r>
          </w:p>
        </w:tc>
        <w:tc>
          <w:tcPr>
            <w:tcW w:type="dxa" w:w="2016"/>
          </w:tcPr>
          <w:p>
            <w:r>
              <w:rPr>
                <w:rFonts w:ascii="Calibri" w:hAnsi="Calibri"/>
                <w:color w:val="333333"/>
                <w:sz w:val="18"/>
              </w:rPr>
              <w:t>N/A</w:t>
            </w:r>
          </w:p>
        </w:tc>
        <w:tc>
          <w:tcPr>
            <w:tcW w:type="dxa" w:w="2016"/>
          </w:tcPr>
          <w:p>
            <w:r>
              <w:rPr>
                <w:rFonts w:ascii="Calibri" w:hAnsi="Calibri"/>
                <w:color w:val="333333"/>
                <w:sz w:val="18"/>
              </w:rPr>
              <w:t>Sector Etf / 27%</w:t>
            </w:r>
          </w:p>
        </w:tc>
      </w:tr>
    </w:tbl>
    <w:p>
      <w:pPr>
        <w:pStyle w:val="DOBody"/>
      </w:pPr>
      <w:r>
        <w:rPr>
          <w:rFonts w:ascii="Calibri" w:hAnsi="Calibri"/>
          <w:color w:val="333333"/>
          <w:sz w:val="20"/>
        </w:rPr>
        <w:t>The peer group of 9 companies shares the same industry classification (SIC 3674). NVIDIA CORP ranks at the 100th percentile among 9 peers by market capitalization.</w:t>
      </w:r>
    </w:p>
    <w:p>
      <w:pPr>
        <w:pStyle w:val="DOHeading2"/>
      </w:pPr>
      <w:r>
        <w:t>Revenue Segments</w:t>
      </w:r>
    </w:p>
    <w:p>
      <w:pPr>
        <w:pStyle w:val="DOBody"/>
      </w:pPr>
      <w:r>
        <w:t>Revenue segment data not available.</w:t>
      </w:r>
    </w:p>
    <w:p>
      <w:pPr>
        <w:pStyle w:val="DOHeading2"/>
      </w:pPr>
      <w:r>
        <w:t>Geographic Footprint</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Region</w:t>
            </w:r>
          </w:p>
        </w:tc>
        <w:tc>
          <w:tcPr>
            <w:tcW w:type="dxa" w:w="3360"/>
            <w:shd w:fill="1A1446" w:val="clear"/>
          </w:tcPr>
          <w:p>
            <w:r>
              <w:rPr>
                <w:rFonts w:ascii="Calibri" w:hAnsi="Calibri"/>
                <w:b/>
                <w:color w:val="FFFFFF"/>
                <w:sz w:val="18"/>
              </w:rPr>
              <w:t>Revenue</w:t>
            </w:r>
          </w:p>
        </w:tc>
        <w:tc>
          <w:tcPr>
            <w:tcW w:type="dxa" w:w="3360"/>
            <w:shd w:fill="1A1446" w:val="clear"/>
          </w:tcPr>
          <w:p>
            <w:r>
              <w:rPr>
                <w:rFonts w:ascii="Calibri" w:hAnsi="Calibri"/>
                <w:b/>
                <w:color w:val="FFFFFF"/>
                <w:sz w:val="18"/>
              </w:rPr>
              <w:t>% of Total</w:t>
            </w:r>
          </w:p>
        </w:tc>
      </w:tr>
      <w:tr>
        <w:tc>
          <w:tcPr>
            <w:tcW w:type="dxa" w:w="3360"/>
          </w:tcPr>
          <w:p>
            <w:r>
              <w:rPr>
                <w:rFonts w:ascii="Calibri" w:hAnsi="Calibri"/>
                <w:color w:val="333333"/>
                <w:sz w:val="18"/>
              </w:rPr>
              <w:t>United States</w:t>
            </w:r>
          </w:p>
        </w:tc>
        <w:tc>
          <w:tcPr>
            <w:tcW w:type="dxa" w:w="3360"/>
          </w:tcPr>
          <w:p>
            <w:r>
              <w:rPr>
                <w:rFonts w:ascii="Calibri" w:hAnsi="Calibri"/>
                <w:color w:val="333333"/>
                <w:sz w:val="18"/>
              </w:rPr>
              <w:t>N/A</w:t>
            </w:r>
          </w:p>
        </w:tc>
        <w:tc>
          <w:tcPr>
            <w:tcW w:type="dxa" w:w="3360"/>
          </w:tcPr>
          <w:p>
            <w:r>
              <w:rPr>
                <w:rFonts w:ascii="Calibri" w:hAnsi="Calibri"/>
                <w:color w:val="333333"/>
                <w:sz w:val="18"/>
              </w:rPr>
              <w:t>$149,617 million (69% of revenue)</w:t>
            </w:r>
          </w:p>
        </w:tc>
      </w:tr>
      <w:tr>
        <w:tc>
          <w:tcPr>
            <w:tcW w:type="dxa" w:w="3360"/>
            <w:shd w:fill="F2F4F8" w:val="clear"/>
          </w:tcPr>
          <w:p>
            <w:r>
              <w:rPr>
                <w:rFonts w:ascii="Calibri" w:hAnsi="Calibri"/>
                <w:color w:val="333333"/>
                <w:sz w:val="18"/>
              </w:rPr>
              <w:t>Taiwan</w:t>
            </w:r>
          </w:p>
        </w:tc>
        <w:tc>
          <w:tcPr>
            <w:tcW w:type="dxa" w:w="3360"/>
            <w:shd w:fill="F2F4F8" w:val="clear"/>
          </w:tcPr>
          <w:p>
            <w:r>
              <w:rPr>
                <w:rFonts w:ascii="Calibri" w:hAnsi="Calibri"/>
                <w:color w:val="333333"/>
                <w:sz w:val="18"/>
              </w:rPr>
              <w:t>N/A</w:t>
            </w:r>
          </w:p>
        </w:tc>
        <w:tc>
          <w:tcPr>
            <w:tcW w:type="dxa" w:w="3360"/>
            <w:shd w:fill="F2F4F8" w:val="clear"/>
          </w:tcPr>
          <w:p>
            <w:r>
              <w:rPr>
                <w:rFonts w:ascii="Calibri" w:hAnsi="Calibri"/>
                <w:color w:val="333333"/>
                <w:sz w:val="18"/>
              </w:rPr>
              <w:t>$42,345 million (20% of revenue)</w:t>
            </w:r>
          </w:p>
        </w:tc>
      </w:tr>
      <w:tr>
        <w:tc>
          <w:tcPr>
            <w:tcW w:type="dxa" w:w="3360"/>
          </w:tcPr>
          <w:p>
            <w:r>
              <w:rPr>
                <w:rFonts w:ascii="Calibri" w:hAnsi="Calibri"/>
                <w:color w:val="333333"/>
                <w:sz w:val="18"/>
              </w:rPr>
              <w:t>China (including Hong Kong) [HIGH RISK]</w:t>
            </w:r>
          </w:p>
        </w:tc>
        <w:tc>
          <w:tcPr>
            <w:tcW w:type="dxa" w:w="3360"/>
          </w:tcPr>
          <w:p>
            <w:r>
              <w:rPr>
                <w:rFonts w:ascii="Calibri" w:hAnsi="Calibri"/>
                <w:color w:val="333333"/>
                <w:sz w:val="18"/>
              </w:rPr>
              <w:t>N/A</w:t>
            </w:r>
          </w:p>
        </w:tc>
        <w:tc>
          <w:tcPr>
            <w:tcW w:type="dxa" w:w="3360"/>
          </w:tcPr>
          <w:p>
            <w:r>
              <w:rPr>
                <w:rFonts w:ascii="Calibri" w:hAnsi="Calibri"/>
                <w:color w:val="333333"/>
                <w:sz w:val="18"/>
              </w:rPr>
              <w:t>$19,677 million (9% of revenue)</w:t>
            </w:r>
          </w:p>
        </w:tc>
      </w:tr>
      <w:tr>
        <w:tc>
          <w:tcPr>
            <w:tcW w:type="dxa" w:w="3360"/>
            <w:shd w:fill="F2F4F8" w:val="clear"/>
          </w:tcPr>
          <w:p>
            <w:r>
              <w:rPr>
                <w:rFonts w:ascii="Calibri" w:hAnsi="Calibri"/>
                <w:color w:val="333333"/>
                <w:sz w:val="18"/>
              </w:rPr>
              <w:t>Other</w:t>
            </w:r>
          </w:p>
        </w:tc>
        <w:tc>
          <w:tcPr>
            <w:tcW w:type="dxa" w:w="3360"/>
            <w:shd w:fill="F2F4F8" w:val="clear"/>
          </w:tcPr>
          <w:p>
            <w:r>
              <w:rPr>
                <w:rFonts w:ascii="Calibri" w:hAnsi="Calibri"/>
                <w:color w:val="333333"/>
                <w:sz w:val="18"/>
              </w:rPr>
              <w:t>N/A</w:t>
            </w:r>
          </w:p>
        </w:tc>
        <w:tc>
          <w:tcPr>
            <w:tcW w:type="dxa" w:w="3360"/>
            <w:shd w:fill="F2F4F8" w:val="clear"/>
          </w:tcPr>
          <w:p>
            <w:r>
              <w:rPr>
                <w:rFonts w:ascii="Calibri" w:hAnsi="Calibri"/>
                <w:color w:val="333333"/>
                <w:sz w:val="18"/>
              </w:rPr>
              <w:t>$4,299 million (2% of revenue)</w:t>
            </w:r>
          </w:p>
        </w:tc>
      </w:tr>
    </w:tbl>
    <w:p>
      <w:pPr>
        <w:pStyle w:val="DOBody"/>
      </w:pPr>
      <w:r>
        <w:rPr>
          <w:b/>
        </w:rPr>
        <w:t>D&amp;O Alert: Operations in high-risk jurisdictions: China (including Hong Kong). Sanctions compliance and regulatory exposure elevated.</w:t>
      </w:r>
      <w:r>
        <w:rPr>
          <w:b/>
          <w:color w:val="EA580C"/>
          <w:sz w:val="18"/>
        </w:rPr>
        <w:t xml:space="preserve"> [HIGH]</w:t>
      </w:r>
    </w:p>
    <w:p>
      <w:pPr>
        <w:pStyle w:val="DOHeading2"/>
      </w:pPr>
      <w:r>
        <w:t>Customer &amp; Supplier Concentration</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Customer</w:t>
            </w:r>
          </w:p>
        </w:tc>
        <w:tc>
          <w:tcPr>
            <w:tcW w:type="dxa" w:w="3360"/>
            <w:shd w:fill="1A1446" w:val="clear"/>
          </w:tcPr>
          <w:p>
            <w:r>
              <w:rPr>
                <w:rFonts w:ascii="Calibri" w:hAnsi="Calibri"/>
                <w:b/>
                <w:color w:val="FFFFFF"/>
                <w:sz w:val="18"/>
              </w:rPr>
              <w:t>% of Revenue</w:t>
            </w:r>
          </w:p>
        </w:tc>
        <w:tc>
          <w:tcPr>
            <w:tcW w:type="dxa" w:w="3360"/>
            <w:shd w:fill="1A1446" w:val="clear"/>
          </w:tcPr>
          <w:p>
            <w:r>
              <w:rPr>
                <w:rFonts w:ascii="Calibri" w:hAnsi="Calibri"/>
                <w:b/>
                <w:color w:val="FFFFFF"/>
                <w:sz w:val="18"/>
              </w:rPr>
              <w:t>Source</w:t>
            </w:r>
          </w:p>
        </w:tc>
      </w:tr>
      <w:tr>
        <w:tc>
          <w:tcPr>
            <w:tcW w:type="dxa" w:w="3360"/>
          </w:tcPr>
          <w:p>
            <w:r>
              <w:rPr>
                <w:rFonts w:ascii="Calibri" w:hAnsi="Calibri"/>
                <w:color w:val="333333"/>
                <w:sz w:val="18"/>
              </w:rPr>
              <w:t>One direct customer represented 22% of total revenue (Compute &amp; Networking segment)</w:t>
            </w:r>
          </w:p>
        </w:tc>
        <w:tc>
          <w:tcPr>
            <w:tcW w:type="dxa" w:w="3360"/>
          </w:tcPr>
          <w:p>
            <w:r>
              <w:rPr>
                <w:rFonts w:ascii="Calibri" w:hAnsi="Calibri"/>
                <w:color w:val="333333"/>
                <w:sz w:val="18"/>
              </w:rPr>
              <w:t>0.0%</w:t>
            </w:r>
          </w:p>
        </w:tc>
        <w:tc>
          <w:tcPr>
            <w:tcW w:type="dxa" w:w="3360"/>
          </w:tcPr>
          <w:p>
            <w:r>
              <w:rPr>
                <w:rFonts w:ascii="Calibri" w:hAnsi="Calibri"/>
                <w:color w:val="333333"/>
                <w:sz w:val="18"/>
              </w:rPr>
              <w:t>[10-K (LLM), 2026-04-02, HIGH]</w:t>
            </w:r>
          </w:p>
        </w:tc>
      </w:tr>
      <w:tr>
        <w:tc>
          <w:tcPr>
            <w:tcW w:type="dxa" w:w="3360"/>
            <w:shd w:fill="F2F4F8" w:val="clear"/>
          </w:tcPr>
          <w:p>
            <w:r>
              <w:rPr>
                <w:rFonts w:ascii="Calibri" w:hAnsi="Calibri"/>
                <w:color w:val="333333"/>
                <w:sz w:val="18"/>
              </w:rPr>
              <w:t>Another direct customer represented 14% of total revenue (Compute &amp; Networking segment)</w:t>
            </w:r>
          </w:p>
        </w:tc>
        <w:tc>
          <w:tcPr>
            <w:tcW w:type="dxa" w:w="3360"/>
            <w:shd w:fill="F2F4F8" w:val="clear"/>
          </w:tcPr>
          <w:p>
            <w:r>
              <w:rPr>
                <w:rFonts w:ascii="Calibri" w:hAnsi="Calibri"/>
                <w:color w:val="333333"/>
                <w:sz w:val="18"/>
              </w:rPr>
              <w:t>0.0%</w:t>
            </w:r>
          </w:p>
        </w:tc>
        <w:tc>
          <w:tcPr>
            <w:tcW w:type="dxa" w:w="3360"/>
            <w:shd w:fill="F2F4F8" w:val="clear"/>
          </w:tcPr>
          <w:p>
            <w:r>
              <w:rPr>
                <w:rFonts w:ascii="Calibri" w:hAnsi="Calibri"/>
                <w:color w:val="333333"/>
                <w:sz w:val="18"/>
              </w:rPr>
              <w:t>[10-K (LLM), 2026-04-02, HIGH]</w:t>
            </w:r>
          </w:p>
        </w:tc>
      </w:tr>
    </w:tbl>
    <w:p>
      <w:pPr>
        <w:pStyle w:val="DOHeading2"/>
      </w:pPr>
      <w:r>
        <w:t>D&amp;O Exposure Factors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Exposure Type</w:t>
            </w:r>
          </w:p>
        </w:tc>
        <w:tc>
          <w:tcPr>
            <w:tcW w:type="dxa" w:w="2520"/>
            <w:shd w:fill="1A1446" w:val="clear"/>
          </w:tcPr>
          <w:p>
            <w:r>
              <w:rPr>
                <w:rFonts w:ascii="Calibri" w:hAnsi="Calibri"/>
                <w:b/>
                <w:color w:val="FFFFFF"/>
                <w:sz w:val="18"/>
              </w:rPr>
              <w:t>Risk Level</w:t>
            </w:r>
          </w:p>
        </w:tc>
        <w:tc>
          <w:tcPr>
            <w:tcW w:type="dxa" w:w="2520"/>
            <w:shd w:fill="1A1446" w:val="clear"/>
          </w:tcPr>
          <w:p>
            <w:r>
              <w:rPr>
                <w:rFonts w:ascii="Calibri" w:hAnsi="Calibri"/>
                <w:b/>
                <w:color w:val="FFFFFF"/>
                <w:sz w:val="18"/>
              </w:rPr>
              <w:t>Description</w:t>
            </w:r>
          </w:p>
        </w:tc>
        <w:tc>
          <w:tcPr>
            <w:tcW w:type="dxa" w:w="2520"/>
            <w:shd w:fill="1A1446" w:val="clear"/>
          </w:tcPr>
          <w:p>
            <w:r>
              <w:rPr>
                <w:rFonts w:ascii="Calibri" w:hAnsi="Calibri"/>
                <w:b/>
                <w:color w:val="FFFFFF"/>
                <w:sz w:val="18"/>
              </w:rPr>
              <w:t>Coverage Part</w:t>
            </w:r>
          </w:p>
        </w:tc>
      </w:tr>
      <w:tr>
        <w:tc>
          <w:tcPr>
            <w:tcW w:type="dxa" w:w="2520"/>
          </w:tcPr>
          <w:p>
            <w:r>
              <w:rPr>
                <w:rFonts w:ascii="Calibri" w:hAnsi="Calibri"/>
                <w:color w:val="333333"/>
                <w:sz w:val="18"/>
              </w:rPr>
              <w:t>Securities Litigation</w:t>
            </w:r>
          </w:p>
        </w:tc>
        <w:tc>
          <w:tcPr>
            <w:tcW w:type="dxa" w:w="2520"/>
          </w:tcPr>
          <w:p>
            <w:r>
              <w:rPr>
                <w:rFonts w:ascii="Calibri" w:hAnsi="Calibri"/>
                <w:color w:val="333333"/>
                <w:sz w:val="18"/>
              </w:rPr>
              <w:t>See analysis sections</w:t>
            </w:r>
          </w:p>
        </w:tc>
        <w:tc>
          <w:tcPr>
            <w:tcW w:type="dxa" w:w="2520"/>
          </w:tcPr>
          <w:p>
            <w:r>
              <w:rPr>
                <w:rFonts w:ascii="Calibri" w:hAnsi="Calibri"/>
                <w:color w:val="333333"/>
                <w:sz w:val="18"/>
              </w:rPr>
              <w:t>Shareholder class actions, SEC enforcement</w:t>
            </w:r>
          </w:p>
        </w:tc>
        <w:tc>
          <w:tcPr>
            <w:tcW w:type="dxa" w:w="2520"/>
          </w:tcPr>
          <w:p>
            <w:r>
              <w:rPr>
                <w:rFonts w:ascii="Calibri" w:hAnsi="Calibri"/>
                <w:color w:val="333333"/>
                <w:sz w:val="18"/>
              </w:rPr>
              <w:t>Side A/B/C</w:t>
            </w:r>
          </w:p>
        </w:tc>
      </w:tr>
      <w:tr>
        <w:tc>
          <w:tcPr>
            <w:tcW w:type="dxa" w:w="2520"/>
            <w:shd w:fill="F2F4F8" w:val="clear"/>
          </w:tcPr>
          <w:p>
            <w:r>
              <w:rPr>
                <w:rFonts w:ascii="Calibri" w:hAnsi="Calibri"/>
                <w:color w:val="333333"/>
                <w:sz w:val="18"/>
              </w:rPr>
              <w:t>Derivative Actions</w:t>
            </w:r>
          </w:p>
        </w:tc>
        <w:tc>
          <w:tcPr>
            <w:tcW w:type="dxa" w:w="2520"/>
            <w:shd w:fill="F2F4F8" w:val="clear"/>
          </w:tcPr>
          <w:p>
            <w:r>
              <w:rPr>
                <w:rFonts w:ascii="Calibri" w:hAnsi="Calibri"/>
                <w:color w:val="333333"/>
                <w:sz w:val="18"/>
              </w:rPr>
              <w:t>See analysis sections</w:t>
            </w:r>
          </w:p>
        </w:tc>
        <w:tc>
          <w:tcPr>
            <w:tcW w:type="dxa" w:w="2520"/>
            <w:shd w:fill="F2F4F8" w:val="clear"/>
          </w:tcPr>
          <w:p>
            <w:r>
              <w:rPr>
                <w:rFonts w:ascii="Calibri" w:hAnsi="Calibri"/>
                <w:color w:val="333333"/>
                <w:sz w:val="18"/>
              </w:rPr>
              <w:t>Breach of fiduciary duty, waste claims</w:t>
            </w:r>
          </w:p>
        </w:tc>
        <w:tc>
          <w:tcPr>
            <w:tcW w:type="dxa" w:w="2520"/>
            <w:shd w:fill="F2F4F8" w:val="clear"/>
          </w:tcPr>
          <w:p>
            <w:r>
              <w:rPr>
                <w:rFonts w:ascii="Calibri" w:hAnsi="Calibri"/>
                <w:color w:val="333333"/>
                <w:sz w:val="18"/>
              </w:rPr>
              <w:t>Side A/B</w:t>
            </w:r>
          </w:p>
        </w:tc>
      </w:tr>
      <w:tr>
        <w:tc>
          <w:tcPr>
            <w:tcW w:type="dxa" w:w="2520"/>
          </w:tcPr>
          <w:p>
            <w:r>
              <w:rPr>
                <w:rFonts w:ascii="Calibri" w:hAnsi="Calibri"/>
                <w:color w:val="333333"/>
                <w:sz w:val="18"/>
              </w:rPr>
              <w:t>Employment Practices</w:t>
            </w:r>
          </w:p>
        </w:tc>
        <w:tc>
          <w:tcPr>
            <w:tcW w:type="dxa" w:w="2520"/>
          </w:tcPr>
          <w:p>
            <w:r>
              <w:rPr>
                <w:rFonts w:ascii="Calibri" w:hAnsi="Calibri"/>
                <w:color w:val="333333"/>
                <w:sz w:val="18"/>
              </w:rPr>
              <w:t>See analysis sections</w:t>
            </w:r>
          </w:p>
        </w:tc>
        <w:tc>
          <w:tcPr>
            <w:tcW w:type="dxa" w:w="2520"/>
          </w:tcPr>
          <w:p>
            <w:r>
              <w:rPr>
                <w:rFonts w:ascii="Calibri" w:hAnsi="Calibri"/>
                <w:color w:val="333333"/>
                <w:sz w:val="18"/>
              </w:rPr>
              <w:t>Discrimination, harassment, wrongful termination</w:t>
            </w:r>
          </w:p>
        </w:tc>
        <w:tc>
          <w:tcPr>
            <w:tcW w:type="dxa" w:w="2520"/>
          </w:tcPr>
          <w:p>
            <w:r>
              <w:rPr>
                <w:rFonts w:ascii="Calibri" w:hAnsi="Calibri"/>
                <w:color w:val="333333"/>
                <w:sz w:val="18"/>
              </w:rPr>
              <w:t>Side B/C (EPLI)</w:t>
            </w:r>
          </w:p>
        </w:tc>
      </w:tr>
      <w:tr>
        <w:tc>
          <w:tcPr>
            <w:tcW w:type="dxa" w:w="2520"/>
            <w:shd w:fill="F2F4F8" w:val="clear"/>
          </w:tcPr>
          <w:p>
            <w:r>
              <w:rPr>
                <w:rFonts w:ascii="Calibri" w:hAnsi="Calibri"/>
                <w:color w:val="333333"/>
                <w:sz w:val="18"/>
              </w:rPr>
              <w:t>Regulatory/Government</w:t>
            </w:r>
          </w:p>
        </w:tc>
        <w:tc>
          <w:tcPr>
            <w:tcW w:type="dxa" w:w="2520"/>
            <w:shd w:fill="F2F4F8" w:val="clear"/>
          </w:tcPr>
          <w:p>
            <w:r>
              <w:rPr>
                <w:rFonts w:ascii="Calibri" w:hAnsi="Calibri"/>
                <w:color w:val="333333"/>
                <w:sz w:val="18"/>
              </w:rPr>
              <w:t>See analysis sections</w:t>
            </w:r>
          </w:p>
        </w:tc>
        <w:tc>
          <w:tcPr>
            <w:tcW w:type="dxa" w:w="2520"/>
            <w:shd w:fill="F2F4F8" w:val="clear"/>
          </w:tcPr>
          <w:p>
            <w:r>
              <w:rPr>
                <w:rFonts w:ascii="Calibri" w:hAnsi="Calibri"/>
                <w:color w:val="333333"/>
                <w:sz w:val="18"/>
              </w:rPr>
              <w:t>DOJ, SEC, FTC, state AG investigations</w:t>
            </w:r>
          </w:p>
        </w:tc>
        <w:tc>
          <w:tcPr>
            <w:tcW w:type="dxa" w:w="2520"/>
            <w:shd w:fill="F2F4F8" w:val="clear"/>
          </w:tcPr>
          <w:p>
            <w:r>
              <w:rPr>
                <w:rFonts w:ascii="Calibri" w:hAnsi="Calibri"/>
                <w:color w:val="333333"/>
                <w:sz w:val="18"/>
              </w:rPr>
              <w:t>Side A (primarily)</w:t>
            </w:r>
          </w:p>
        </w:tc>
      </w:tr>
      <w:tr>
        <w:tc>
          <w:tcPr>
            <w:tcW w:type="dxa" w:w="2520"/>
          </w:tcPr>
          <w:p>
            <w:r>
              <w:rPr>
                <w:rFonts w:ascii="Calibri" w:hAnsi="Calibri"/>
                <w:color w:val="333333"/>
                <w:sz w:val="18"/>
              </w:rPr>
              <w:t>Fiduciary (ERISA)</w:t>
            </w:r>
          </w:p>
        </w:tc>
        <w:tc>
          <w:tcPr>
            <w:tcW w:type="dxa" w:w="2520"/>
          </w:tcPr>
          <w:p>
            <w:r>
              <w:rPr>
                <w:rFonts w:ascii="Calibri" w:hAnsi="Calibri"/>
                <w:color w:val="333333"/>
                <w:sz w:val="18"/>
              </w:rPr>
              <w:t>See analysis sections</w:t>
            </w:r>
          </w:p>
        </w:tc>
        <w:tc>
          <w:tcPr>
            <w:tcW w:type="dxa" w:w="2520"/>
          </w:tcPr>
          <w:p>
            <w:r>
              <w:rPr>
                <w:rFonts w:ascii="Calibri" w:hAnsi="Calibri"/>
                <w:color w:val="333333"/>
                <w:sz w:val="18"/>
              </w:rPr>
              <w:t>401(k) plan mismanagement, fee litigation</w:t>
            </w:r>
          </w:p>
        </w:tc>
        <w:tc>
          <w:tcPr>
            <w:tcW w:type="dxa" w:w="2520"/>
          </w:tcPr>
          <w:p>
            <w:r>
              <w:rPr>
                <w:rFonts w:ascii="Calibri" w:hAnsi="Calibri"/>
                <w:color w:val="333333"/>
                <w:sz w:val="18"/>
              </w:rPr>
              <w:t>Fiduciary Liability</w:t>
            </w:r>
          </w:p>
        </w:tc>
      </w:tr>
    </w:tbl>
    <w:p>
      <w:pPr>
        <w:pStyle w:val="DOCaption"/>
      </w:pPr>
      <w:r>
        <w:t>Standard D&amp;O exposure categories shown. See individual analysis sections for company-specific risk levels.</w:t>
      </w:r>
    </w:p>
    <w:p>
      <w:pPr>
        <w:pStyle w:val="DOHeading2"/>
      </w:pPr>
      <w:r>
        <w:t>Classification</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Attribute</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Market Cap Tier</w:t>
            </w:r>
          </w:p>
        </w:tc>
        <w:tc>
          <w:tcPr>
            <w:tcW w:type="dxa" w:w="5040"/>
          </w:tcPr>
          <w:p>
            <w:r>
              <w:rPr>
                <w:rFonts w:ascii="Calibri" w:hAnsi="Calibri"/>
                <w:color w:val="333333"/>
                <w:sz w:val="18"/>
              </w:rPr>
              <w:t>MEGA</w:t>
            </w:r>
          </w:p>
        </w:tc>
      </w:tr>
      <w:tr>
        <w:tc>
          <w:tcPr>
            <w:tcW w:type="dxa" w:w="5040"/>
            <w:shd w:fill="F2F4F8" w:val="clear"/>
          </w:tcPr>
          <w:p>
            <w:r>
              <w:rPr>
                <w:rFonts w:ascii="Calibri" w:hAnsi="Calibri"/>
                <w:color w:val="333333"/>
                <w:sz w:val="18"/>
              </w:rPr>
              <w:t>Sector</w:t>
            </w:r>
          </w:p>
        </w:tc>
        <w:tc>
          <w:tcPr>
            <w:tcW w:type="dxa" w:w="5040"/>
            <w:shd w:fill="F2F4F8" w:val="clear"/>
          </w:tcPr>
          <w:p>
            <w:r>
              <w:rPr>
                <w:rFonts w:ascii="Calibri" w:hAnsi="Calibri"/>
                <w:color w:val="333333"/>
                <w:sz w:val="18"/>
              </w:rPr>
              <w:t>TECH (TECH)</w:t>
            </w:r>
          </w:p>
        </w:tc>
      </w:tr>
      <w:tr>
        <w:tc>
          <w:tcPr>
            <w:tcW w:type="dxa" w:w="5040"/>
          </w:tcPr>
          <w:p>
            <w:r>
              <w:rPr>
                <w:rFonts w:ascii="Calibri" w:hAnsi="Calibri"/>
                <w:color w:val="333333"/>
                <w:sz w:val="18"/>
              </w:rPr>
              <w:t>Years Public</w:t>
            </w:r>
          </w:p>
        </w:tc>
        <w:tc>
          <w:tcPr>
            <w:tcW w:type="dxa" w:w="5040"/>
          </w:tcPr>
          <w:p>
            <w:r>
              <w:rPr>
                <w:rFonts w:ascii="Calibri" w:hAnsi="Calibri"/>
                <w:color w:val="333333"/>
                <w:sz w:val="18"/>
              </w:rPr>
              <w:t>27</w:t>
            </w:r>
          </w:p>
        </w:tc>
      </w:tr>
      <w:tr>
        <w:tc>
          <w:tcPr>
            <w:tcW w:type="dxa" w:w="5040"/>
            <w:shd w:fill="F2F4F8" w:val="clear"/>
          </w:tcPr>
          <w:p>
            <w:r>
              <w:rPr>
                <w:rFonts w:ascii="Calibri" w:hAnsi="Calibri"/>
                <w:color w:val="333333"/>
                <w:sz w:val="18"/>
              </w:rPr>
              <w:t>Base Filing Rate</w:t>
            </w:r>
          </w:p>
        </w:tc>
        <w:tc>
          <w:tcPr>
            <w:tcW w:type="dxa" w:w="5040"/>
            <w:shd w:fill="F2F4F8" w:val="clear"/>
          </w:tcPr>
          <w:p>
            <w:r>
              <w:rPr>
                <w:rFonts w:ascii="Calibri" w:hAnsi="Calibri"/>
                <w:color w:val="333333"/>
                <w:sz w:val="18"/>
              </w:rPr>
              <w:t>9.0%</w:t>
            </w:r>
          </w:p>
        </w:tc>
      </w:tr>
      <w:tr>
        <w:tc>
          <w:tcPr>
            <w:tcW w:type="dxa" w:w="5040"/>
          </w:tcPr>
          <w:p>
            <w:r>
              <w:rPr>
                <w:rFonts w:ascii="Calibri" w:hAnsi="Calibri"/>
                <w:color w:val="333333"/>
                <w:sz w:val="18"/>
              </w:rPr>
              <w:t>Severity Band</w:t>
            </w:r>
          </w:p>
        </w:tc>
        <w:tc>
          <w:tcPr>
            <w:tcW w:type="dxa" w:w="5040"/>
          </w:tcPr>
          <w:p>
            <w:r>
              <w:rPr>
                <w:rFonts w:ascii="Calibri" w:hAnsi="Calibri"/>
                <w:color w:val="333333"/>
                <w:sz w:val="18"/>
              </w:rPr>
              <w:t>$150.0M -- $500.0M</w:t>
            </w:r>
          </w:p>
        </w:tc>
      </w:tr>
      <w:tr>
        <w:tc>
          <w:tcPr>
            <w:tcW w:type="dxa" w:w="5040"/>
            <w:shd w:fill="F2F4F8" w:val="clear"/>
          </w:tcPr>
          <w:p>
            <w:r>
              <w:rPr>
                <w:rFonts w:ascii="Calibri" w:hAnsi="Calibri"/>
                <w:color w:val="333333"/>
                <w:sz w:val="18"/>
              </w:rPr>
              <w:t>DDL Exposure Base</w:t>
            </w:r>
          </w:p>
        </w:tc>
        <w:tc>
          <w:tcPr>
            <w:tcW w:type="dxa" w:w="5040"/>
            <w:shd w:fill="F2F4F8" w:val="clear"/>
          </w:tcPr>
          <w:p>
            <w:r>
              <w:rPr>
                <w:rFonts w:ascii="Calibri" w:hAnsi="Calibri"/>
                <w:color w:val="333333"/>
                <w:sz w:val="18"/>
              </w:rPr>
              <w:t>$640.7B</w:t>
            </w:r>
          </w:p>
        </w:tc>
      </w:tr>
      <w:tr>
        <w:tc>
          <w:tcPr>
            <w:tcW w:type="dxa" w:w="5040"/>
          </w:tcPr>
          <w:p>
            <w:r>
              <w:rPr>
                <w:rFonts w:ascii="Calibri" w:hAnsi="Calibri"/>
                <w:color w:val="333333"/>
                <w:sz w:val="18"/>
              </w:rPr>
              <w:t>IPO Multiplier</w:t>
            </w:r>
          </w:p>
        </w:tc>
        <w:tc>
          <w:tcPr>
            <w:tcW w:type="dxa" w:w="5040"/>
          </w:tcPr>
          <w:p>
            <w:r>
              <w:rPr>
                <w:rFonts w:ascii="Calibri" w:hAnsi="Calibri"/>
                <w:color w:val="333333"/>
                <w:sz w:val="18"/>
              </w:rPr>
              <w:t>1.00x</w:t>
            </w:r>
          </w:p>
        </w:tc>
      </w:tr>
      <w:tr>
        <w:tc>
          <w:tcPr>
            <w:tcW w:type="dxa" w:w="5040"/>
            <w:shd w:fill="F2F4F8" w:val="clear"/>
          </w:tcPr>
          <w:p>
            <w:r>
              <w:rPr>
                <w:rFonts w:ascii="Calibri" w:hAnsi="Calibri"/>
                <w:color w:val="333333"/>
                <w:sz w:val="18"/>
              </w:rPr>
              <w:t>Cap Filing Multiplier</w:t>
            </w:r>
          </w:p>
        </w:tc>
        <w:tc>
          <w:tcPr>
            <w:tcW w:type="dxa" w:w="5040"/>
            <w:shd w:fill="F2F4F8" w:val="clear"/>
          </w:tcPr>
          <w:p>
            <w:r>
              <w:rPr>
                <w:rFonts w:ascii="Calibri" w:hAnsi="Calibri"/>
                <w:color w:val="333333"/>
                <w:sz w:val="18"/>
              </w:rPr>
              <w:t>1.80x</w:t>
            </w:r>
          </w:p>
        </w:tc>
      </w:tr>
    </w:tbl>
    <w:p>
      <w:pPr>
        <w:pStyle w:val="DOHeading2"/>
      </w:pPr>
      <w:r>
        <w:t>Hazard Profile (Inherent Exposure Score)</w:t>
      </w:r>
    </w:p>
    <w:p>
      <w:pPr>
        <w:pStyle w:val="DOBody"/>
      </w:pPr>
      <w:r>
        <w:rPr>
          <w:b/>
        </w:rPr>
        <w:t>IES: 37/100 (MODERATE) | Multiplier: 0.87x | Data Coverage: 86%</w:t>
      </w:r>
      <w:r>
        <w:rPr>
          <w:b/>
          <w:color w:val="2563EB"/>
          <w:sz w:val="18"/>
        </w:rPr>
        <w:t xml:space="preserve"> [MODERATE]</w:t>
      </w:r>
    </w:p>
    <w:p>
      <w:pPr>
        <w:pStyle w:val="DOHeading3"/>
      </w:pPr>
      <w:r>
        <w:t>Top Risk Dimensions (Elevated+)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Dimension</w:t>
            </w:r>
          </w:p>
        </w:tc>
        <w:tc>
          <w:tcPr>
            <w:tcW w:type="dxa" w:w="2520"/>
            <w:shd w:fill="1A1446" w:val="clear"/>
          </w:tcPr>
          <w:p>
            <w:r>
              <w:rPr>
                <w:rFonts w:ascii="Calibri" w:hAnsi="Calibri"/>
                <w:b/>
                <w:color w:val="FFFFFF"/>
                <w:sz w:val="18"/>
              </w:rPr>
              <w:t>Score</w:t>
            </w:r>
          </w:p>
        </w:tc>
        <w:tc>
          <w:tcPr>
            <w:tcW w:type="dxa" w:w="2520"/>
            <w:shd w:fill="1A1446" w:val="clear"/>
          </w:tcPr>
          <w:p>
            <w:r>
              <w:rPr>
                <w:rFonts w:ascii="Calibri" w:hAnsi="Calibri"/>
                <w:b/>
                <w:color w:val="FFFFFF"/>
                <w:sz w:val="18"/>
              </w:rPr>
              <w:t>Exposure</w:t>
            </w:r>
          </w:p>
        </w:tc>
        <w:tc>
          <w:tcPr>
            <w:tcW w:type="dxa" w:w="2520"/>
            <w:shd w:fill="1A1446" w:val="clear"/>
          </w:tcPr>
          <w:p>
            <w:r>
              <w:rPr>
                <w:rFonts w:ascii="Calibri" w:hAnsi="Calibri"/>
                <w:b/>
                <w:color w:val="FFFFFF"/>
                <w:sz w:val="18"/>
              </w:rPr>
              <w:t>Evidence</w:t>
            </w:r>
          </w:p>
        </w:tc>
      </w:tr>
      <w:tr>
        <w:tc>
          <w:tcPr>
            <w:tcW w:type="dxa" w:w="2520"/>
          </w:tcPr>
          <w:p>
            <w:r>
              <w:rPr>
                <w:rFonts w:ascii="Calibri" w:hAnsi="Calibri"/>
                <w:color w:val="333333"/>
                <w:sz w:val="18"/>
              </w:rPr>
              <w:t>Speed of Growth</w:t>
            </w:r>
          </w:p>
        </w:tc>
        <w:tc>
          <w:tcPr>
            <w:tcW w:type="dxa" w:w="2520"/>
          </w:tcPr>
          <w:p>
            <w:r>
              <w:rPr>
                <w:rFonts w:ascii="Calibri" w:hAnsi="Calibri"/>
                <w:color w:val="333333"/>
                <w:sz w:val="18"/>
              </w:rPr>
              <w:t>100</w:t>
            </w:r>
          </w:p>
        </w:tc>
        <w:tc>
          <w:tcPr>
            <w:tcW w:type="dxa" w:w="2520"/>
          </w:tcPr>
          <w:p>
            <w:r>
              <w:rPr>
                <w:rFonts w:ascii="Calibri" w:hAnsi="Calibri"/>
                <w:color w:val="333333"/>
                <w:sz w:val="18"/>
              </w:rPr>
              <w:t>CRITICAL</w:t>
            </w:r>
          </w:p>
        </w:tc>
        <w:tc>
          <w:tcPr>
            <w:tcW w:type="dxa" w:w="2520"/>
          </w:tcPr>
          <w:p>
            <w:r>
              <w:rPr>
                <w:rFonts w:ascii="Calibri" w:hAnsi="Calibri"/>
                <w:color w:val="333333"/>
                <w:sz w:val="18"/>
              </w:rPr>
              <w:t>Revenue growth 65.5% (VERY HIGH -- controls likely lagging)</w:t>
            </w:r>
          </w:p>
        </w:tc>
      </w:tr>
      <w:tr>
        <w:tc>
          <w:tcPr>
            <w:tcW w:type="dxa" w:w="2520"/>
            <w:shd w:fill="F2F4F8" w:val="clear"/>
          </w:tcPr>
          <w:p>
            <w:r>
              <w:rPr>
                <w:rFonts w:ascii="Calibri" w:hAnsi="Calibri"/>
                <w:color w:val="333333"/>
                <w:sz w:val="18"/>
              </w:rPr>
              <w:t>Industry Regulatory Spotlight</w:t>
            </w:r>
          </w:p>
        </w:tc>
        <w:tc>
          <w:tcPr>
            <w:tcW w:type="dxa" w:w="2520"/>
            <w:shd w:fill="F2F4F8" w:val="clear"/>
          </w:tcPr>
          <w:p>
            <w:r>
              <w:rPr>
                <w:rFonts w:ascii="Calibri" w:hAnsi="Calibri"/>
                <w:color w:val="333333"/>
                <w:sz w:val="18"/>
              </w:rPr>
              <w:t>83</w:t>
            </w:r>
          </w:p>
        </w:tc>
        <w:tc>
          <w:tcPr>
            <w:tcW w:type="dxa" w:w="2520"/>
            <w:shd w:fill="F2F4F8" w:val="clear"/>
          </w:tcPr>
          <w:p>
            <w:r>
              <w:rPr>
                <w:rFonts w:ascii="Calibri" w:hAnsi="Calibri"/>
                <w:color w:val="333333"/>
                <w:sz w:val="18"/>
              </w:rPr>
              <w:t>CRITICAL</w:t>
            </w:r>
          </w:p>
        </w:tc>
        <w:tc>
          <w:tcPr>
            <w:tcW w:type="dxa" w:w="2520"/>
            <w:shd w:fill="F2F4F8" w:val="clear"/>
          </w:tcPr>
          <w:p>
            <w:r>
              <w:rPr>
                <w:rFonts w:ascii="Calibri" w:hAnsi="Calibri"/>
                <w:color w:val="333333"/>
                <w:sz w:val="18"/>
              </w:rPr>
              <w:t>Sector 'TECH' regulatory spotlight level: 2.5/3.0</w:t>
            </w:r>
          </w:p>
        </w:tc>
      </w:tr>
      <w:tr>
        <w:tc>
          <w:tcPr>
            <w:tcW w:type="dxa" w:w="2520"/>
          </w:tcPr>
          <w:p>
            <w:r>
              <w:rPr>
                <w:rFonts w:ascii="Calibri" w:hAnsi="Calibri"/>
                <w:color w:val="333333"/>
                <w:sz w:val="18"/>
              </w:rPr>
              <w:t>Industry Sector Risk Tier</w:t>
            </w:r>
          </w:p>
        </w:tc>
        <w:tc>
          <w:tcPr>
            <w:tcW w:type="dxa" w:w="2520"/>
          </w:tcPr>
          <w:p>
            <w:r>
              <w:rPr>
                <w:rFonts w:ascii="Calibri" w:hAnsi="Calibri"/>
                <w:color w:val="333333"/>
                <w:sz w:val="18"/>
              </w:rPr>
              <w:t>70</w:t>
            </w:r>
          </w:p>
        </w:tc>
        <w:tc>
          <w:tcPr>
            <w:tcW w:type="dxa" w:w="2520"/>
          </w:tcPr>
          <w:p>
            <w:r>
              <w:rPr>
                <w:rFonts w:ascii="Calibri" w:hAnsi="Calibri"/>
                <w:color w:val="333333"/>
                <w:sz w:val="18"/>
              </w:rPr>
              <w:t>HIGH</w:t>
            </w:r>
          </w:p>
        </w:tc>
        <w:tc>
          <w:tcPr>
            <w:tcW w:type="dxa" w:w="2520"/>
          </w:tcPr>
          <w:p>
            <w:r>
              <w:rPr>
                <w:rFonts w:ascii="Calibri" w:hAnsi="Calibri"/>
                <w:color w:val="333333"/>
                <w:sz w:val="18"/>
              </w:rPr>
              <w:t>Sector 'TECH' maps to risk score 7.0/10.0</w:t>
            </w:r>
          </w:p>
        </w:tc>
      </w:tr>
      <w:tr>
        <w:tc>
          <w:tcPr>
            <w:tcW w:type="dxa" w:w="2520"/>
            <w:shd w:fill="F2F4F8" w:val="clear"/>
          </w:tcPr>
          <w:p>
            <w:r>
              <w:rPr>
                <w:rFonts w:ascii="Calibri" w:hAnsi="Calibri"/>
                <w:color w:val="333333"/>
                <w:sz w:val="18"/>
              </w:rPr>
              <w:t>Board Independence</w:t>
            </w:r>
          </w:p>
        </w:tc>
        <w:tc>
          <w:tcPr>
            <w:tcW w:type="dxa" w:w="2520"/>
            <w:shd w:fill="F2F4F8" w:val="clear"/>
          </w:tcPr>
          <w:p>
            <w:r>
              <w:rPr>
                <w:rFonts w:ascii="Calibri" w:hAnsi="Calibri"/>
                <w:color w:val="333333"/>
                <w:sz w:val="18"/>
              </w:rPr>
              <w:t>70</w:t>
            </w:r>
          </w:p>
        </w:tc>
        <w:tc>
          <w:tcPr>
            <w:tcW w:type="dxa" w:w="2520"/>
            <w:shd w:fill="F2F4F8" w:val="clear"/>
          </w:tcPr>
          <w:p>
            <w:r>
              <w:rPr>
                <w:rFonts w:ascii="Calibri" w:hAnsi="Calibri"/>
                <w:color w:val="333333"/>
                <w:sz w:val="18"/>
              </w:rPr>
              <w:t>HIGH</w:t>
            </w:r>
          </w:p>
        </w:tc>
        <w:tc>
          <w:tcPr>
            <w:tcW w:type="dxa" w:w="2520"/>
            <w:shd w:fill="F2F4F8" w:val="clear"/>
          </w:tcPr>
          <w:p>
            <w:r>
              <w:rPr>
                <w:rFonts w:ascii="Calibri" w:hAnsi="Calibri"/>
                <w:color w:val="333333"/>
                <w:sz w:val="18"/>
              </w:rPr>
              <w:t>Proxy: independence score 3.0; Estimated from related indicators.</w:t>
            </w:r>
          </w:p>
        </w:tc>
      </w:tr>
      <w:tr>
        <w:tc>
          <w:tcPr>
            <w:tcW w:type="dxa" w:w="2520"/>
          </w:tcPr>
          <w:p>
            <w:r>
              <w:rPr>
                <w:rFonts w:ascii="Calibri" w:hAnsi="Calibri"/>
                <w:color w:val="333333"/>
                <w:sz w:val="18"/>
              </w:rPr>
              <w:t>Industry Expertise Match</w:t>
            </w:r>
          </w:p>
        </w:tc>
        <w:tc>
          <w:tcPr>
            <w:tcW w:type="dxa" w:w="2520"/>
          </w:tcPr>
          <w:p>
            <w:r>
              <w:rPr>
                <w:rFonts w:ascii="Calibri" w:hAnsi="Calibri"/>
                <w:color w:val="333333"/>
                <w:sz w:val="18"/>
              </w:rPr>
              <w:t>67</w:t>
            </w:r>
          </w:p>
        </w:tc>
        <w:tc>
          <w:tcPr>
            <w:tcW w:type="dxa" w:w="2520"/>
          </w:tcPr>
          <w:p>
            <w:r>
              <w:rPr>
                <w:rFonts w:ascii="Calibri" w:hAnsi="Calibri"/>
                <w:color w:val="333333"/>
                <w:sz w:val="18"/>
              </w:rPr>
              <w:t>HIGH</w:t>
            </w:r>
          </w:p>
        </w:tc>
        <w:tc>
          <w:tcPr>
            <w:tcW w:type="dxa" w:w="2520"/>
          </w:tcPr>
          <w:p>
            <w:r>
              <w:rPr>
                <w:rFonts w:ascii="Calibri" w:hAnsi="Calibri"/>
                <w:color w:val="333333"/>
                <w:sz w:val="18"/>
              </w:rPr>
              <w:t>No executives with explicit TECH background in bios</w:t>
            </w:r>
          </w:p>
        </w:tc>
      </w:tr>
      <w:tr>
        <w:tc>
          <w:tcPr>
            <w:tcW w:type="dxa" w:w="2520"/>
            <w:shd w:fill="F2F4F8" w:val="clear"/>
          </w:tcPr>
          <w:p>
            <w:r>
              <w:rPr>
                <w:rFonts w:ascii="Calibri" w:hAnsi="Calibri"/>
                <w:color w:val="333333"/>
                <w:sz w:val="18"/>
              </w:rPr>
              <w:t>Combined CEO / Board Chair</w:t>
            </w:r>
          </w:p>
        </w:tc>
        <w:tc>
          <w:tcPr>
            <w:tcW w:type="dxa" w:w="2520"/>
            <w:shd w:fill="F2F4F8" w:val="clear"/>
          </w:tcPr>
          <w:p>
            <w:r>
              <w:rPr>
                <w:rFonts w:ascii="Calibri" w:hAnsi="Calibri"/>
                <w:color w:val="333333"/>
                <w:sz w:val="18"/>
              </w:rPr>
              <w:t>67</w:t>
            </w:r>
          </w:p>
        </w:tc>
        <w:tc>
          <w:tcPr>
            <w:tcW w:type="dxa" w:w="2520"/>
            <w:shd w:fill="F2F4F8" w:val="clear"/>
          </w:tcPr>
          <w:p>
            <w:r>
              <w:rPr>
                <w:rFonts w:ascii="Calibri" w:hAnsi="Calibri"/>
                <w:color w:val="333333"/>
                <w:sz w:val="18"/>
              </w:rPr>
              <w:t>HIGH</w:t>
            </w:r>
          </w:p>
        </w:tc>
        <w:tc>
          <w:tcPr>
            <w:tcW w:type="dxa" w:w="2520"/>
            <w:shd w:fill="F2F4F8" w:val="clear"/>
          </w:tcPr>
          <w:p>
            <w:r>
              <w:rPr>
                <w:rFonts w:ascii="Calibri" w:hAnsi="Calibri"/>
                <w:color w:val="333333"/>
                <w:sz w:val="18"/>
              </w:rPr>
              <w:t>CEO and Chair roles combined -- concentrated authority</w:t>
            </w:r>
          </w:p>
        </w:tc>
      </w:tr>
      <w:tr>
        <w:tc>
          <w:tcPr>
            <w:tcW w:type="dxa" w:w="2520"/>
          </w:tcPr>
          <w:p>
            <w:r>
              <w:rPr>
                <w:rFonts w:ascii="Calibri" w:hAnsi="Calibri"/>
                <w:color w:val="333333"/>
                <w:sz w:val="18"/>
              </w:rPr>
              <w:t>Industry Litigation Wave</w:t>
            </w:r>
          </w:p>
        </w:tc>
        <w:tc>
          <w:tcPr>
            <w:tcW w:type="dxa" w:w="2520"/>
          </w:tcPr>
          <w:p>
            <w:r>
              <w:rPr>
                <w:rFonts w:ascii="Calibri" w:hAnsi="Calibri"/>
                <w:color w:val="333333"/>
                <w:sz w:val="18"/>
              </w:rPr>
              <w:t>67</w:t>
            </w:r>
          </w:p>
        </w:tc>
        <w:tc>
          <w:tcPr>
            <w:tcW w:type="dxa" w:w="2520"/>
          </w:tcPr>
          <w:p>
            <w:r>
              <w:rPr>
                <w:rFonts w:ascii="Calibri" w:hAnsi="Calibri"/>
                <w:color w:val="333333"/>
                <w:sz w:val="18"/>
              </w:rPr>
              <w:t>HIGH</w:t>
            </w:r>
          </w:p>
        </w:tc>
        <w:tc>
          <w:tcPr>
            <w:tcW w:type="dxa" w:w="2520"/>
          </w:tcPr>
          <w:p>
            <w:r>
              <w:rPr>
                <w:rFonts w:ascii="Calibri" w:hAnsi="Calibri"/>
                <w:color w:val="333333"/>
                <w:sz w:val="18"/>
              </w:rPr>
              <w:t>Sector 'TECH' litigation wave level: 2.0/3.0</w:t>
            </w:r>
          </w:p>
        </w:tc>
      </w:tr>
      <w:tr>
        <w:tc>
          <w:tcPr>
            <w:tcW w:type="dxa" w:w="2520"/>
            <w:shd w:fill="F2F4F8" w:val="clear"/>
          </w:tcPr>
          <w:p>
            <w:r>
              <w:rPr>
                <w:rFonts w:ascii="Calibri" w:hAnsi="Calibri"/>
                <w:color w:val="333333"/>
                <w:sz w:val="18"/>
              </w:rPr>
              <w:t>Anti-Takeover Provisions</w:t>
            </w:r>
          </w:p>
        </w:tc>
        <w:tc>
          <w:tcPr>
            <w:tcW w:type="dxa" w:w="2520"/>
            <w:shd w:fill="F2F4F8" w:val="clear"/>
          </w:tcPr>
          <w:p>
            <w:r>
              <w:rPr>
                <w:rFonts w:ascii="Calibri" w:hAnsi="Calibri"/>
                <w:color w:val="333333"/>
                <w:sz w:val="18"/>
              </w:rPr>
              <w:t>60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Proxy: governance score 39.6; Estimated from related indicators.</w:t>
            </w:r>
          </w:p>
        </w:tc>
      </w:tr>
      <w:tr>
        <w:tc>
          <w:tcPr>
            <w:tcW w:type="dxa" w:w="2520"/>
          </w:tcPr>
          <w:p>
            <w:r>
              <w:rPr>
                <w:rFonts w:ascii="Calibri" w:hAnsi="Calibri"/>
                <w:color w:val="333333"/>
                <w:sz w:val="18"/>
              </w:rPr>
              <w:t>Earnings Quality Characteristics</w:t>
            </w:r>
          </w:p>
        </w:tc>
        <w:tc>
          <w:tcPr>
            <w:tcW w:type="dxa" w:w="2520"/>
          </w:tcPr>
          <w:p>
            <w:r>
              <w:rPr>
                <w:rFonts w:ascii="Calibri" w:hAnsi="Calibri"/>
                <w:color w:val="333333"/>
                <w:sz w:val="18"/>
              </w:rPr>
              <w:t>60</w:t>
            </w:r>
          </w:p>
        </w:tc>
        <w:tc>
          <w:tcPr>
            <w:tcW w:type="dxa" w:w="2520"/>
          </w:tcPr>
          <w:p>
            <w:r>
              <w:rPr>
                <w:rFonts w:ascii="Calibri" w:hAnsi="Calibri"/>
                <w:color w:val="333333"/>
                <w:sz w:val="18"/>
              </w:rPr>
              <w:t>ELEVATED</w:t>
            </w:r>
          </w:p>
        </w:tc>
        <w:tc>
          <w:tcPr>
            <w:tcW w:type="dxa" w:w="2520"/>
          </w:tcPr>
          <w:p>
            <w:r>
              <w:rPr>
                <w:rFonts w:ascii="Calibri" w:hAnsi="Calibri"/>
                <w:color w:val="333333"/>
                <w:sz w:val="18"/>
              </w:rPr>
              <w:t>Beneish M-Score -1.16 -- above manipulation threshold</w:t>
            </w:r>
          </w:p>
        </w:tc>
      </w:tr>
      <w:tr>
        <w:tc>
          <w:tcPr>
            <w:tcW w:type="dxa" w:w="2520"/>
            <w:shd w:fill="F2F4F8" w:val="clear"/>
          </w:tcPr>
          <w:p>
            <w:r>
              <w:rPr>
                <w:rFonts w:ascii="Calibri" w:hAnsi="Calibri"/>
                <w:color w:val="333333"/>
                <w:sz w:val="18"/>
              </w:rPr>
              <w:t>Regulatory Intensity</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Sector 'TECH' regulatory intensity: 2.5/5.0</w:t>
            </w:r>
          </w:p>
        </w:tc>
      </w:tr>
      <w:tr>
        <w:tc>
          <w:tcPr>
            <w:tcW w:type="dxa" w:w="2520"/>
          </w:tcPr>
          <w:p>
            <w:r>
              <w:rPr>
                <w:rFonts w:ascii="Calibri" w:hAnsi="Calibri"/>
                <w:color w:val="333333"/>
                <w:sz w:val="18"/>
              </w:rPr>
              <w:t>IP Dependency</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No data available — scored at baseline (MODERATE)</w:t>
            </w:r>
          </w:p>
        </w:tc>
      </w:tr>
      <w:tr>
        <w:tc>
          <w:tcPr>
            <w:tcW w:type="dxa" w:w="2520"/>
            <w:shd w:fill="F2F4F8" w:val="clear"/>
          </w:tcPr>
          <w:p>
            <w:r>
              <w:rPr>
                <w:rFonts w:ascii="Calibri" w:hAnsi="Calibri"/>
                <w:color w:val="333333"/>
                <w:sz w:val="18"/>
              </w:rPr>
              <w:t>Scale Experience Mismatch</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No data available — scored at baseline (MODERATE)</w:t>
            </w:r>
          </w:p>
        </w:tc>
      </w:tr>
      <w:tr>
        <w:tc>
          <w:tcPr>
            <w:tcW w:type="dxa" w:w="2520"/>
          </w:tcPr>
          <w:p>
            <w:r>
              <w:rPr>
                <w:rFonts w:ascii="Calibri" w:hAnsi="Calibri"/>
                <w:color w:val="333333"/>
                <w:sz w:val="18"/>
              </w:rPr>
              <w:t>Key Person Dependency</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No data available — scored at baseline (MODERATE)</w:t>
            </w:r>
          </w:p>
        </w:tc>
      </w:tr>
      <w:tr>
        <w:tc>
          <w:tcPr>
            <w:tcW w:type="dxa" w:w="2520"/>
            <w:shd w:fill="F2F4F8" w:val="clear"/>
          </w:tcPr>
          <w:p>
            <w:r>
              <w:rPr>
                <w:rFonts w:ascii="Calibri" w:hAnsi="Calibri"/>
                <w:color w:val="333333"/>
                <w:sz w:val="18"/>
              </w:rPr>
              <w:t>Management Turnover</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2 executive departure(s) in 18mo; Stability red flags: General Counsel / CLO departure</w:t>
            </w:r>
          </w:p>
        </w:tc>
      </w:tr>
      <w:tr>
        <w:tc>
          <w:tcPr>
            <w:tcW w:type="dxa" w:w="2520"/>
          </w:tcPr>
          <w:p>
            <w:r>
              <w:rPr>
                <w:rFonts w:ascii="Calibri" w:hAnsi="Calibri"/>
                <w:color w:val="333333"/>
                <w:sz w:val="18"/>
              </w:rPr>
              <w:t>Off-Balance Sheet Arrangements</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OBS indicator: OPERATIONAL: Dependence on overseas supply chain partners in Taiwan and South Korea.; Estimated from related indicators.</w:t>
            </w:r>
          </w:p>
        </w:tc>
      </w:tr>
      <w:tr>
        <w:tc>
          <w:tcPr>
            <w:tcW w:type="dxa" w:w="2520"/>
            <w:shd w:fill="F2F4F8" w:val="clear"/>
          </w:tcPr>
          <w:p>
            <w:r>
              <w:rPr>
                <w:rFonts w:ascii="Calibri" w:hAnsi="Calibri"/>
                <w:color w:val="333333"/>
                <w:sz w:val="18"/>
              </w:rPr>
              <w:t>Related Party Transactions</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No data available — scored at baseline (MODERATE)</w:t>
            </w:r>
          </w:p>
        </w:tc>
      </w:tr>
      <w:tr>
        <w:tc>
          <w:tcPr>
            <w:tcW w:type="dxa" w:w="2520"/>
          </w:tcPr>
          <w:p>
            <w:r>
              <w:rPr>
                <w:rFonts w:ascii="Calibri" w:hAnsi="Calibri"/>
                <w:color w:val="333333"/>
                <w:sz w:val="18"/>
              </w:rPr>
              <w:t>Capital Markets Activity</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No data available — scored at baseline (MODERATE)</w:t>
            </w:r>
          </w:p>
        </w:tc>
      </w:tr>
      <w:tr>
        <w:tc>
          <w:tcPr>
            <w:tcW w:type="dxa" w:w="2520"/>
            <w:shd w:fill="F2F4F8" w:val="clear"/>
          </w:tcPr>
          <w:p>
            <w:r>
              <w:rPr>
                <w:rFonts w:ascii="Calibri" w:hAnsi="Calibri"/>
                <w:color w:val="333333"/>
                <w:sz w:val="18"/>
              </w:rPr>
              <w:t>Audit Committee Quality</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Committee quality score 0.0/10 (weak); Estimated from related indicators.</w:t>
            </w:r>
          </w:p>
        </w:tc>
      </w:tr>
      <w:tr>
        <w:tc>
          <w:tcPr>
            <w:tcW w:type="dxa" w:w="2520"/>
          </w:tcPr>
          <w:p>
            <w:r>
              <w:rPr>
                <w:rFonts w:ascii="Calibri" w:hAnsi="Calibri"/>
                <w:color w:val="333333"/>
                <w:sz w:val="18"/>
              </w:rPr>
              <w:t>Method of Going Public</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No data available — scored at baseline (MODERATE)</w:t>
            </w:r>
          </w:p>
        </w:tc>
      </w:tr>
      <w:tr>
        <w:tc>
          <w:tcPr>
            <w:tcW w:type="dxa" w:w="2520"/>
            <w:shd w:fill="F2F4F8" w:val="clear"/>
          </w:tcPr>
          <w:p>
            <w:r>
              <w:rPr>
                <w:rFonts w:ascii="Calibri" w:hAnsi="Calibri"/>
                <w:color w:val="333333"/>
                <w:sz w:val="18"/>
              </w:rPr>
              <w:t>Market Cycle Position</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Market cycle scored at config default (moderate -- apply system-wide); Estimated from related indicators.</w:t>
            </w:r>
          </w:p>
        </w:tc>
      </w:tr>
      <w:tr>
        <w:tc>
          <w:tcPr>
            <w:tcW w:type="dxa" w:w="2520"/>
          </w:tcPr>
          <w:p>
            <w:r>
              <w:rPr>
                <w:rFonts w:ascii="Calibri" w:hAnsi="Calibri"/>
                <w:color w:val="333333"/>
                <w:sz w:val="18"/>
              </w:rPr>
              <w:t>Political &amp; Policy Environment</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Political/policy environment at config default (moderate); Estimated from related indicators.</w:t>
            </w:r>
          </w:p>
        </w:tc>
      </w:tr>
      <w:tr>
        <w:tc>
          <w:tcPr>
            <w:tcW w:type="dxa" w:w="2520"/>
            <w:shd w:fill="F2F4F8" w:val="clear"/>
          </w:tcPr>
          <w:p>
            <w:r>
              <w:rPr>
                <w:rFonts w:ascii="Calibri" w:hAnsi="Calibri"/>
                <w:color w:val="333333"/>
                <w:sz w:val="18"/>
              </w:rPr>
              <w:t>Interest Rate Environment</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Interest rate environment at config default; Estimated from related indicators.</w:t>
            </w:r>
          </w:p>
        </w:tc>
      </w:tr>
      <w:tr>
        <w:tc>
          <w:tcPr>
            <w:tcW w:type="dxa" w:w="2520"/>
          </w:tcPr>
          <w:p>
            <w:r>
              <w:rPr>
                <w:rFonts w:ascii="Calibri" w:hAnsi="Calibri"/>
                <w:color w:val="333333"/>
                <w:sz w:val="18"/>
              </w:rPr>
              <w:t>Plaintiff Attorney Activity</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Plaintiff attorney activity at moderate baseline (no specific data); Estimated from related indicators.</w:t>
            </w:r>
          </w:p>
        </w:tc>
      </w:tr>
      <w:tr>
        <w:tc>
          <w:tcPr>
            <w:tcW w:type="dxa" w:w="2520"/>
            <w:shd w:fill="F2F4F8" w:val="clear"/>
          </w:tcPr>
          <w:p>
            <w:r>
              <w:rPr>
                <w:rFonts w:ascii="Calibri" w:hAnsi="Calibri"/>
                <w:color w:val="333333"/>
                <w:sz w:val="18"/>
              </w:rPr>
              <w:t>Geopolitical Risk</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4 geographic regions (moderate international exposure)</w:t>
            </w:r>
          </w:p>
        </w:tc>
      </w:tr>
      <w:tr>
        <w:tc>
          <w:tcPr>
            <w:tcW w:type="dxa" w:w="2520"/>
          </w:tcPr>
          <w:p>
            <w:r>
              <w:rPr>
                <w:rFonts w:ascii="Calibri" w:hAnsi="Calibri"/>
                <w:color w:val="333333"/>
                <w:sz w:val="18"/>
              </w:rPr>
              <w:t>Crypto / Digital Asset Exposure</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No data available — scored at baseline (MODERATE)</w:t>
            </w:r>
          </w:p>
        </w:tc>
      </w:tr>
      <w:tr>
        <w:tc>
          <w:tcPr>
            <w:tcW w:type="dxa" w:w="2520"/>
            <w:shd w:fill="F2F4F8" w:val="clear"/>
          </w:tcPr>
          <w:p>
            <w:r>
              <w:rPr>
                <w:rFonts w:ascii="Calibri" w:hAnsi="Calibri"/>
                <w:color w:val="333333"/>
                <w:sz w:val="18"/>
              </w:rPr>
              <w:t>Social Media / Public Persona Risk</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No data available — scored at baseline (MODERATE)</w:t>
            </w:r>
          </w:p>
        </w:tc>
      </w:tr>
    </w:tbl>
    <w:p>
      <w:pPr>
        <w:pStyle w:val="DOHeading3"/>
      </w:pPr>
      <w:r>
        <w:t>Interaction Effects</w:t>
      </w:r>
    </w:p>
    <w:p>
      <w:pPr>
        <w:pStyle w:val="DOBody"/>
      </w:pPr>
      <w:r>
        <w:rPr>
          <w:b/>
        </w:rPr>
        <w:t>Elevated Co-occurrence (1.13x): 9 dimensions scoring above 60% threshold</w:t>
      </w:r>
    </w:p>
    <w:p>
      <w:pPr>
        <w:pStyle w:val="DOBody"/>
      </w:pPr>
      <w:r>
        <w:rPr>
          <w:b/>
        </w:rPr>
        <w:t>Category Concentration (H4) (1.05x): 3 elevated dimensions in category H4</w:t>
      </w:r>
    </w:p>
    <w:p>
      <w:pPr>
        <w:pStyle w:val="DOHeading3"/>
      </w:pPr>
      <w:r>
        <w:t>All Hazard Dimensions (55 dimensions)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Dimension</w:t>
            </w:r>
          </w:p>
        </w:tc>
        <w:tc>
          <w:tcPr>
            <w:tcW w:type="dxa" w:w="2016"/>
            <w:shd w:fill="1A1446" w:val="clear"/>
          </w:tcPr>
          <w:p>
            <w:r>
              <w:rPr>
                <w:rFonts w:ascii="Calibri" w:hAnsi="Calibri"/>
                <w:b/>
                <w:color w:val="FFFFFF"/>
                <w:sz w:val="18"/>
              </w:rPr>
              <w:t>Score</w:t>
            </w:r>
          </w:p>
        </w:tc>
        <w:tc>
          <w:tcPr>
            <w:tcW w:type="dxa" w:w="2016"/>
            <w:shd w:fill="1A1446" w:val="clear"/>
          </w:tcPr>
          <w:p>
            <w:r>
              <w:rPr>
                <w:rFonts w:ascii="Calibri" w:hAnsi="Calibri"/>
                <w:b/>
                <w:color w:val="FFFFFF"/>
                <w:sz w:val="18"/>
              </w:rPr>
              <w:t>Exposure</w:t>
            </w:r>
          </w:p>
        </w:tc>
        <w:tc>
          <w:tcPr>
            <w:tcW w:type="dxa" w:w="2016"/>
            <w:shd w:fill="1A1446" w:val="clear"/>
          </w:tcPr>
          <w:p>
            <w:r>
              <w:rPr>
                <w:rFonts w:ascii="Calibri" w:hAnsi="Calibri"/>
                <w:b/>
                <w:color w:val="FFFFFF"/>
                <w:sz w:val="18"/>
              </w:rPr>
              <w:t>Category</w:t>
            </w:r>
          </w:p>
        </w:tc>
        <w:tc>
          <w:tcPr>
            <w:tcW w:type="dxa" w:w="2016"/>
            <w:shd w:fill="1A1446" w:val="clear"/>
          </w:tcPr>
          <w:p>
            <w:r>
              <w:rPr>
                <w:rFonts w:ascii="Calibri" w:hAnsi="Calibri"/>
                <w:b/>
                <w:color w:val="FFFFFF"/>
                <w:sz w:val="18"/>
              </w:rPr>
              <w:t>Evidence</w:t>
            </w:r>
          </w:p>
        </w:tc>
      </w:tr>
      <w:tr>
        <w:tc>
          <w:tcPr>
            <w:tcW w:type="dxa" w:w="2016"/>
          </w:tcPr>
          <w:p>
            <w:r>
              <w:rPr>
                <w:rFonts w:ascii="Calibri" w:hAnsi="Calibri"/>
                <w:color w:val="333333"/>
                <w:sz w:val="18"/>
              </w:rPr>
              <w:t>Speed of Growth</w:t>
            </w:r>
          </w:p>
        </w:tc>
        <w:tc>
          <w:tcPr>
            <w:tcW w:type="dxa" w:w="2016"/>
          </w:tcPr>
          <w:p>
            <w:r>
              <w:rPr>
                <w:rFonts w:ascii="Calibri" w:hAnsi="Calibri"/>
                <w:color w:val="333333"/>
                <w:sz w:val="18"/>
              </w:rPr>
              <w:t>100</w:t>
            </w:r>
          </w:p>
        </w:tc>
        <w:tc>
          <w:tcPr>
            <w:tcW w:type="dxa" w:w="2016"/>
          </w:tcPr>
          <w:p>
            <w:r>
              <w:rPr>
                <w:rFonts w:ascii="Calibri" w:hAnsi="Calibri"/>
                <w:color w:val="333333"/>
                <w:sz w:val="18"/>
              </w:rPr>
              <w:t>CRITICAL</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t>Revenue growth 65.5% (VERY HIGH -- controls likely lagging)</w:t>
            </w:r>
          </w:p>
        </w:tc>
      </w:tr>
      <w:tr>
        <w:tc>
          <w:tcPr>
            <w:tcW w:type="dxa" w:w="2016"/>
            <w:shd w:fill="F2F4F8" w:val="clear"/>
          </w:tcPr>
          <w:p>
            <w:r>
              <w:rPr>
                <w:rFonts w:ascii="Calibri" w:hAnsi="Calibri"/>
                <w:color w:val="333333"/>
                <w:sz w:val="18"/>
              </w:rPr>
              <w:t>Industry Regulatory Spotlight</w:t>
            </w:r>
          </w:p>
        </w:tc>
        <w:tc>
          <w:tcPr>
            <w:tcW w:type="dxa" w:w="2016"/>
            <w:shd w:fill="F2F4F8" w:val="clear"/>
          </w:tcPr>
          <w:p>
            <w:r>
              <w:rPr>
                <w:rFonts w:ascii="Calibri" w:hAnsi="Calibri"/>
                <w:color w:val="333333"/>
                <w:sz w:val="18"/>
              </w:rPr>
              <w:t>83</w:t>
            </w:r>
          </w:p>
        </w:tc>
        <w:tc>
          <w:tcPr>
            <w:tcW w:type="dxa" w:w="2016"/>
            <w:shd w:fill="F2F4F8" w:val="clear"/>
          </w:tcPr>
          <w:p>
            <w:r>
              <w:rPr>
                <w:rFonts w:ascii="Calibri" w:hAnsi="Calibri"/>
                <w:color w:val="333333"/>
                <w:sz w:val="18"/>
              </w:rPr>
              <w:t>CRITICAL</w:t>
            </w:r>
          </w:p>
        </w:tc>
        <w:tc>
          <w:tcPr>
            <w:tcW w:type="dxa" w:w="2016"/>
            <w:shd w:fill="F2F4F8" w:val="clear"/>
          </w:tcPr>
          <w:p>
            <w:r>
              <w:rPr>
                <w:rFonts w:ascii="Calibri" w:hAnsi="Calibri"/>
                <w:color w:val="333333"/>
                <w:sz w:val="18"/>
              </w:rPr>
              <w:t>External Environment</w:t>
            </w:r>
          </w:p>
        </w:tc>
        <w:tc>
          <w:tcPr>
            <w:tcW w:type="dxa" w:w="2016"/>
            <w:shd w:fill="F2F4F8" w:val="clear"/>
          </w:tcPr>
          <w:p>
            <w:r>
              <w:rPr>
                <w:rFonts w:ascii="Calibri" w:hAnsi="Calibri"/>
                <w:color w:val="333333"/>
                <w:sz w:val="18"/>
              </w:rPr>
              <w:t>Sector 'TECH' regulatory spotlight level: 2.5/3.0</w:t>
            </w:r>
          </w:p>
        </w:tc>
      </w:tr>
      <w:tr>
        <w:tc>
          <w:tcPr>
            <w:tcW w:type="dxa" w:w="2016"/>
          </w:tcPr>
          <w:p>
            <w:r>
              <w:rPr>
                <w:rFonts w:ascii="Calibri" w:hAnsi="Calibri"/>
                <w:color w:val="333333"/>
                <w:sz w:val="18"/>
              </w:rPr>
              <w:t>Industry Sector Risk Tier</w:t>
            </w:r>
          </w:p>
        </w:tc>
        <w:tc>
          <w:tcPr>
            <w:tcW w:type="dxa" w:w="2016"/>
          </w:tcPr>
          <w:p>
            <w:r>
              <w:rPr>
                <w:rFonts w:ascii="Calibri" w:hAnsi="Calibri"/>
                <w:color w:val="333333"/>
                <w:sz w:val="18"/>
              </w:rPr>
              <w:t>70</w:t>
            </w:r>
          </w:p>
        </w:tc>
        <w:tc>
          <w:tcPr>
            <w:tcW w:type="dxa" w:w="2016"/>
          </w:tcPr>
          <w:p>
            <w:r>
              <w:rPr>
                <w:rFonts w:ascii="Calibri" w:hAnsi="Calibri"/>
                <w:color w:val="333333"/>
                <w:sz w:val="18"/>
              </w:rPr>
              <w:t>HIGH</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t>Sector 'TECH' maps to risk score 7.0/10.0</w:t>
            </w:r>
          </w:p>
        </w:tc>
      </w:tr>
      <w:tr>
        <w:tc>
          <w:tcPr>
            <w:tcW w:type="dxa" w:w="2016"/>
            <w:shd w:fill="F2F4F8" w:val="clear"/>
          </w:tcPr>
          <w:p>
            <w:r>
              <w:rPr>
                <w:rFonts w:ascii="Calibri" w:hAnsi="Calibri"/>
                <w:color w:val="333333"/>
                <w:sz w:val="18"/>
              </w:rPr>
              <w:t>Board Independence</w:t>
            </w:r>
          </w:p>
        </w:tc>
        <w:tc>
          <w:tcPr>
            <w:tcW w:type="dxa" w:w="2016"/>
            <w:shd w:fill="F2F4F8" w:val="clear"/>
          </w:tcPr>
          <w:p>
            <w:r>
              <w:rPr>
                <w:rFonts w:ascii="Calibri" w:hAnsi="Calibri"/>
                <w:color w:val="333333"/>
                <w:sz w:val="18"/>
              </w:rPr>
              <w:t>70</w:t>
            </w:r>
          </w:p>
        </w:tc>
        <w:tc>
          <w:tcPr>
            <w:tcW w:type="dxa" w:w="2016"/>
            <w:shd w:fill="F2F4F8" w:val="clear"/>
          </w:tcPr>
          <w:p>
            <w:r>
              <w:rPr>
                <w:rFonts w:ascii="Calibri" w:hAnsi="Calibri"/>
                <w:color w:val="333333"/>
                <w:sz w:val="18"/>
              </w:rPr>
              <w:t>HIGH</w:t>
            </w:r>
          </w:p>
        </w:tc>
        <w:tc>
          <w:tcPr>
            <w:tcW w:type="dxa" w:w="2016"/>
            <w:shd w:fill="F2F4F8" w:val="clear"/>
          </w:tcPr>
          <w:p>
            <w:r>
              <w:rPr>
                <w:rFonts w:ascii="Calibri" w:hAnsi="Calibri"/>
                <w:color w:val="333333"/>
                <w:sz w:val="18"/>
              </w:rPr>
              <w:t>Governance Structure</w:t>
            </w:r>
          </w:p>
        </w:tc>
        <w:tc>
          <w:tcPr>
            <w:tcW w:type="dxa" w:w="2016"/>
            <w:shd w:fill="F2F4F8" w:val="clear"/>
          </w:tcPr>
          <w:p>
            <w:r>
              <w:rPr>
                <w:rFonts w:ascii="Calibri" w:hAnsi="Calibri"/>
                <w:color w:val="333333"/>
                <w:sz w:val="18"/>
              </w:rPr>
              <w:t>Proxy: independence score 3.0</w:t>
            </w:r>
          </w:p>
        </w:tc>
      </w:tr>
      <w:tr>
        <w:tc>
          <w:tcPr>
            <w:tcW w:type="dxa" w:w="2016"/>
          </w:tcPr>
          <w:p>
            <w:r>
              <w:rPr>
                <w:rFonts w:ascii="Calibri" w:hAnsi="Calibri"/>
                <w:color w:val="333333"/>
                <w:sz w:val="18"/>
              </w:rPr>
              <w:t>Industry Expertise Match</w:t>
            </w:r>
          </w:p>
        </w:tc>
        <w:tc>
          <w:tcPr>
            <w:tcW w:type="dxa" w:w="2016"/>
          </w:tcPr>
          <w:p>
            <w:r>
              <w:rPr>
                <w:rFonts w:ascii="Calibri" w:hAnsi="Calibri"/>
                <w:color w:val="333333"/>
                <w:sz w:val="18"/>
              </w:rPr>
              <w:t>67</w:t>
            </w:r>
          </w:p>
        </w:tc>
        <w:tc>
          <w:tcPr>
            <w:tcW w:type="dxa" w:w="2016"/>
          </w:tcPr>
          <w:p>
            <w:r>
              <w:rPr>
                <w:rFonts w:ascii="Calibri" w:hAnsi="Calibri"/>
                <w:color w:val="333333"/>
                <w:sz w:val="18"/>
              </w:rPr>
              <w:t>HIGH</w:t>
            </w:r>
          </w:p>
        </w:tc>
        <w:tc>
          <w:tcPr>
            <w:tcW w:type="dxa" w:w="2016"/>
          </w:tcPr>
          <w:p>
            <w:r>
              <w:rPr>
                <w:rFonts w:ascii="Calibri" w:hAnsi="Calibri"/>
                <w:color w:val="333333"/>
                <w:sz w:val="18"/>
              </w:rPr>
              <w:t>People &amp; Management</w:t>
            </w:r>
          </w:p>
        </w:tc>
        <w:tc>
          <w:tcPr>
            <w:tcW w:type="dxa" w:w="2016"/>
          </w:tcPr>
          <w:p>
            <w:r>
              <w:rPr>
                <w:rFonts w:ascii="Calibri" w:hAnsi="Calibri"/>
                <w:color w:val="333333"/>
                <w:sz w:val="18"/>
              </w:rPr>
              <w:t>No executives with explicit TECH background in bios</w:t>
            </w:r>
          </w:p>
        </w:tc>
      </w:tr>
      <w:tr>
        <w:tc>
          <w:tcPr>
            <w:tcW w:type="dxa" w:w="2016"/>
            <w:shd w:fill="F2F4F8" w:val="clear"/>
          </w:tcPr>
          <w:p>
            <w:r>
              <w:rPr>
                <w:rFonts w:ascii="Calibri" w:hAnsi="Calibri"/>
                <w:color w:val="333333"/>
                <w:sz w:val="18"/>
              </w:rPr>
              <w:t>Combined CEO / Board Chair</w:t>
            </w:r>
          </w:p>
        </w:tc>
        <w:tc>
          <w:tcPr>
            <w:tcW w:type="dxa" w:w="2016"/>
            <w:shd w:fill="F2F4F8" w:val="clear"/>
          </w:tcPr>
          <w:p>
            <w:r>
              <w:rPr>
                <w:rFonts w:ascii="Calibri" w:hAnsi="Calibri"/>
                <w:color w:val="333333"/>
                <w:sz w:val="18"/>
              </w:rPr>
              <w:t>67</w:t>
            </w:r>
          </w:p>
        </w:tc>
        <w:tc>
          <w:tcPr>
            <w:tcW w:type="dxa" w:w="2016"/>
            <w:shd w:fill="F2F4F8" w:val="clear"/>
          </w:tcPr>
          <w:p>
            <w:r>
              <w:rPr>
                <w:rFonts w:ascii="Calibri" w:hAnsi="Calibri"/>
                <w:color w:val="333333"/>
                <w:sz w:val="18"/>
              </w:rPr>
              <w:t>HIGH</w:t>
            </w:r>
          </w:p>
        </w:tc>
        <w:tc>
          <w:tcPr>
            <w:tcW w:type="dxa" w:w="2016"/>
            <w:shd w:fill="F2F4F8" w:val="clear"/>
          </w:tcPr>
          <w:p>
            <w:r>
              <w:rPr>
                <w:rFonts w:ascii="Calibri" w:hAnsi="Calibri"/>
                <w:color w:val="333333"/>
                <w:sz w:val="18"/>
              </w:rPr>
              <w:t>Governance Structure</w:t>
            </w:r>
          </w:p>
        </w:tc>
        <w:tc>
          <w:tcPr>
            <w:tcW w:type="dxa" w:w="2016"/>
            <w:shd w:fill="F2F4F8" w:val="clear"/>
          </w:tcPr>
          <w:p>
            <w:r>
              <w:rPr>
                <w:rFonts w:ascii="Calibri" w:hAnsi="Calibri"/>
                <w:color w:val="333333"/>
                <w:sz w:val="18"/>
              </w:rPr>
              <w:t>CEO and Chair roles combined -- concentrated authority</w:t>
            </w:r>
          </w:p>
        </w:tc>
      </w:tr>
      <w:tr>
        <w:tc>
          <w:tcPr>
            <w:tcW w:type="dxa" w:w="2016"/>
          </w:tcPr>
          <w:p>
            <w:r>
              <w:rPr>
                <w:rFonts w:ascii="Calibri" w:hAnsi="Calibri"/>
                <w:color w:val="333333"/>
                <w:sz w:val="18"/>
              </w:rPr>
              <w:t>Industry Litigation Wave</w:t>
            </w:r>
          </w:p>
        </w:tc>
        <w:tc>
          <w:tcPr>
            <w:tcW w:type="dxa" w:w="2016"/>
          </w:tcPr>
          <w:p>
            <w:r>
              <w:rPr>
                <w:rFonts w:ascii="Calibri" w:hAnsi="Calibri"/>
                <w:color w:val="333333"/>
                <w:sz w:val="18"/>
              </w:rPr>
              <w:t>67</w:t>
            </w:r>
          </w:p>
        </w:tc>
        <w:tc>
          <w:tcPr>
            <w:tcW w:type="dxa" w:w="2016"/>
          </w:tcPr>
          <w:p>
            <w:r>
              <w:rPr>
                <w:rFonts w:ascii="Calibri" w:hAnsi="Calibri"/>
                <w:color w:val="333333"/>
                <w:sz w:val="18"/>
              </w:rPr>
              <w:t>HIGH</w:t>
            </w:r>
          </w:p>
        </w:tc>
        <w:tc>
          <w:tcPr>
            <w:tcW w:type="dxa" w:w="2016"/>
          </w:tcPr>
          <w:p>
            <w:r>
              <w:rPr>
                <w:rFonts w:ascii="Calibri" w:hAnsi="Calibri"/>
                <w:color w:val="333333"/>
                <w:sz w:val="18"/>
              </w:rPr>
              <w:t>External Environment</w:t>
            </w:r>
          </w:p>
        </w:tc>
        <w:tc>
          <w:tcPr>
            <w:tcW w:type="dxa" w:w="2016"/>
          </w:tcPr>
          <w:p>
            <w:r>
              <w:rPr>
                <w:rFonts w:ascii="Calibri" w:hAnsi="Calibri"/>
                <w:color w:val="333333"/>
                <w:sz w:val="18"/>
              </w:rPr>
              <w:t>Sector 'TECH' litigation wave level: 2.0/3.0</w:t>
            </w:r>
          </w:p>
        </w:tc>
      </w:tr>
      <w:tr>
        <w:tc>
          <w:tcPr>
            <w:tcW w:type="dxa" w:w="2016"/>
            <w:shd w:fill="F2F4F8" w:val="clear"/>
          </w:tcPr>
          <w:p>
            <w:r>
              <w:rPr>
                <w:rFonts w:ascii="Calibri" w:hAnsi="Calibri"/>
                <w:color w:val="333333"/>
                <w:sz w:val="18"/>
              </w:rPr>
              <w:t>Anti-Takeover Provisions</w:t>
            </w:r>
          </w:p>
        </w:tc>
        <w:tc>
          <w:tcPr>
            <w:tcW w:type="dxa" w:w="2016"/>
            <w:shd w:fill="F2F4F8" w:val="clear"/>
          </w:tcPr>
          <w:p>
            <w:r>
              <w:rPr>
                <w:rFonts w:ascii="Calibri" w:hAnsi="Calibri"/>
                <w:color w:val="333333"/>
                <w:sz w:val="18"/>
              </w:rPr>
              <w:t>60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Governance Structure</w:t>
            </w:r>
          </w:p>
        </w:tc>
        <w:tc>
          <w:tcPr>
            <w:tcW w:type="dxa" w:w="2016"/>
            <w:shd w:fill="F2F4F8" w:val="clear"/>
          </w:tcPr>
          <w:p>
            <w:r>
              <w:rPr>
                <w:rFonts w:ascii="Calibri" w:hAnsi="Calibri"/>
                <w:color w:val="333333"/>
                <w:sz w:val="18"/>
              </w:rPr>
              <w:t>Proxy: governance score 39.6</w:t>
            </w:r>
          </w:p>
        </w:tc>
      </w:tr>
      <w:tr>
        <w:tc>
          <w:tcPr>
            <w:tcW w:type="dxa" w:w="2016"/>
          </w:tcPr>
          <w:p>
            <w:r>
              <w:rPr>
                <w:rFonts w:ascii="Calibri" w:hAnsi="Calibri"/>
                <w:color w:val="333333"/>
                <w:sz w:val="18"/>
              </w:rPr>
              <w:t>Earnings Quality Characteristics</w:t>
            </w:r>
          </w:p>
        </w:tc>
        <w:tc>
          <w:tcPr>
            <w:tcW w:type="dxa" w:w="2016"/>
          </w:tcPr>
          <w:p>
            <w:r>
              <w:rPr>
                <w:rFonts w:ascii="Calibri" w:hAnsi="Calibri"/>
                <w:color w:val="333333"/>
                <w:sz w:val="18"/>
              </w:rPr>
              <w:t>60</w:t>
            </w:r>
          </w:p>
        </w:tc>
        <w:tc>
          <w:tcPr>
            <w:tcW w:type="dxa" w:w="2016"/>
          </w:tcPr>
          <w:p>
            <w:r>
              <w:rPr>
                <w:rFonts w:ascii="Calibri" w:hAnsi="Calibri"/>
                <w:color w:val="333333"/>
                <w:sz w:val="18"/>
              </w:rPr>
              <w:t>ELEVATED</w:t>
            </w:r>
          </w:p>
        </w:tc>
        <w:tc>
          <w:tcPr>
            <w:tcW w:type="dxa" w:w="2016"/>
          </w:tcPr>
          <w:p>
            <w:r>
              <w:rPr>
                <w:rFonts w:ascii="Calibri" w:hAnsi="Calibri"/>
                <w:color w:val="333333"/>
                <w:sz w:val="18"/>
              </w:rPr>
              <w:t>Financial Structure</w:t>
            </w:r>
          </w:p>
        </w:tc>
        <w:tc>
          <w:tcPr>
            <w:tcW w:type="dxa" w:w="2016"/>
          </w:tcPr>
          <w:p>
            <w:r>
              <w:rPr>
                <w:rFonts w:ascii="Calibri" w:hAnsi="Calibri"/>
                <w:color w:val="333333"/>
                <w:sz w:val="18"/>
              </w:rPr>
              <w:t>Beneish M-Score -1.16 -- above manipulation threshold</w:t>
            </w:r>
          </w:p>
        </w:tc>
      </w:tr>
      <w:tr>
        <w:tc>
          <w:tcPr>
            <w:tcW w:type="dxa" w:w="2016"/>
            <w:shd w:fill="F2F4F8" w:val="clear"/>
          </w:tcPr>
          <w:p>
            <w:r>
              <w:rPr>
                <w:rFonts w:ascii="Calibri" w:hAnsi="Calibri"/>
                <w:color w:val="333333"/>
                <w:sz w:val="18"/>
              </w:rPr>
              <w:t>Regulatory Intensity</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Business &amp; Operating Model</w:t>
            </w:r>
          </w:p>
        </w:tc>
        <w:tc>
          <w:tcPr>
            <w:tcW w:type="dxa" w:w="2016"/>
            <w:shd w:fill="F2F4F8" w:val="clear"/>
          </w:tcPr>
          <w:p>
            <w:r>
              <w:rPr>
                <w:rFonts w:ascii="Calibri" w:hAnsi="Calibri"/>
                <w:color w:val="333333"/>
                <w:sz w:val="18"/>
              </w:rPr>
              <w:t>Sector 'TECH' regulatory intensity: 2.5/5.0</w:t>
            </w:r>
          </w:p>
        </w:tc>
      </w:tr>
      <w:tr>
        <w:tc>
          <w:tcPr>
            <w:tcW w:type="dxa" w:w="2016"/>
          </w:tcPr>
          <w:p>
            <w:r>
              <w:rPr>
                <w:rFonts w:ascii="Calibri" w:hAnsi="Calibri"/>
                <w:color w:val="333333"/>
                <w:sz w:val="18"/>
              </w:rPr>
              <w:t>IP Dependency</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t>No data available — scored at baseline (MODERATE)</w:t>
            </w:r>
          </w:p>
        </w:tc>
      </w:tr>
      <w:tr>
        <w:tc>
          <w:tcPr>
            <w:tcW w:type="dxa" w:w="2016"/>
            <w:shd w:fill="F2F4F8" w:val="clear"/>
          </w:tcPr>
          <w:p>
            <w:r>
              <w:rPr>
                <w:rFonts w:ascii="Calibri" w:hAnsi="Calibri"/>
                <w:color w:val="333333"/>
                <w:sz w:val="18"/>
              </w:rPr>
              <w:t>Scale Experience Mismatch</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People &amp; Management</w:t>
            </w:r>
          </w:p>
        </w:tc>
        <w:tc>
          <w:tcPr>
            <w:tcW w:type="dxa" w:w="2016"/>
            <w:shd w:fill="F2F4F8" w:val="clear"/>
          </w:tcPr>
          <w:p>
            <w:r>
              <w:rPr>
                <w:rFonts w:ascii="Calibri" w:hAnsi="Calibri"/>
                <w:color w:val="333333"/>
                <w:sz w:val="18"/>
              </w:rPr>
              <w:t>No data available — scored at baseline (MODERATE)</w:t>
            </w:r>
          </w:p>
        </w:tc>
      </w:tr>
      <w:tr>
        <w:tc>
          <w:tcPr>
            <w:tcW w:type="dxa" w:w="2016"/>
          </w:tcPr>
          <w:p>
            <w:r>
              <w:rPr>
                <w:rFonts w:ascii="Calibri" w:hAnsi="Calibri"/>
                <w:color w:val="333333"/>
                <w:sz w:val="18"/>
              </w:rPr>
              <w:t>Key Person Dependency</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People &amp; Management</w:t>
            </w:r>
          </w:p>
        </w:tc>
        <w:tc>
          <w:tcPr>
            <w:tcW w:type="dxa" w:w="2016"/>
          </w:tcPr>
          <w:p>
            <w:r>
              <w:rPr>
                <w:rFonts w:ascii="Calibri" w:hAnsi="Calibri"/>
                <w:color w:val="333333"/>
                <w:sz w:val="18"/>
              </w:rPr>
              <w:t>No data available — scored at baseline (MODERATE)</w:t>
            </w:r>
          </w:p>
        </w:tc>
      </w:tr>
      <w:tr>
        <w:tc>
          <w:tcPr>
            <w:tcW w:type="dxa" w:w="2016"/>
            <w:shd w:fill="F2F4F8" w:val="clear"/>
          </w:tcPr>
          <w:p>
            <w:r>
              <w:rPr>
                <w:rFonts w:ascii="Calibri" w:hAnsi="Calibri"/>
                <w:color w:val="333333"/>
                <w:sz w:val="18"/>
              </w:rPr>
              <w:t>Management Turnover</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People &amp; Management</w:t>
            </w:r>
          </w:p>
        </w:tc>
        <w:tc>
          <w:tcPr>
            <w:tcW w:type="dxa" w:w="2016"/>
            <w:shd w:fill="F2F4F8" w:val="clear"/>
          </w:tcPr>
          <w:p>
            <w:r>
              <w:rPr>
                <w:rFonts w:ascii="Calibri" w:hAnsi="Calibri"/>
                <w:color w:val="333333"/>
                <w:sz w:val="18"/>
              </w:rPr>
              <w:t>2 executive departure(s) in 18mo</w:t>
            </w:r>
          </w:p>
        </w:tc>
      </w:tr>
      <w:tr>
        <w:tc>
          <w:tcPr>
            <w:tcW w:type="dxa" w:w="2016"/>
          </w:tcPr>
          <w:p>
            <w:r>
              <w:rPr>
                <w:rFonts w:ascii="Calibri" w:hAnsi="Calibri"/>
                <w:color w:val="333333"/>
                <w:sz w:val="18"/>
              </w:rPr>
              <w:t>Off-Balance Sheet Arrangements</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Financial Structure</w:t>
            </w:r>
          </w:p>
        </w:tc>
        <w:tc>
          <w:tcPr>
            <w:tcW w:type="dxa" w:w="2016"/>
          </w:tcPr>
          <w:p>
            <w:r>
              <w:rPr>
                <w:rFonts w:ascii="Calibri" w:hAnsi="Calibri"/>
                <w:color w:val="333333"/>
                <w:sz w:val="18"/>
              </w:rPr>
              <w:t>OBS indicator: OPERATIONAL: Dependence on overseas supply chain partners in Taiwan and South Korea.</w:t>
            </w:r>
          </w:p>
        </w:tc>
      </w:tr>
      <w:tr>
        <w:tc>
          <w:tcPr>
            <w:tcW w:type="dxa" w:w="2016"/>
            <w:shd w:fill="F2F4F8" w:val="clear"/>
          </w:tcPr>
          <w:p>
            <w:r>
              <w:rPr>
                <w:rFonts w:ascii="Calibri" w:hAnsi="Calibri"/>
                <w:color w:val="333333"/>
                <w:sz w:val="18"/>
              </w:rPr>
              <w:t>Related Party Transactions</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Financial Structure</w:t>
            </w:r>
          </w:p>
        </w:tc>
        <w:tc>
          <w:tcPr>
            <w:tcW w:type="dxa" w:w="2016"/>
            <w:shd w:fill="F2F4F8" w:val="clear"/>
          </w:tcPr>
          <w:p>
            <w:r>
              <w:rPr>
                <w:rFonts w:ascii="Calibri" w:hAnsi="Calibri"/>
                <w:color w:val="333333"/>
                <w:sz w:val="18"/>
              </w:rPr>
              <w:t>No data available — scored at baseline (MODERATE)</w:t>
            </w:r>
          </w:p>
        </w:tc>
      </w:tr>
      <w:tr>
        <w:tc>
          <w:tcPr>
            <w:tcW w:type="dxa" w:w="2016"/>
          </w:tcPr>
          <w:p>
            <w:r>
              <w:rPr>
                <w:rFonts w:ascii="Calibri" w:hAnsi="Calibri"/>
                <w:color w:val="333333"/>
                <w:sz w:val="18"/>
              </w:rPr>
              <w:t>Capital Markets Activity</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Financial Structure</w:t>
            </w:r>
          </w:p>
        </w:tc>
        <w:tc>
          <w:tcPr>
            <w:tcW w:type="dxa" w:w="2016"/>
          </w:tcPr>
          <w:p>
            <w:r>
              <w:rPr>
                <w:rFonts w:ascii="Calibri" w:hAnsi="Calibri"/>
                <w:color w:val="333333"/>
                <w:sz w:val="18"/>
              </w:rPr>
              <w:t>No data available — scored at baseline (MODERATE)</w:t>
            </w:r>
          </w:p>
        </w:tc>
      </w:tr>
      <w:tr>
        <w:tc>
          <w:tcPr>
            <w:tcW w:type="dxa" w:w="2016"/>
            <w:shd w:fill="F2F4F8" w:val="clear"/>
          </w:tcPr>
          <w:p>
            <w:r>
              <w:rPr>
                <w:rFonts w:ascii="Calibri" w:hAnsi="Calibri"/>
                <w:color w:val="333333"/>
                <w:sz w:val="18"/>
              </w:rPr>
              <w:t>Audit Committee Quality</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Governance Structure</w:t>
            </w:r>
          </w:p>
        </w:tc>
        <w:tc>
          <w:tcPr>
            <w:tcW w:type="dxa" w:w="2016"/>
            <w:shd w:fill="F2F4F8" w:val="clear"/>
          </w:tcPr>
          <w:p>
            <w:r>
              <w:rPr>
                <w:rFonts w:ascii="Calibri" w:hAnsi="Calibri"/>
                <w:color w:val="333333"/>
                <w:sz w:val="18"/>
              </w:rPr>
              <w:t>Committee quality score 0.0/10 (weak)</w:t>
            </w:r>
          </w:p>
        </w:tc>
      </w:tr>
      <w:tr>
        <w:tc>
          <w:tcPr>
            <w:tcW w:type="dxa" w:w="2016"/>
          </w:tcPr>
          <w:p>
            <w:r>
              <w:rPr>
                <w:rFonts w:ascii="Calibri" w:hAnsi="Calibri"/>
                <w:color w:val="333333"/>
                <w:sz w:val="18"/>
              </w:rPr>
              <w:t>Method of Going Public</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Public Company Maturity</w:t>
            </w:r>
          </w:p>
        </w:tc>
        <w:tc>
          <w:tcPr>
            <w:tcW w:type="dxa" w:w="2016"/>
          </w:tcPr>
          <w:p>
            <w:r>
              <w:rPr>
                <w:rFonts w:ascii="Calibri" w:hAnsi="Calibri"/>
                <w:color w:val="333333"/>
                <w:sz w:val="18"/>
              </w:rPr>
              <w:t>No data available — scored at baseline (MODERATE)</w:t>
            </w:r>
          </w:p>
        </w:tc>
      </w:tr>
      <w:tr>
        <w:tc>
          <w:tcPr>
            <w:tcW w:type="dxa" w:w="2016"/>
            <w:shd w:fill="F2F4F8" w:val="clear"/>
          </w:tcPr>
          <w:p>
            <w:r>
              <w:rPr>
                <w:rFonts w:ascii="Calibri" w:hAnsi="Calibri"/>
                <w:color w:val="333333"/>
                <w:sz w:val="18"/>
              </w:rPr>
              <w:t>Market Cycle Position</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External Environment</w:t>
            </w:r>
          </w:p>
        </w:tc>
        <w:tc>
          <w:tcPr>
            <w:tcW w:type="dxa" w:w="2016"/>
            <w:shd w:fill="F2F4F8" w:val="clear"/>
          </w:tcPr>
          <w:p>
            <w:r>
              <w:rPr>
                <w:rFonts w:ascii="Calibri" w:hAnsi="Calibri"/>
                <w:color w:val="333333"/>
                <w:sz w:val="18"/>
              </w:rPr>
              <w:t>Market cycle scored at config default (moderate -- apply system-wide)</w:t>
            </w:r>
          </w:p>
        </w:tc>
      </w:tr>
      <w:tr>
        <w:tc>
          <w:tcPr>
            <w:tcW w:type="dxa" w:w="2016"/>
          </w:tcPr>
          <w:p>
            <w:r>
              <w:rPr>
                <w:rFonts w:ascii="Calibri" w:hAnsi="Calibri"/>
                <w:color w:val="333333"/>
                <w:sz w:val="18"/>
              </w:rPr>
              <w:t>Political &amp; Policy Environment</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External Environment</w:t>
            </w:r>
          </w:p>
        </w:tc>
        <w:tc>
          <w:tcPr>
            <w:tcW w:type="dxa" w:w="2016"/>
          </w:tcPr>
          <w:p>
            <w:r>
              <w:rPr>
                <w:rFonts w:ascii="Calibri" w:hAnsi="Calibri"/>
                <w:color w:val="333333"/>
                <w:sz w:val="18"/>
              </w:rPr>
              <w:t>Political/policy environment at config default (moderate)</w:t>
            </w:r>
          </w:p>
        </w:tc>
      </w:tr>
      <w:tr>
        <w:tc>
          <w:tcPr>
            <w:tcW w:type="dxa" w:w="2016"/>
            <w:shd w:fill="F2F4F8" w:val="clear"/>
          </w:tcPr>
          <w:p>
            <w:r>
              <w:rPr>
                <w:rFonts w:ascii="Calibri" w:hAnsi="Calibri"/>
                <w:color w:val="333333"/>
                <w:sz w:val="18"/>
              </w:rPr>
              <w:t>Interest Rate Environment</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External Environment</w:t>
            </w:r>
          </w:p>
        </w:tc>
        <w:tc>
          <w:tcPr>
            <w:tcW w:type="dxa" w:w="2016"/>
            <w:shd w:fill="F2F4F8" w:val="clear"/>
          </w:tcPr>
          <w:p>
            <w:r>
              <w:rPr>
                <w:rFonts w:ascii="Calibri" w:hAnsi="Calibri"/>
                <w:color w:val="333333"/>
                <w:sz w:val="18"/>
              </w:rPr>
              <w:t>Interest rate environment at config default</w:t>
            </w:r>
          </w:p>
        </w:tc>
      </w:tr>
      <w:tr>
        <w:tc>
          <w:tcPr>
            <w:tcW w:type="dxa" w:w="2016"/>
          </w:tcPr>
          <w:p>
            <w:r>
              <w:rPr>
                <w:rFonts w:ascii="Calibri" w:hAnsi="Calibri"/>
                <w:color w:val="333333"/>
                <w:sz w:val="18"/>
              </w:rPr>
              <w:t>Plaintiff Attorney Activity</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External Environment</w:t>
            </w:r>
          </w:p>
        </w:tc>
        <w:tc>
          <w:tcPr>
            <w:tcW w:type="dxa" w:w="2016"/>
          </w:tcPr>
          <w:p>
            <w:r>
              <w:rPr>
                <w:rFonts w:ascii="Calibri" w:hAnsi="Calibri"/>
                <w:color w:val="333333"/>
                <w:sz w:val="18"/>
              </w:rPr>
              <w:t>Plaintiff attorney activity at moderate baseline (no specific data)</w:t>
            </w:r>
          </w:p>
        </w:tc>
      </w:tr>
      <w:tr>
        <w:tc>
          <w:tcPr>
            <w:tcW w:type="dxa" w:w="2016"/>
            <w:shd w:fill="F2F4F8" w:val="clear"/>
          </w:tcPr>
          <w:p>
            <w:r>
              <w:rPr>
                <w:rFonts w:ascii="Calibri" w:hAnsi="Calibri"/>
                <w:color w:val="333333"/>
                <w:sz w:val="18"/>
              </w:rPr>
              <w:t>Geopolitical Risk</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External Environment</w:t>
            </w:r>
          </w:p>
        </w:tc>
        <w:tc>
          <w:tcPr>
            <w:tcW w:type="dxa" w:w="2016"/>
            <w:shd w:fill="F2F4F8" w:val="clear"/>
          </w:tcPr>
          <w:p>
            <w:r>
              <w:rPr>
                <w:rFonts w:ascii="Calibri" w:hAnsi="Calibri"/>
                <w:color w:val="333333"/>
                <w:sz w:val="18"/>
              </w:rPr>
              <w:t>4 geographic regions (moderate international exposure)</w:t>
            </w:r>
          </w:p>
        </w:tc>
      </w:tr>
      <w:tr>
        <w:tc>
          <w:tcPr>
            <w:tcW w:type="dxa" w:w="2016"/>
          </w:tcPr>
          <w:p>
            <w:r>
              <w:rPr>
                <w:rFonts w:ascii="Calibri" w:hAnsi="Calibri"/>
                <w:color w:val="333333"/>
                <w:sz w:val="18"/>
              </w:rPr>
              <w:t>Crypto / Digital Asset Exposure</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Emerging / Modern Hazards</w:t>
            </w:r>
          </w:p>
        </w:tc>
        <w:tc>
          <w:tcPr>
            <w:tcW w:type="dxa" w:w="2016"/>
          </w:tcPr>
          <w:p>
            <w:r>
              <w:rPr>
                <w:rFonts w:ascii="Calibri" w:hAnsi="Calibri"/>
                <w:color w:val="333333"/>
                <w:sz w:val="18"/>
              </w:rPr>
              <w:t>No data available — scored at baseline (MODERATE)</w:t>
            </w:r>
          </w:p>
        </w:tc>
      </w:tr>
      <w:tr>
        <w:tc>
          <w:tcPr>
            <w:tcW w:type="dxa" w:w="2016"/>
            <w:shd w:fill="F2F4F8" w:val="clear"/>
          </w:tcPr>
          <w:p>
            <w:r>
              <w:rPr>
                <w:rFonts w:ascii="Calibri" w:hAnsi="Calibri"/>
                <w:color w:val="333333"/>
                <w:sz w:val="18"/>
              </w:rPr>
              <w:t>Social Media / Public Persona Risk</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Emerging / Modern Hazards</w:t>
            </w:r>
          </w:p>
        </w:tc>
        <w:tc>
          <w:tcPr>
            <w:tcW w:type="dxa" w:w="2016"/>
            <w:shd w:fill="F2F4F8" w:val="clear"/>
          </w:tcPr>
          <w:p>
            <w:r>
              <w:rPr>
                <w:rFonts w:ascii="Calibri" w:hAnsi="Calibri"/>
                <w:color w:val="333333"/>
                <w:sz w:val="18"/>
              </w:rPr>
              <w:t>No data available — scored at baseline (MODERATE)</w:t>
            </w:r>
          </w:p>
        </w:tc>
      </w:tr>
      <w:tr>
        <w:tc>
          <w:tcPr>
            <w:tcW w:type="dxa" w:w="2016"/>
          </w:tcPr>
          <w:p>
            <w:r>
              <w:rPr>
                <w:rFonts w:ascii="Calibri" w:hAnsi="Calibri"/>
                <w:color w:val="333333"/>
                <w:sz w:val="18"/>
              </w:rPr>
              <w:t>Geographic Complexity</w:t>
            </w:r>
          </w:p>
        </w:tc>
        <w:tc>
          <w:tcPr>
            <w:tcW w:type="dxa" w:w="2016"/>
          </w:tcPr>
          <w:p>
            <w:r>
              <w:rPr>
                <w:rFonts w:ascii="Calibri" w:hAnsi="Calibri"/>
                <w:color w:val="333333"/>
                <w:sz w:val="18"/>
              </w:rPr>
              <w:t>40</w:t>
            </w:r>
          </w:p>
        </w:tc>
        <w:tc>
          <w:tcPr>
            <w:tcW w:type="dxa" w:w="2016"/>
          </w:tcPr>
          <w:p>
            <w:r>
              <w:rPr>
                <w:rFonts w:ascii="Calibri" w:hAnsi="Calibri"/>
                <w:color w:val="333333"/>
                <w:sz w:val="18"/>
              </w:rPr>
              <w:t>MODERATE</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t>4 regions, ? subsidiaries (MODERATE)</w:t>
            </w:r>
          </w:p>
        </w:tc>
      </w:tr>
      <w:tr>
        <w:tc>
          <w:tcPr>
            <w:tcW w:type="dxa" w:w="2016"/>
            <w:shd w:fill="F2F4F8" w:val="clear"/>
          </w:tcPr>
          <w:p>
            <w:r>
              <w:rPr>
                <w:rFonts w:ascii="Calibri" w:hAnsi="Calibri"/>
                <w:color w:val="333333"/>
                <w:sz w:val="18"/>
              </w:rPr>
              <w:t>M&amp;A Activity</w:t>
            </w:r>
          </w:p>
        </w:tc>
        <w:tc>
          <w:tcPr>
            <w:tcW w:type="dxa" w:w="2016"/>
            <w:shd w:fill="F2F4F8" w:val="clear"/>
          </w:tcPr>
          <w:p>
            <w:r>
              <w:rPr>
                <w:rFonts w:ascii="Calibri" w:hAnsi="Calibri"/>
                <w:color w:val="333333"/>
                <w:sz w:val="18"/>
              </w:rPr>
              <w:t>40</w:t>
            </w:r>
          </w:p>
        </w:tc>
        <w:tc>
          <w:tcPr>
            <w:tcW w:type="dxa" w:w="2016"/>
            <w:shd w:fill="F2F4F8" w:val="clear"/>
          </w:tcPr>
          <w:p>
            <w:r>
              <w:rPr>
                <w:rFonts w:ascii="Calibri" w:hAnsi="Calibri"/>
                <w:color w:val="333333"/>
                <w:sz w:val="18"/>
              </w:rPr>
              <w:t>MODERATE</w:t>
            </w:r>
          </w:p>
        </w:tc>
        <w:tc>
          <w:tcPr>
            <w:tcW w:type="dxa" w:w="2016"/>
            <w:shd w:fill="F2F4F8" w:val="clear"/>
          </w:tcPr>
          <w:p>
            <w:r>
              <w:rPr>
                <w:rFonts w:ascii="Calibri" w:hAnsi="Calibri"/>
                <w:color w:val="333333"/>
                <w:sz w:val="18"/>
              </w:rPr>
              <w:t>Business &amp; Operating Model</w:t>
            </w:r>
          </w:p>
        </w:tc>
        <w:tc>
          <w:tcPr>
            <w:tcW w:type="dxa" w:w="2016"/>
            <w:shd w:fill="F2F4F8" w:val="clear"/>
          </w:tcPr>
          <w:p>
            <w:r>
              <w:rPr>
                <w:rFonts w:ascii="Calibri" w:hAnsi="Calibri"/>
                <w:color w:val="333333"/>
                <w:sz w:val="18"/>
              </w:rPr>
              <w:t>1 acquisition(s) noted</w:t>
            </w:r>
          </w:p>
        </w:tc>
      </w:tr>
      <w:tr>
        <w:tc>
          <w:tcPr>
            <w:tcW w:type="dxa" w:w="2016"/>
          </w:tcPr>
          <w:p>
            <w:r>
              <w:rPr>
                <w:rFonts w:ascii="Calibri" w:hAnsi="Calibri"/>
                <w:color w:val="333333"/>
                <w:sz w:val="18"/>
              </w:rPr>
              <w:t>Shareholder Rights</w:t>
            </w:r>
          </w:p>
        </w:tc>
        <w:tc>
          <w:tcPr>
            <w:tcW w:type="dxa" w:w="2016"/>
          </w:tcPr>
          <w:p>
            <w:r>
              <w:rPr>
                <w:rFonts w:ascii="Calibri" w:hAnsi="Calibri"/>
                <w:color w:val="333333"/>
                <w:sz w:val="18"/>
              </w:rPr>
              <w:t>33</w:t>
            </w:r>
          </w:p>
        </w:tc>
        <w:tc>
          <w:tcPr>
            <w:tcW w:type="dxa" w:w="2016"/>
          </w:tcPr>
          <w:p>
            <w:r>
              <w:rPr>
                <w:rFonts w:ascii="Calibri" w:hAnsi="Calibri"/>
                <w:color w:val="333333"/>
                <w:sz w:val="18"/>
              </w:rPr>
              <w:t>LOW</w:t>
            </w:r>
          </w:p>
        </w:tc>
        <w:tc>
          <w:tcPr>
            <w:tcW w:type="dxa" w:w="2016"/>
          </w:tcPr>
          <w:p>
            <w:r>
              <w:rPr>
                <w:rFonts w:ascii="Calibri" w:hAnsi="Calibri"/>
                <w:color w:val="333333"/>
                <w:sz w:val="18"/>
              </w:rPr>
              <w:t>Governance Structure</w:t>
            </w:r>
          </w:p>
        </w:tc>
        <w:tc>
          <w:tcPr>
            <w:tcW w:type="dxa" w:w="2016"/>
          </w:tcPr>
          <w:p>
            <w:r>
              <w:rPr>
                <w:rFonts w:ascii="Calibri" w:hAnsi="Calibri"/>
                <w:color w:val="333333"/>
                <w:sz w:val="18"/>
              </w:rPr>
              <w:t>Governance score 39.6/100 (moderate)</w:t>
            </w:r>
          </w:p>
        </w:tc>
      </w:tr>
      <w:tr>
        <w:tc>
          <w:tcPr>
            <w:tcW w:type="dxa" w:w="2016"/>
            <w:shd w:fill="F2F4F8" w:val="clear"/>
          </w:tcPr>
          <w:p>
            <w:r>
              <w:rPr>
                <w:rFonts w:ascii="Calibri" w:hAnsi="Calibri"/>
                <w:color w:val="333333"/>
                <w:sz w:val="18"/>
              </w:rPr>
              <w:t>Founder-Led vs Professional Management</w:t>
            </w:r>
          </w:p>
        </w:tc>
        <w:tc>
          <w:tcPr>
            <w:tcW w:type="dxa" w:w="2016"/>
            <w:shd w:fill="F2F4F8" w:val="clear"/>
          </w:tcPr>
          <w:p>
            <w:r>
              <w:rPr>
                <w:rFonts w:ascii="Calibri" w:hAnsi="Calibri"/>
                <w:color w:val="333333"/>
                <w:sz w:val="18"/>
              </w:rPr>
              <w:t>30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People &amp; Management</w:t>
            </w:r>
          </w:p>
        </w:tc>
        <w:tc>
          <w:tcPr>
            <w:tcW w:type="dxa" w:w="2016"/>
            <w:shd w:fill="F2F4F8" w:val="clear"/>
          </w:tcPr>
          <w:p>
            <w:r>
              <w:rPr>
                <w:rFonts w:ascii="Calibri" w:hAnsi="Calibri"/>
                <w:color w:val="333333"/>
                <w:sz w:val="18"/>
              </w:rPr>
              <w:t>Proxy: governance score 39.6</w:t>
            </w:r>
          </w:p>
        </w:tc>
      </w:tr>
      <w:tr>
        <w:tc>
          <w:tcPr>
            <w:tcW w:type="dxa" w:w="2016"/>
          </w:tcPr>
          <w:p>
            <w:r>
              <w:rPr>
                <w:rFonts w:ascii="Calibri" w:hAnsi="Calibri"/>
                <w:color w:val="333333"/>
                <w:sz w:val="18"/>
              </w:rPr>
              <w:t>Technology Platform Dependency</w:t>
            </w:r>
          </w:p>
        </w:tc>
        <w:tc>
          <w:tcPr>
            <w:tcW w:type="dxa" w:w="2016"/>
          </w:tcPr>
          <w:p>
            <w:r>
              <w:rPr>
                <w:rFonts w:ascii="Calibri" w:hAnsi="Calibri"/>
                <w:color w:val="333333"/>
                <w:sz w:val="18"/>
              </w:rPr>
              <w:t>25</w:t>
            </w:r>
          </w:p>
        </w:tc>
        <w:tc>
          <w:tcPr>
            <w:tcW w:type="dxa" w:w="2016"/>
          </w:tcPr>
          <w:p>
            <w:r>
              <w:rPr>
                <w:rFonts w:ascii="Calibri" w:hAnsi="Calibri"/>
                <w:color w:val="333333"/>
                <w:sz w:val="18"/>
              </w:rPr>
              <w:t>LOW</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t>Low platform keyword count (1) for non-tech sector</w:t>
            </w:r>
          </w:p>
        </w:tc>
      </w:tr>
      <w:tr>
        <w:tc>
          <w:tcPr>
            <w:tcW w:type="dxa" w:w="2016"/>
            <w:shd w:fill="F2F4F8" w:val="clear"/>
          </w:tcPr>
          <w:p>
            <w:r>
              <w:rPr>
                <w:rFonts w:ascii="Calibri" w:hAnsi="Calibri"/>
                <w:color w:val="333333"/>
                <w:sz w:val="18"/>
              </w:rPr>
              <w:t>State of Incorporation</w:t>
            </w:r>
          </w:p>
        </w:tc>
        <w:tc>
          <w:tcPr>
            <w:tcW w:type="dxa" w:w="2016"/>
            <w:shd w:fill="F2F4F8" w:val="clear"/>
          </w:tcPr>
          <w:p>
            <w:r>
              <w:rPr>
                <w:rFonts w:ascii="Calibri" w:hAnsi="Calibri"/>
                <w:color w:val="333333"/>
                <w:sz w:val="18"/>
              </w:rPr>
              <w:t>25</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Governance Structure</w:t>
            </w:r>
          </w:p>
        </w:tc>
        <w:tc>
          <w:tcPr>
            <w:tcW w:type="dxa" w:w="2016"/>
            <w:shd w:fill="F2F4F8" w:val="clear"/>
          </w:tcPr>
          <w:p>
            <w:r>
              <w:rPr>
                <w:rFonts w:ascii="Calibri" w:hAnsi="Calibri"/>
                <w:color w:val="333333"/>
                <w:sz w:val="18"/>
              </w:rPr>
              <w:t>Incorporated in DE (standard D&amp;O protections)</w:t>
            </w:r>
          </w:p>
        </w:tc>
      </w:tr>
      <w:tr>
        <w:tc>
          <w:tcPr>
            <w:tcW w:type="dxa" w:w="2016"/>
          </w:tcPr>
          <w:p>
            <w:r>
              <w:rPr>
                <w:rFonts w:ascii="Calibri" w:hAnsi="Calibri"/>
                <w:color w:val="333333"/>
                <w:sz w:val="18"/>
              </w:rPr>
              <w:t>Non-GAAP Reliance</w:t>
            </w:r>
          </w:p>
        </w:tc>
        <w:tc>
          <w:tcPr>
            <w:tcW w:type="dxa" w:w="2016"/>
          </w:tcPr>
          <w:p>
            <w:r>
              <w:rPr>
                <w:rFonts w:ascii="Calibri" w:hAnsi="Calibri"/>
                <w:color w:val="333333"/>
                <w:sz w:val="18"/>
              </w:rPr>
              <w:t>17</w:t>
            </w:r>
          </w:p>
        </w:tc>
        <w:tc>
          <w:tcPr>
            <w:tcW w:type="dxa" w:w="2016"/>
          </w:tcPr>
          <w:p>
            <w:r>
              <w:rPr>
                <w:rFonts w:ascii="Calibri" w:hAnsi="Calibri"/>
                <w:color w:val="333333"/>
                <w:sz w:val="18"/>
              </w:rPr>
              <w:t>LOW</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t>No non-GAAP reliance indicators found</w:t>
            </w:r>
          </w:p>
        </w:tc>
      </w:tr>
      <w:tr>
        <w:tc>
          <w:tcPr>
            <w:tcW w:type="dxa" w:w="2016"/>
            <w:shd w:fill="F2F4F8" w:val="clear"/>
          </w:tcPr>
          <w:p>
            <w:r>
              <w:rPr>
                <w:rFonts w:ascii="Calibri" w:hAnsi="Calibri"/>
                <w:color w:val="333333"/>
                <w:sz w:val="18"/>
              </w:rPr>
              <w:t>Goodwill-Heavy Balance Sheet</w:t>
            </w:r>
          </w:p>
        </w:tc>
        <w:tc>
          <w:tcPr>
            <w:tcW w:type="dxa" w:w="2016"/>
            <w:shd w:fill="F2F4F8" w:val="clear"/>
          </w:tcPr>
          <w:p>
            <w:r>
              <w:rPr>
                <w:rFonts w:ascii="Calibri" w:hAnsi="Calibri"/>
                <w:color w:val="333333"/>
                <w:sz w:val="18"/>
              </w:rPr>
              <w:t>17</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Financial Structure</w:t>
            </w:r>
          </w:p>
        </w:tc>
        <w:tc>
          <w:tcPr>
            <w:tcW w:type="dxa" w:w="2016"/>
            <w:shd w:fill="F2F4F8" w:val="clear"/>
          </w:tcPr>
          <w:p>
            <w:r>
              <w:rPr>
                <w:rFonts w:ascii="Calibri" w:hAnsi="Calibri"/>
                <w:color w:val="333333"/>
                <w:sz w:val="18"/>
              </w:rPr>
              <w:t>Goodwill 10.1% of assets (LOW)</w:t>
            </w:r>
          </w:p>
        </w:tc>
      </w:tr>
      <w:tr>
        <w:tc>
          <w:tcPr>
            <w:tcW w:type="dxa" w:w="2016"/>
          </w:tcPr>
          <w:p>
            <w:r>
              <w:rPr>
                <w:rFonts w:ascii="Calibri" w:hAnsi="Calibri"/>
                <w:color w:val="333333"/>
                <w:sz w:val="18"/>
              </w:rPr>
              <w:t>Cash Flow vs Earnings Divergence</w:t>
            </w:r>
          </w:p>
        </w:tc>
        <w:tc>
          <w:tcPr>
            <w:tcW w:type="dxa" w:w="2016"/>
          </w:tcPr>
          <w:p>
            <w:r>
              <w:rPr>
                <w:rFonts w:ascii="Calibri" w:hAnsi="Calibri"/>
                <w:color w:val="333333"/>
                <w:sz w:val="18"/>
              </w:rPr>
              <w:t>17</w:t>
            </w:r>
          </w:p>
        </w:tc>
        <w:tc>
          <w:tcPr>
            <w:tcW w:type="dxa" w:w="2016"/>
          </w:tcPr>
          <w:p>
            <w:r>
              <w:rPr>
                <w:rFonts w:ascii="Calibri" w:hAnsi="Calibri"/>
                <w:color w:val="333333"/>
                <w:sz w:val="18"/>
              </w:rPr>
              <w:t>LOW</w:t>
            </w:r>
          </w:p>
        </w:tc>
        <w:tc>
          <w:tcPr>
            <w:tcW w:type="dxa" w:w="2016"/>
          </w:tcPr>
          <w:p>
            <w:r>
              <w:rPr>
                <w:rFonts w:ascii="Calibri" w:hAnsi="Calibri"/>
                <w:color w:val="333333"/>
                <w:sz w:val="18"/>
              </w:rPr>
              <w:t>Financial Structure</w:t>
            </w:r>
          </w:p>
        </w:tc>
        <w:tc>
          <w:tcPr>
            <w:tcW w:type="dxa" w:w="2016"/>
          </w:tcPr>
          <w:p>
            <w:r>
              <w:rPr>
                <w:rFonts w:ascii="Calibri" w:hAnsi="Calibri"/>
                <w:color w:val="333333"/>
                <w:sz w:val="18"/>
              </w:rPr>
              <w:t>OCF/NI ratio 0.86 -- aligned</w:t>
            </w:r>
          </w:p>
        </w:tc>
      </w:tr>
      <w:tr>
        <w:tc>
          <w:tcPr>
            <w:tcW w:type="dxa" w:w="2016"/>
            <w:shd w:fill="F2F4F8" w:val="clear"/>
          </w:tcPr>
          <w:p>
            <w:r>
              <w:rPr>
                <w:rFonts w:ascii="Calibri" w:hAnsi="Calibri"/>
                <w:color w:val="333333"/>
                <w:sz w:val="18"/>
              </w:rPr>
              <w:t>Cybersecurity Governance</w:t>
            </w:r>
          </w:p>
        </w:tc>
        <w:tc>
          <w:tcPr>
            <w:tcW w:type="dxa" w:w="2016"/>
            <w:shd w:fill="F2F4F8" w:val="clear"/>
          </w:tcPr>
          <w:p>
            <w:r>
              <w:rPr>
                <w:rFonts w:ascii="Calibri" w:hAnsi="Calibri"/>
                <w:color w:val="333333"/>
                <w:sz w:val="18"/>
              </w:rPr>
              <w:t>17</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Emerging / Modern Hazards</w:t>
            </w:r>
          </w:p>
        </w:tc>
        <w:tc>
          <w:tcPr>
            <w:tcW w:type="dxa" w:w="2016"/>
            <w:shd w:fill="F2F4F8" w:val="clear"/>
          </w:tcPr>
          <w:p>
            <w:r>
              <w:rPr>
                <w:rFonts w:ascii="Calibri" w:hAnsi="Calibri"/>
                <w:color w:val="333333"/>
                <w:sz w:val="18"/>
              </w:rPr>
              <w:t>Minimal cybersecurity disclosure (1 mention)</w:t>
            </w:r>
          </w:p>
        </w:tc>
      </w:tr>
      <w:tr>
        <w:tc>
          <w:tcPr>
            <w:tcW w:type="dxa" w:w="2016"/>
          </w:tcPr>
          <w:p>
            <w:r>
              <w:rPr>
                <w:rFonts w:ascii="Calibri" w:hAnsi="Calibri"/>
                <w:color w:val="333333"/>
                <w:sz w:val="18"/>
              </w:rPr>
              <w:t>AI Adoption &amp; Governance</w:t>
            </w:r>
          </w:p>
        </w:tc>
        <w:tc>
          <w:tcPr>
            <w:tcW w:type="dxa" w:w="2016"/>
          </w:tcPr>
          <w:p>
            <w:r>
              <w:rPr>
                <w:rFonts w:ascii="Calibri" w:hAnsi="Calibri"/>
                <w:color w:val="333333"/>
                <w:sz w:val="18"/>
              </w:rPr>
              <w:t>12</w:t>
            </w:r>
          </w:p>
        </w:tc>
        <w:tc>
          <w:tcPr>
            <w:tcW w:type="dxa" w:w="2016"/>
          </w:tcPr>
          <w:p>
            <w:r>
              <w:rPr>
                <w:rFonts w:ascii="Calibri" w:hAnsi="Calibri"/>
                <w:color w:val="333333"/>
                <w:sz w:val="18"/>
              </w:rPr>
              <w:t>LOW</w:t>
            </w:r>
          </w:p>
        </w:tc>
        <w:tc>
          <w:tcPr>
            <w:tcW w:type="dxa" w:w="2016"/>
          </w:tcPr>
          <w:p>
            <w:r>
              <w:rPr>
                <w:rFonts w:ascii="Calibri" w:hAnsi="Calibri"/>
                <w:color w:val="333333"/>
                <w:sz w:val="18"/>
              </w:rPr>
              <w:t>Emerging / Modern Hazards</w:t>
            </w:r>
          </w:p>
        </w:tc>
        <w:tc>
          <w:tcPr>
            <w:tcW w:type="dxa" w:w="2016"/>
          </w:tcPr>
          <w:p>
            <w:r>
              <w:rPr>
                <w:rFonts w:ascii="Calibri" w:hAnsi="Calibri"/>
                <w:color w:val="333333"/>
                <w:sz w:val="18"/>
              </w:rPr>
              <w:t>AI risk score 0/100 (LOW)</w:t>
            </w:r>
          </w:p>
        </w:tc>
      </w:tr>
      <w:tr>
        <w:tc>
          <w:tcPr>
            <w:tcW w:type="dxa" w:w="2016"/>
            <w:shd w:fill="F2F4F8" w:val="clear"/>
          </w:tcPr>
          <w:p>
            <w:r>
              <w:rPr>
                <w:rFonts w:ascii="Calibri" w:hAnsi="Calibri"/>
                <w:color w:val="333333"/>
                <w:sz w:val="18"/>
              </w:rPr>
              <w:t>ESG / Climate Exposure</w:t>
            </w:r>
          </w:p>
        </w:tc>
        <w:tc>
          <w:tcPr>
            <w:tcW w:type="dxa" w:w="2016"/>
            <w:shd w:fill="F2F4F8" w:val="clear"/>
          </w:tcPr>
          <w:p>
            <w:r>
              <w:rPr>
                <w:rFonts w:ascii="Calibri" w:hAnsi="Calibri"/>
                <w:color w:val="333333"/>
                <w:sz w:val="18"/>
              </w:rPr>
              <w:t>10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Emerging / Modern Hazards</w:t>
            </w:r>
          </w:p>
        </w:tc>
        <w:tc>
          <w:tcPr>
            <w:tcW w:type="dxa" w:w="2016"/>
            <w:shd w:fill="F2F4F8" w:val="clear"/>
          </w:tcPr>
          <w:p>
            <w:r>
              <w:rPr>
                <w:rFonts w:ascii="Calibri" w:hAnsi="Calibri"/>
                <w:color w:val="333333"/>
                <w:sz w:val="18"/>
              </w:rPr>
              <w:t>1 ESG/climate keyword hits in risk factors</w:t>
            </w:r>
          </w:p>
        </w:tc>
      </w:tr>
      <w:tr>
        <w:tc>
          <w:tcPr>
            <w:tcW w:type="dxa" w:w="2016"/>
          </w:tcPr>
          <w:p>
            <w:r>
              <w:rPr>
                <w:rFonts w:ascii="Calibri" w:hAnsi="Calibri"/>
                <w:color w:val="333333"/>
                <w:sz w:val="18"/>
              </w:rPr>
              <w:t>Business Model Complexity</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r>
          </w:p>
        </w:tc>
      </w:tr>
      <w:tr>
        <w:tc>
          <w:tcPr>
            <w:tcW w:type="dxa" w:w="2016"/>
            <w:shd w:fill="F2F4F8" w:val="clear"/>
          </w:tcPr>
          <w:p>
            <w:r>
              <w:rPr>
                <w:rFonts w:ascii="Calibri" w:hAnsi="Calibri"/>
                <w:color w:val="333333"/>
                <w:sz w:val="18"/>
              </w:rPr>
              <w:t>Revenue Model Manipulation Surface</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Business &amp; Operating Model</w:t>
            </w:r>
          </w:p>
        </w:tc>
        <w:tc>
          <w:tcPr>
            <w:tcW w:type="dxa" w:w="2016"/>
            <w:shd w:fill="F2F4F8" w:val="clear"/>
          </w:tcPr>
          <w:p>
            <w:r>
              <w:rPr>
                <w:rFonts w:ascii="Calibri" w:hAnsi="Calibri"/>
                <w:color w:val="333333"/>
                <w:sz w:val="18"/>
              </w:rPr>
            </w:r>
          </w:p>
        </w:tc>
      </w:tr>
      <w:tr>
        <w:tc>
          <w:tcPr>
            <w:tcW w:type="dxa" w:w="2016"/>
          </w:tcPr>
          <w:p>
            <w:r>
              <w:rPr>
                <w:rFonts w:ascii="Calibri" w:hAnsi="Calibri"/>
                <w:color w:val="333333"/>
                <w:sz w:val="18"/>
              </w:rPr>
              <w:t>Customer &amp; Supplier Concentration</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t>No significant concentration disclosed</w:t>
            </w:r>
          </w:p>
        </w:tc>
      </w:tr>
      <w:tr>
        <w:tc>
          <w:tcPr>
            <w:tcW w:type="dxa" w:w="2016"/>
            <w:shd w:fill="F2F4F8" w:val="clear"/>
          </w:tcPr>
          <w:p>
            <w:r>
              <w:rPr>
                <w:rFonts w:ascii="Calibri" w:hAnsi="Calibri"/>
                <w:color w:val="333333"/>
                <w:sz w:val="18"/>
              </w:rPr>
              <w:t>Capital Intensity</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Business &amp; Operating Model</w:t>
            </w:r>
          </w:p>
        </w:tc>
        <w:tc>
          <w:tcPr>
            <w:tcW w:type="dxa" w:w="2016"/>
            <w:shd w:fill="F2F4F8" w:val="clear"/>
          </w:tcPr>
          <w:p>
            <w:r>
              <w:rPr>
                <w:rFonts w:ascii="Calibri" w:hAnsi="Calibri"/>
                <w:color w:val="333333"/>
                <w:sz w:val="18"/>
              </w:rPr>
              <w:t>CapEx/Revenue 2.8% (LOW)</w:t>
            </w:r>
          </w:p>
        </w:tc>
      </w:tr>
      <w:tr>
        <w:tc>
          <w:tcPr>
            <w:tcW w:type="dxa" w:w="2016"/>
          </w:tcPr>
          <w:p>
            <w:r>
              <w:rPr>
                <w:rFonts w:ascii="Calibri" w:hAnsi="Calibri"/>
                <w:color w:val="333333"/>
                <w:sz w:val="18"/>
              </w:rPr>
              <w:t>Dual-Class Structure</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r>
          </w:p>
        </w:tc>
      </w:tr>
      <w:tr>
        <w:tc>
          <w:tcPr>
            <w:tcW w:type="dxa" w:w="2016"/>
            <w:shd w:fill="F2F4F8" w:val="clear"/>
          </w:tcPr>
          <w:p>
            <w:r>
              <w:rPr>
                <w:rFonts w:ascii="Calibri" w:hAnsi="Calibri"/>
                <w:color w:val="333333"/>
                <w:sz w:val="18"/>
              </w:rPr>
              <w:t>Management Public Company Experience</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People &amp; Management</w:t>
            </w:r>
          </w:p>
        </w:tc>
        <w:tc>
          <w:tcPr>
            <w:tcW w:type="dxa" w:w="2016"/>
            <w:shd w:fill="F2F4F8" w:val="clear"/>
          </w:tcPr>
          <w:p>
            <w:r>
              <w:rPr>
                <w:rFonts w:ascii="Calibri" w:hAnsi="Calibri"/>
                <w:color w:val="333333"/>
                <w:sz w:val="18"/>
              </w:rPr>
            </w:r>
          </w:p>
        </w:tc>
      </w:tr>
      <w:tr>
        <w:tc>
          <w:tcPr>
            <w:tcW w:type="dxa" w:w="2016"/>
          </w:tcPr>
          <w:p>
            <w:r>
              <w:rPr>
                <w:rFonts w:ascii="Calibri" w:hAnsi="Calibri"/>
                <w:color w:val="333333"/>
                <w:sz w:val="18"/>
              </w:rPr>
              <w:t>Board Governance Experience &amp; Quality</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People &amp; Management</w:t>
            </w:r>
          </w:p>
        </w:tc>
        <w:tc>
          <w:tcPr>
            <w:tcW w:type="dxa" w:w="2016"/>
          </w:tcPr>
          <w:p>
            <w:r>
              <w:rPr>
                <w:rFonts w:ascii="Calibri" w:hAnsi="Calibri"/>
                <w:color w:val="333333"/>
                <w:sz w:val="18"/>
              </w:rPr>
            </w:r>
          </w:p>
        </w:tc>
      </w:tr>
      <w:tr>
        <w:tc>
          <w:tcPr>
            <w:tcW w:type="dxa" w:w="2016"/>
            <w:shd w:fill="F2F4F8" w:val="clear"/>
          </w:tcPr>
          <w:p>
            <w:r>
              <w:rPr>
                <w:rFonts w:ascii="Calibri" w:hAnsi="Calibri"/>
                <w:color w:val="333333"/>
                <w:sz w:val="18"/>
              </w:rPr>
              <w:t>Tone at the Top</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People &amp; Management</w:t>
            </w:r>
          </w:p>
        </w:tc>
        <w:tc>
          <w:tcPr>
            <w:tcW w:type="dxa" w:w="2016"/>
            <w:shd w:fill="F2F4F8" w:val="clear"/>
          </w:tcPr>
          <w:p>
            <w:r>
              <w:rPr>
                <w:rFonts w:ascii="Calibri" w:hAnsi="Calibri"/>
                <w:color w:val="333333"/>
                <w:sz w:val="18"/>
              </w:rPr>
              <w:t>Estimated from related indicators.</w:t>
            </w:r>
          </w:p>
        </w:tc>
      </w:tr>
      <w:tr>
        <w:tc>
          <w:tcPr>
            <w:tcW w:type="dxa" w:w="2016"/>
          </w:tcPr>
          <w:p>
            <w:r>
              <w:rPr>
                <w:rFonts w:ascii="Calibri" w:hAnsi="Calibri"/>
                <w:color w:val="333333"/>
                <w:sz w:val="18"/>
              </w:rPr>
              <w:t>Leverage &amp; Capital Structure</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Financial Structure</w:t>
            </w:r>
          </w:p>
        </w:tc>
        <w:tc>
          <w:tcPr>
            <w:tcW w:type="dxa" w:w="2016"/>
          </w:tcPr>
          <w:p>
            <w:r>
              <w:rPr>
                <w:rFonts w:ascii="Calibri" w:hAnsi="Calibri"/>
                <w:color w:val="333333"/>
                <w:sz w:val="18"/>
              </w:rPr>
              <w:t>Debt/Equity 0.05 (LOW)</w:t>
            </w:r>
          </w:p>
        </w:tc>
      </w:tr>
      <w:tr>
        <w:tc>
          <w:tcPr>
            <w:tcW w:type="dxa" w:w="2016"/>
            <w:shd w:fill="F2F4F8" w:val="clear"/>
          </w:tcPr>
          <w:p>
            <w:r>
              <w:rPr>
                <w:rFonts w:ascii="Calibri" w:hAnsi="Calibri"/>
                <w:color w:val="333333"/>
                <w:sz w:val="18"/>
              </w:rPr>
              <w:t>Pre-Revenue / Cash Burn</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Financial Structure</w:t>
            </w:r>
          </w:p>
        </w:tc>
        <w:tc>
          <w:tcPr>
            <w:tcW w:type="dxa" w:w="2016"/>
            <w:shd w:fill="F2F4F8" w:val="clear"/>
          </w:tcPr>
          <w:p>
            <w:r>
              <w:rPr>
                <w:rFonts w:ascii="Calibri" w:hAnsi="Calibri"/>
                <w:color w:val="333333"/>
                <w:sz w:val="18"/>
              </w:rPr>
              <w:t>Revenue-generating company with positive cash flow profile</w:t>
            </w:r>
          </w:p>
        </w:tc>
      </w:tr>
      <w:tr>
        <w:tc>
          <w:tcPr>
            <w:tcW w:type="dxa" w:w="2016"/>
          </w:tcPr>
          <w:p>
            <w:r>
              <w:rPr>
                <w:rFonts w:ascii="Calibri" w:hAnsi="Calibri"/>
                <w:color w:val="333333"/>
                <w:sz w:val="18"/>
              </w:rPr>
              <w:t>Compensation Structure</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Governance Structure</w:t>
            </w:r>
          </w:p>
        </w:tc>
        <w:tc>
          <w:tcPr>
            <w:tcW w:type="dxa" w:w="2016"/>
          </w:tcPr>
          <w:p>
            <w:r>
              <w:rPr>
                <w:rFonts w:ascii="Calibri" w:hAnsi="Calibri"/>
                <w:color w:val="333333"/>
                <w:sz w:val="18"/>
              </w:rPr>
              <w:t>Clawback policy in place</w:t>
            </w:r>
          </w:p>
        </w:tc>
      </w:tr>
      <w:tr>
        <w:tc>
          <w:tcPr>
            <w:tcW w:type="dxa" w:w="2016"/>
            <w:shd w:fill="F2F4F8" w:val="clear"/>
          </w:tcPr>
          <w:p>
            <w:r>
              <w:rPr>
                <w:rFonts w:ascii="Calibri" w:hAnsi="Calibri"/>
                <w:color w:val="333333"/>
                <w:sz w:val="18"/>
              </w:rPr>
              <w:t>Compliance Infrastructure</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Governance Structure</w:t>
            </w:r>
          </w:p>
        </w:tc>
        <w:tc>
          <w:tcPr>
            <w:tcW w:type="dxa" w:w="2016"/>
            <w:shd w:fill="F2F4F8" w:val="clear"/>
          </w:tcPr>
          <w:p>
            <w:r>
              <w:rPr>
                <w:rFonts w:ascii="Calibri" w:hAnsi="Calibri"/>
                <w:color w:val="333333"/>
                <w:sz w:val="18"/>
              </w:rPr>
              <w:t>No material weaknesses or going concern issues identified</w:t>
            </w:r>
          </w:p>
        </w:tc>
      </w:tr>
      <w:tr>
        <w:tc>
          <w:tcPr>
            <w:tcW w:type="dxa" w:w="2016"/>
          </w:tcPr>
          <w:p>
            <w:r>
              <w:rPr>
                <w:rFonts w:ascii="Calibri" w:hAnsi="Calibri"/>
                <w:color w:val="333333"/>
                <w:sz w:val="18"/>
              </w:rPr>
              <w:t>IPO Recency</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Public Company Maturity</w:t>
            </w:r>
          </w:p>
        </w:tc>
        <w:tc>
          <w:tcPr>
            <w:tcW w:type="dxa" w:w="2016"/>
          </w:tcPr>
          <w:p>
            <w:r>
              <w:rPr>
                <w:rFonts w:ascii="Calibri" w:hAnsi="Calibri"/>
                <w:color w:val="333333"/>
                <w:sz w:val="18"/>
              </w:rPr>
              <w:t>IPO 27 years ago (MINIMAL -- mature public company)</w:t>
            </w:r>
          </w:p>
        </w:tc>
      </w:tr>
      <w:tr>
        <w:tc>
          <w:tcPr>
            <w:tcW w:type="dxa" w:w="2016"/>
            <w:shd w:fill="F2F4F8" w:val="clear"/>
          </w:tcPr>
          <w:p>
            <w:r>
              <w:rPr>
                <w:rFonts w:ascii="Calibri" w:hAnsi="Calibri"/>
                <w:color w:val="333333"/>
                <w:sz w:val="18"/>
              </w:rPr>
              <w:t>Exchange &amp; Index Membership</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Public Company Maturity</w:t>
            </w:r>
          </w:p>
        </w:tc>
        <w:tc>
          <w:tcPr>
            <w:tcW w:type="dxa" w:w="2016"/>
            <w:shd w:fill="F2F4F8" w:val="clear"/>
          </w:tcPr>
          <w:p>
            <w:r>
              <w:rPr>
                <w:rFonts w:ascii="Calibri" w:hAnsi="Calibri"/>
                <w:color w:val="333333"/>
                <w:sz w:val="18"/>
              </w:rPr>
              <w:t>Listed on Nasdaq (major exchange -- standard oversight)</w:t>
            </w:r>
          </w:p>
        </w:tc>
      </w:tr>
      <w:tr>
        <w:tc>
          <w:tcPr>
            <w:tcW w:type="dxa" w:w="2016"/>
          </w:tcPr>
          <w:p>
            <w:r>
              <w:rPr>
                <w:rFonts w:ascii="Calibri" w:hAnsi="Calibri"/>
                <w:color w:val="333333"/>
                <w:sz w:val="18"/>
              </w:rPr>
              <w:t>FPI / ADR Status</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Public Company Maturity</w:t>
            </w:r>
          </w:p>
        </w:tc>
        <w:tc>
          <w:tcPr>
            <w:tcW w:type="dxa" w:w="2016"/>
          </w:tcPr>
          <w:p>
            <w:r>
              <w:rPr>
                <w:rFonts w:ascii="Calibri" w:hAnsi="Calibri"/>
                <w:color w:val="333333"/>
                <w:sz w:val="18"/>
              </w:rPr>
              <w:t>Domestic issuer (standard SEC reporting)</w:t>
            </w:r>
          </w:p>
        </w:tc>
      </w:tr>
      <w:tr>
        <w:tc>
          <w:tcPr>
            <w:tcW w:type="dxa" w:w="2016"/>
            <w:shd w:fill="F2F4F8" w:val="clear"/>
          </w:tcPr>
          <w:p>
            <w:r>
              <w:rPr>
                <w:rFonts w:ascii="Calibri" w:hAnsi="Calibri"/>
                <w:color w:val="333333"/>
                <w:sz w:val="18"/>
              </w:rPr>
              <w:t>Seasoning &amp; Track Record</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Public Company Maturity</w:t>
            </w:r>
          </w:p>
        </w:tc>
        <w:tc>
          <w:tcPr>
            <w:tcW w:type="dxa" w:w="2016"/>
            <w:shd w:fill="F2F4F8" w:val="clear"/>
          </w:tcPr>
          <w:p>
            <w:r>
              <w:rPr>
                <w:rFonts w:ascii="Calibri" w:hAnsi="Calibri"/>
                <w:color w:val="333333"/>
                <w:sz w:val="18"/>
              </w:rPr>
              <w:t>27 years as public company (established)</w:t>
            </w:r>
          </w:p>
        </w:tc>
      </w:tr>
      <w:tr>
        <w:tc>
          <w:tcPr>
            <w:tcW w:type="dxa" w:w="2016"/>
          </w:tcPr>
          <w:p>
            <w:r>
              <w:rPr>
                <w:rFonts w:ascii="Calibri" w:hAnsi="Calibri"/>
                <w:color w:val="333333"/>
                <w:sz w:val="18"/>
              </w:rPr>
              <w:t>Workforce &amp; Labor Model</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Emerging / Modern Hazards</w:t>
            </w:r>
          </w:p>
        </w:tc>
        <w:tc>
          <w:tcPr>
            <w:tcW w:type="dxa" w:w="2016"/>
          </w:tcPr>
          <w:p>
            <w:r>
              <w:rPr>
                <w:rFonts w:ascii="Calibri" w:hAnsi="Calibri"/>
                <w:color w:val="333333"/>
                <w:sz w:val="18"/>
              </w:rPr>
              <w:t>No workforce/labor model risk indicators found</w:t>
            </w:r>
          </w:p>
        </w:tc>
      </w:tr>
    </w:tbl>
    <w:p>
      <w:pPr>
        <w:pStyle w:val="DOHeading3"/>
      </w:pPr>
      <w:r>
        <w:t>Category Summary</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A1446" w:val="clear"/>
          </w:tcPr>
          <w:p>
            <w:r>
              <w:rPr>
                <w:rFonts w:ascii="Calibri" w:hAnsi="Calibri"/>
                <w:b/>
                <w:color w:val="FFFFFF"/>
                <w:sz w:val="18"/>
              </w:rPr>
              <w:t>Category</w:t>
            </w:r>
          </w:p>
        </w:tc>
        <w:tc>
          <w:tcPr>
            <w:tcW w:type="dxa" w:w="1680"/>
            <w:shd w:fill="1A1446" w:val="clear"/>
          </w:tcPr>
          <w:p>
            <w:r>
              <w:rPr>
                <w:rFonts w:ascii="Calibri" w:hAnsi="Calibri"/>
                <w:b/>
                <w:color w:val="FFFFFF"/>
                <w:sz w:val="18"/>
              </w:rPr>
              <w:t>Weight</w:t>
            </w:r>
          </w:p>
        </w:tc>
        <w:tc>
          <w:tcPr>
            <w:tcW w:type="dxa" w:w="1680"/>
            <w:shd w:fill="1A1446" w:val="clear"/>
          </w:tcPr>
          <w:p>
            <w:r>
              <w:rPr>
                <w:rFonts w:ascii="Calibri" w:hAnsi="Calibri"/>
                <w:b/>
                <w:color w:val="FFFFFF"/>
                <w:sz w:val="18"/>
              </w:rPr>
              <w:t>Score</w:t>
            </w:r>
          </w:p>
        </w:tc>
        <w:tc>
          <w:tcPr>
            <w:tcW w:type="dxa" w:w="1680"/>
            <w:shd w:fill="1A1446" w:val="clear"/>
          </w:tcPr>
          <w:p>
            <w:r>
              <w:rPr>
                <w:rFonts w:ascii="Calibri" w:hAnsi="Calibri"/>
                <w:b/>
                <w:color w:val="FFFFFF"/>
                <w:sz w:val="18"/>
              </w:rPr>
              <w:t>Weighted</w:t>
            </w:r>
          </w:p>
        </w:tc>
        <w:tc>
          <w:tcPr>
            <w:tcW w:type="dxa" w:w="1680"/>
            <w:shd w:fill="1A1446" w:val="clear"/>
          </w:tcPr>
          <w:p>
            <w:r>
              <w:rPr>
                <w:rFonts w:ascii="Calibri" w:hAnsi="Calibri"/>
                <w:b/>
                <w:color w:val="FFFFFF"/>
                <w:sz w:val="18"/>
              </w:rPr>
              <w:t>Dims Scored</w:t>
            </w:r>
          </w:p>
        </w:tc>
        <w:tc>
          <w:tcPr>
            <w:tcW w:type="dxa" w:w="1680"/>
            <w:shd w:fill="1A1446" w:val="clear"/>
          </w:tcPr>
          <w:p>
            <w:r>
              <w:rPr>
                <w:rFonts w:ascii="Calibri" w:hAnsi="Calibri"/>
                <w:b/>
                <w:color w:val="FFFFFF"/>
                <w:sz w:val="18"/>
              </w:rPr>
              <w:t>Coverage</w:t>
            </w:r>
          </w:p>
        </w:tc>
      </w:tr>
      <w:tr>
        <w:tc>
          <w:tcPr>
            <w:tcW w:type="dxa" w:w="1680"/>
          </w:tcPr>
          <w:p>
            <w:r>
              <w:rPr>
                <w:rFonts w:ascii="Calibri" w:hAnsi="Calibri"/>
                <w:color w:val="333333"/>
                <w:sz w:val="18"/>
              </w:rPr>
              <w:t>Business &amp; Operating Model</w:t>
            </w:r>
          </w:p>
        </w:tc>
        <w:tc>
          <w:tcPr>
            <w:tcW w:type="dxa" w:w="1680"/>
          </w:tcPr>
          <w:p>
            <w:r>
              <w:rPr>
                <w:rFonts w:ascii="Calibri" w:hAnsi="Calibri"/>
                <w:color w:val="333333"/>
                <w:sz w:val="18"/>
              </w:rPr>
              <w:t>32.5%</w:t>
            </w:r>
          </w:p>
        </w:tc>
        <w:tc>
          <w:tcPr>
            <w:tcW w:type="dxa" w:w="1680"/>
          </w:tcPr>
          <w:p>
            <w:r>
              <w:rPr>
                <w:rFonts w:ascii="Calibri" w:hAnsi="Calibri"/>
                <w:color w:val="333333"/>
                <w:sz w:val="18"/>
              </w:rPr>
              <w:t>30.1</w:t>
            </w:r>
          </w:p>
        </w:tc>
        <w:tc>
          <w:tcPr>
            <w:tcW w:type="dxa" w:w="1680"/>
          </w:tcPr>
          <w:p>
            <w:r>
              <w:rPr>
                <w:rFonts w:ascii="Calibri" w:hAnsi="Calibri"/>
                <w:color w:val="333333"/>
                <w:sz w:val="18"/>
              </w:rPr>
              <w:t>9.8</w:t>
            </w:r>
          </w:p>
        </w:tc>
        <w:tc>
          <w:tcPr>
            <w:tcW w:type="dxa" w:w="1680"/>
          </w:tcPr>
          <w:p>
            <w:r>
              <w:rPr>
                <w:rFonts w:ascii="Calibri" w:hAnsi="Calibri"/>
                <w:color w:val="333333"/>
                <w:sz w:val="18"/>
              </w:rPr>
              <w:t>12/13</w:t>
            </w:r>
          </w:p>
        </w:tc>
        <w:tc>
          <w:tcPr>
            <w:tcW w:type="dxa" w:w="1680"/>
          </w:tcPr>
          <w:p>
            <w:r>
              <w:rPr>
                <w:rFonts w:ascii="Calibri" w:hAnsi="Calibri"/>
                <w:color w:val="333333"/>
                <w:sz w:val="18"/>
              </w:rPr>
              <w:t>92%</w:t>
            </w:r>
          </w:p>
        </w:tc>
      </w:tr>
      <w:tr>
        <w:tc>
          <w:tcPr>
            <w:tcW w:type="dxa" w:w="1680"/>
            <w:shd w:fill="F2F4F8" w:val="clear"/>
          </w:tcPr>
          <w:p>
            <w:r>
              <w:rPr>
                <w:rFonts w:ascii="Calibri" w:hAnsi="Calibri"/>
                <w:color w:val="333333"/>
                <w:sz w:val="18"/>
              </w:rPr>
              <w:t>People &amp; Management</w:t>
            </w:r>
          </w:p>
        </w:tc>
        <w:tc>
          <w:tcPr>
            <w:tcW w:type="dxa" w:w="1680"/>
            <w:shd w:fill="F2F4F8" w:val="clear"/>
          </w:tcPr>
          <w:p>
            <w:r>
              <w:rPr>
                <w:rFonts w:ascii="Calibri" w:hAnsi="Calibri"/>
                <w:color w:val="333333"/>
                <w:sz w:val="18"/>
              </w:rPr>
              <w:t>15.0%</w:t>
            </w:r>
          </w:p>
        </w:tc>
        <w:tc>
          <w:tcPr>
            <w:tcW w:type="dxa" w:w="1680"/>
            <w:shd w:fill="F2F4F8" w:val="clear"/>
          </w:tcPr>
          <w:p>
            <w:r>
              <w:rPr>
                <w:rFonts w:ascii="Calibri" w:hAnsi="Calibri"/>
                <w:color w:val="333333"/>
                <w:sz w:val="18"/>
              </w:rPr>
              <w:t>30.8</w:t>
            </w:r>
          </w:p>
        </w:tc>
        <w:tc>
          <w:tcPr>
            <w:tcW w:type="dxa" w:w="1680"/>
            <w:shd w:fill="F2F4F8" w:val="clear"/>
          </w:tcPr>
          <w:p>
            <w:r>
              <w:rPr>
                <w:rFonts w:ascii="Calibri" w:hAnsi="Calibri"/>
                <w:color w:val="333333"/>
                <w:sz w:val="18"/>
              </w:rPr>
              <w:t>4.6</w:t>
            </w:r>
          </w:p>
        </w:tc>
        <w:tc>
          <w:tcPr>
            <w:tcW w:type="dxa" w:w="1680"/>
            <w:shd w:fill="F2F4F8" w:val="clear"/>
          </w:tcPr>
          <w:p>
            <w:r>
              <w:rPr>
                <w:rFonts w:ascii="Calibri" w:hAnsi="Calibri"/>
                <w:color w:val="333333"/>
                <w:sz w:val="18"/>
              </w:rPr>
              <w:t>6/8</w:t>
            </w:r>
          </w:p>
        </w:tc>
        <w:tc>
          <w:tcPr>
            <w:tcW w:type="dxa" w:w="1680"/>
            <w:shd w:fill="F2F4F8" w:val="clear"/>
          </w:tcPr>
          <w:p>
            <w:r>
              <w:rPr>
                <w:rFonts w:ascii="Calibri" w:hAnsi="Calibri"/>
                <w:color w:val="333333"/>
                <w:sz w:val="18"/>
              </w:rPr>
              <w:t>75%</w:t>
            </w:r>
          </w:p>
        </w:tc>
      </w:tr>
      <w:tr>
        <w:tc>
          <w:tcPr>
            <w:tcW w:type="dxa" w:w="1680"/>
          </w:tcPr>
          <w:p>
            <w:r>
              <w:rPr>
                <w:rFonts w:ascii="Calibri" w:hAnsi="Calibri"/>
                <w:color w:val="333333"/>
                <w:sz w:val="18"/>
              </w:rPr>
              <w:t>Financial Structure</w:t>
            </w:r>
          </w:p>
        </w:tc>
        <w:tc>
          <w:tcPr>
            <w:tcW w:type="dxa" w:w="1680"/>
          </w:tcPr>
          <w:p>
            <w:r>
              <w:rPr>
                <w:rFonts w:ascii="Calibri" w:hAnsi="Calibri"/>
                <w:color w:val="333333"/>
                <w:sz w:val="18"/>
              </w:rPr>
              <w:t>15.0%</w:t>
            </w:r>
          </w:p>
        </w:tc>
        <w:tc>
          <w:tcPr>
            <w:tcW w:type="dxa" w:w="1680"/>
          </w:tcPr>
          <w:p>
            <w:r>
              <w:rPr>
                <w:rFonts w:ascii="Calibri" w:hAnsi="Calibri"/>
                <w:color w:val="333333"/>
                <w:sz w:val="18"/>
              </w:rPr>
              <w:t>30.4</w:t>
            </w:r>
          </w:p>
        </w:tc>
        <w:tc>
          <w:tcPr>
            <w:tcW w:type="dxa" w:w="1680"/>
          </w:tcPr>
          <w:p>
            <w:r>
              <w:rPr>
                <w:rFonts w:ascii="Calibri" w:hAnsi="Calibri"/>
                <w:color w:val="333333"/>
                <w:sz w:val="18"/>
              </w:rPr>
              <w:t>4.6</w:t>
            </w:r>
          </w:p>
        </w:tc>
        <w:tc>
          <w:tcPr>
            <w:tcW w:type="dxa" w:w="1680"/>
          </w:tcPr>
          <w:p>
            <w:r>
              <w:rPr>
                <w:rFonts w:ascii="Calibri" w:hAnsi="Calibri"/>
                <w:color w:val="333333"/>
                <w:sz w:val="18"/>
              </w:rPr>
              <w:t>6/8</w:t>
            </w:r>
          </w:p>
        </w:tc>
        <w:tc>
          <w:tcPr>
            <w:tcW w:type="dxa" w:w="1680"/>
          </w:tcPr>
          <w:p>
            <w:r>
              <w:rPr>
                <w:rFonts w:ascii="Calibri" w:hAnsi="Calibri"/>
                <w:color w:val="333333"/>
                <w:sz w:val="18"/>
              </w:rPr>
              <w:t>75%</w:t>
            </w:r>
          </w:p>
        </w:tc>
      </w:tr>
      <w:tr>
        <w:tc>
          <w:tcPr>
            <w:tcW w:type="dxa" w:w="1680"/>
            <w:shd w:fill="F2F4F8" w:val="clear"/>
          </w:tcPr>
          <w:p>
            <w:r>
              <w:rPr>
                <w:rFonts w:ascii="Calibri" w:hAnsi="Calibri"/>
                <w:color w:val="333333"/>
                <w:sz w:val="18"/>
              </w:rPr>
              <w:t>Governance Structure</w:t>
            </w:r>
          </w:p>
        </w:tc>
        <w:tc>
          <w:tcPr>
            <w:tcW w:type="dxa" w:w="1680"/>
            <w:shd w:fill="F2F4F8" w:val="clear"/>
          </w:tcPr>
          <w:p>
            <w:r>
              <w:rPr>
                <w:rFonts w:ascii="Calibri" w:hAnsi="Calibri"/>
                <w:color w:val="333333"/>
                <w:sz w:val="18"/>
              </w:rPr>
              <w:t>7.5%</w:t>
            </w:r>
          </w:p>
        </w:tc>
        <w:tc>
          <w:tcPr>
            <w:tcW w:type="dxa" w:w="1680"/>
            <w:shd w:fill="F2F4F8" w:val="clear"/>
          </w:tcPr>
          <w:p>
            <w:r>
              <w:rPr>
                <w:rFonts w:ascii="Calibri" w:hAnsi="Calibri"/>
                <w:color w:val="333333"/>
                <w:sz w:val="18"/>
              </w:rPr>
              <w:t>38.2</w:t>
            </w:r>
          </w:p>
        </w:tc>
        <w:tc>
          <w:tcPr>
            <w:tcW w:type="dxa" w:w="1680"/>
            <w:shd w:fill="F2F4F8" w:val="clear"/>
          </w:tcPr>
          <w:p>
            <w:r>
              <w:rPr>
                <w:rFonts w:ascii="Calibri" w:hAnsi="Calibri"/>
                <w:color w:val="333333"/>
                <w:sz w:val="18"/>
              </w:rPr>
              <w:t>2.9</w:t>
            </w:r>
          </w:p>
        </w:tc>
        <w:tc>
          <w:tcPr>
            <w:tcW w:type="dxa" w:w="1680"/>
            <w:shd w:fill="F2F4F8" w:val="clear"/>
          </w:tcPr>
          <w:p>
            <w:r>
              <w:rPr>
                <w:rFonts w:ascii="Calibri" w:hAnsi="Calibri"/>
                <w:color w:val="333333"/>
                <w:sz w:val="18"/>
              </w:rPr>
              <w:t>8/8</w:t>
            </w:r>
          </w:p>
        </w:tc>
        <w:tc>
          <w:tcPr>
            <w:tcW w:type="dxa" w:w="1680"/>
            <w:shd w:fill="F2F4F8" w:val="clear"/>
          </w:tcPr>
          <w:p>
            <w:r>
              <w:rPr>
                <w:rFonts w:ascii="Calibri" w:hAnsi="Calibri"/>
                <w:color w:val="333333"/>
                <w:sz w:val="18"/>
              </w:rPr>
              <w:t>100%</w:t>
            </w:r>
          </w:p>
        </w:tc>
      </w:tr>
      <w:tr>
        <w:tc>
          <w:tcPr>
            <w:tcW w:type="dxa" w:w="1680"/>
          </w:tcPr>
          <w:p>
            <w:r>
              <w:rPr>
                <w:rFonts w:ascii="Calibri" w:hAnsi="Calibri"/>
                <w:color w:val="333333"/>
                <w:sz w:val="18"/>
              </w:rPr>
              <w:t>Public Company Maturity</w:t>
            </w:r>
          </w:p>
        </w:tc>
        <w:tc>
          <w:tcPr>
            <w:tcW w:type="dxa" w:w="1680"/>
          </w:tcPr>
          <w:p>
            <w:r>
              <w:rPr>
                <w:rFonts w:ascii="Calibri" w:hAnsi="Calibri"/>
                <w:color w:val="333333"/>
                <w:sz w:val="18"/>
              </w:rPr>
              <w:t>10.0%</w:t>
            </w:r>
          </w:p>
        </w:tc>
        <w:tc>
          <w:tcPr>
            <w:tcW w:type="dxa" w:w="1680"/>
          </w:tcPr>
          <w:p>
            <w:r>
              <w:rPr>
                <w:rFonts w:ascii="Calibri" w:hAnsi="Calibri"/>
                <w:color w:val="333333"/>
                <w:sz w:val="18"/>
              </w:rPr>
              <w:t>10.0</w:t>
            </w:r>
          </w:p>
        </w:tc>
        <w:tc>
          <w:tcPr>
            <w:tcW w:type="dxa" w:w="1680"/>
          </w:tcPr>
          <w:p>
            <w:r>
              <w:rPr>
                <w:rFonts w:ascii="Calibri" w:hAnsi="Calibri"/>
                <w:color w:val="333333"/>
                <w:sz w:val="18"/>
              </w:rPr>
              <w:t>1.0</w:t>
            </w:r>
          </w:p>
        </w:tc>
        <w:tc>
          <w:tcPr>
            <w:tcW w:type="dxa" w:w="1680"/>
          </w:tcPr>
          <w:p>
            <w:r>
              <w:rPr>
                <w:rFonts w:ascii="Calibri" w:hAnsi="Calibri"/>
                <w:color w:val="333333"/>
                <w:sz w:val="18"/>
              </w:rPr>
              <w:t>4/5</w:t>
            </w:r>
          </w:p>
        </w:tc>
        <w:tc>
          <w:tcPr>
            <w:tcW w:type="dxa" w:w="1680"/>
          </w:tcPr>
          <w:p>
            <w:r>
              <w:rPr>
                <w:rFonts w:ascii="Calibri" w:hAnsi="Calibri"/>
                <w:color w:val="333333"/>
                <w:sz w:val="18"/>
              </w:rPr>
              <w:t>80%</w:t>
            </w:r>
          </w:p>
        </w:tc>
      </w:tr>
      <w:tr>
        <w:tc>
          <w:tcPr>
            <w:tcW w:type="dxa" w:w="1680"/>
            <w:shd w:fill="F2F4F8" w:val="clear"/>
          </w:tcPr>
          <w:p>
            <w:r>
              <w:rPr>
                <w:rFonts w:ascii="Calibri" w:hAnsi="Calibri"/>
                <w:color w:val="333333"/>
                <w:sz w:val="18"/>
              </w:rPr>
              <w:t>External Environment</w:t>
            </w:r>
          </w:p>
        </w:tc>
        <w:tc>
          <w:tcPr>
            <w:tcW w:type="dxa" w:w="1680"/>
            <w:shd w:fill="F2F4F8" w:val="clear"/>
          </w:tcPr>
          <w:p>
            <w:r>
              <w:rPr>
                <w:rFonts w:ascii="Calibri" w:hAnsi="Calibri"/>
                <w:color w:val="333333"/>
                <w:sz w:val="18"/>
              </w:rPr>
              <w:t>10.0%</w:t>
            </w:r>
          </w:p>
        </w:tc>
        <w:tc>
          <w:tcPr>
            <w:tcW w:type="dxa" w:w="1680"/>
            <w:shd w:fill="F2F4F8" w:val="clear"/>
          </w:tcPr>
          <w:p>
            <w:r>
              <w:rPr>
                <w:rFonts w:ascii="Calibri" w:hAnsi="Calibri"/>
                <w:color w:val="333333"/>
                <w:sz w:val="18"/>
              </w:rPr>
              <w:t>57.1</w:t>
            </w:r>
          </w:p>
        </w:tc>
        <w:tc>
          <w:tcPr>
            <w:tcW w:type="dxa" w:w="1680"/>
            <w:shd w:fill="F2F4F8" w:val="clear"/>
          </w:tcPr>
          <w:p>
            <w:r>
              <w:rPr>
                <w:rFonts w:ascii="Calibri" w:hAnsi="Calibri"/>
                <w:color w:val="333333"/>
                <w:sz w:val="18"/>
              </w:rPr>
              <w:t>5.7</w:t>
            </w:r>
          </w:p>
        </w:tc>
        <w:tc>
          <w:tcPr>
            <w:tcW w:type="dxa" w:w="1680"/>
            <w:shd w:fill="F2F4F8" w:val="clear"/>
          </w:tcPr>
          <w:p>
            <w:r>
              <w:rPr>
                <w:rFonts w:ascii="Calibri" w:hAnsi="Calibri"/>
                <w:color w:val="333333"/>
                <w:sz w:val="18"/>
              </w:rPr>
              <w:t>7/7</w:t>
            </w:r>
          </w:p>
        </w:tc>
        <w:tc>
          <w:tcPr>
            <w:tcW w:type="dxa" w:w="1680"/>
            <w:shd w:fill="F2F4F8" w:val="clear"/>
          </w:tcPr>
          <w:p>
            <w:r>
              <w:rPr>
                <w:rFonts w:ascii="Calibri" w:hAnsi="Calibri"/>
                <w:color w:val="333333"/>
                <w:sz w:val="18"/>
              </w:rPr>
              <w:t>100%</w:t>
            </w:r>
          </w:p>
        </w:tc>
      </w:tr>
      <w:tr>
        <w:tc>
          <w:tcPr>
            <w:tcW w:type="dxa" w:w="1680"/>
          </w:tcPr>
          <w:p>
            <w:r>
              <w:rPr>
                <w:rFonts w:ascii="Calibri" w:hAnsi="Calibri"/>
                <w:color w:val="333333"/>
                <w:sz w:val="18"/>
              </w:rPr>
              <w:t>Emerging / Modern Hazards</w:t>
            </w:r>
          </w:p>
        </w:tc>
        <w:tc>
          <w:tcPr>
            <w:tcW w:type="dxa" w:w="1680"/>
          </w:tcPr>
          <w:p>
            <w:r>
              <w:rPr>
                <w:rFonts w:ascii="Calibri" w:hAnsi="Calibri"/>
                <w:color w:val="333333"/>
                <w:sz w:val="18"/>
              </w:rPr>
              <w:t>10.0%</w:t>
            </w:r>
          </w:p>
        </w:tc>
        <w:tc>
          <w:tcPr>
            <w:tcW w:type="dxa" w:w="1680"/>
          </w:tcPr>
          <w:p>
            <w:r>
              <w:rPr>
                <w:rFonts w:ascii="Calibri" w:hAnsi="Calibri"/>
                <w:color w:val="333333"/>
                <w:sz w:val="18"/>
              </w:rPr>
              <w:t>23.2</w:t>
            </w:r>
          </w:p>
        </w:tc>
        <w:tc>
          <w:tcPr>
            <w:tcW w:type="dxa" w:w="1680"/>
          </w:tcPr>
          <w:p>
            <w:r>
              <w:rPr>
                <w:rFonts w:ascii="Calibri" w:hAnsi="Calibri"/>
                <w:color w:val="333333"/>
                <w:sz w:val="18"/>
              </w:rPr>
              <w:t>2.3</w:t>
            </w:r>
          </w:p>
        </w:tc>
        <w:tc>
          <w:tcPr>
            <w:tcW w:type="dxa" w:w="1680"/>
          </w:tcPr>
          <w:p>
            <w:r>
              <w:rPr>
                <w:rFonts w:ascii="Calibri" w:hAnsi="Calibri"/>
                <w:color w:val="333333"/>
                <w:sz w:val="18"/>
              </w:rPr>
              <w:t>4/6</w:t>
            </w:r>
          </w:p>
        </w:tc>
        <w:tc>
          <w:tcPr>
            <w:tcW w:type="dxa" w:w="1680"/>
          </w:tcPr>
          <w:p>
            <w:r>
              <w:rPr>
                <w:rFonts w:ascii="Calibri" w:hAnsi="Calibri"/>
                <w:color w:val="333333"/>
                <w:sz w:val="18"/>
              </w:rPr>
              <w:t>67%</w:t>
            </w:r>
          </w:p>
        </w:tc>
      </w:tr>
    </w:tbl>
    <w:p>
      <w:pPr>
        <w:pStyle w:val="DOHeading2"/>
      </w:pPr>
      <w:r>
        <w:t>Risk Factors (D&amp;O-Relevant)</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Risk Factor</w:t>
            </w:r>
          </w:p>
        </w:tc>
        <w:tc>
          <w:tcPr>
            <w:tcW w:type="dxa" w:w="2016"/>
            <w:shd w:fill="1A1446" w:val="clear"/>
          </w:tcPr>
          <w:p>
            <w:r>
              <w:rPr>
                <w:rFonts w:ascii="Calibri" w:hAnsi="Calibri"/>
                <w:b/>
                <w:color w:val="FFFFFF"/>
                <w:sz w:val="18"/>
              </w:rPr>
              <w:t>Category</w:t>
            </w:r>
          </w:p>
        </w:tc>
        <w:tc>
          <w:tcPr>
            <w:tcW w:type="dxa" w:w="2016"/>
            <w:shd w:fill="1A1446" w:val="clear"/>
          </w:tcPr>
          <w:p>
            <w:r>
              <w:rPr>
                <w:rFonts w:ascii="Calibri" w:hAnsi="Calibri"/>
                <w:b/>
                <w:color w:val="FFFFFF"/>
                <w:sz w:val="18"/>
              </w:rPr>
              <w:t>Severity</w:t>
            </w:r>
          </w:p>
        </w:tc>
        <w:tc>
          <w:tcPr>
            <w:tcW w:type="dxa" w:w="2016"/>
            <w:shd w:fill="1A1446" w:val="clear"/>
          </w:tcPr>
          <w:p>
            <w:r>
              <w:rPr>
                <w:rFonts w:ascii="Calibri" w:hAnsi="Calibri"/>
                <w:b/>
                <w:color w:val="FFFFFF"/>
                <w:sz w:val="18"/>
              </w:rPr>
              <w:t>D&amp;O Relevance</w:t>
            </w:r>
          </w:p>
        </w:tc>
        <w:tc>
          <w:tcPr>
            <w:tcW w:type="dxa" w:w="2016"/>
            <w:shd w:fill="1A1446" w:val="clear"/>
          </w:tcPr>
          <w:p>
            <w:r>
              <w:rPr>
                <w:rFonts w:ascii="Calibri" w:hAnsi="Calibri"/>
                <w:b/>
                <w:color w:val="FFFFFF"/>
                <w:sz w:val="18"/>
              </w:rPr>
              <w:t>Source Passage</w:t>
            </w:r>
          </w:p>
        </w:tc>
      </w:tr>
      <w:tr>
        <w:tc>
          <w:tcPr>
            <w:tcW w:type="dxa" w:w="2016"/>
          </w:tcPr>
          <w:p>
            <w:r>
              <w:rPr>
                <w:rFonts w:ascii="Calibri" w:hAnsi="Calibri"/>
                <w:color w:val="333333"/>
                <w:sz w:val="18"/>
              </w:rPr>
              <w:t>Cybersecurity threats and incidents.</w:t>
            </w:r>
          </w:p>
        </w:tc>
        <w:tc>
          <w:tcPr>
            <w:tcW w:type="dxa" w:w="2016"/>
          </w:tcPr>
          <w:p>
            <w:r>
              <w:rPr>
                <w:rFonts w:ascii="Calibri" w:hAnsi="Calibri"/>
                <w:color w:val="333333"/>
                <w:sz w:val="18"/>
              </w:rPr>
              <w:t>CYBER</w:t>
            </w:r>
          </w:p>
        </w:tc>
        <w:tc>
          <w:tcPr>
            <w:tcW w:type="dxa" w:w="2016"/>
          </w:tcPr>
          <w:p>
            <w:r>
              <w:rPr>
                <w:rFonts w:ascii="Calibri" w:hAnsi="Calibri"/>
                <w:color w:val="333333"/>
                <w:sz w:val="18"/>
              </w:rPr>
              <w:t>HIGH</w:t>
            </w:r>
          </w:p>
        </w:tc>
        <w:tc>
          <w:tcPr>
            <w:tcW w:type="dxa" w:w="2016"/>
          </w:tcPr>
          <w:p>
            <w:r>
              <w:rPr>
                <w:rFonts w:ascii="Calibri" w:hAnsi="Calibri"/>
                <w:color w:val="333333"/>
                <w:sz w:val="18"/>
              </w:rPr>
              <w:t>MEDIUM</w:t>
            </w:r>
          </w:p>
        </w:tc>
        <w:tc>
          <w:tcPr>
            <w:tcW w:type="dxa" w:w="2016"/>
          </w:tcPr>
          <w:p>
            <w:r>
              <w:rPr>
                <w:rFonts w:ascii="Calibri" w:hAnsi="Calibri"/>
                <w:color w:val="333333"/>
                <w:sz w:val="18"/>
              </w:rPr>
              <w:t>We have in place certain infrastructure, systems, policies, and procedures that are designed to proactively prevent or reduce the impact of, and reactively address circumstances that arise when, events such as a cybersecurity incident occur.</w:t>
            </w:r>
          </w:p>
        </w:tc>
      </w:tr>
      <w:tr>
        <w:tc>
          <w:tcPr>
            <w:tcW w:type="dxa" w:w="2016"/>
            <w:shd w:fill="F2F4F8" w:val="clear"/>
          </w:tcPr>
          <w:p>
            <w:r>
              <w:rPr>
                <w:rFonts w:ascii="Calibri" w:hAnsi="Calibri"/>
                <w:color w:val="333333"/>
                <w:sz w:val="18"/>
              </w:rPr>
              <w:t>Failure to meet the evolving needs of our industry and markets may adversely impact our financial results.</w:t>
            </w:r>
          </w:p>
        </w:tc>
        <w:tc>
          <w:tcPr>
            <w:tcW w:type="dxa" w:w="2016"/>
            <w:shd w:fill="F2F4F8" w:val="clear"/>
          </w:tcPr>
          <w:p>
            <w:r>
              <w:rPr>
                <w:rFonts w:ascii="Calibri" w:hAnsi="Calibri"/>
                <w:color w:val="333333"/>
                <w:sz w:val="18"/>
              </w:rPr>
              <w:t>OPERATIONAL</w:t>
            </w:r>
          </w:p>
        </w:tc>
        <w:tc>
          <w:tcPr>
            <w:tcW w:type="dxa" w:w="2016"/>
            <w:shd w:fill="F2F4F8" w:val="clear"/>
          </w:tcPr>
          <w:p>
            <w:r>
              <w:rPr>
                <w:rFonts w:ascii="Calibri" w:hAnsi="Calibri"/>
                <w:color w:val="333333"/>
                <w:sz w:val="18"/>
              </w:rPr>
              <w:t>HIGH</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Failure to meet the evolving needs of our industry and markets may adversely impact our financial results.</w:t>
            </w:r>
          </w:p>
        </w:tc>
      </w:tr>
      <w:tr>
        <w:tc>
          <w:tcPr>
            <w:tcW w:type="dxa" w:w="2016"/>
          </w:tcPr>
          <w:p>
            <w:r>
              <w:rPr>
                <w:rFonts w:ascii="Calibri" w:hAnsi="Calibri"/>
                <w:color w:val="333333"/>
                <w:sz w:val="18"/>
              </w:rPr>
              <w:t>Competition could adversely impact our market share and financial results.</w:t>
            </w:r>
          </w:p>
        </w:tc>
        <w:tc>
          <w:tcPr>
            <w:tcW w:type="dxa" w:w="2016"/>
          </w:tcPr>
          <w:p>
            <w:r>
              <w:rPr>
                <w:rFonts w:ascii="Calibri" w:hAnsi="Calibri"/>
                <w:color w:val="333333"/>
                <w:sz w:val="18"/>
              </w:rPr>
              <w:t>OPERATIONAL</w:t>
            </w:r>
          </w:p>
        </w:tc>
        <w:tc>
          <w:tcPr>
            <w:tcW w:type="dxa" w:w="2016"/>
          </w:tcPr>
          <w:p>
            <w:r>
              <w:rPr>
                <w:rFonts w:ascii="Calibri" w:hAnsi="Calibri"/>
                <w:color w:val="333333"/>
                <w:sz w:val="18"/>
              </w:rPr>
              <w:t>HIGH</w:t>
            </w:r>
          </w:p>
        </w:tc>
        <w:tc>
          <w:tcPr>
            <w:tcW w:type="dxa" w:w="2016"/>
          </w:tcPr>
          <w:p>
            <w:r>
              <w:rPr>
                <w:rFonts w:ascii="Calibri" w:hAnsi="Calibri"/>
                <w:color w:val="333333"/>
                <w:sz w:val="18"/>
              </w:rPr>
              <w:t>LOW</w:t>
            </w:r>
          </w:p>
        </w:tc>
        <w:tc>
          <w:tcPr>
            <w:tcW w:type="dxa" w:w="2016"/>
          </w:tcPr>
          <w:p>
            <w:r>
              <w:rPr>
                <w:rFonts w:ascii="Calibri" w:hAnsi="Calibri"/>
                <w:color w:val="333333"/>
                <w:sz w:val="18"/>
              </w:rPr>
              <w:t>Competition could adversely impact our market share and financial results.</w:t>
            </w:r>
          </w:p>
        </w:tc>
      </w:tr>
      <w:tr>
        <w:tc>
          <w:tcPr>
            <w:tcW w:type="dxa" w:w="2016"/>
            <w:shd w:fill="F2F4F8" w:val="clear"/>
          </w:tcPr>
          <w:p>
            <w:r>
              <w:rPr>
                <w:rFonts w:ascii="Calibri" w:hAnsi="Calibri"/>
                <w:color w:val="333333"/>
                <w:sz w:val="18"/>
              </w:rPr>
              <w:t>Long manufacturing lead times and uncertain supply and capacity availability, combined with a failure to estimate customer demand accurately has led and could lead to mismatches between supply and demand.</w:t>
            </w:r>
          </w:p>
        </w:tc>
        <w:tc>
          <w:tcPr>
            <w:tcW w:type="dxa" w:w="2016"/>
            <w:shd w:fill="F2F4F8" w:val="clear"/>
          </w:tcPr>
          <w:p>
            <w:r>
              <w:rPr>
                <w:rFonts w:ascii="Calibri" w:hAnsi="Calibri"/>
                <w:color w:val="333333"/>
                <w:sz w:val="18"/>
              </w:rPr>
              <w:t>OPERATIONAL</w:t>
            </w:r>
          </w:p>
        </w:tc>
        <w:tc>
          <w:tcPr>
            <w:tcW w:type="dxa" w:w="2016"/>
            <w:shd w:fill="F2F4F8" w:val="clear"/>
          </w:tcPr>
          <w:p>
            <w:r>
              <w:rPr>
                <w:rFonts w:ascii="Calibri" w:hAnsi="Calibri"/>
                <w:color w:val="333333"/>
                <w:sz w:val="18"/>
              </w:rPr>
              <w:t>HIGH</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Long manufacturing lead times and uncertain supply and capacity availability, combined with a failure to estimate customer demand accurately has led and could lead to mismatches between supply and demand.</w:t>
            </w:r>
          </w:p>
        </w:tc>
      </w:tr>
      <w:tr>
        <w:tc>
          <w:tcPr>
            <w:tcW w:type="dxa" w:w="2016"/>
          </w:tcPr>
          <w:p>
            <w:r>
              <w:rPr>
                <w:rFonts w:ascii="Calibri" w:hAnsi="Calibri"/>
                <w:color w:val="333333"/>
                <w:sz w:val="18"/>
              </w:rPr>
              <w:t>Dependence on overseas supply chain partners in Taiwan and South Korea.</w:t>
            </w:r>
          </w:p>
        </w:tc>
        <w:tc>
          <w:tcPr>
            <w:tcW w:type="dxa" w:w="2016"/>
          </w:tcPr>
          <w:p>
            <w:r>
              <w:rPr>
                <w:rFonts w:ascii="Calibri" w:hAnsi="Calibri"/>
                <w:color w:val="333333"/>
                <w:sz w:val="18"/>
              </w:rPr>
              <w:t>OPERATIONAL</w:t>
            </w:r>
          </w:p>
        </w:tc>
        <w:tc>
          <w:tcPr>
            <w:tcW w:type="dxa" w:w="2016"/>
          </w:tcPr>
          <w:p>
            <w:r>
              <w:rPr>
                <w:rFonts w:ascii="Calibri" w:hAnsi="Calibri"/>
                <w:color w:val="333333"/>
                <w:sz w:val="18"/>
              </w:rPr>
              <w:t>HIGH</w:t>
            </w:r>
          </w:p>
        </w:tc>
        <w:tc>
          <w:tcPr>
            <w:tcW w:type="dxa" w:w="2016"/>
          </w:tcPr>
          <w:p>
            <w:r>
              <w:rPr>
                <w:rFonts w:ascii="Calibri" w:hAnsi="Calibri"/>
                <w:color w:val="333333"/>
                <w:sz w:val="18"/>
              </w:rPr>
              <w:t>LOW</w:t>
            </w:r>
          </w:p>
        </w:tc>
        <w:tc>
          <w:tcPr>
            <w:tcW w:type="dxa" w:w="2016"/>
          </w:tcPr>
          <w:p>
            <w:r>
              <w:rPr>
                <w:rFonts w:ascii="Calibri" w:hAnsi="Calibri"/>
                <w:color w:val="333333"/>
                <w:sz w:val="18"/>
              </w:rPr>
              <w:t>Our business depends on our ability to receive consistent and reliable supply from our overseas partners, especially in Taiwan and South Korea.</w:t>
            </w:r>
          </w:p>
        </w:tc>
      </w:tr>
      <w:tr>
        <w:tc>
          <w:tcPr>
            <w:tcW w:type="dxa" w:w="2016"/>
            <w:shd w:fill="F2F4F8" w:val="clear"/>
          </w:tcPr>
          <w:p>
            <w:r>
              <w:rPr>
                <w:rFonts w:ascii="Calibri" w:hAnsi="Calibri"/>
                <w:color w:val="333333"/>
                <w:sz w:val="18"/>
              </w:rPr>
              <w:t>Complex product transitions and supply chain challenges causing revenue volatility.</w:t>
            </w:r>
          </w:p>
        </w:tc>
        <w:tc>
          <w:tcPr>
            <w:tcW w:type="dxa" w:w="2016"/>
            <w:shd w:fill="F2F4F8" w:val="clear"/>
          </w:tcPr>
          <w:p>
            <w:r>
              <w:rPr>
                <w:rFonts w:ascii="Calibri" w:hAnsi="Calibri"/>
                <w:color w:val="333333"/>
                <w:sz w:val="18"/>
              </w:rPr>
              <w:t>OPERATIONAL</w:t>
            </w:r>
          </w:p>
        </w:tc>
        <w:tc>
          <w:tcPr>
            <w:tcW w:type="dxa" w:w="2016"/>
            <w:shd w:fill="F2F4F8" w:val="clear"/>
          </w:tcPr>
          <w:p>
            <w:r>
              <w:rPr>
                <w:rFonts w:ascii="Calibri" w:hAnsi="Calibri"/>
                <w:color w:val="333333"/>
                <w:sz w:val="18"/>
              </w:rPr>
              <w:t>HIGH</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The complexity of our product transitions and sophisticated system configurations has and may in the future cause delays in production and create challenges in managing supply and demand.</w:t>
            </w:r>
          </w:p>
        </w:tc>
      </w:tr>
      <w:tr>
        <w:tc>
          <w:tcPr>
            <w:tcW w:type="dxa" w:w="2016"/>
          </w:tcPr>
          <w:p>
            <w:r>
              <w:rPr>
                <w:rFonts w:ascii="Calibri" w:hAnsi="Calibri"/>
                <w:color w:val="333333"/>
                <w:sz w:val="18"/>
              </w:rPr>
              <w:t>U.S. export controls and foreign government restrictions impacting sales to China.</w:t>
            </w:r>
          </w:p>
        </w:tc>
        <w:tc>
          <w:tcPr>
            <w:tcW w:type="dxa" w:w="2016"/>
          </w:tcPr>
          <w:p>
            <w:r>
              <w:rPr>
                <w:rFonts w:ascii="Calibri" w:hAnsi="Calibri"/>
                <w:color w:val="333333"/>
                <w:sz w:val="18"/>
              </w:rPr>
              <w:t>REGULATORY</w:t>
            </w:r>
          </w:p>
        </w:tc>
        <w:tc>
          <w:tcPr>
            <w:tcW w:type="dxa" w:w="2016"/>
          </w:tcPr>
          <w:p>
            <w:r>
              <w:rPr>
                <w:rFonts w:ascii="Calibri" w:hAnsi="Calibri"/>
                <w:color w:val="333333"/>
                <w:sz w:val="18"/>
              </w:rPr>
              <w:t>HIGH</w:t>
            </w:r>
          </w:p>
        </w:tc>
        <w:tc>
          <w:tcPr>
            <w:tcW w:type="dxa" w:w="2016"/>
          </w:tcPr>
          <w:p>
            <w:r>
              <w:rPr>
                <w:rFonts w:ascii="Calibri" w:hAnsi="Calibri"/>
                <w:color w:val="333333"/>
                <w:sz w:val="18"/>
              </w:rPr>
              <w:t>HIGH</w:t>
            </w:r>
          </w:p>
        </w:tc>
        <w:tc>
          <w:tcPr>
            <w:tcW w:type="dxa" w:w="2016"/>
          </w:tcPr>
          <w:p>
            <w:r>
              <w:rPr>
                <w:rFonts w:ascii="Calibri" w:hAnsi="Calibri"/>
                <w:color w:val="333333"/>
                <w:sz w:val="18"/>
              </w:rPr>
              <w:t>The USG adopted 'Connected Vehicle' restrictions on the import and sale of certain automotive products in the United States, which if adopted and interpreted broadly, could impact our ability to develop and supply solutions for our automotive customers.</w:t>
            </w:r>
          </w:p>
        </w:tc>
      </w:tr>
      <w:tr>
        <w:tc>
          <w:tcPr>
            <w:tcW w:type="dxa" w:w="2016"/>
            <w:shd w:fill="F2F4F8" w:val="clear"/>
          </w:tcPr>
          <w:p>
            <w:r>
              <w:rPr>
                <w:rFonts w:ascii="Calibri" w:hAnsi="Calibri"/>
                <w:color w:val="333333"/>
                <w:sz w:val="18"/>
              </w:rPr>
              <w:t>Chinese government restrictions and actions favoring domestic competitors.</w:t>
            </w:r>
          </w:p>
        </w:tc>
        <w:tc>
          <w:tcPr>
            <w:tcW w:type="dxa" w:w="2016"/>
            <w:shd w:fill="F2F4F8" w:val="clear"/>
          </w:tcPr>
          <w:p>
            <w:r>
              <w:rPr>
                <w:rFonts w:ascii="Calibri" w:hAnsi="Calibri"/>
                <w:color w:val="333333"/>
                <w:sz w:val="18"/>
              </w:rPr>
              <w:t>REGULATORY</w:t>
            </w:r>
          </w:p>
        </w:tc>
        <w:tc>
          <w:tcPr>
            <w:tcW w:type="dxa" w:w="2016"/>
            <w:shd w:fill="F2F4F8" w:val="clear"/>
          </w:tcPr>
          <w:p>
            <w:r>
              <w:rPr>
                <w:rFonts w:ascii="Calibri" w:hAnsi="Calibri"/>
                <w:color w:val="333333"/>
                <w:sz w:val="18"/>
              </w:rPr>
              <w:t>HIGH</w:t>
            </w:r>
          </w:p>
        </w:tc>
        <w:tc>
          <w:tcPr>
            <w:tcW w:type="dxa" w:w="2016"/>
            <w:shd w:fill="F2F4F8" w:val="clear"/>
          </w:tcPr>
          <w:p>
            <w:r>
              <w:rPr>
                <w:rFonts w:ascii="Calibri" w:hAnsi="Calibri"/>
                <w:color w:val="333333"/>
                <w:sz w:val="18"/>
              </w:rPr>
              <w:t>HIGH</w:t>
            </w:r>
          </w:p>
        </w:tc>
        <w:tc>
          <w:tcPr>
            <w:tcW w:type="dxa" w:w="2016"/>
            <w:shd w:fill="F2F4F8" w:val="clear"/>
          </w:tcPr>
          <w:p>
            <w:r>
              <w:rPr>
                <w:rFonts w:ascii="Calibri" w:hAnsi="Calibri"/>
                <w:color w:val="333333"/>
                <w:sz w:val="18"/>
              </w:rPr>
              <w:t>The Chinese government has encouraged customers to purchase from our China-based competitors and discouraged customers from purchasing, importing, or using our data center products.</w:t>
            </w:r>
          </w:p>
        </w:tc>
      </w:tr>
      <w:tr>
        <w:tc>
          <w:tcPr>
            <w:tcW w:type="dxa" w:w="2016"/>
          </w:tcPr>
          <w:p>
            <w:r>
              <w:rPr>
                <w:rFonts w:ascii="Calibri" w:hAnsi="Calibri"/>
                <w:color w:val="333333"/>
                <w:sz w:val="18"/>
              </w:rPr>
              <w:t>Compliance with laws and regulations increasing costs.</w:t>
            </w:r>
          </w:p>
        </w:tc>
        <w:tc>
          <w:tcPr>
            <w:tcW w:type="dxa" w:w="2016"/>
          </w:tcPr>
          <w:p>
            <w:r>
              <w:rPr>
                <w:rFonts w:ascii="Calibri" w:hAnsi="Calibri"/>
                <w:color w:val="333333"/>
                <w:sz w:val="18"/>
              </w:rPr>
              <w:t>REGULATORY</w:t>
            </w:r>
          </w:p>
        </w:tc>
        <w:tc>
          <w:tcPr>
            <w:tcW w:type="dxa" w:w="2016"/>
          </w:tcPr>
          <w:p>
            <w:r>
              <w:rPr>
                <w:rFonts w:ascii="Calibri" w:hAnsi="Calibri"/>
                <w:color w:val="333333"/>
                <w:sz w:val="18"/>
              </w:rPr>
              <w:t>MEDIUM</w:t>
            </w:r>
          </w:p>
        </w:tc>
        <w:tc>
          <w:tcPr>
            <w:tcW w:type="dxa" w:w="2016"/>
          </w:tcPr>
          <w:p>
            <w:r>
              <w:rPr>
                <w:rFonts w:ascii="Calibri" w:hAnsi="Calibri"/>
                <w:color w:val="333333"/>
                <w:sz w:val="18"/>
              </w:rPr>
              <w:t>HIGH</w:t>
            </w:r>
          </w:p>
        </w:tc>
        <w:tc>
          <w:tcPr>
            <w:tcW w:type="dxa" w:w="2016"/>
          </w:tcPr>
          <w:p>
            <w:r>
              <w:rPr>
                <w:rFonts w:ascii="Calibri" w:hAnsi="Calibri"/>
                <w:color w:val="333333"/>
                <w:sz w:val="18"/>
              </w:rPr>
              <w:t>Compliance with existing or future governmental regulations... could further increase our costs, impact our competitive position, and otherwise may have a material adverse impact on our business.</w:t>
            </w:r>
          </w:p>
        </w:tc>
      </w:tr>
    </w:tbl>
    <w:p>
      <w:pPr>
        <w:pStyle w:val="DOCaption"/>
      </w:pPr>
      <w:r>
        <w:t>9 D&amp;O-relevant risk factors (0 new this year, 8 high severity).</w:t>
      </w:r>
    </w:p>
    <w:p>
      <w:pPr>
        <w:spacing w:before="120" w:after="40"/>
        <w:pBdr>
          <w:bottom w:val="single" w:sz="6" w:space="1" w:color="FFD000"/>
        </w:pBdr>
      </w:pPr>
    </w:p>
    <w:p>
      <w:pPr>
        <w:pStyle w:val="DOBody"/>
        <w:spacing w:before="40" w:after="80"/>
      </w:pPr>
      <w:r>
        <w:rPr>
          <w:b/>
          <w:color w:val="CC0000"/>
          <w:sz w:val="20"/>
        </w:rPr>
        <w:t>CRITICAL RISK</w:t>
      </w:r>
    </w:p>
    <w:p>
      <w:pPr>
        <w:pStyle w:val="DOBody"/>
        <w:spacing w:before="40" w:after="120"/>
      </w:pPr>
      <w:r>
        <w:rPr>
          <w:color w:val="333333"/>
          <w:sz w:val="20"/>
        </w:rPr>
        <w:t>NVIDIA's stock has retreated 17.17% from its 52-week high of $212.19, with a severe single-day decline of 16.97% on January 27, 2025, which will serve as the benchmark for any shareholder claiming an actionable disclosure gap under *Dura Pharmaceuticals*. The insider story is one of substantial, consistent monetization, with net selling totaling $745.2 million across 19 cluster events, though 97.76% of that volume was under 10b5-1 plans. This heavy planned selling complicates a *Tellabs* scienter inference but does not eliminate it, especially alongside the unplanned departure of CLO Persis Drell within a period of 2 senior departures over 18 months. The confluence of a sharp, dated price drop, massive insider liquidity events, and a sudden legal officer exit creates a tangible plaintiff narrative of foresight, making this a heightened risk for a stock-drop suit despite the current "STRONG BUY" analyst consensus and a low 0.98% short interest.</w:t>
      </w:r>
    </w:p>
    <w:p>
      <w:pPr>
        <w:pStyle w:val="DOHeading1"/>
      </w:pPr>
      <w:r>
        <w:t>Section 4: Market &amp; Trading Analysis</w:t>
      </w:r>
    </w:p>
    <w:p>
      <w:pPr>
        <w:pStyle w:val="DOBody"/>
      </w:pPr>
      <w:r>
        <w:rPr>
          <w:rFonts w:ascii="Calibri" w:hAnsi="Calibri"/>
          <w:color w:val="333333"/>
          <w:sz w:val="20"/>
        </w:rPr>
        <w:t>The stock trades 17.2% below its 52-week high ($212 to current $176), entering the range where SCA filings become economically viable. Worst single-day decline: 17.0% on 2025-01-27. Short interest of 1.0% of float is low (6-month trend: STABLE). Analyst consensus: STRONG_BUY.</w:t>
      </w:r>
    </w:p>
    <w:p>
      <w:pPr>
        <w:pStyle w:val="DOHeading2"/>
      </w:pPr>
      <w:r>
        <w:t>Stock Performance</w:t>
      </w:r>
    </w:p>
    <w:p>
      <w:r>
        <w:drawing>
          <wp:inline xmlns:a="http://schemas.openxmlformats.org/drawingml/2006/main" xmlns:pic="http://schemas.openxmlformats.org/drawingml/2006/picture">
            <wp:extent cx="5943600" cy="3878747"/>
            <wp:docPr id="2" name="Picture 2"/>
            <wp:cNvGraphicFramePr>
              <a:graphicFrameLocks noChangeAspect="1"/>
            </wp:cNvGraphicFramePr>
            <a:graphic>
              <a:graphicData uri="http://schemas.openxmlformats.org/drawingml/2006/picture">
                <pic:pic>
                  <pic:nvPicPr>
                    <pic:cNvPr id="0" name="stock_1y.png"/>
                    <pic:cNvPicPr/>
                  </pic:nvPicPr>
                  <pic:blipFill>
                    <a:blip r:embed="rId12"/>
                    <a:stretch>
                      <a:fillRect/>
                    </a:stretch>
                  </pic:blipFill>
                  <pic:spPr>
                    <a:xfrm>
                      <a:off x="0" y="0"/>
                      <a:ext cx="5943600" cy="3878747"/>
                    </a:xfrm>
                    <a:prstGeom prst="rect"/>
                  </pic:spPr>
                </pic:pic>
              </a:graphicData>
            </a:graphic>
          </wp:inline>
        </w:drawing>
      </w:r>
    </w:p>
    <w:p>
      <w:pPr>
        <w:pStyle w:val="DOCaption"/>
      </w:pPr>
      <w:r>
        <w:t>1-Year Performance (Indexed to 100). Red triangles mark single-day drops &gt;= 8%. Orange bands mark multi-day declines &gt;= 15%.</w:t>
      </w:r>
    </w:p>
    <w:p>
      <w:r>
        <w:drawing>
          <wp:inline xmlns:a="http://schemas.openxmlformats.org/drawingml/2006/main" xmlns:pic="http://schemas.openxmlformats.org/drawingml/2006/picture">
            <wp:extent cx="5943600" cy="3870472"/>
            <wp:docPr id="3" name="Picture 3"/>
            <wp:cNvGraphicFramePr>
              <a:graphicFrameLocks noChangeAspect="1"/>
            </wp:cNvGraphicFramePr>
            <a:graphic>
              <a:graphicData uri="http://schemas.openxmlformats.org/drawingml/2006/picture">
                <pic:pic>
                  <pic:nvPicPr>
                    <pic:cNvPr id="0" name="stock_5y.png"/>
                    <pic:cNvPicPr/>
                  </pic:nvPicPr>
                  <pic:blipFill>
                    <a:blip r:embed="rId13"/>
                    <a:stretch>
                      <a:fillRect/>
                    </a:stretch>
                  </pic:blipFill>
                  <pic:spPr>
                    <a:xfrm>
                      <a:off x="0" y="0"/>
                      <a:ext cx="5943600" cy="3870472"/>
                    </a:xfrm>
                    <a:prstGeom prst="rect"/>
                  </pic:spPr>
                </pic:pic>
              </a:graphicData>
            </a:graphic>
          </wp:inline>
        </w:drawing>
      </w:r>
    </w:p>
    <w:p>
      <w:pPr>
        <w:pStyle w:val="DOCaption"/>
      </w:pPr>
      <w:r>
        <w:t>5-Year Performance (Indexed to 100)</w:t>
      </w:r>
    </w:p>
    <w:p>
      <w:r>
        <w:drawing>
          <wp:inline xmlns:a="http://schemas.openxmlformats.org/drawingml/2006/main" xmlns:pic="http://schemas.openxmlformats.org/drawingml/2006/picture">
            <wp:extent cx="5943600" cy="3609679"/>
            <wp:docPr id="4" name="Picture 4"/>
            <wp:cNvGraphicFramePr>
              <a:graphicFrameLocks noChangeAspect="1"/>
            </wp:cNvGraphicFramePr>
            <a:graphic>
              <a:graphicData uri="http://schemas.openxmlformats.org/drawingml/2006/picture">
                <pic:pic>
                  <pic:nvPicPr>
                    <pic:cNvPr id="0" name="drop_analysis_1y.png"/>
                    <pic:cNvPicPr/>
                  </pic:nvPicPr>
                  <pic:blipFill>
                    <a:blip r:embed="rId14"/>
                    <a:stretch>
                      <a:fillRect/>
                    </a:stretch>
                  </pic:blipFill>
                  <pic:spPr>
                    <a:xfrm>
                      <a:off x="0" y="0"/>
                      <a:ext cx="5943600" cy="3609679"/>
                    </a:xfrm>
                    <a:prstGeom prst="rect"/>
                  </pic:spPr>
                </pic:pic>
              </a:graphicData>
            </a:graphic>
          </wp:inline>
        </w:drawing>
      </w:r>
    </w:p>
    <w:p>
      <w:pPr>
        <w:pStyle w:val="DOCaption"/>
      </w:pPr>
      <w:r>
        <w:t>Drop Event Analysis (12 Months)</w:t>
      </w:r>
    </w:p>
    <w:p>
      <w:r>
        <w:drawing>
          <wp:inline xmlns:a="http://schemas.openxmlformats.org/drawingml/2006/main" xmlns:pic="http://schemas.openxmlformats.org/drawingml/2006/picture">
            <wp:extent cx="5943600" cy="3626045"/>
            <wp:docPr id="5" name="Picture 5"/>
            <wp:cNvGraphicFramePr>
              <a:graphicFrameLocks noChangeAspect="1"/>
            </wp:cNvGraphicFramePr>
            <a:graphic>
              <a:graphicData uri="http://schemas.openxmlformats.org/drawingml/2006/picture">
                <pic:pic>
                  <pic:nvPicPr>
                    <pic:cNvPr id="0" name="drop_analysis_5y.png"/>
                    <pic:cNvPicPr/>
                  </pic:nvPicPr>
                  <pic:blipFill>
                    <a:blip r:embed="rId15"/>
                    <a:stretch>
                      <a:fillRect/>
                    </a:stretch>
                  </pic:blipFill>
                  <pic:spPr>
                    <a:xfrm>
                      <a:off x="0" y="0"/>
                      <a:ext cx="5943600" cy="3626045"/>
                    </a:xfrm>
                    <a:prstGeom prst="rect"/>
                  </pic:spPr>
                </pic:pic>
              </a:graphicData>
            </a:graphic>
          </wp:inline>
        </w:drawing>
      </w:r>
    </w:p>
    <w:p>
      <w:pPr>
        <w:pStyle w:val="DOCaption"/>
      </w:pPr>
      <w:r>
        <w:t>Drop Event Analysis (5 Years)</w:t>
      </w:r>
    </w:p>
    <w:p>
      <w:r>
        <w:drawing>
          <wp:inline xmlns:a="http://schemas.openxmlformats.org/drawingml/2006/main" xmlns:pic="http://schemas.openxmlformats.org/drawingml/2006/picture">
            <wp:extent cx="5943600" cy="3194685"/>
            <wp:docPr id="6" name="Picture 6"/>
            <wp:cNvGraphicFramePr>
              <a:graphicFrameLocks noChangeAspect="1"/>
            </wp:cNvGraphicFramePr>
            <a:graphic>
              <a:graphicData uri="http://schemas.openxmlformats.org/drawingml/2006/picture">
                <pic:pic>
                  <pic:nvPicPr>
                    <pic:cNvPr id="0" name="drop_scatter_1y.png"/>
                    <pic:cNvPicPr/>
                  </pic:nvPicPr>
                  <pic:blipFill>
                    <a:blip r:embed="rId16"/>
                    <a:stretch>
                      <a:fillRect/>
                    </a:stretch>
                  </pic:blipFill>
                  <pic:spPr>
                    <a:xfrm>
                      <a:off x="0" y="0"/>
                      <a:ext cx="5943600" cy="3194685"/>
                    </a:xfrm>
                    <a:prstGeom prst="rect"/>
                  </pic:spPr>
                </pic:pic>
              </a:graphicData>
            </a:graphic>
          </wp:inline>
        </w:drawing>
      </w:r>
    </w:p>
    <w:p>
      <w:pPr>
        <w:pStyle w:val="DOCaption"/>
      </w:pPr>
      <w:r>
        <w:t>Drop Events: Company vs Sector (12 Months)</w:t>
      </w:r>
    </w:p>
    <w:p>
      <w:r>
        <w:drawing>
          <wp:inline xmlns:a="http://schemas.openxmlformats.org/drawingml/2006/main" xmlns:pic="http://schemas.openxmlformats.org/drawingml/2006/picture">
            <wp:extent cx="5943600" cy="2340770"/>
            <wp:docPr id="7" name="Picture 7"/>
            <wp:cNvGraphicFramePr>
              <a:graphicFrameLocks noChangeAspect="1"/>
            </wp:cNvGraphicFramePr>
            <a:graphic>
              <a:graphicData uri="http://schemas.openxmlformats.org/drawingml/2006/picture">
                <pic:pic>
                  <pic:nvPicPr>
                    <pic:cNvPr id="0" name="drawdown_1y.png"/>
                    <pic:cNvPicPr/>
                  </pic:nvPicPr>
                  <pic:blipFill>
                    <a:blip r:embed="rId17"/>
                    <a:stretch>
                      <a:fillRect/>
                    </a:stretch>
                  </pic:blipFill>
                  <pic:spPr>
                    <a:xfrm>
                      <a:off x="0" y="0"/>
                      <a:ext cx="5943600" cy="2340770"/>
                    </a:xfrm>
                    <a:prstGeom prst="rect"/>
                  </pic:spPr>
                </pic:pic>
              </a:graphicData>
            </a:graphic>
          </wp:inline>
        </w:drawing>
      </w:r>
    </w:p>
    <w:p>
      <w:pPr>
        <w:pStyle w:val="DOCaption"/>
      </w:pPr>
      <w:r>
        <w:t>Drawdown Analysis (12 Months)</w:t>
      </w:r>
    </w:p>
    <w:p>
      <w:r>
        <w:drawing>
          <wp:inline xmlns:a="http://schemas.openxmlformats.org/drawingml/2006/main" xmlns:pic="http://schemas.openxmlformats.org/drawingml/2006/picture">
            <wp:extent cx="5943600" cy="2428159"/>
            <wp:docPr id="8" name="Picture 8"/>
            <wp:cNvGraphicFramePr>
              <a:graphicFrameLocks noChangeAspect="1"/>
            </wp:cNvGraphicFramePr>
            <a:graphic>
              <a:graphicData uri="http://schemas.openxmlformats.org/drawingml/2006/picture">
                <pic:pic>
                  <pic:nvPicPr>
                    <pic:cNvPr id="0" name="drawdown_5y.png"/>
                    <pic:cNvPicPr/>
                  </pic:nvPicPr>
                  <pic:blipFill>
                    <a:blip r:embed="rId18"/>
                    <a:stretch>
                      <a:fillRect/>
                    </a:stretch>
                  </pic:blipFill>
                  <pic:spPr>
                    <a:xfrm>
                      <a:off x="0" y="0"/>
                      <a:ext cx="5943600" cy="2428159"/>
                    </a:xfrm>
                    <a:prstGeom prst="rect"/>
                  </pic:spPr>
                </pic:pic>
              </a:graphicData>
            </a:graphic>
          </wp:inline>
        </w:drawing>
      </w:r>
    </w:p>
    <w:p>
      <w:pPr>
        <w:pStyle w:val="DOCaption"/>
      </w:pPr>
      <w:r>
        <w:t>Drawdown Analysis (5 Years)</w:t>
      </w:r>
    </w:p>
    <w:p>
      <w:r>
        <w:drawing>
          <wp:inline xmlns:a="http://schemas.openxmlformats.org/drawingml/2006/main" xmlns:pic="http://schemas.openxmlformats.org/drawingml/2006/picture">
            <wp:extent cx="5943600" cy="4397945"/>
            <wp:docPr id="9" name="Picture 9"/>
            <wp:cNvGraphicFramePr>
              <a:graphicFrameLocks noChangeAspect="1"/>
            </wp:cNvGraphicFramePr>
            <a:graphic>
              <a:graphicData uri="http://schemas.openxmlformats.org/drawingml/2006/picture">
                <pic:pic>
                  <pic:nvPicPr>
                    <pic:cNvPr id="0" name="volatility_1y.png"/>
                    <pic:cNvPicPr/>
                  </pic:nvPicPr>
                  <pic:blipFill>
                    <a:blip r:embed="rId19"/>
                    <a:stretch>
                      <a:fillRect/>
                    </a:stretch>
                  </pic:blipFill>
                  <pic:spPr>
                    <a:xfrm>
                      <a:off x="0" y="0"/>
                      <a:ext cx="5943600" cy="4397945"/>
                    </a:xfrm>
                    <a:prstGeom prst="rect"/>
                  </pic:spPr>
                </pic:pic>
              </a:graphicData>
            </a:graphic>
          </wp:inline>
        </w:drawing>
      </w:r>
    </w:p>
    <w:p>
      <w:pPr>
        <w:pStyle w:val="DOCaption"/>
      </w:pPr>
      <w:r>
        <w:t>Volatility &amp; Beta Analysis (12 Months)</w:t>
      </w:r>
    </w:p>
    <w:p>
      <w:r>
        <w:drawing>
          <wp:inline xmlns:a="http://schemas.openxmlformats.org/drawingml/2006/main" xmlns:pic="http://schemas.openxmlformats.org/drawingml/2006/picture">
            <wp:extent cx="5943600" cy="3043276"/>
            <wp:docPr id="10" name="Picture 10"/>
            <wp:cNvGraphicFramePr>
              <a:graphicFrameLocks noChangeAspect="1"/>
            </wp:cNvGraphicFramePr>
            <a:graphic>
              <a:graphicData uri="http://schemas.openxmlformats.org/drawingml/2006/picture">
                <pic:pic>
                  <pic:nvPicPr>
                    <pic:cNvPr id="0" name="relative_1y.png"/>
                    <pic:cNvPicPr/>
                  </pic:nvPicPr>
                  <pic:blipFill>
                    <a:blip r:embed="rId20"/>
                    <a:stretch>
                      <a:fillRect/>
                    </a:stretch>
                  </pic:blipFill>
                  <pic:spPr>
                    <a:xfrm>
                      <a:off x="0" y="0"/>
                      <a:ext cx="5943600" cy="3043276"/>
                    </a:xfrm>
                    <a:prstGeom prst="rect"/>
                  </pic:spPr>
                </pic:pic>
              </a:graphicData>
            </a:graphic>
          </wp:inline>
        </w:drawing>
      </w:r>
    </w:p>
    <w:p>
      <w:pPr>
        <w:pStyle w:val="DOCaption"/>
      </w:pPr>
      <w:r>
        <w:t>Relative Performance (12 Months)</w:t>
      </w:r>
    </w:p>
    <w:p>
      <w:r>
        <w:drawing>
          <wp:inline xmlns:a="http://schemas.openxmlformats.org/drawingml/2006/main" xmlns:pic="http://schemas.openxmlformats.org/drawingml/2006/picture">
            <wp:extent cx="5943600" cy="3023881"/>
            <wp:docPr id="11" name="Picture 11"/>
            <wp:cNvGraphicFramePr>
              <a:graphicFrameLocks noChangeAspect="1"/>
            </wp:cNvGraphicFramePr>
            <a:graphic>
              <a:graphicData uri="http://schemas.openxmlformats.org/drawingml/2006/picture">
                <pic:pic>
                  <pic:nvPicPr>
                    <pic:cNvPr id="0" name="relative_5y.png"/>
                    <pic:cNvPicPr/>
                  </pic:nvPicPr>
                  <pic:blipFill>
                    <a:blip r:embed="rId21"/>
                    <a:stretch>
                      <a:fillRect/>
                    </a:stretch>
                  </pic:blipFill>
                  <pic:spPr>
                    <a:xfrm>
                      <a:off x="0" y="0"/>
                      <a:ext cx="5943600" cy="3023881"/>
                    </a:xfrm>
                    <a:prstGeom prst="rect"/>
                  </pic:spPr>
                </pic:pic>
              </a:graphicData>
            </a:graphic>
          </wp:inline>
        </w:drawing>
      </w:r>
    </w:p>
    <w:p>
      <w:pPr>
        <w:pStyle w:val="DOCaption"/>
      </w:pPr>
      <w:r>
        <w:t>Relative Performance (5 Years)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Current Price</w:t>
            </w:r>
          </w:p>
        </w:tc>
        <w:tc>
          <w:tcPr>
            <w:tcW w:type="dxa" w:w="5040"/>
          </w:tcPr>
          <w:p>
            <w:r>
              <w:rPr>
                <w:rFonts w:ascii="Calibri" w:hAnsi="Calibri"/>
                <w:color w:val="333333"/>
                <w:sz w:val="18"/>
              </w:rPr>
              <w:t>$175.75</w:t>
            </w:r>
          </w:p>
        </w:tc>
      </w:tr>
      <w:tr>
        <w:tc>
          <w:tcPr>
            <w:tcW w:type="dxa" w:w="5040"/>
            <w:shd w:fill="F2F4F8" w:val="clear"/>
          </w:tcPr>
          <w:p>
            <w:r>
              <w:rPr>
                <w:rFonts w:ascii="Calibri" w:hAnsi="Calibri"/>
                <w:color w:val="333333"/>
                <w:sz w:val="18"/>
              </w:rPr>
              <w:t>52-Week High</w:t>
            </w:r>
          </w:p>
        </w:tc>
        <w:tc>
          <w:tcPr>
            <w:tcW w:type="dxa" w:w="5040"/>
            <w:shd w:fill="F2F4F8" w:val="clear"/>
          </w:tcPr>
          <w:p>
            <w:r>
              <w:rPr>
                <w:rFonts w:ascii="Calibri" w:hAnsi="Calibri"/>
                <w:color w:val="333333"/>
                <w:sz w:val="18"/>
              </w:rPr>
              <w:t>$212.19</w:t>
            </w:r>
          </w:p>
        </w:tc>
      </w:tr>
      <w:tr>
        <w:tc>
          <w:tcPr>
            <w:tcW w:type="dxa" w:w="5040"/>
          </w:tcPr>
          <w:p>
            <w:r>
              <w:rPr>
                <w:rFonts w:ascii="Calibri" w:hAnsi="Calibri"/>
                <w:color w:val="333333"/>
                <w:sz w:val="18"/>
              </w:rPr>
              <w:t>52-Week Low</w:t>
            </w:r>
          </w:p>
        </w:tc>
        <w:tc>
          <w:tcPr>
            <w:tcW w:type="dxa" w:w="5040"/>
          </w:tcPr>
          <w:p>
            <w:r>
              <w:rPr>
                <w:rFonts w:ascii="Calibri" w:hAnsi="Calibri"/>
                <w:color w:val="333333"/>
                <w:sz w:val="18"/>
              </w:rPr>
              <w:t>$86.62</w:t>
            </w:r>
          </w:p>
        </w:tc>
      </w:tr>
      <w:tr>
        <w:tc>
          <w:tcPr>
            <w:tcW w:type="dxa" w:w="5040"/>
            <w:shd w:fill="F2F4F8" w:val="clear"/>
          </w:tcPr>
          <w:p>
            <w:r>
              <w:rPr>
                <w:rFonts w:ascii="Calibri" w:hAnsi="Calibri"/>
                <w:color w:val="333333"/>
                <w:sz w:val="18"/>
              </w:rPr>
              <w:t>1-Year Return</w:t>
            </w:r>
          </w:p>
        </w:tc>
        <w:tc>
          <w:tcPr>
            <w:tcW w:type="dxa" w:w="5040"/>
            <w:shd w:fill="F2F4F8" w:val="clear"/>
          </w:tcPr>
          <w:p>
            <w:r>
              <w:rPr>
                <w:rFonts w:ascii="Calibri" w:hAnsi="Calibri"/>
                <w:color w:val="333333"/>
                <w:sz w:val="18"/>
              </w:rPr>
              <w:t>59.2%</w:t>
            </w:r>
          </w:p>
        </w:tc>
      </w:tr>
      <w:tr>
        <w:tc>
          <w:tcPr>
            <w:tcW w:type="dxa" w:w="5040"/>
          </w:tcPr>
          <w:p>
            <w:r>
              <w:rPr>
                <w:rFonts w:ascii="Calibri" w:hAnsi="Calibri"/>
                <w:color w:val="333333"/>
                <w:sz w:val="18"/>
              </w:rPr>
              <w:t>Max Drawdown (1Y)</w:t>
            </w:r>
          </w:p>
        </w:tc>
        <w:tc>
          <w:tcPr>
            <w:tcW w:type="dxa" w:w="5040"/>
          </w:tcPr>
          <w:p>
            <w:r>
              <w:rPr>
                <w:rFonts w:ascii="Calibri" w:hAnsi="Calibri"/>
                <w:color w:val="333333"/>
                <w:sz w:val="18"/>
              </w:rPr>
              <w:t>-20.2%</w:t>
            </w:r>
          </w:p>
        </w:tc>
      </w:tr>
      <w:tr>
        <w:tc>
          <w:tcPr>
            <w:tcW w:type="dxa" w:w="5040"/>
            <w:shd w:fill="F2F4F8" w:val="clear"/>
          </w:tcPr>
          <w:p>
            <w:r>
              <w:rPr>
                <w:rFonts w:ascii="Calibri" w:hAnsi="Calibri"/>
                <w:color w:val="333333"/>
                <w:sz w:val="18"/>
              </w:rPr>
              <w:t>90-Day Volatility</w:t>
            </w:r>
          </w:p>
        </w:tc>
        <w:tc>
          <w:tcPr>
            <w:tcW w:type="dxa" w:w="5040"/>
            <w:shd w:fill="F2F4F8" w:val="clear"/>
          </w:tcPr>
          <w:p>
            <w:r>
              <w:rPr>
                <w:rFonts w:ascii="Calibri" w:hAnsi="Calibri"/>
                <w:color w:val="333333"/>
                <w:sz w:val="18"/>
              </w:rPr>
              <w:t>34.7% (Ranks at the 0th percentile among 0 peers (peer median: 2.5%))</w:t>
            </w:r>
          </w:p>
        </w:tc>
      </w:tr>
      <w:tr>
        <w:tc>
          <w:tcPr>
            <w:tcW w:type="dxa" w:w="5040"/>
          </w:tcPr>
          <w:p>
            <w:r>
              <w:rPr>
                <w:rFonts w:ascii="Calibri" w:hAnsi="Calibri"/>
                <w:color w:val="333333"/>
                <w:sz w:val="18"/>
              </w:rPr>
              <w:t>Beta (vs S&amp;P 500)</w:t>
            </w:r>
          </w:p>
        </w:tc>
        <w:tc>
          <w:tcPr>
            <w:tcW w:type="dxa" w:w="5040"/>
          </w:tcPr>
          <w:p>
            <w:r>
              <w:rPr>
                <w:rFonts w:ascii="Calibri" w:hAnsi="Calibri"/>
                <w:color w:val="333333"/>
                <w:sz w:val="18"/>
              </w:rPr>
              <w:t>2.38</w:t>
            </w:r>
          </w:p>
        </w:tc>
      </w:tr>
    </w:tbl>
    <w:p>
      <w:pPr>
        <w:pStyle w:val="DOBody"/>
      </w:pPr>
      <w:r>
        <w:t>24 significant stock decline events detected in the 1Y period: 11 critical (&gt;10%), 13 notable (5-10%). 24 were company-specific, 3 were market-wide.</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shd w:fill="1A1446" w:val="clear"/>
          </w:tcPr>
          <w:p>
            <w:r>
              <w:rPr>
                <w:rFonts w:ascii="Calibri" w:hAnsi="Calibri"/>
                <w:b/>
                <w:color w:val="FFFFFF"/>
                <w:sz w:val="18"/>
              </w:rPr>
              <w:t>Date</w:t>
            </w:r>
          </w:p>
        </w:tc>
        <w:tc>
          <w:tcPr>
            <w:tcW w:type="dxa" w:w="1440"/>
            <w:shd w:fill="1A1446" w:val="clear"/>
          </w:tcPr>
          <w:p>
            <w:r>
              <w:rPr>
                <w:rFonts w:ascii="Calibri" w:hAnsi="Calibri"/>
                <w:b/>
                <w:color w:val="FFFFFF"/>
                <w:sz w:val="18"/>
              </w:rPr>
              <w:t>Drop %</w:t>
            </w:r>
          </w:p>
        </w:tc>
        <w:tc>
          <w:tcPr>
            <w:tcW w:type="dxa" w:w="1440"/>
            <w:shd w:fill="1A1446" w:val="clear"/>
          </w:tcPr>
          <w:p>
            <w:r>
              <w:rPr>
                <w:rFonts w:ascii="Calibri" w:hAnsi="Calibri"/>
                <w:b/>
                <w:color w:val="FFFFFF"/>
                <w:sz w:val="18"/>
              </w:rPr>
              <w:t>Recency</w:t>
            </w:r>
          </w:p>
        </w:tc>
        <w:tc>
          <w:tcPr>
            <w:tcW w:type="dxa" w:w="1440"/>
            <w:shd w:fill="1A1446" w:val="clear"/>
          </w:tcPr>
          <w:p>
            <w:r>
              <w:rPr>
                <w:rFonts w:ascii="Calibri" w:hAnsi="Calibri"/>
                <w:b/>
                <w:color w:val="FFFFFF"/>
                <w:sz w:val="18"/>
              </w:rPr>
              <w:t>Recovery</w:t>
            </w:r>
          </w:p>
        </w:tc>
        <w:tc>
          <w:tcPr>
            <w:tcW w:type="dxa" w:w="1440"/>
            <w:shd w:fill="1A1446" w:val="clear"/>
          </w:tcPr>
          <w:p>
            <w:r>
              <w:rPr>
                <w:rFonts w:ascii="Calibri" w:hAnsi="Calibri"/>
                <w:b/>
                <w:color w:val="FFFFFF"/>
                <w:sz w:val="18"/>
              </w:rPr>
              <w:t>Trigger Event</w:t>
            </w:r>
          </w:p>
        </w:tc>
        <w:tc>
          <w:tcPr>
            <w:tcW w:type="dxa" w:w="1440"/>
            <w:shd w:fill="1A1446" w:val="clear"/>
          </w:tcPr>
          <w:p>
            <w:r>
              <w:rPr>
                <w:rFonts w:ascii="Calibri" w:hAnsi="Calibri"/>
                <w:b/>
                <w:color w:val="FFFFFF"/>
                <w:sz w:val="18"/>
              </w:rPr>
              <w:t>Type</w:t>
            </w:r>
          </w:p>
        </w:tc>
        <w:tc>
          <w:tcPr>
            <w:tcW w:type="dxa" w:w="1440"/>
            <w:shd w:fill="1A1446" w:val="clear"/>
          </w:tcPr>
          <w:p>
            <w:r>
              <w:rPr>
                <w:rFonts w:ascii="Calibri" w:hAnsi="Calibri"/>
                <w:b/>
                <w:color w:val="FFFFFF"/>
                <w:sz w:val="18"/>
              </w:rPr>
              <w:t>Source</w:t>
            </w:r>
          </w:p>
        </w:tc>
      </w:tr>
      <w:tr>
        <w:tc>
          <w:tcPr>
            <w:tcW w:type="dxa" w:w="1440"/>
            <w:shd w:fill="FFF3CD" w:val="clear"/>
          </w:tcPr>
          <w:p>
            <w:r>
              <w:rPr>
                <w:rFonts w:ascii="Calibri" w:hAnsi="Calibri"/>
                <w:color w:val="333333"/>
                <w:sz w:val="18"/>
              </w:rPr>
              <w:t>2026-02-26</w:t>
            </w:r>
          </w:p>
        </w:tc>
        <w:tc>
          <w:tcPr>
            <w:tcW w:type="dxa" w:w="1440"/>
            <w:shd w:fill="FFF3CD" w:val="clear"/>
          </w:tcPr>
          <w:p>
            <w:r>
              <w:rPr>
                <w:rFonts w:ascii="Calibri" w:hAnsi="Calibri"/>
                <w:color w:val="333333"/>
                <w:sz w:val="18"/>
              </w:rPr>
              <w:t>-5.5%</w:t>
            </w:r>
          </w:p>
        </w:tc>
        <w:tc>
          <w:tcPr>
            <w:tcW w:type="dxa" w:w="1440"/>
            <w:shd w:fill="FFF3CD" w:val="clear"/>
          </w:tcPr>
          <w:p>
            <w:r>
              <w:rPr>
                <w:rFonts w:ascii="Calibri" w:hAnsi="Calibri"/>
                <w:color w:val="333333"/>
                <w:sz w:val="18"/>
              </w:rPr>
              <w:t>87%</w:t>
            </w:r>
          </w:p>
        </w:tc>
        <w:tc>
          <w:tcPr>
            <w:tcW w:type="dxa" w:w="1440"/>
            <w:shd w:fill="FFF3CD" w:val="clear"/>
          </w:tcPr>
          <w:p>
            <w:r>
              <w:rPr>
                <w:rFonts w:ascii="Calibri" w:hAnsi="Calibri"/>
                <w:color w:val="333333"/>
                <w:sz w:val="18"/>
              </w:rPr>
              <w:t>Not recovered</w:t>
            </w:r>
          </w:p>
        </w:tc>
        <w:tc>
          <w:tcPr>
            <w:tcW w:type="dxa" w:w="1440"/>
            <w:shd w:fill="FFF3CD" w:val="clear"/>
          </w:tcPr>
          <w:p>
            <w:r>
              <w:rPr>
                <w:rFonts w:ascii="Calibri" w:hAnsi="Calibri"/>
                <w:color w:val="333333"/>
                <w:sz w:val="18"/>
              </w:rPr>
              <w:t>Earnings release</w:t>
            </w:r>
          </w:p>
        </w:tc>
        <w:tc>
          <w:tcPr>
            <w:tcW w:type="dxa" w:w="1440"/>
            <w:shd w:fill="FFF3CD" w:val="clear"/>
          </w:tcPr>
          <w:p>
            <w:r>
              <w:rPr>
                <w:rFonts w:ascii="Calibri" w:hAnsi="Calibri"/>
                <w:color w:val="333333"/>
                <w:sz w:val="18"/>
              </w:rPr>
              <w:t>Company-Specific</w:t>
            </w:r>
          </w:p>
        </w:tc>
        <w:tc>
          <w:tcPr>
            <w:tcW w:type="dxa" w:w="1440"/>
            <w:shd w:fill="FFF3CD" w:val="clear"/>
          </w:tcPr>
          <w:p>
            <w:r>
              <w:rPr>
                <w:rFonts w:ascii="Calibri" w:hAnsi="Calibri"/>
                <w:color w:val="333333"/>
                <w:sz w:val="18"/>
              </w:rPr>
              <w:t>https://www.sec.gov/cgi-bin/browse-edgar?action...</w:t>
            </w:r>
          </w:p>
        </w:tc>
      </w:tr>
      <w:tr>
        <w:tc>
          <w:tcPr>
            <w:tcW w:type="dxa" w:w="1440"/>
            <w:shd w:fill="F2F4F8" w:val="clear"/>
            <w:shd w:fill="FCE8E6" w:val="clear"/>
          </w:tcPr>
          <w:p>
            <w:r>
              <w:rPr>
                <w:rFonts w:ascii="Calibri" w:hAnsi="Calibri"/>
                <w:color w:val="333333"/>
                <w:sz w:val="18"/>
              </w:rPr>
              <w:t>2025-01-27 to 2025-01-31 (5d)</w:t>
            </w:r>
          </w:p>
        </w:tc>
        <w:tc>
          <w:tcPr>
            <w:tcW w:type="dxa" w:w="1440"/>
            <w:shd w:fill="F2F4F8" w:val="clear"/>
            <w:shd w:fill="FCE8E6" w:val="clear"/>
          </w:tcPr>
          <w:p>
            <w:r>
              <w:rPr>
                <w:rFonts w:ascii="Calibri" w:hAnsi="Calibri"/>
                <w:color w:val="333333"/>
                <w:sz w:val="18"/>
              </w:rPr>
              <w:t>-19.6%</w:t>
            </w:r>
          </w:p>
        </w:tc>
        <w:tc>
          <w:tcPr>
            <w:tcW w:type="dxa" w:w="1440"/>
            <w:shd w:fill="F2F4F8" w:val="clear"/>
            <w:shd w:fill="FCE8E6" w:val="clear"/>
          </w:tcPr>
          <w:p>
            <w:r>
              <w:rPr>
                <w:rFonts w:ascii="Calibri" w:hAnsi="Calibri"/>
                <w:color w:val="333333"/>
                <w:sz w:val="18"/>
              </w:rPr>
              <w:t>19%</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https://www.cnbc.com/quotes/NVDA</w:t>
            </w:r>
          </w:p>
        </w:tc>
      </w:tr>
      <w:tr>
        <w:tc>
          <w:tcPr>
            <w:tcW w:type="dxa" w:w="1440"/>
            <w:shd w:fill="FCE8E6" w:val="clear"/>
          </w:tcPr>
          <w:p>
            <w:r>
              <w:rPr>
                <w:rFonts w:ascii="Calibri" w:hAnsi="Calibri"/>
                <w:color w:val="333333"/>
                <w:sz w:val="18"/>
              </w:rPr>
              <w:t>2025-04-03 to 2025-04-04 (2d)</w:t>
            </w:r>
          </w:p>
        </w:tc>
        <w:tc>
          <w:tcPr>
            <w:tcW w:type="dxa" w:w="1440"/>
            <w:shd w:fill="FCE8E6" w:val="clear"/>
          </w:tcPr>
          <w:p>
            <w:r>
              <w:rPr>
                <w:rFonts w:ascii="Calibri" w:hAnsi="Calibri"/>
                <w:color w:val="333333"/>
                <w:sz w:val="18"/>
              </w:rPr>
              <w:t>-14.6%</w:t>
            </w:r>
          </w:p>
        </w:tc>
        <w:tc>
          <w:tcPr>
            <w:tcW w:type="dxa" w:w="1440"/>
            <w:shd w:fill="FCE8E6" w:val="clear"/>
          </w:tcPr>
          <w:p>
            <w:r>
              <w:rPr>
                <w:rFonts w:ascii="Calibri" w:hAnsi="Calibri"/>
                <w:color w:val="333333"/>
                <w:sz w:val="18"/>
              </w:rPr>
              <w:t>25%</w:t>
            </w:r>
          </w:p>
        </w:tc>
        <w:tc>
          <w:tcPr>
            <w:tcW w:type="dxa" w:w="1440"/>
            <w:shd w:fill="FCE8E6" w:val="clear"/>
          </w:tcPr>
          <w:p>
            <w:r>
              <w:rPr>
                <w:rFonts w:ascii="Calibri" w:hAnsi="Calibri"/>
                <w:color w:val="333333"/>
                <w:sz w:val="18"/>
              </w:rPr>
              <w:t>3 days</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Market-Wide Event</w:t>
            </w:r>
          </w:p>
        </w:tc>
        <w:tc>
          <w:tcPr>
            <w:tcW w:type="dxa" w:w="1440"/>
            <w:shd w:fill="FCE8E6" w:val="clear"/>
          </w:tcPr>
          <w:p>
            <w:r>
              <w:rPr>
                <w:rFonts w:ascii="Calibri" w:hAnsi="Calibri"/>
                <w:color w:val="333333"/>
                <w:sz w:val="18"/>
              </w:rPr>
              <w:t>https://www.cnbc.com/quotes/NVDA</w:t>
            </w:r>
          </w:p>
        </w:tc>
      </w:tr>
      <w:tr>
        <w:tc>
          <w:tcPr>
            <w:tcW w:type="dxa" w:w="1440"/>
            <w:shd w:fill="F2F4F8" w:val="clear"/>
            <w:shd w:fill="FCE8E6" w:val="clear"/>
          </w:tcPr>
          <w:p>
            <w:r>
              <w:rPr>
                <w:rFonts w:ascii="Calibri" w:hAnsi="Calibri"/>
                <w:color w:val="333333"/>
                <w:sz w:val="18"/>
              </w:rPr>
              <w:t>2025-01-27</w:t>
            </w:r>
          </w:p>
        </w:tc>
        <w:tc>
          <w:tcPr>
            <w:tcW w:type="dxa" w:w="1440"/>
            <w:shd w:fill="F2F4F8" w:val="clear"/>
            <w:shd w:fill="FCE8E6" w:val="clear"/>
          </w:tcPr>
          <w:p>
            <w:r>
              <w:rPr>
                <w:rFonts w:ascii="Calibri" w:hAnsi="Calibri"/>
                <w:color w:val="333333"/>
                <w:sz w:val="18"/>
              </w:rPr>
              <w:t>-17.0%</w:t>
            </w:r>
          </w:p>
        </w:tc>
        <w:tc>
          <w:tcPr>
            <w:tcW w:type="dxa" w:w="1440"/>
            <w:shd w:fill="F2F4F8" w:val="clear"/>
            <w:shd w:fill="FCE8E6" w:val="clear"/>
          </w:tcPr>
          <w:p>
            <w:r>
              <w:rPr>
                <w:rFonts w:ascii="Calibri" w:hAnsi="Calibri"/>
                <w:color w:val="333333"/>
                <w:sz w:val="18"/>
              </w:rPr>
              <w:t>19%</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https://www.cnbc.com/quotes/NVDA</w:t>
            </w:r>
          </w:p>
        </w:tc>
      </w:tr>
      <w:tr>
        <w:tc>
          <w:tcPr>
            <w:tcW w:type="dxa" w:w="1440"/>
            <w:shd w:fill="FCE8E6" w:val="clear"/>
          </w:tcPr>
          <w:p>
            <w:r>
              <w:rPr>
                <w:rFonts w:ascii="Calibri" w:hAnsi="Calibri"/>
                <w:color w:val="333333"/>
                <w:sz w:val="18"/>
              </w:rPr>
              <w:t>2025-01-31 (5d)</w:t>
            </w:r>
          </w:p>
        </w:tc>
        <w:tc>
          <w:tcPr>
            <w:tcW w:type="dxa" w:w="1440"/>
            <w:shd w:fill="FCE8E6" w:val="clear"/>
          </w:tcPr>
          <w:p>
            <w:r>
              <w:rPr>
                <w:rFonts w:ascii="Calibri" w:hAnsi="Calibri"/>
                <w:color w:val="333333"/>
                <w:sz w:val="18"/>
              </w:rPr>
              <w:t>-15.8%</w:t>
            </w:r>
          </w:p>
        </w:tc>
        <w:tc>
          <w:tcPr>
            <w:tcW w:type="dxa" w:w="1440"/>
            <w:shd w:fill="FCE8E6" w:val="clear"/>
          </w:tcPr>
          <w:p>
            <w:r>
              <w:rPr>
                <w:rFonts w:ascii="Calibri" w:hAnsi="Calibri"/>
                <w:color w:val="333333"/>
                <w:sz w:val="18"/>
              </w:rPr>
              <w:t>19%</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https://www.cnbc.com/quotes/NVDA</w:t>
            </w:r>
          </w:p>
        </w:tc>
      </w:tr>
      <w:tr>
        <w:tc>
          <w:tcPr>
            <w:tcW w:type="dxa" w:w="1440"/>
            <w:shd w:fill="F2F4F8" w:val="clear"/>
            <w:shd w:fill="FCE8E6" w:val="clear"/>
          </w:tcPr>
          <w:p>
            <w:r>
              <w:rPr>
                <w:rFonts w:ascii="Calibri" w:hAnsi="Calibri"/>
                <w:color w:val="333333"/>
                <w:sz w:val="18"/>
              </w:rPr>
              <w:t>2025-01-29 (5d)</w:t>
            </w:r>
          </w:p>
        </w:tc>
        <w:tc>
          <w:tcPr>
            <w:tcW w:type="dxa" w:w="1440"/>
            <w:shd w:fill="F2F4F8" w:val="clear"/>
            <w:shd w:fill="FCE8E6" w:val="clear"/>
          </w:tcPr>
          <w:p>
            <w:r>
              <w:rPr>
                <w:rFonts w:ascii="Calibri" w:hAnsi="Calibri"/>
                <w:color w:val="333333"/>
                <w:sz w:val="18"/>
              </w:rPr>
              <w:t>-15.9%</w:t>
            </w:r>
          </w:p>
        </w:tc>
        <w:tc>
          <w:tcPr>
            <w:tcW w:type="dxa" w:w="1440"/>
            <w:shd w:fill="F2F4F8" w:val="clear"/>
            <w:shd w:fill="FCE8E6" w:val="clear"/>
          </w:tcPr>
          <w:p>
            <w:r>
              <w:rPr>
                <w:rFonts w:ascii="Calibri" w:hAnsi="Calibri"/>
                <w:color w:val="333333"/>
                <w:sz w:val="18"/>
              </w:rPr>
              <w:t>19%</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https://www.cnbc.com/quotes/NVDA</w:t>
            </w:r>
          </w:p>
        </w:tc>
      </w:tr>
      <w:tr>
        <w:tc>
          <w:tcPr>
            <w:tcW w:type="dxa" w:w="1440"/>
            <w:shd w:fill="FCE8E6" w:val="clear"/>
          </w:tcPr>
          <w:p>
            <w:r>
              <w:rPr>
                <w:rFonts w:ascii="Calibri" w:hAnsi="Calibri"/>
                <w:color w:val="333333"/>
                <w:sz w:val="18"/>
              </w:rPr>
              <w:t>2025-01-30 (5d)</w:t>
            </w:r>
          </w:p>
        </w:tc>
        <w:tc>
          <w:tcPr>
            <w:tcW w:type="dxa" w:w="1440"/>
            <w:shd w:fill="FCE8E6" w:val="clear"/>
          </w:tcPr>
          <w:p>
            <w:r>
              <w:rPr>
                <w:rFonts w:ascii="Calibri" w:hAnsi="Calibri"/>
                <w:color w:val="333333"/>
                <w:sz w:val="18"/>
              </w:rPr>
              <w:t>-15.3%</w:t>
            </w:r>
          </w:p>
        </w:tc>
        <w:tc>
          <w:tcPr>
            <w:tcW w:type="dxa" w:w="1440"/>
            <w:shd w:fill="FCE8E6" w:val="clear"/>
          </w:tcPr>
          <w:p>
            <w:r>
              <w:rPr>
                <w:rFonts w:ascii="Calibri" w:hAnsi="Calibri"/>
                <w:color w:val="333333"/>
                <w:sz w:val="18"/>
              </w:rPr>
              <w:t>19%</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https://www.cnbc.com/quotes/NVDA</w:t>
            </w:r>
          </w:p>
        </w:tc>
      </w:tr>
      <w:tr>
        <w:tc>
          <w:tcPr>
            <w:tcW w:type="dxa" w:w="1440"/>
            <w:shd w:fill="F2F4F8" w:val="clear"/>
            <w:shd w:fill="FCE8E6" w:val="clear"/>
          </w:tcPr>
          <w:p>
            <w:r>
              <w:rPr>
                <w:rFonts w:ascii="Calibri" w:hAnsi="Calibri"/>
                <w:color w:val="333333"/>
                <w:sz w:val="18"/>
              </w:rPr>
              <w:t>2024-08-07 (20d)</w:t>
            </w:r>
          </w:p>
        </w:tc>
        <w:tc>
          <w:tcPr>
            <w:tcW w:type="dxa" w:w="1440"/>
            <w:shd w:fill="F2F4F8" w:val="clear"/>
            <w:shd w:fill="FCE8E6" w:val="clear"/>
          </w:tcPr>
          <w:p>
            <w:r>
              <w:rPr>
                <w:rFonts w:ascii="Calibri" w:hAnsi="Calibri"/>
                <w:color w:val="333333"/>
                <w:sz w:val="18"/>
              </w:rPr>
              <w:t>-26.7%</w:t>
            </w:r>
          </w:p>
        </w:tc>
        <w:tc>
          <w:tcPr>
            <w:tcW w:type="dxa" w:w="1440"/>
            <w:shd w:fill="F2F4F8" w:val="clear"/>
            <w:shd w:fill="FCE8E6" w:val="clear"/>
          </w:tcPr>
          <w:p>
            <w:r>
              <w:rPr>
                <w:rFonts w:ascii="Calibri" w:hAnsi="Calibri"/>
                <w:color w:val="333333"/>
                <w:sz w:val="18"/>
              </w:rPr>
              <w:t>10%</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https://www.cnbc.com/quotes/NVDA</w:t>
            </w:r>
          </w:p>
        </w:tc>
      </w:tr>
      <w:tr>
        <w:tc>
          <w:tcPr>
            <w:tcW w:type="dxa" w:w="1440"/>
            <w:shd w:fill="FCE8E6" w:val="clear"/>
          </w:tcPr>
          <w:p>
            <w:r>
              <w:rPr>
                <w:rFonts w:ascii="Calibri" w:hAnsi="Calibri"/>
                <w:color w:val="333333"/>
                <w:sz w:val="18"/>
              </w:rPr>
              <w:t>2025-04-03 (2d)</w:t>
            </w:r>
          </w:p>
        </w:tc>
        <w:tc>
          <w:tcPr>
            <w:tcW w:type="dxa" w:w="1440"/>
            <w:shd w:fill="FCE8E6" w:val="clear"/>
          </w:tcPr>
          <w:p>
            <w:r>
              <w:rPr>
                <w:rFonts w:ascii="Calibri" w:hAnsi="Calibri"/>
                <w:color w:val="333333"/>
                <w:sz w:val="18"/>
              </w:rPr>
              <w:t>-14.6%</w:t>
            </w:r>
          </w:p>
        </w:tc>
        <w:tc>
          <w:tcPr>
            <w:tcW w:type="dxa" w:w="1440"/>
            <w:shd w:fill="FCE8E6" w:val="clear"/>
          </w:tcPr>
          <w:p>
            <w:r>
              <w:rPr>
                <w:rFonts w:ascii="Calibri" w:hAnsi="Calibri"/>
                <w:color w:val="333333"/>
                <w:sz w:val="18"/>
              </w:rPr>
              <w:t>25%</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Market-Wide Event</w:t>
            </w:r>
          </w:p>
        </w:tc>
        <w:tc>
          <w:tcPr>
            <w:tcW w:type="dxa" w:w="1440"/>
            <w:shd w:fill="FCE8E6" w:val="clear"/>
          </w:tcPr>
          <w:p>
            <w:r>
              <w:rPr>
                <w:rFonts w:ascii="Calibri" w:hAnsi="Calibri"/>
                <w:color w:val="333333"/>
                <w:sz w:val="18"/>
              </w:rPr>
              <w:t>https://www.cnbc.com/quotes/NVDA</w:t>
            </w:r>
          </w:p>
        </w:tc>
      </w:tr>
      <w:tr>
        <w:tc>
          <w:tcPr>
            <w:tcW w:type="dxa" w:w="1440"/>
            <w:shd w:fill="F2F4F8" w:val="clear"/>
            <w:shd w:fill="FCE8E6" w:val="clear"/>
          </w:tcPr>
          <w:p>
            <w:r>
              <w:rPr>
                <w:rFonts w:ascii="Calibri" w:hAnsi="Calibri"/>
                <w:color w:val="333333"/>
                <w:sz w:val="18"/>
              </w:rPr>
              <w:t>2024-08-29 to 2024-09-04 (7d)</w:t>
            </w:r>
          </w:p>
        </w:tc>
        <w:tc>
          <w:tcPr>
            <w:tcW w:type="dxa" w:w="1440"/>
            <w:shd w:fill="F2F4F8" w:val="clear"/>
            <w:shd w:fill="FCE8E6" w:val="clear"/>
          </w:tcPr>
          <w:p>
            <w:r>
              <w:rPr>
                <w:rFonts w:ascii="Calibri" w:hAnsi="Calibri"/>
                <w:color w:val="333333"/>
                <w:sz w:val="18"/>
              </w:rPr>
              <w:t>-17.2%</w:t>
            </w:r>
          </w:p>
        </w:tc>
        <w:tc>
          <w:tcPr>
            <w:tcW w:type="dxa" w:w="1440"/>
            <w:shd w:fill="F2F4F8" w:val="clear"/>
            <w:shd w:fill="FCE8E6" w:val="clear"/>
          </w:tcPr>
          <w:p>
            <w:r>
              <w:rPr>
                <w:rFonts w:ascii="Calibri" w:hAnsi="Calibri"/>
                <w:color w:val="333333"/>
                <w:sz w:val="18"/>
              </w:rPr>
              <w:t>11%</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https://www.cnbc.com/quotes/NVDA</w:t>
            </w:r>
          </w:p>
        </w:tc>
      </w:tr>
      <w:tr>
        <w:tc>
          <w:tcPr>
            <w:tcW w:type="dxa" w:w="1440"/>
            <w:shd w:fill="FFF3CD" w:val="clear"/>
          </w:tcPr>
          <w:p>
            <w:r>
              <w:rPr>
                <w:rFonts w:ascii="Calibri" w:hAnsi="Calibri"/>
                <w:color w:val="333333"/>
                <w:sz w:val="18"/>
              </w:rPr>
              <w:t>2025-02-27 (4d)</w:t>
            </w:r>
          </w:p>
        </w:tc>
        <w:tc>
          <w:tcPr>
            <w:tcW w:type="dxa" w:w="1440"/>
            <w:shd w:fill="FFF3CD" w:val="clear"/>
          </w:tcPr>
          <w:p>
            <w:r>
              <w:rPr>
                <w:rFonts w:ascii="Calibri" w:hAnsi="Calibri"/>
                <w:color w:val="333333"/>
                <w:sz w:val="18"/>
              </w:rPr>
              <w:t>-8.7%</w:t>
            </w:r>
          </w:p>
        </w:tc>
        <w:tc>
          <w:tcPr>
            <w:tcW w:type="dxa" w:w="1440"/>
            <w:shd w:fill="FFF3CD" w:val="clear"/>
          </w:tcPr>
          <w:p>
            <w:r>
              <w:rPr>
                <w:rFonts w:ascii="Calibri" w:hAnsi="Calibri"/>
                <w:color w:val="333333"/>
                <w:sz w:val="18"/>
              </w:rPr>
              <w:t>22%</w:t>
            </w:r>
          </w:p>
        </w:tc>
        <w:tc>
          <w:tcPr>
            <w:tcW w:type="dxa" w:w="1440"/>
            <w:shd w:fill="FFF3CD" w:val="clear"/>
          </w:tcPr>
          <w:p>
            <w:r>
              <w:rPr>
                <w:rFonts w:ascii="Calibri" w:hAnsi="Calibri"/>
                <w:color w:val="333333"/>
                <w:sz w:val="18"/>
              </w:rPr>
              <w:t>Not recovered</w:t>
            </w:r>
          </w:p>
        </w:tc>
        <w:tc>
          <w:tcPr>
            <w:tcW w:type="dxa" w:w="1440"/>
            <w:shd w:fill="FFF3CD" w:val="clear"/>
          </w:tcPr>
          <w:p>
            <w:r>
              <w:rPr>
                <w:rFonts w:ascii="Calibri" w:hAnsi="Calibri"/>
                <w:color w:val="333333"/>
                <w:sz w:val="18"/>
              </w:rPr>
              <w:t>Earnings release</w:t>
            </w:r>
          </w:p>
        </w:tc>
        <w:tc>
          <w:tcPr>
            <w:tcW w:type="dxa" w:w="1440"/>
            <w:shd w:fill="FFF3CD" w:val="clear"/>
          </w:tcPr>
          <w:p>
            <w:r>
              <w:rPr>
                <w:rFonts w:ascii="Calibri" w:hAnsi="Calibri"/>
                <w:color w:val="333333"/>
                <w:sz w:val="18"/>
              </w:rPr>
              <w:t>Company-Specific</w:t>
            </w:r>
          </w:p>
        </w:tc>
        <w:tc>
          <w:tcPr>
            <w:tcW w:type="dxa" w:w="1440"/>
            <w:shd w:fill="FFF3CD" w:val="clear"/>
          </w:tcPr>
          <w:p>
            <w:r>
              <w:rPr>
                <w:rFonts w:ascii="Calibri" w:hAnsi="Calibri"/>
                <w:color w:val="333333"/>
                <w:sz w:val="18"/>
              </w:rPr>
              <w:t>https://www.cnbc.com/quotes/NVDA</w:t>
            </w:r>
          </w:p>
        </w:tc>
      </w:tr>
      <w:tr>
        <w:tc>
          <w:tcPr>
            <w:tcW w:type="dxa" w:w="1440"/>
            <w:shd w:fill="F2F4F8" w:val="clear"/>
            <w:shd w:fill="FFF3CD" w:val="clear"/>
          </w:tcPr>
          <w:p>
            <w:r>
              <w:rPr>
                <w:rFonts w:ascii="Calibri" w:hAnsi="Calibri"/>
                <w:color w:val="333333"/>
                <w:sz w:val="18"/>
              </w:rPr>
              <w:t>2025-04-16</w:t>
            </w:r>
          </w:p>
        </w:tc>
        <w:tc>
          <w:tcPr>
            <w:tcW w:type="dxa" w:w="1440"/>
            <w:shd w:fill="F2F4F8" w:val="clear"/>
            <w:shd w:fill="FFF3CD" w:val="clear"/>
          </w:tcPr>
          <w:p>
            <w:r>
              <w:rPr>
                <w:rFonts w:ascii="Calibri" w:hAnsi="Calibri"/>
                <w:color w:val="333333"/>
                <w:sz w:val="18"/>
              </w:rPr>
              <w:t>-6.9%</w:t>
            </w:r>
          </w:p>
        </w:tc>
        <w:tc>
          <w:tcPr>
            <w:tcW w:type="dxa" w:w="1440"/>
            <w:shd w:fill="F2F4F8" w:val="clear"/>
            <w:shd w:fill="FFF3CD" w:val="clear"/>
          </w:tcPr>
          <w:p>
            <w:r>
              <w:rPr>
                <w:rFonts w:ascii="Calibri" w:hAnsi="Calibri"/>
                <w:color w:val="333333"/>
                <w:sz w:val="18"/>
              </w:rPr>
              <w:t>26%</w:t>
            </w:r>
          </w:p>
        </w:tc>
        <w:tc>
          <w:tcPr>
            <w:tcW w:type="dxa" w:w="1440"/>
            <w:shd w:fill="F2F4F8" w:val="clear"/>
            <w:shd w:fill="FFF3CD" w:val="clear"/>
          </w:tcPr>
          <w:p>
            <w:r>
              <w:rPr>
                <w:rFonts w:ascii="Calibri" w:hAnsi="Calibri"/>
                <w:color w:val="333333"/>
                <w:sz w:val="18"/>
              </w:rPr>
              <w:t>11 days</w:t>
            </w:r>
          </w:p>
        </w:tc>
        <w:tc>
          <w:tcPr>
            <w:tcW w:type="dxa" w:w="1440"/>
            <w:shd w:fill="F2F4F8" w:val="clear"/>
            <w:shd w:fill="FFF3CD" w:val="clear"/>
          </w:tcPr>
          <w:p>
            <w:r>
              <w:rPr>
                <w:rFonts w:ascii="Calibri" w:hAnsi="Calibri"/>
                <w:color w:val="333333"/>
                <w:sz w:val="18"/>
              </w:rPr>
              <w:t>8-K Filing</w:t>
            </w:r>
          </w:p>
        </w:tc>
        <w:tc>
          <w:tcPr>
            <w:tcW w:type="dxa" w:w="1440"/>
            <w:shd w:fill="F2F4F8" w:val="clear"/>
            <w:shd w:fill="FFF3CD" w:val="clear"/>
          </w:tcPr>
          <w:p>
            <w:r>
              <w:rPr>
                <w:rFonts w:ascii="Calibri" w:hAnsi="Calibri"/>
                <w:color w:val="333333"/>
                <w:sz w:val="18"/>
              </w:rPr>
              <w:t>Company-Specific</w:t>
            </w:r>
          </w:p>
        </w:tc>
        <w:tc>
          <w:tcPr>
            <w:tcW w:type="dxa" w:w="1440"/>
            <w:shd w:fill="F2F4F8" w:val="clear"/>
            <w:shd w:fill="FFF3CD" w:val="clear"/>
          </w:tcPr>
          <w:p>
            <w:r>
              <w:rPr>
                <w:rFonts w:ascii="Calibri" w:hAnsi="Calibri"/>
                <w:color w:val="333333"/>
                <w:sz w:val="18"/>
              </w:rPr>
              <w:t>https://www.sec.gov/cgi-bin/browse-edgar?action...</w:t>
            </w:r>
          </w:p>
        </w:tc>
      </w:tr>
      <w:tr>
        <w:tc>
          <w:tcPr>
            <w:tcW w:type="dxa" w:w="1440"/>
            <w:shd w:fill="FFF3CD" w:val="clear"/>
          </w:tcPr>
          <w:p>
            <w:r>
              <w:rPr>
                <w:rFonts w:ascii="Calibri" w:hAnsi="Calibri"/>
                <w:color w:val="333333"/>
                <w:sz w:val="18"/>
              </w:rPr>
              <w:t>2025-04-10</w:t>
            </w:r>
          </w:p>
        </w:tc>
        <w:tc>
          <w:tcPr>
            <w:tcW w:type="dxa" w:w="1440"/>
            <w:shd w:fill="FFF3CD" w:val="clear"/>
          </w:tcPr>
          <w:p>
            <w:r>
              <w:rPr>
                <w:rFonts w:ascii="Calibri" w:hAnsi="Calibri"/>
                <w:color w:val="333333"/>
                <w:sz w:val="18"/>
              </w:rPr>
              <w:t>-5.9%</w:t>
            </w:r>
          </w:p>
        </w:tc>
        <w:tc>
          <w:tcPr>
            <w:tcW w:type="dxa" w:w="1440"/>
            <w:shd w:fill="FFF3CD" w:val="clear"/>
          </w:tcPr>
          <w:p>
            <w:r>
              <w:rPr>
                <w:rFonts w:ascii="Calibri" w:hAnsi="Calibri"/>
                <w:color w:val="333333"/>
                <w:sz w:val="18"/>
              </w:rPr>
              <w:t>25%</w:t>
            </w:r>
          </w:p>
        </w:tc>
        <w:tc>
          <w:tcPr>
            <w:tcW w:type="dxa" w:w="1440"/>
            <w:shd w:fill="FFF3CD" w:val="clear"/>
          </w:tcPr>
          <w:p>
            <w:r>
              <w:rPr>
                <w:rFonts w:ascii="Calibri" w:hAnsi="Calibri"/>
                <w:color w:val="333333"/>
                <w:sz w:val="18"/>
              </w:rPr>
              <w:t>15 days</w:t>
            </w:r>
          </w:p>
        </w:tc>
        <w:tc>
          <w:tcPr>
            <w:tcW w:type="dxa" w:w="1440"/>
            <w:shd w:fill="FFF3CD" w:val="clear"/>
          </w:tcPr>
          <w:p>
            <w:r>
              <w:rPr>
                <w:rFonts w:ascii="Calibri" w:hAnsi="Calibri"/>
                <w:color w:val="333333"/>
                <w:sz w:val="18"/>
              </w:rPr>
              <w:t>8-K Filing</w:t>
            </w:r>
          </w:p>
        </w:tc>
        <w:tc>
          <w:tcPr>
            <w:tcW w:type="dxa" w:w="1440"/>
            <w:shd w:fill="FFF3CD" w:val="clear"/>
          </w:tcPr>
          <w:p>
            <w:r>
              <w:rPr>
                <w:rFonts w:ascii="Calibri" w:hAnsi="Calibri"/>
                <w:color w:val="333333"/>
                <w:sz w:val="18"/>
              </w:rPr>
              <w:t>Market-Wide Event</w:t>
            </w:r>
          </w:p>
        </w:tc>
        <w:tc>
          <w:tcPr>
            <w:tcW w:type="dxa" w:w="1440"/>
            <w:shd w:fill="FFF3CD" w:val="clear"/>
          </w:tcPr>
          <w:p>
            <w:r>
              <w:rPr>
                <w:rFonts w:ascii="Calibri" w:hAnsi="Calibri"/>
                <w:color w:val="333333"/>
                <w:sz w:val="18"/>
              </w:rPr>
              <w:t>https://www.sec.gov/cgi-bin/browse-edgar?action...</w:t>
            </w:r>
          </w:p>
        </w:tc>
      </w:tr>
      <w:tr>
        <w:tc>
          <w:tcPr>
            <w:tcW w:type="dxa" w:w="1440"/>
            <w:shd w:fill="F2F4F8" w:val="clear"/>
            <w:shd w:fill="FCE8E6" w:val="clear"/>
          </w:tcPr>
          <w:p>
            <w:r>
              <w:rPr>
                <w:rFonts w:ascii="Calibri" w:hAnsi="Calibri"/>
                <w:color w:val="333333"/>
                <w:sz w:val="18"/>
              </w:rPr>
              <w:t>2024-07-30</w:t>
            </w:r>
          </w:p>
        </w:tc>
        <w:tc>
          <w:tcPr>
            <w:tcW w:type="dxa" w:w="1440"/>
            <w:shd w:fill="F2F4F8" w:val="clear"/>
            <w:shd w:fill="FCE8E6" w:val="clear"/>
          </w:tcPr>
          <w:p>
            <w:r>
              <w:rPr>
                <w:rFonts w:ascii="Calibri" w:hAnsi="Calibri"/>
                <w:color w:val="333333"/>
                <w:sz w:val="18"/>
              </w:rPr>
              <w:t>-19.3%</w:t>
            </w:r>
          </w:p>
        </w:tc>
        <w:tc>
          <w:tcPr>
            <w:tcW w:type="dxa" w:w="1440"/>
            <w:shd w:fill="F2F4F8" w:val="clear"/>
            <w:shd w:fill="FCE8E6" w:val="clear"/>
          </w:tcPr>
          <w:p>
            <w:r>
              <w:rPr>
                <w:rFonts w:ascii="Calibri" w:hAnsi="Calibri"/>
                <w:color w:val="333333"/>
                <w:sz w:val="18"/>
              </w:rPr>
              <w:t>10%</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https://www.cnbc.com/quotes/NVDA</w:t>
            </w:r>
          </w:p>
        </w:tc>
      </w:tr>
      <w:tr>
        <w:tc>
          <w:tcPr>
            <w:tcW w:type="dxa" w:w="1440"/>
            <w:shd w:fill="FFF3CD" w:val="clear"/>
          </w:tcPr>
          <w:p>
            <w:r>
              <w:rPr>
                <w:rFonts w:ascii="Calibri" w:hAnsi="Calibri"/>
                <w:color w:val="333333"/>
                <w:sz w:val="18"/>
              </w:rPr>
              <w:t>2025-03-26</w:t>
            </w:r>
          </w:p>
        </w:tc>
        <w:tc>
          <w:tcPr>
            <w:tcW w:type="dxa" w:w="1440"/>
            <w:shd w:fill="FFF3CD" w:val="clear"/>
          </w:tcPr>
          <w:p>
            <w:r>
              <w:rPr>
                <w:rFonts w:ascii="Calibri" w:hAnsi="Calibri"/>
                <w:color w:val="333333"/>
                <w:sz w:val="18"/>
              </w:rPr>
              <w:t>-5.7%</w:t>
            </w:r>
          </w:p>
        </w:tc>
        <w:tc>
          <w:tcPr>
            <w:tcW w:type="dxa" w:w="1440"/>
            <w:shd w:fill="FFF3CD" w:val="clear"/>
          </w:tcPr>
          <w:p>
            <w:r>
              <w:rPr>
                <w:rFonts w:ascii="Calibri" w:hAnsi="Calibri"/>
                <w:color w:val="333333"/>
                <w:sz w:val="18"/>
              </w:rPr>
              <w:t>24%</w:t>
            </w:r>
          </w:p>
        </w:tc>
        <w:tc>
          <w:tcPr>
            <w:tcW w:type="dxa" w:w="1440"/>
            <w:shd w:fill="FFF3CD" w:val="clear"/>
          </w:tcPr>
          <w:p>
            <w:r>
              <w:rPr>
                <w:rFonts w:ascii="Calibri" w:hAnsi="Calibri"/>
                <w:color w:val="333333"/>
                <w:sz w:val="18"/>
              </w:rPr>
              <w:t>Not recovered</w:t>
            </w:r>
          </w:p>
        </w:tc>
        <w:tc>
          <w:tcPr>
            <w:tcW w:type="dxa" w:w="1440"/>
            <w:shd w:fill="FFF3CD" w:val="clear"/>
          </w:tcPr>
          <w:p>
            <w:r>
              <w:rPr>
                <w:rFonts w:ascii="Calibri" w:hAnsi="Calibri"/>
                <w:color w:val="333333"/>
                <w:sz w:val="18"/>
              </w:rPr>
              <w:t>Unconfirmed -- Requires Investigation</w:t>
            </w:r>
          </w:p>
        </w:tc>
        <w:tc>
          <w:tcPr>
            <w:tcW w:type="dxa" w:w="1440"/>
            <w:shd w:fill="FFF3CD" w:val="clear"/>
          </w:tcPr>
          <w:p>
            <w:r>
              <w:rPr>
                <w:rFonts w:ascii="Calibri" w:hAnsi="Calibri"/>
                <w:color w:val="333333"/>
                <w:sz w:val="18"/>
              </w:rPr>
              <w:t>Company-Specific</w:t>
            </w:r>
          </w:p>
        </w:tc>
        <w:tc>
          <w:tcPr>
            <w:tcW w:type="dxa" w:w="1440"/>
            <w:shd w:fill="FFF3CD" w:val="clear"/>
          </w:tcPr>
          <w:p>
            <w:r>
              <w:rPr>
                <w:rFonts w:ascii="Calibri" w:hAnsi="Calibri"/>
                <w:color w:val="333333"/>
                <w:sz w:val="18"/>
              </w:rPr>
              <w:t>https://www.cnbc.com/quotes/NVDA</w:t>
            </w:r>
          </w:p>
        </w:tc>
      </w:tr>
      <w:tr>
        <w:tc>
          <w:tcPr>
            <w:tcW w:type="dxa" w:w="1440"/>
            <w:shd w:fill="F2F4F8" w:val="clear"/>
            <w:shd w:fill="FFF3CD" w:val="clear"/>
          </w:tcPr>
          <w:p>
            <w:r>
              <w:rPr>
                <w:rFonts w:ascii="Calibri" w:hAnsi="Calibri"/>
                <w:color w:val="333333"/>
                <w:sz w:val="18"/>
              </w:rPr>
              <w:t>2025-01-07</w:t>
            </w:r>
          </w:p>
        </w:tc>
        <w:tc>
          <w:tcPr>
            <w:tcW w:type="dxa" w:w="1440"/>
            <w:shd w:fill="F2F4F8" w:val="clear"/>
            <w:shd w:fill="FFF3CD" w:val="clear"/>
          </w:tcPr>
          <w:p>
            <w:r>
              <w:rPr>
                <w:rFonts w:ascii="Calibri" w:hAnsi="Calibri"/>
                <w:color w:val="333333"/>
                <w:sz w:val="18"/>
              </w:rPr>
              <w:t>-6.2%</w:t>
            </w:r>
          </w:p>
        </w:tc>
        <w:tc>
          <w:tcPr>
            <w:tcW w:type="dxa" w:w="1440"/>
            <w:shd w:fill="F2F4F8" w:val="clear"/>
            <w:shd w:fill="FFF3CD" w:val="clear"/>
          </w:tcPr>
          <w:p>
            <w:r>
              <w:rPr>
                <w:rFonts w:ascii="Calibri" w:hAnsi="Calibri"/>
                <w:color w:val="333333"/>
                <w:sz w:val="18"/>
              </w:rPr>
              <w:t>18%</w:t>
            </w:r>
          </w:p>
        </w:tc>
        <w:tc>
          <w:tcPr>
            <w:tcW w:type="dxa" w:w="1440"/>
            <w:shd w:fill="F2F4F8" w:val="clear"/>
            <w:shd w:fill="FFF3CD" w:val="clear"/>
          </w:tcPr>
          <w:p>
            <w:r>
              <w:rPr>
                <w:rFonts w:ascii="Calibri" w:hAnsi="Calibri"/>
                <w:color w:val="333333"/>
                <w:sz w:val="18"/>
              </w:rPr>
              <w:t>Not recovered</w:t>
            </w:r>
          </w:p>
        </w:tc>
        <w:tc>
          <w:tcPr>
            <w:tcW w:type="dxa" w:w="1440"/>
            <w:shd w:fill="F2F4F8" w:val="clear"/>
            <w:shd w:fill="FFF3CD" w:val="clear"/>
          </w:tcPr>
          <w:p>
            <w:r>
              <w:rPr>
                <w:rFonts w:ascii="Calibri" w:hAnsi="Calibri"/>
                <w:color w:val="333333"/>
                <w:sz w:val="18"/>
              </w:rPr>
              <w:t>Unconfirmed -- Requires Investigation</w:t>
            </w:r>
          </w:p>
        </w:tc>
        <w:tc>
          <w:tcPr>
            <w:tcW w:type="dxa" w:w="1440"/>
            <w:shd w:fill="F2F4F8" w:val="clear"/>
            <w:shd w:fill="FFF3CD" w:val="clear"/>
          </w:tcPr>
          <w:p>
            <w:r>
              <w:rPr>
                <w:rFonts w:ascii="Calibri" w:hAnsi="Calibri"/>
                <w:color w:val="333333"/>
                <w:sz w:val="18"/>
              </w:rPr>
              <w:t>Company-Specific</w:t>
            </w:r>
          </w:p>
        </w:tc>
        <w:tc>
          <w:tcPr>
            <w:tcW w:type="dxa" w:w="1440"/>
            <w:shd w:fill="F2F4F8" w:val="clear"/>
            <w:shd w:fill="FFF3CD" w:val="clear"/>
          </w:tcPr>
          <w:p>
            <w:r>
              <w:rPr>
                <w:rFonts w:ascii="Calibri" w:hAnsi="Calibri"/>
                <w:color w:val="333333"/>
                <w:sz w:val="18"/>
              </w:rPr>
              <w:t>https://www.cnbc.com/quotes/NVDA</w:t>
            </w:r>
          </w:p>
        </w:tc>
      </w:tr>
      <w:tr>
        <w:tc>
          <w:tcPr>
            <w:tcW w:type="dxa" w:w="1440"/>
            <w:shd w:fill="FFF3CD" w:val="clear"/>
          </w:tcPr>
          <w:p>
            <w:r>
              <w:rPr>
                <w:rFonts w:ascii="Calibri" w:hAnsi="Calibri"/>
                <w:color w:val="333333"/>
                <w:sz w:val="18"/>
              </w:rPr>
              <w:t>2024-09-03</w:t>
            </w:r>
          </w:p>
        </w:tc>
        <w:tc>
          <w:tcPr>
            <w:tcW w:type="dxa" w:w="1440"/>
            <w:shd w:fill="FFF3CD" w:val="clear"/>
          </w:tcPr>
          <w:p>
            <w:r>
              <w:rPr>
                <w:rFonts w:ascii="Calibri" w:hAnsi="Calibri"/>
                <w:color w:val="333333"/>
                <w:sz w:val="18"/>
              </w:rPr>
              <w:t>-9.5%</w:t>
            </w:r>
          </w:p>
        </w:tc>
        <w:tc>
          <w:tcPr>
            <w:tcW w:type="dxa" w:w="1440"/>
            <w:shd w:fill="FFF3CD" w:val="clear"/>
          </w:tcPr>
          <w:p>
            <w:r>
              <w:rPr>
                <w:rFonts w:ascii="Calibri" w:hAnsi="Calibri"/>
                <w:color w:val="333333"/>
                <w:sz w:val="18"/>
              </w:rPr>
              <w:t>11%</w:t>
            </w:r>
          </w:p>
        </w:tc>
        <w:tc>
          <w:tcPr>
            <w:tcW w:type="dxa" w:w="1440"/>
            <w:shd w:fill="FFF3CD" w:val="clear"/>
          </w:tcPr>
          <w:p>
            <w:r>
              <w:rPr>
                <w:rFonts w:ascii="Calibri" w:hAnsi="Calibri"/>
                <w:color w:val="333333"/>
                <w:sz w:val="18"/>
              </w:rPr>
              <w:t>Not recovered</w:t>
            </w:r>
          </w:p>
        </w:tc>
        <w:tc>
          <w:tcPr>
            <w:tcW w:type="dxa" w:w="1440"/>
            <w:shd w:fill="FFF3CD" w:val="clear"/>
          </w:tcPr>
          <w:p>
            <w:r>
              <w:rPr>
                <w:rFonts w:ascii="Calibri" w:hAnsi="Calibri"/>
                <w:color w:val="333333"/>
                <w:sz w:val="18"/>
              </w:rPr>
              <w:t>Unconfirmed -- Requires Investigation</w:t>
            </w:r>
          </w:p>
        </w:tc>
        <w:tc>
          <w:tcPr>
            <w:tcW w:type="dxa" w:w="1440"/>
            <w:shd w:fill="FFF3CD" w:val="clear"/>
          </w:tcPr>
          <w:p>
            <w:r>
              <w:rPr>
                <w:rFonts w:ascii="Calibri" w:hAnsi="Calibri"/>
                <w:color w:val="333333"/>
                <w:sz w:val="18"/>
              </w:rPr>
              <w:t>Company-Specific</w:t>
            </w:r>
          </w:p>
        </w:tc>
        <w:tc>
          <w:tcPr>
            <w:tcW w:type="dxa" w:w="1440"/>
            <w:shd w:fill="FFF3CD" w:val="clear"/>
          </w:tcPr>
          <w:p>
            <w:r>
              <w:rPr>
                <w:rFonts w:ascii="Calibri" w:hAnsi="Calibri"/>
                <w:color w:val="333333"/>
                <w:sz w:val="18"/>
              </w:rPr>
              <w:t>https://www.cnbc.com/quotes/NVDA</w:t>
            </w:r>
          </w:p>
        </w:tc>
      </w:tr>
      <w:tr>
        <w:tc>
          <w:tcPr>
            <w:tcW w:type="dxa" w:w="1440"/>
            <w:shd w:fill="F2F4F8" w:val="clear"/>
            <w:shd w:fill="FFF3CD" w:val="clear"/>
          </w:tcPr>
          <w:p>
            <w:r>
              <w:rPr>
                <w:rFonts w:ascii="Calibri" w:hAnsi="Calibri"/>
                <w:color w:val="333333"/>
                <w:sz w:val="18"/>
              </w:rPr>
              <w:t>2024-08-29</w:t>
            </w:r>
          </w:p>
        </w:tc>
        <w:tc>
          <w:tcPr>
            <w:tcW w:type="dxa" w:w="1440"/>
            <w:shd w:fill="F2F4F8" w:val="clear"/>
            <w:shd w:fill="FFF3CD" w:val="clear"/>
          </w:tcPr>
          <w:p>
            <w:r>
              <w:rPr>
                <w:rFonts w:ascii="Calibri" w:hAnsi="Calibri"/>
                <w:color w:val="333333"/>
                <w:sz w:val="18"/>
              </w:rPr>
              <w:t>-6.4%</w:t>
            </w:r>
          </w:p>
        </w:tc>
        <w:tc>
          <w:tcPr>
            <w:tcW w:type="dxa" w:w="1440"/>
            <w:shd w:fill="F2F4F8" w:val="clear"/>
            <w:shd w:fill="FFF3CD" w:val="clear"/>
          </w:tcPr>
          <w:p>
            <w:r>
              <w:rPr>
                <w:rFonts w:ascii="Calibri" w:hAnsi="Calibri"/>
                <w:color w:val="333333"/>
                <w:sz w:val="18"/>
              </w:rPr>
              <w:t>11%</w:t>
            </w:r>
          </w:p>
        </w:tc>
        <w:tc>
          <w:tcPr>
            <w:tcW w:type="dxa" w:w="1440"/>
            <w:shd w:fill="F2F4F8" w:val="clear"/>
            <w:shd w:fill="FFF3CD" w:val="clear"/>
          </w:tcPr>
          <w:p>
            <w:r>
              <w:rPr>
                <w:rFonts w:ascii="Calibri" w:hAnsi="Calibri"/>
                <w:color w:val="333333"/>
                <w:sz w:val="18"/>
              </w:rPr>
              <w:t>Not recovered</w:t>
            </w:r>
          </w:p>
        </w:tc>
        <w:tc>
          <w:tcPr>
            <w:tcW w:type="dxa" w:w="1440"/>
            <w:shd w:fill="F2F4F8" w:val="clear"/>
            <w:shd w:fill="FFF3CD" w:val="clear"/>
          </w:tcPr>
          <w:p>
            <w:r>
              <w:rPr>
                <w:rFonts w:ascii="Calibri" w:hAnsi="Calibri"/>
                <w:color w:val="333333"/>
                <w:sz w:val="18"/>
              </w:rPr>
              <w:t>Earnings release</w:t>
            </w:r>
          </w:p>
        </w:tc>
        <w:tc>
          <w:tcPr>
            <w:tcW w:type="dxa" w:w="1440"/>
            <w:shd w:fill="F2F4F8" w:val="clear"/>
            <w:shd w:fill="FFF3CD" w:val="clear"/>
          </w:tcPr>
          <w:p>
            <w:r>
              <w:rPr>
                <w:rFonts w:ascii="Calibri" w:hAnsi="Calibri"/>
                <w:color w:val="333333"/>
                <w:sz w:val="18"/>
              </w:rPr>
              <w:t>Company-Specific</w:t>
            </w:r>
          </w:p>
        </w:tc>
        <w:tc>
          <w:tcPr>
            <w:tcW w:type="dxa" w:w="1440"/>
            <w:shd w:fill="F2F4F8" w:val="clear"/>
            <w:shd w:fill="FFF3CD" w:val="clear"/>
          </w:tcPr>
          <w:p>
            <w:r>
              <w:rPr>
                <w:rFonts w:ascii="Calibri" w:hAnsi="Calibri"/>
                <w:color w:val="333333"/>
                <w:sz w:val="18"/>
              </w:rPr>
              <w:t>https://www.cnbc.com/quotes/NVDA</w:t>
            </w:r>
          </w:p>
        </w:tc>
      </w:tr>
      <w:tr>
        <w:tc>
          <w:tcPr>
            <w:tcW w:type="dxa" w:w="1440"/>
            <w:shd w:fill="FFF3CD" w:val="clear"/>
          </w:tcPr>
          <w:p>
            <w:r>
              <w:rPr>
                <w:rFonts w:ascii="Calibri" w:hAnsi="Calibri"/>
                <w:color w:val="333333"/>
                <w:sz w:val="18"/>
              </w:rPr>
              <w:t>2024-07-30 (4d)</w:t>
            </w:r>
          </w:p>
        </w:tc>
        <w:tc>
          <w:tcPr>
            <w:tcW w:type="dxa" w:w="1440"/>
            <w:shd w:fill="FFF3CD" w:val="clear"/>
          </w:tcPr>
          <w:p>
            <w:r>
              <w:rPr>
                <w:rFonts w:ascii="Calibri" w:hAnsi="Calibri"/>
                <w:color w:val="333333"/>
                <w:sz w:val="18"/>
              </w:rPr>
              <w:t>-7.0%</w:t>
            </w:r>
          </w:p>
        </w:tc>
        <w:tc>
          <w:tcPr>
            <w:tcW w:type="dxa" w:w="1440"/>
            <w:shd w:fill="FFF3CD" w:val="clear"/>
          </w:tcPr>
          <w:p>
            <w:r>
              <w:rPr>
                <w:rFonts w:ascii="Calibri" w:hAnsi="Calibri"/>
                <w:color w:val="333333"/>
                <w:sz w:val="18"/>
              </w:rPr>
              <w:t>10%</w:t>
            </w:r>
          </w:p>
        </w:tc>
        <w:tc>
          <w:tcPr>
            <w:tcW w:type="dxa" w:w="1440"/>
            <w:shd w:fill="FFF3CD" w:val="clear"/>
          </w:tcPr>
          <w:p>
            <w:r>
              <w:rPr>
                <w:rFonts w:ascii="Calibri" w:hAnsi="Calibri"/>
                <w:color w:val="333333"/>
                <w:sz w:val="18"/>
              </w:rPr>
              <w:t>Not recovered</w:t>
            </w:r>
          </w:p>
        </w:tc>
        <w:tc>
          <w:tcPr>
            <w:tcW w:type="dxa" w:w="1440"/>
            <w:shd w:fill="FFF3CD" w:val="clear"/>
          </w:tcPr>
          <w:p>
            <w:r>
              <w:rPr>
                <w:rFonts w:ascii="Calibri" w:hAnsi="Calibri"/>
                <w:color w:val="333333"/>
                <w:sz w:val="18"/>
              </w:rPr>
              <w:t>Unconfirmed -- Requires Investigation</w:t>
            </w:r>
          </w:p>
        </w:tc>
        <w:tc>
          <w:tcPr>
            <w:tcW w:type="dxa" w:w="1440"/>
            <w:shd w:fill="FFF3CD" w:val="clear"/>
          </w:tcPr>
          <w:p>
            <w:r>
              <w:rPr>
                <w:rFonts w:ascii="Calibri" w:hAnsi="Calibri"/>
                <w:color w:val="333333"/>
                <w:sz w:val="18"/>
              </w:rPr>
              <w:t>Company-Specific</w:t>
            </w:r>
          </w:p>
        </w:tc>
        <w:tc>
          <w:tcPr>
            <w:tcW w:type="dxa" w:w="1440"/>
            <w:shd w:fill="FFF3CD" w:val="clear"/>
          </w:tcPr>
          <w:p>
            <w:r>
              <w:rPr>
                <w:rFonts w:ascii="Calibri" w:hAnsi="Calibri"/>
                <w:color w:val="333333"/>
                <w:sz w:val="18"/>
              </w:rPr>
              <w:t>https://www.cnbc.com/quotes/NVDA</w:t>
            </w:r>
          </w:p>
        </w:tc>
      </w:tr>
      <w:tr>
        <w:tc>
          <w:tcPr>
            <w:tcW w:type="dxa" w:w="1440"/>
            <w:shd w:fill="F2F4F8" w:val="clear"/>
            <w:shd w:fill="FCE8E6" w:val="clear"/>
          </w:tcPr>
          <w:p>
            <w:r>
              <w:rPr>
                <w:rFonts w:ascii="Calibri" w:hAnsi="Calibri"/>
                <w:color w:val="333333"/>
                <w:sz w:val="18"/>
              </w:rPr>
              <w:t>2024-04-19</w:t>
            </w:r>
          </w:p>
        </w:tc>
        <w:tc>
          <w:tcPr>
            <w:tcW w:type="dxa" w:w="1440"/>
            <w:shd w:fill="F2F4F8" w:val="clear"/>
            <w:shd w:fill="FCE8E6" w:val="clear"/>
          </w:tcPr>
          <w:p>
            <w:r>
              <w:rPr>
                <w:rFonts w:ascii="Calibri" w:hAnsi="Calibri"/>
                <w:color w:val="333333"/>
                <w:sz w:val="18"/>
              </w:rPr>
              <w:t>-10.0%</w:t>
            </w:r>
          </w:p>
        </w:tc>
        <w:tc>
          <w:tcPr>
            <w:tcW w:type="dxa" w:w="1440"/>
            <w:shd w:fill="F2F4F8" w:val="clear"/>
            <w:shd w:fill="FCE8E6" w:val="clear"/>
          </w:tcPr>
          <w:p>
            <w:r>
              <w:rPr>
                <w:rFonts w:ascii="Calibri" w:hAnsi="Calibri"/>
                <w:color w:val="333333"/>
                <w:sz w:val="18"/>
              </w:rPr>
              <w:t>6%</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https://www.cnbc.com/quotes/NVDA</w:t>
            </w:r>
          </w:p>
        </w:tc>
      </w:tr>
      <w:tr>
        <w:tc>
          <w:tcPr>
            <w:tcW w:type="dxa" w:w="1440"/>
            <w:shd w:fill="FFF3CD" w:val="clear"/>
          </w:tcPr>
          <w:p>
            <w:r>
              <w:rPr>
                <w:rFonts w:ascii="Calibri" w:hAnsi="Calibri"/>
                <w:color w:val="333333"/>
                <w:sz w:val="18"/>
              </w:rPr>
              <w:t>2024-07-24</w:t>
            </w:r>
          </w:p>
        </w:tc>
        <w:tc>
          <w:tcPr>
            <w:tcW w:type="dxa" w:w="1440"/>
            <w:shd w:fill="FFF3CD" w:val="clear"/>
          </w:tcPr>
          <w:p>
            <w:r>
              <w:rPr>
                <w:rFonts w:ascii="Calibri" w:hAnsi="Calibri"/>
                <w:color w:val="333333"/>
                <w:sz w:val="18"/>
              </w:rPr>
              <w:t>-6.8%</w:t>
            </w:r>
          </w:p>
        </w:tc>
        <w:tc>
          <w:tcPr>
            <w:tcW w:type="dxa" w:w="1440"/>
            <w:shd w:fill="FFF3CD" w:val="clear"/>
          </w:tcPr>
          <w:p>
            <w:r>
              <w:rPr>
                <w:rFonts w:ascii="Calibri" w:hAnsi="Calibri"/>
                <w:color w:val="333333"/>
                <w:sz w:val="18"/>
              </w:rPr>
              <w:t>9%</w:t>
            </w:r>
          </w:p>
        </w:tc>
        <w:tc>
          <w:tcPr>
            <w:tcW w:type="dxa" w:w="1440"/>
            <w:shd w:fill="FFF3CD" w:val="clear"/>
          </w:tcPr>
          <w:p>
            <w:r>
              <w:rPr>
                <w:rFonts w:ascii="Calibri" w:hAnsi="Calibri"/>
                <w:color w:val="333333"/>
                <w:sz w:val="18"/>
              </w:rPr>
              <w:t>Not recovered</w:t>
            </w:r>
          </w:p>
        </w:tc>
        <w:tc>
          <w:tcPr>
            <w:tcW w:type="dxa" w:w="1440"/>
            <w:shd w:fill="FFF3CD" w:val="clear"/>
          </w:tcPr>
          <w:p>
            <w:r>
              <w:rPr>
                <w:rFonts w:ascii="Calibri" w:hAnsi="Calibri"/>
                <w:color w:val="333333"/>
                <w:sz w:val="18"/>
              </w:rPr>
              <w:t>Unconfirmed -- Requires Investigation</w:t>
            </w:r>
          </w:p>
        </w:tc>
        <w:tc>
          <w:tcPr>
            <w:tcW w:type="dxa" w:w="1440"/>
            <w:shd w:fill="FFF3CD" w:val="clear"/>
          </w:tcPr>
          <w:p>
            <w:r>
              <w:rPr>
                <w:rFonts w:ascii="Calibri" w:hAnsi="Calibri"/>
                <w:color w:val="333333"/>
                <w:sz w:val="18"/>
              </w:rPr>
              <w:t>Company-Specific</w:t>
            </w:r>
          </w:p>
        </w:tc>
        <w:tc>
          <w:tcPr>
            <w:tcW w:type="dxa" w:w="1440"/>
            <w:shd w:fill="FFF3CD" w:val="clear"/>
          </w:tcPr>
          <w:p>
            <w:r>
              <w:rPr>
                <w:rFonts w:ascii="Calibri" w:hAnsi="Calibri"/>
                <w:color w:val="333333"/>
                <w:sz w:val="18"/>
              </w:rPr>
              <w:t>https://www.cnbc.com/quotes/NVDA</w:t>
            </w:r>
          </w:p>
        </w:tc>
      </w:tr>
      <w:tr>
        <w:tc>
          <w:tcPr>
            <w:tcW w:type="dxa" w:w="1440"/>
            <w:shd w:fill="F2F4F8" w:val="clear"/>
            <w:shd w:fill="FFF3CD" w:val="clear"/>
          </w:tcPr>
          <w:p>
            <w:r>
              <w:rPr>
                <w:rFonts w:ascii="Calibri" w:hAnsi="Calibri"/>
                <w:color w:val="333333"/>
                <w:sz w:val="18"/>
              </w:rPr>
              <w:t>2024-07-17</w:t>
            </w:r>
          </w:p>
        </w:tc>
        <w:tc>
          <w:tcPr>
            <w:tcW w:type="dxa" w:w="1440"/>
            <w:shd w:fill="F2F4F8" w:val="clear"/>
            <w:shd w:fill="FFF3CD" w:val="clear"/>
          </w:tcPr>
          <w:p>
            <w:r>
              <w:rPr>
                <w:rFonts w:ascii="Calibri" w:hAnsi="Calibri"/>
                <w:color w:val="333333"/>
                <w:sz w:val="18"/>
              </w:rPr>
              <w:t>-6.6%</w:t>
            </w:r>
          </w:p>
        </w:tc>
        <w:tc>
          <w:tcPr>
            <w:tcW w:type="dxa" w:w="1440"/>
            <w:shd w:fill="F2F4F8" w:val="clear"/>
            <w:shd w:fill="FFF3CD" w:val="clear"/>
          </w:tcPr>
          <w:p>
            <w:r>
              <w:rPr>
                <w:rFonts w:ascii="Calibri" w:hAnsi="Calibri"/>
                <w:color w:val="333333"/>
                <w:sz w:val="18"/>
              </w:rPr>
              <w:t>9%</w:t>
            </w:r>
          </w:p>
        </w:tc>
        <w:tc>
          <w:tcPr>
            <w:tcW w:type="dxa" w:w="1440"/>
            <w:shd w:fill="F2F4F8" w:val="clear"/>
            <w:shd w:fill="FFF3CD" w:val="clear"/>
          </w:tcPr>
          <w:p>
            <w:r>
              <w:rPr>
                <w:rFonts w:ascii="Calibri" w:hAnsi="Calibri"/>
                <w:color w:val="333333"/>
                <w:sz w:val="18"/>
              </w:rPr>
              <w:t>Not recovered</w:t>
            </w:r>
          </w:p>
        </w:tc>
        <w:tc>
          <w:tcPr>
            <w:tcW w:type="dxa" w:w="1440"/>
            <w:shd w:fill="F2F4F8" w:val="clear"/>
            <w:shd w:fill="FFF3CD" w:val="clear"/>
          </w:tcPr>
          <w:p>
            <w:r>
              <w:rPr>
                <w:rFonts w:ascii="Calibri" w:hAnsi="Calibri"/>
                <w:color w:val="333333"/>
                <w:sz w:val="18"/>
              </w:rPr>
              <w:t>Unconfirmed -- Requires Investigation</w:t>
            </w:r>
          </w:p>
        </w:tc>
        <w:tc>
          <w:tcPr>
            <w:tcW w:type="dxa" w:w="1440"/>
            <w:shd w:fill="F2F4F8" w:val="clear"/>
            <w:shd w:fill="FFF3CD" w:val="clear"/>
          </w:tcPr>
          <w:p>
            <w:r>
              <w:rPr>
                <w:rFonts w:ascii="Calibri" w:hAnsi="Calibri"/>
                <w:color w:val="333333"/>
                <w:sz w:val="18"/>
              </w:rPr>
              <w:t>Company-Specific</w:t>
            </w:r>
          </w:p>
        </w:tc>
        <w:tc>
          <w:tcPr>
            <w:tcW w:type="dxa" w:w="1440"/>
            <w:shd w:fill="F2F4F8" w:val="clear"/>
            <w:shd w:fill="FFF3CD" w:val="clear"/>
          </w:tcPr>
          <w:p>
            <w:r>
              <w:rPr>
                <w:rFonts w:ascii="Calibri" w:hAnsi="Calibri"/>
                <w:color w:val="333333"/>
                <w:sz w:val="18"/>
              </w:rPr>
              <w:t>https://www.cnbc.com/quotes/NVDA</w:t>
            </w:r>
          </w:p>
        </w:tc>
      </w:tr>
      <w:tr>
        <w:tc>
          <w:tcPr>
            <w:tcW w:type="dxa" w:w="1440"/>
            <w:shd w:fill="FFF3CD" w:val="clear"/>
          </w:tcPr>
          <w:p>
            <w:r>
              <w:rPr>
                <w:rFonts w:ascii="Calibri" w:hAnsi="Calibri"/>
                <w:color w:val="333333"/>
                <w:sz w:val="18"/>
              </w:rPr>
              <w:t>2024-06-24</w:t>
            </w:r>
          </w:p>
        </w:tc>
        <w:tc>
          <w:tcPr>
            <w:tcW w:type="dxa" w:w="1440"/>
            <w:shd w:fill="FFF3CD" w:val="clear"/>
          </w:tcPr>
          <w:p>
            <w:r>
              <w:rPr>
                <w:rFonts w:ascii="Calibri" w:hAnsi="Calibri"/>
                <w:color w:val="333333"/>
                <w:sz w:val="18"/>
              </w:rPr>
              <w:t>-6.7%</w:t>
            </w:r>
          </w:p>
        </w:tc>
        <w:tc>
          <w:tcPr>
            <w:tcW w:type="dxa" w:w="1440"/>
            <w:shd w:fill="FFF3CD" w:val="clear"/>
          </w:tcPr>
          <w:p>
            <w:r>
              <w:rPr>
                <w:rFonts w:ascii="Calibri" w:hAnsi="Calibri"/>
                <w:color w:val="333333"/>
                <w:sz w:val="18"/>
              </w:rPr>
              <w:t>8%</w:t>
            </w:r>
          </w:p>
        </w:tc>
        <w:tc>
          <w:tcPr>
            <w:tcW w:type="dxa" w:w="1440"/>
            <w:shd w:fill="FFF3CD" w:val="clear"/>
          </w:tcPr>
          <w:p>
            <w:r>
              <w:rPr>
                <w:rFonts w:ascii="Calibri" w:hAnsi="Calibri"/>
                <w:color w:val="333333"/>
                <w:sz w:val="18"/>
              </w:rPr>
              <w:t>Not recovered</w:t>
            </w:r>
          </w:p>
        </w:tc>
        <w:tc>
          <w:tcPr>
            <w:tcW w:type="dxa" w:w="1440"/>
            <w:shd w:fill="FFF3CD" w:val="clear"/>
          </w:tcPr>
          <w:p>
            <w:r>
              <w:rPr>
                <w:rFonts w:ascii="Calibri" w:hAnsi="Calibri"/>
                <w:color w:val="333333"/>
                <w:sz w:val="18"/>
              </w:rPr>
              <w:t>Unconfirmed -- Requires Investigation</w:t>
            </w:r>
          </w:p>
        </w:tc>
        <w:tc>
          <w:tcPr>
            <w:tcW w:type="dxa" w:w="1440"/>
            <w:shd w:fill="FFF3CD" w:val="clear"/>
          </w:tcPr>
          <w:p>
            <w:r>
              <w:rPr>
                <w:rFonts w:ascii="Calibri" w:hAnsi="Calibri"/>
                <w:color w:val="333333"/>
                <w:sz w:val="18"/>
              </w:rPr>
              <w:t>Company-Specific</w:t>
            </w:r>
          </w:p>
        </w:tc>
        <w:tc>
          <w:tcPr>
            <w:tcW w:type="dxa" w:w="1440"/>
            <w:shd w:fill="FFF3CD" w:val="clear"/>
          </w:tcPr>
          <w:p>
            <w:r>
              <w:rPr>
                <w:rFonts w:ascii="Calibri" w:hAnsi="Calibri"/>
                <w:color w:val="333333"/>
                <w:sz w:val="18"/>
              </w:rPr>
              <w:t>https://www.cnbc.com/quotes/NVDA</w:t>
            </w:r>
          </w:p>
        </w:tc>
      </w:tr>
      <w:tr>
        <w:tc>
          <w:tcPr>
            <w:tcW w:type="dxa" w:w="1440"/>
            <w:shd w:fill="F2F4F8" w:val="clear"/>
            <w:shd w:fill="FFF3CD" w:val="clear"/>
          </w:tcPr>
          <w:p>
            <w:r>
              <w:rPr>
                <w:rFonts w:ascii="Calibri" w:hAnsi="Calibri"/>
                <w:color w:val="333333"/>
                <w:sz w:val="18"/>
              </w:rPr>
              <w:t>2024-07-11</w:t>
            </w:r>
          </w:p>
        </w:tc>
        <w:tc>
          <w:tcPr>
            <w:tcW w:type="dxa" w:w="1440"/>
            <w:shd w:fill="F2F4F8" w:val="clear"/>
            <w:shd w:fill="FFF3CD" w:val="clear"/>
          </w:tcPr>
          <w:p>
            <w:r>
              <w:rPr>
                <w:rFonts w:ascii="Calibri" w:hAnsi="Calibri"/>
                <w:color w:val="333333"/>
                <w:sz w:val="18"/>
              </w:rPr>
              <w:t>-5.6%</w:t>
            </w:r>
          </w:p>
        </w:tc>
        <w:tc>
          <w:tcPr>
            <w:tcW w:type="dxa" w:w="1440"/>
            <w:shd w:fill="F2F4F8" w:val="clear"/>
            <w:shd w:fill="FFF3CD" w:val="clear"/>
          </w:tcPr>
          <w:p>
            <w:r>
              <w:rPr>
                <w:rFonts w:ascii="Calibri" w:hAnsi="Calibri"/>
                <w:color w:val="333333"/>
                <w:sz w:val="18"/>
              </w:rPr>
              <w:t>9%</w:t>
            </w:r>
          </w:p>
        </w:tc>
        <w:tc>
          <w:tcPr>
            <w:tcW w:type="dxa" w:w="1440"/>
            <w:shd w:fill="F2F4F8" w:val="clear"/>
            <w:shd w:fill="FFF3CD" w:val="clear"/>
          </w:tcPr>
          <w:p>
            <w:r>
              <w:rPr>
                <w:rFonts w:ascii="Calibri" w:hAnsi="Calibri"/>
                <w:color w:val="333333"/>
                <w:sz w:val="18"/>
              </w:rPr>
              <w:t>Not recovered</w:t>
            </w:r>
          </w:p>
        </w:tc>
        <w:tc>
          <w:tcPr>
            <w:tcW w:type="dxa" w:w="1440"/>
            <w:shd w:fill="F2F4F8" w:val="clear"/>
            <w:shd w:fill="FFF3CD" w:val="clear"/>
          </w:tcPr>
          <w:p>
            <w:r>
              <w:rPr>
                <w:rFonts w:ascii="Calibri" w:hAnsi="Calibri"/>
                <w:color w:val="333333"/>
                <w:sz w:val="18"/>
              </w:rPr>
              <w:t>Unconfirmed -- Requires Investigation</w:t>
            </w:r>
          </w:p>
        </w:tc>
        <w:tc>
          <w:tcPr>
            <w:tcW w:type="dxa" w:w="1440"/>
            <w:shd w:fill="F2F4F8" w:val="clear"/>
            <w:shd w:fill="FFF3CD" w:val="clear"/>
          </w:tcPr>
          <w:p>
            <w:r>
              <w:rPr>
                <w:rFonts w:ascii="Calibri" w:hAnsi="Calibri"/>
                <w:color w:val="333333"/>
                <w:sz w:val="18"/>
              </w:rPr>
              <w:t>Company-Specific</w:t>
            </w:r>
          </w:p>
        </w:tc>
        <w:tc>
          <w:tcPr>
            <w:tcW w:type="dxa" w:w="1440"/>
            <w:shd w:fill="F2F4F8" w:val="clear"/>
            <w:shd w:fill="FFF3CD" w:val="clear"/>
          </w:tcPr>
          <w:p>
            <w:r>
              <w:rPr>
                <w:rFonts w:ascii="Calibri" w:hAnsi="Calibri"/>
                <w:color w:val="333333"/>
                <w:sz w:val="18"/>
              </w:rPr>
              <w:t>https://www.cnbc.com/quotes/NVDA</w:t>
            </w:r>
          </w:p>
        </w:tc>
      </w:tr>
    </w:tbl>
    <w:p>
      <w:pPr>
        <w:pStyle w:val="DOBody"/>
      </w:pPr>
      <w:r>
        <w:t>10 significant stock decline events detected in the 5Y period: 10 critical (&gt;10%). 10 were company-specific, 1 was market-wide.</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shd w:fill="1A1446" w:val="clear"/>
          </w:tcPr>
          <w:p>
            <w:r>
              <w:rPr>
                <w:rFonts w:ascii="Calibri" w:hAnsi="Calibri"/>
                <w:b/>
                <w:color w:val="FFFFFF"/>
                <w:sz w:val="18"/>
              </w:rPr>
              <w:t>Date</w:t>
            </w:r>
          </w:p>
        </w:tc>
        <w:tc>
          <w:tcPr>
            <w:tcW w:type="dxa" w:w="1440"/>
            <w:shd w:fill="1A1446" w:val="clear"/>
          </w:tcPr>
          <w:p>
            <w:r>
              <w:rPr>
                <w:rFonts w:ascii="Calibri" w:hAnsi="Calibri"/>
                <w:b/>
                <w:color w:val="FFFFFF"/>
                <w:sz w:val="18"/>
              </w:rPr>
              <w:t>Drop %</w:t>
            </w:r>
          </w:p>
        </w:tc>
        <w:tc>
          <w:tcPr>
            <w:tcW w:type="dxa" w:w="1440"/>
            <w:shd w:fill="1A1446" w:val="clear"/>
          </w:tcPr>
          <w:p>
            <w:r>
              <w:rPr>
                <w:rFonts w:ascii="Calibri" w:hAnsi="Calibri"/>
                <w:b/>
                <w:color w:val="FFFFFF"/>
                <w:sz w:val="18"/>
              </w:rPr>
              <w:t>Recency</w:t>
            </w:r>
          </w:p>
        </w:tc>
        <w:tc>
          <w:tcPr>
            <w:tcW w:type="dxa" w:w="1440"/>
            <w:shd w:fill="1A1446" w:val="clear"/>
          </w:tcPr>
          <w:p>
            <w:r>
              <w:rPr>
                <w:rFonts w:ascii="Calibri" w:hAnsi="Calibri"/>
                <w:b/>
                <w:color w:val="FFFFFF"/>
                <w:sz w:val="18"/>
              </w:rPr>
              <w:t>Recovery</w:t>
            </w:r>
          </w:p>
        </w:tc>
        <w:tc>
          <w:tcPr>
            <w:tcW w:type="dxa" w:w="1440"/>
            <w:shd w:fill="1A1446" w:val="clear"/>
          </w:tcPr>
          <w:p>
            <w:r>
              <w:rPr>
                <w:rFonts w:ascii="Calibri" w:hAnsi="Calibri"/>
                <w:b/>
                <w:color w:val="FFFFFF"/>
                <w:sz w:val="18"/>
              </w:rPr>
              <w:t>Trigger Event</w:t>
            </w:r>
          </w:p>
        </w:tc>
        <w:tc>
          <w:tcPr>
            <w:tcW w:type="dxa" w:w="1440"/>
            <w:shd w:fill="1A1446" w:val="clear"/>
          </w:tcPr>
          <w:p>
            <w:r>
              <w:rPr>
                <w:rFonts w:ascii="Calibri" w:hAnsi="Calibri"/>
                <w:b/>
                <w:color w:val="FFFFFF"/>
                <w:sz w:val="18"/>
              </w:rPr>
              <w:t>Type</w:t>
            </w:r>
          </w:p>
        </w:tc>
        <w:tc>
          <w:tcPr>
            <w:tcW w:type="dxa" w:w="1440"/>
            <w:shd w:fill="1A1446" w:val="clear"/>
          </w:tcPr>
          <w:p>
            <w:r>
              <w:rPr>
                <w:rFonts w:ascii="Calibri" w:hAnsi="Calibri"/>
                <w:b/>
                <w:color w:val="FFFFFF"/>
                <w:sz w:val="18"/>
              </w:rPr>
              <w:t>Source</w:t>
            </w:r>
          </w:p>
        </w:tc>
      </w:tr>
      <w:tr>
        <w:tc>
          <w:tcPr>
            <w:tcW w:type="dxa" w:w="1440"/>
            <w:shd w:fill="FCE8E6" w:val="clear"/>
          </w:tcPr>
          <w:p>
            <w:r>
              <w:rPr>
                <w:rFonts w:ascii="Calibri" w:hAnsi="Calibri"/>
                <w:color w:val="333333"/>
                <w:sz w:val="18"/>
              </w:rPr>
              <w:t>2025-01-27 to 2025-01-31 (5d)</w:t>
            </w:r>
          </w:p>
        </w:tc>
        <w:tc>
          <w:tcPr>
            <w:tcW w:type="dxa" w:w="1440"/>
            <w:shd w:fill="FCE8E6" w:val="clear"/>
          </w:tcPr>
          <w:p>
            <w:r>
              <w:rPr>
                <w:rFonts w:ascii="Calibri" w:hAnsi="Calibri"/>
                <w:color w:val="333333"/>
                <w:sz w:val="18"/>
              </w:rPr>
              <w:t>-19.6%</w:t>
            </w:r>
          </w:p>
        </w:tc>
        <w:tc>
          <w:tcPr>
            <w:tcW w:type="dxa" w:w="1440"/>
            <w:shd w:fill="FCE8E6" w:val="clear"/>
          </w:tcPr>
          <w:p>
            <w:r>
              <w:rPr>
                <w:rFonts w:ascii="Calibri" w:hAnsi="Calibri"/>
                <w:color w:val="333333"/>
                <w:sz w:val="18"/>
              </w:rPr>
              <w:t>19%</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https://www.cnbc.com/quotes/NVDA</w:t>
            </w:r>
          </w:p>
        </w:tc>
      </w:tr>
      <w:tr>
        <w:tc>
          <w:tcPr>
            <w:tcW w:type="dxa" w:w="1440"/>
            <w:shd w:fill="F2F4F8" w:val="clear"/>
            <w:shd w:fill="FCE8E6" w:val="clear"/>
          </w:tcPr>
          <w:p>
            <w:r>
              <w:rPr>
                <w:rFonts w:ascii="Calibri" w:hAnsi="Calibri"/>
                <w:color w:val="333333"/>
                <w:sz w:val="18"/>
              </w:rPr>
              <w:t>2025-04-03 to 2025-04-04 (2d)</w:t>
            </w:r>
          </w:p>
        </w:tc>
        <w:tc>
          <w:tcPr>
            <w:tcW w:type="dxa" w:w="1440"/>
            <w:shd w:fill="F2F4F8" w:val="clear"/>
            <w:shd w:fill="FCE8E6" w:val="clear"/>
          </w:tcPr>
          <w:p>
            <w:r>
              <w:rPr>
                <w:rFonts w:ascii="Calibri" w:hAnsi="Calibri"/>
                <w:color w:val="333333"/>
                <w:sz w:val="18"/>
              </w:rPr>
              <w:t>-14.6%</w:t>
            </w:r>
          </w:p>
        </w:tc>
        <w:tc>
          <w:tcPr>
            <w:tcW w:type="dxa" w:w="1440"/>
            <w:shd w:fill="F2F4F8" w:val="clear"/>
            <w:shd w:fill="FCE8E6" w:val="clear"/>
          </w:tcPr>
          <w:p>
            <w:r>
              <w:rPr>
                <w:rFonts w:ascii="Calibri" w:hAnsi="Calibri"/>
                <w:color w:val="333333"/>
                <w:sz w:val="18"/>
              </w:rPr>
              <w:t>25%</w:t>
            </w:r>
          </w:p>
        </w:tc>
        <w:tc>
          <w:tcPr>
            <w:tcW w:type="dxa" w:w="1440"/>
            <w:shd w:fill="F2F4F8" w:val="clear"/>
            <w:shd w:fill="FCE8E6" w:val="clear"/>
          </w:tcPr>
          <w:p>
            <w:r>
              <w:rPr>
                <w:rFonts w:ascii="Calibri" w:hAnsi="Calibri"/>
                <w:color w:val="333333"/>
                <w:sz w:val="18"/>
              </w:rPr>
              <w:t>3 days</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Market-Wide Event</w:t>
            </w:r>
          </w:p>
        </w:tc>
        <w:tc>
          <w:tcPr>
            <w:tcW w:type="dxa" w:w="1440"/>
            <w:shd w:fill="F2F4F8" w:val="clear"/>
            <w:shd w:fill="FCE8E6" w:val="clear"/>
          </w:tcPr>
          <w:p>
            <w:r>
              <w:rPr>
                <w:rFonts w:ascii="Calibri" w:hAnsi="Calibri"/>
                <w:color w:val="333333"/>
                <w:sz w:val="18"/>
              </w:rPr>
              <w:t>https://www.cnbc.com/quotes/NVDA</w:t>
            </w:r>
          </w:p>
        </w:tc>
      </w:tr>
      <w:tr>
        <w:tc>
          <w:tcPr>
            <w:tcW w:type="dxa" w:w="1440"/>
            <w:shd w:fill="FCE8E6" w:val="clear"/>
          </w:tcPr>
          <w:p>
            <w:r>
              <w:rPr>
                <w:rFonts w:ascii="Calibri" w:hAnsi="Calibri"/>
                <w:color w:val="333333"/>
                <w:sz w:val="18"/>
              </w:rPr>
              <w:t>2025-01-27</w:t>
            </w:r>
          </w:p>
        </w:tc>
        <w:tc>
          <w:tcPr>
            <w:tcW w:type="dxa" w:w="1440"/>
            <w:shd w:fill="FCE8E6" w:val="clear"/>
          </w:tcPr>
          <w:p>
            <w:r>
              <w:rPr>
                <w:rFonts w:ascii="Calibri" w:hAnsi="Calibri"/>
                <w:color w:val="333333"/>
                <w:sz w:val="18"/>
              </w:rPr>
              <w:t>-17.0%</w:t>
            </w:r>
          </w:p>
        </w:tc>
        <w:tc>
          <w:tcPr>
            <w:tcW w:type="dxa" w:w="1440"/>
            <w:shd w:fill="FCE8E6" w:val="clear"/>
          </w:tcPr>
          <w:p>
            <w:r>
              <w:rPr>
                <w:rFonts w:ascii="Calibri" w:hAnsi="Calibri"/>
                <w:color w:val="333333"/>
                <w:sz w:val="18"/>
              </w:rPr>
              <w:t>19%</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https://www.cnbc.com/quotes/NVDA</w:t>
            </w:r>
          </w:p>
        </w:tc>
      </w:tr>
      <w:tr>
        <w:tc>
          <w:tcPr>
            <w:tcW w:type="dxa" w:w="1440"/>
            <w:shd w:fill="F2F4F8" w:val="clear"/>
            <w:shd w:fill="FCE8E6" w:val="clear"/>
          </w:tcPr>
          <w:p>
            <w:r>
              <w:rPr>
                <w:rFonts w:ascii="Calibri" w:hAnsi="Calibri"/>
                <w:color w:val="333333"/>
                <w:sz w:val="18"/>
              </w:rPr>
              <w:t>2025-01-31 (5d)</w:t>
            </w:r>
          </w:p>
        </w:tc>
        <w:tc>
          <w:tcPr>
            <w:tcW w:type="dxa" w:w="1440"/>
            <w:shd w:fill="F2F4F8" w:val="clear"/>
            <w:shd w:fill="FCE8E6" w:val="clear"/>
          </w:tcPr>
          <w:p>
            <w:r>
              <w:rPr>
                <w:rFonts w:ascii="Calibri" w:hAnsi="Calibri"/>
                <w:color w:val="333333"/>
                <w:sz w:val="18"/>
              </w:rPr>
              <w:t>-15.8%</w:t>
            </w:r>
          </w:p>
        </w:tc>
        <w:tc>
          <w:tcPr>
            <w:tcW w:type="dxa" w:w="1440"/>
            <w:shd w:fill="F2F4F8" w:val="clear"/>
            <w:shd w:fill="FCE8E6" w:val="clear"/>
          </w:tcPr>
          <w:p>
            <w:r>
              <w:rPr>
                <w:rFonts w:ascii="Calibri" w:hAnsi="Calibri"/>
                <w:color w:val="333333"/>
                <w:sz w:val="18"/>
              </w:rPr>
              <w:t>19%</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https://www.cnbc.com/quotes/NVDA</w:t>
            </w:r>
          </w:p>
        </w:tc>
      </w:tr>
      <w:tr>
        <w:tc>
          <w:tcPr>
            <w:tcW w:type="dxa" w:w="1440"/>
            <w:shd w:fill="FCE8E6" w:val="clear"/>
          </w:tcPr>
          <w:p>
            <w:r>
              <w:rPr>
                <w:rFonts w:ascii="Calibri" w:hAnsi="Calibri"/>
                <w:color w:val="333333"/>
                <w:sz w:val="18"/>
              </w:rPr>
              <w:t>2025-01-29 (5d)</w:t>
            </w:r>
          </w:p>
        </w:tc>
        <w:tc>
          <w:tcPr>
            <w:tcW w:type="dxa" w:w="1440"/>
            <w:shd w:fill="FCE8E6" w:val="clear"/>
          </w:tcPr>
          <w:p>
            <w:r>
              <w:rPr>
                <w:rFonts w:ascii="Calibri" w:hAnsi="Calibri"/>
                <w:color w:val="333333"/>
                <w:sz w:val="18"/>
              </w:rPr>
              <w:t>-15.9%</w:t>
            </w:r>
          </w:p>
        </w:tc>
        <w:tc>
          <w:tcPr>
            <w:tcW w:type="dxa" w:w="1440"/>
            <w:shd w:fill="FCE8E6" w:val="clear"/>
          </w:tcPr>
          <w:p>
            <w:r>
              <w:rPr>
                <w:rFonts w:ascii="Calibri" w:hAnsi="Calibri"/>
                <w:color w:val="333333"/>
                <w:sz w:val="18"/>
              </w:rPr>
              <w:t>19%</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https://www.cnbc.com/quotes/NVDA</w:t>
            </w:r>
          </w:p>
        </w:tc>
      </w:tr>
      <w:tr>
        <w:tc>
          <w:tcPr>
            <w:tcW w:type="dxa" w:w="1440"/>
            <w:shd w:fill="F2F4F8" w:val="clear"/>
            <w:shd w:fill="FCE8E6" w:val="clear"/>
          </w:tcPr>
          <w:p>
            <w:r>
              <w:rPr>
                <w:rFonts w:ascii="Calibri" w:hAnsi="Calibri"/>
                <w:color w:val="333333"/>
                <w:sz w:val="18"/>
              </w:rPr>
              <w:t>2025-01-30 (5d)</w:t>
            </w:r>
          </w:p>
        </w:tc>
        <w:tc>
          <w:tcPr>
            <w:tcW w:type="dxa" w:w="1440"/>
            <w:shd w:fill="F2F4F8" w:val="clear"/>
            <w:shd w:fill="FCE8E6" w:val="clear"/>
          </w:tcPr>
          <w:p>
            <w:r>
              <w:rPr>
                <w:rFonts w:ascii="Calibri" w:hAnsi="Calibri"/>
                <w:color w:val="333333"/>
                <w:sz w:val="18"/>
              </w:rPr>
              <w:t>-15.3%</w:t>
            </w:r>
          </w:p>
        </w:tc>
        <w:tc>
          <w:tcPr>
            <w:tcW w:type="dxa" w:w="1440"/>
            <w:shd w:fill="F2F4F8" w:val="clear"/>
            <w:shd w:fill="FCE8E6" w:val="clear"/>
          </w:tcPr>
          <w:p>
            <w:r>
              <w:rPr>
                <w:rFonts w:ascii="Calibri" w:hAnsi="Calibri"/>
                <w:color w:val="333333"/>
                <w:sz w:val="18"/>
              </w:rPr>
              <w:t>19%</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https://www.cnbc.com/quotes/NVDA</w:t>
            </w:r>
          </w:p>
        </w:tc>
      </w:tr>
      <w:tr>
        <w:tc>
          <w:tcPr>
            <w:tcW w:type="dxa" w:w="1440"/>
            <w:shd w:fill="FCE8E6" w:val="clear"/>
          </w:tcPr>
          <w:p>
            <w:r>
              <w:rPr>
                <w:rFonts w:ascii="Calibri" w:hAnsi="Calibri"/>
                <w:color w:val="333333"/>
                <w:sz w:val="18"/>
              </w:rPr>
              <w:t>2024-08-07 (20d)</w:t>
            </w:r>
          </w:p>
        </w:tc>
        <w:tc>
          <w:tcPr>
            <w:tcW w:type="dxa" w:w="1440"/>
            <w:shd w:fill="FCE8E6" w:val="clear"/>
          </w:tcPr>
          <w:p>
            <w:r>
              <w:rPr>
                <w:rFonts w:ascii="Calibri" w:hAnsi="Calibri"/>
                <w:color w:val="333333"/>
                <w:sz w:val="18"/>
              </w:rPr>
              <w:t>-26.7%</w:t>
            </w:r>
          </w:p>
        </w:tc>
        <w:tc>
          <w:tcPr>
            <w:tcW w:type="dxa" w:w="1440"/>
            <w:shd w:fill="FCE8E6" w:val="clear"/>
          </w:tcPr>
          <w:p>
            <w:r>
              <w:rPr>
                <w:rFonts w:ascii="Calibri" w:hAnsi="Calibri"/>
                <w:color w:val="333333"/>
                <w:sz w:val="18"/>
              </w:rPr>
              <w:t>10%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https://www.cnbc.com/quotes/NVDA</w:t>
            </w:r>
          </w:p>
        </w:tc>
      </w:tr>
      <w:tr>
        <w:tc>
          <w:tcPr>
            <w:tcW w:type="dxa" w:w="1440"/>
            <w:shd w:fill="F2F4F8" w:val="clear"/>
            <w:shd w:fill="FCE8E6" w:val="clear"/>
          </w:tcPr>
          <w:p>
            <w:r>
              <w:rPr>
                <w:rFonts w:ascii="Calibri" w:hAnsi="Calibri"/>
                <w:color w:val="333333"/>
                <w:sz w:val="18"/>
              </w:rPr>
              <w:t>2024-08-29 to 2024-09-04 (7d)</w:t>
            </w:r>
          </w:p>
        </w:tc>
        <w:tc>
          <w:tcPr>
            <w:tcW w:type="dxa" w:w="1440"/>
            <w:shd w:fill="F2F4F8" w:val="clear"/>
            <w:shd w:fill="FCE8E6" w:val="clear"/>
          </w:tcPr>
          <w:p>
            <w:r>
              <w:rPr>
                <w:rFonts w:ascii="Calibri" w:hAnsi="Calibri"/>
                <w:color w:val="333333"/>
                <w:sz w:val="18"/>
              </w:rPr>
              <w:t>-17.2%</w:t>
            </w:r>
          </w:p>
        </w:tc>
        <w:tc>
          <w:tcPr>
            <w:tcW w:type="dxa" w:w="1440"/>
            <w:shd w:fill="F2F4F8" w:val="clear"/>
            <w:shd w:fill="FCE8E6" w:val="clear"/>
          </w:tcPr>
          <w:p>
            <w:r>
              <w:rPr>
                <w:rFonts w:ascii="Calibri" w:hAnsi="Calibri"/>
                <w:color w:val="333333"/>
                <w:sz w:val="18"/>
              </w:rPr>
              <w:t>11%</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https://www.cnbc.com/quotes/NVDA</w:t>
            </w:r>
          </w:p>
        </w:tc>
      </w:tr>
      <w:tr>
        <w:tc>
          <w:tcPr>
            <w:tcW w:type="dxa" w:w="1440"/>
            <w:shd w:fill="FCE8E6" w:val="clear"/>
          </w:tcPr>
          <w:p>
            <w:r>
              <w:rPr>
                <w:rFonts w:ascii="Calibri" w:hAnsi="Calibri"/>
                <w:color w:val="333333"/>
                <w:sz w:val="18"/>
              </w:rPr>
              <w:t>2024-07-30</w:t>
            </w:r>
          </w:p>
        </w:tc>
        <w:tc>
          <w:tcPr>
            <w:tcW w:type="dxa" w:w="1440"/>
            <w:shd w:fill="FCE8E6" w:val="clear"/>
          </w:tcPr>
          <w:p>
            <w:r>
              <w:rPr>
                <w:rFonts w:ascii="Calibri" w:hAnsi="Calibri"/>
                <w:color w:val="333333"/>
                <w:sz w:val="18"/>
              </w:rPr>
              <w:t>-19.3%</w:t>
            </w:r>
          </w:p>
        </w:tc>
        <w:tc>
          <w:tcPr>
            <w:tcW w:type="dxa" w:w="1440"/>
            <w:shd w:fill="FCE8E6" w:val="clear"/>
          </w:tcPr>
          <w:p>
            <w:r>
              <w:rPr>
                <w:rFonts w:ascii="Calibri" w:hAnsi="Calibri"/>
                <w:color w:val="333333"/>
                <w:sz w:val="18"/>
              </w:rPr>
              <w:t>10%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https://www.cnbc.com/quotes/NVDA</w:t>
            </w:r>
          </w:p>
        </w:tc>
      </w:tr>
      <w:tr>
        <w:tc>
          <w:tcPr>
            <w:tcW w:type="dxa" w:w="1440"/>
            <w:shd w:fill="F2F4F8" w:val="clear"/>
            <w:shd w:fill="FCE8E6" w:val="clear"/>
          </w:tcPr>
          <w:p>
            <w:r>
              <w:rPr>
                <w:rFonts w:ascii="Calibri" w:hAnsi="Calibri"/>
                <w:color w:val="333333"/>
                <w:sz w:val="18"/>
              </w:rPr>
              <w:t>2024-04-19</w:t>
            </w:r>
          </w:p>
        </w:tc>
        <w:tc>
          <w:tcPr>
            <w:tcW w:type="dxa" w:w="1440"/>
            <w:shd w:fill="F2F4F8" w:val="clear"/>
            <w:shd w:fill="FCE8E6" w:val="clear"/>
          </w:tcPr>
          <w:p>
            <w:r>
              <w:rPr>
                <w:rFonts w:ascii="Calibri" w:hAnsi="Calibri"/>
                <w:color w:val="333333"/>
                <w:sz w:val="18"/>
              </w:rPr>
              <w:t>-10.0%</w:t>
            </w:r>
          </w:p>
        </w:tc>
        <w:tc>
          <w:tcPr>
            <w:tcW w:type="dxa" w:w="1440"/>
            <w:shd w:fill="F2F4F8" w:val="clear"/>
            <w:shd w:fill="FCE8E6" w:val="clear"/>
          </w:tcPr>
          <w:p>
            <w:r>
              <w:rPr>
                <w:rFonts w:ascii="Calibri" w:hAnsi="Calibri"/>
                <w:color w:val="333333"/>
                <w:sz w:val="18"/>
              </w:rPr>
              <w:t>6%</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https://www.cnbc.com/quotes/NVDA</w:t>
            </w:r>
          </w:p>
        </w:tc>
      </w:tr>
    </w:tbl>
    <w:p>
      <w:pPr>
        <w:pStyle w:val="DOHeading2"/>
      </w:pPr>
      <w:r>
        <w:t>Short Interest</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Short % of Float</w:t>
            </w:r>
          </w:p>
        </w:tc>
        <w:tc>
          <w:tcPr>
            <w:tcW w:type="dxa" w:w="5040"/>
          </w:tcPr>
          <w:p>
            <w:r>
              <w:rPr>
                <w:rFonts w:ascii="Calibri" w:hAnsi="Calibri"/>
                <w:color w:val="333333"/>
                <w:sz w:val="18"/>
              </w:rPr>
              <w:t>1.0% (Ranks at the 88th percentile among 0 peers (peer median: 4.0%))</w:t>
            </w:r>
          </w:p>
        </w:tc>
      </w:tr>
      <w:tr>
        <w:tc>
          <w:tcPr>
            <w:tcW w:type="dxa" w:w="5040"/>
            <w:shd w:fill="F2F4F8" w:val="clear"/>
          </w:tcPr>
          <w:p>
            <w:r>
              <w:rPr>
                <w:rFonts w:ascii="Calibri" w:hAnsi="Calibri"/>
                <w:color w:val="333333"/>
                <w:sz w:val="18"/>
              </w:rPr>
              <w:t>Days to Cover</w:t>
            </w:r>
          </w:p>
        </w:tc>
        <w:tc>
          <w:tcPr>
            <w:tcW w:type="dxa" w:w="5040"/>
            <w:shd w:fill="F2F4F8" w:val="clear"/>
          </w:tcPr>
          <w:p>
            <w:r>
              <w:rPr>
                <w:rFonts w:ascii="Calibri" w:hAnsi="Calibri"/>
                <w:color w:val="333333"/>
                <w:sz w:val="18"/>
              </w:rPr>
              <w:t>1.28</w:t>
            </w:r>
          </w:p>
        </w:tc>
      </w:tr>
      <w:tr>
        <w:tc>
          <w:tcPr>
            <w:tcW w:type="dxa" w:w="5040"/>
          </w:tcPr>
          <w:p>
            <w:r>
              <w:rPr>
                <w:rFonts w:ascii="Calibri" w:hAnsi="Calibri"/>
                <w:color w:val="333333"/>
                <w:sz w:val="18"/>
              </w:rPr>
              <w:t>6-Month Trend</w:t>
            </w:r>
          </w:p>
        </w:tc>
        <w:tc>
          <w:tcPr>
            <w:tcW w:type="dxa" w:w="5040"/>
          </w:tcPr>
          <w:p>
            <w:r>
              <w:rPr>
                <w:rFonts w:ascii="Calibri" w:hAnsi="Calibri"/>
                <w:color w:val="333333"/>
                <w:sz w:val="18"/>
              </w:rPr>
              <w:t>STABLE</w:t>
            </w:r>
          </w:p>
        </w:tc>
      </w:tr>
      <w:tr>
        <w:tc>
          <w:tcPr>
            <w:tcW w:type="dxa" w:w="5040"/>
            <w:shd w:fill="F2F4F8" w:val="clear"/>
          </w:tcPr>
          <w:p>
            <w:r>
              <w:rPr>
                <w:rFonts w:ascii="Calibri" w:hAnsi="Calibri"/>
                <w:color w:val="333333"/>
                <w:sz w:val="18"/>
              </w:rPr>
              <w:t>vs Sector Ratio</w:t>
            </w:r>
          </w:p>
        </w:tc>
        <w:tc>
          <w:tcPr>
            <w:tcW w:type="dxa" w:w="5040"/>
            <w:shd w:fill="F2F4F8" w:val="clear"/>
          </w:tcPr>
          <w:p>
            <w:r>
              <w:rPr>
                <w:rFonts w:ascii="Calibri" w:hAnsi="Calibri"/>
                <w:color w:val="333333"/>
                <w:sz w:val="18"/>
              </w:rPr>
              <w:t>N/A</w:t>
            </w:r>
          </w:p>
        </w:tc>
      </w:tr>
    </w:tbl>
    <w:p>
      <w:pPr>
        <w:pStyle w:val="DOHeading2"/>
      </w:pPr>
      <w:r>
        <w:t>Earnings Guidance Track Record</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Beat Rate</w:t>
            </w:r>
          </w:p>
        </w:tc>
        <w:tc>
          <w:tcPr>
            <w:tcW w:type="dxa" w:w="5040"/>
          </w:tcPr>
          <w:p>
            <w:r>
              <w:rPr>
                <w:rFonts w:ascii="Calibri" w:hAnsi="Calibri"/>
                <w:color w:val="333333"/>
                <w:sz w:val="18"/>
              </w:rPr>
              <w:t>0.9%</w:t>
            </w:r>
          </w:p>
        </w:tc>
      </w:tr>
      <w:tr>
        <w:tc>
          <w:tcPr>
            <w:tcW w:type="dxa" w:w="5040"/>
            <w:shd w:fill="F2F4F8" w:val="clear"/>
          </w:tcPr>
          <w:p>
            <w:r>
              <w:rPr>
                <w:rFonts w:ascii="Calibri" w:hAnsi="Calibri"/>
                <w:color w:val="333333"/>
                <w:sz w:val="18"/>
              </w:rPr>
              <w:t>Consecutive Misses</w:t>
            </w:r>
          </w:p>
        </w:tc>
        <w:tc>
          <w:tcPr>
            <w:tcW w:type="dxa" w:w="5040"/>
            <w:shd w:fill="F2F4F8" w:val="clear"/>
          </w:tcPr>
          <w:p>
            <w:r>
              <w:rPr>
                <w:rFonts w:ascii="Calibri" w:hAnsi="Calibri"/>
                <w:color w:val="333333"/>
                <w:sz w:val="18"/>
              </w:rPr>
              <w:t>0</w:t>
            </w:r>
          </w:p>
        </w:tc>
      </w:tr>
      <w:tr>
        <w:tc>
          <w:tcPr>
            <w:tcW w:type="dxa" w:w="5040"/>
          </w:tcPr>
          <w:p>
            <w:r>
              <w:rPr>
                <w:rFonts w:ascii="Calibri" w:hAnsi="Calibri"/>
                <w:color w:val="333333"/>
                <w:sz w:val="18"/>
              </w:rPr>
              <w:t>Guidance Withdrawals</w:t>
            </w:r>
          </w:p>
        </w:tc>
        <w:tc>
          <w:tcPr>
            <w:tcW w:type="dxa" w:w="5040"/>
          </w:tcPr>
          <w:p>
            <w:r>
              <w:rPr>
                <w:rFonts w:ascii="Calibri" w:hAnsi="Calibri"/>
                <w:color w:val="333333"/>
                <w:sz w:val="18"/>
              </w:rPr>
              <w:t>0</w:t>
            </w:r>
          </w:p>
        </w:tc>
      </w:tr>
      <w:tr>
        <w:tc>
          <w:tcPr>
            <w:tcW w:type="dxa" w:w="5040"/>
            <w:shd w:fill="F2F4F8" w:val="clear"/>
          </w:tcPr>
          <w:p>
            <w:r>
              <w:rPr>
                <w:rFonts w:ascii="Calibri" w:hAnsi="Calibri"/>
                <w:color w:val="333333"/>
                <w:sz w:val="18"/>
              </w:rPr>
              <w:t>Philosophy</w:t>
            </w:r>
          </w:p>
        </w:tc>
        <w:tc>
          <w:tcPr>
            <w:tcW w:type="dxa" w:w="5040"/>
            <w:shd w:fill="F2F4F8" w:val="clear"/>
          </w:tcPr>
          <w:p>
            <w:r>
              <w:rPr>
                <w:rFonts w:ascii="Calibri" w:hAnsi="Calibri"/>
                <w:color w:val="333333"/>
                <w:sz w:val="18"/>
              </w:rPr>
              <w:t>CONSERVATIVE</w:t>
            </w:r>
          </w:p>
        </w:tc>
      </w:tr>
    </w:tbl>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A1446" w:val="clear"/>
          </w:tcPr>
          <w:p>
            <w:r>
              <w:rPr>
                <w:rFonts w:ascii="Calibri" w:hAnsi="Calibri"/>
                <w:b/>
                <w:color w:val="FFFFFF"/>
                <w:sz w:val="18"/>
              </w:rPr>
              <w:t>Quarter</w:t>
            </w:r>
          </w:p>
        </w:tc>
        <w:tc>
          <w:tcPr>
            <w:tcW w:type="dxa" w:w="1680"/>
            <w:shd w:fill="1A1446" w:val="clear"/>
          </w:tcPr>
          <w:p>
            <w:r>
              <w:rPr>
                <w:rFonts w:ascii="Calibri" w:hAnsi="Calibri"/>
                <w:b/>
                <w:color w:val="FFFFFF"/>
                <w:sz w:val="18"/>
              </w:rPr>
              <w:t>Est. EPS</w:t>
            </w:r>
          </w:p>
        </w:tc>
        <w:tc>
          <w:tcPr>
            <w:tcW w:type="dxa" w:w="1680"/>
            <w:shd w:fill="1A1446" w:val="clear"/>
          </w:tcPr>
          <w:p>
            <w:r>
              <w:rPr>
                <w:rFonts w:ascii="Calibri" w:hAnsi="Calibri"/>
                <w:b/>
                <w:color w:val="FFFFFF"/>
                <w:sz w:val="18"/>
              </w:rPr>
              <w:t>Actual EPS</w:t>
            </w:r>
          </w:p>
        </w:tc>
        <w:tc>
          <w:tcPr>
            <w:tcW w:type="dxa" w:w="1680"/>
            <w:shd w:fill="1A1446" w:val="clear"/>
          </w:tcPr>
          <w:p>
            <w:r>
              <w:rPr>
                <w:rFonts w:ascii="Calibri" w:hAnsi="Calibri"/>
                <w:b/>
                <w:color w:val="FFFFFF"/>
                <w:sz w:val="18"/>
              </w:rPr>
              <w:t>Result</w:t>
            </w:r>
          </w:p>
        </w:tc>
        <w:tc>
          <w:tcPr>
            <w:tcW w:type="dxa" w:w="1680"/>
            <w:shd w:fill="1A1446" w:val="clear"/>
          </w:tcPr>
          <w:p>
            <w:r>
              <w:rPr>
                <w:rFonts w:ascii="Calibri" w:hAnsi="Calibri"/>
                <w:b/>
                <w:color w:val="FFFFFF"/>
                <w:sz w:val="18"/>
              </w:rPr>
              <w:t>Miss Magnitude</w:t>
            </w:r>
          </w:p>
        </w:tc>
        <w:tc>
          <w:tcPr>
            <w:tcW w:type="dxa" w:w="1680"/>
            <w:shd w:fill="1A1446" w:val="clear"/>
          </w:tcPr>
          <w:p>
            <w:r>
              <w:rPr>
                <w:rFonts w:ascii="Calibri" w:hAnsi="Calibri"/>
                <w:b/>
                <w:color w:val="FFFFFF"/>
                <w:sz w:val="18"/>
              </w:rPr>
              <w:t>Stock Reaction</w:t>
            </w:r>
          </w:p>
        </w:tc>
      </w:tr>
      <w:tr>
        <w:tc>
          <w:tcPr>
            <w:tcW w:type="dxa" w:w="1680"/>
          </w:tcPr>
          <w:p>
            <w:r>
              <w:rPr>
                <w:rFonts w:ascii="Calibri" w:hAnsi="Calibri"/>
                <w:color w:val="333333"/>
                <w:sz w:val="18"/>
              </w:rPr>
              <w:t>Q1 2026</w:t>
            </w:r>
          </w:p>
        </w:tc>
        <w:tc>
          <w:tcPr>
            <w:tcW w:type="dxa" w:w="1680"/>
          </w:tcPr>
          <w:p>
            <w:r>
              <w:rPr>
                <w:rFonts w:ascii="Calibri" w:hAnsi="Calibri"/>
                <w:color w:val="333333"/>
                <w:sz w:val="18"/>
              </w:rPr>
              <w:t>$1.54</w:t>
            </w:r>
          </w:p>
        </w:tc>
        <w:tc>
          <w:tcPr>
            <w:tcW w:type="dxa" w:w="1680"/>
          </w:tcPr>
          <w:p>
            <w:r>
              <w:rPr>
                <w:rFonts w:ascii="Calibri" w:hAnsi="Calibri"/>
                <w:color w:val="333333"/>
                <w:sz w:val="18"/>
              </w:rPr>
              <w:t>$1.62</w:t>
            </w:r>
          </w:p>
        </w:tc>
        <w:tc>
          <w:tcPr>
            <w:tcW w:type="dxa" w:w="1680"/>
            <w:shd w:fill="DCEEF8" w:val="clear"/>
          </w:tcPr>
          <w:p>
            <w:r>
              <w:rPr>
                <w:rFonts w:ascii="Calibri" w:hAnsi="Calibri"/>
                <w:color w:val="333333"/>
                <w:sz w:val="18"/>
              </w:rPr>
              <w:t>BEAT</w:t>
            </w:r>
          </w:p>
        </w:tc>
        <w:tc>
          <w:tcPr>
            <w:tcW w:type="dxa" w:w="1680"/>
          </w:tcPr>
          <w:p>
            <w:r>
              <w:rPr>
                <w:rFonts w:ascii="Calibri" w:hAnsi="Calibri"/>
                <w:color w:val="333333"/>
                <w:sz w:val="18"/>
              </w:rPr>
              <w:t>N/A</w:t>
            </w:r>
          </w:p>
        </w:tc>
        <w:tc>
          <w:tcPr>
            <w:tcW w:type="dxa" w:w="1680"/>
          </w:tcPr>
          <w:p>
            <w:r>
              <w:rPr>
                <w:rFonts w:ascii="Calibri" w:hAnsi="Calibri"/>
                <w:color w:val="333333"/>
                <w:sz w:val="18"/>
              </w:rPr>
              <w:t>+5.3%</w:t>
            </w:r>
          </w:p>
        </w:tc>
      </w:tr>
      <w:tr>
        <w:tc>
          <w:tcPr>
            <w:tcW w:type="dxa" w:w="1680"/>
            <w:shd w:fill="F2F4F8" w:val="clear"/>
          </w:tcPr>
          <w:p>
            <w:r>
              <w:rPr>
                <w:rFonts w:ascii="Calibri" w:hAnsi="Calibri"/>
                <w:color w:val="333333"/>
                <w:sz w:val="18"/>
              </w:rPr>
              <w:t>Q4 2025</w:t>
            </w:r>
          </w:p>
        </w:tc>
        <w:tc>
          <w:tcPr>
            <w:tcW w:type="dxa" w:w="1680"/>
            <w:shd w:fill="F2F4F8" w:val="clear"/>
          </w:tcPr>
          <w:p>
            <w:r>
              <w:rPr>
                <w:rFonts w:ascii="Calibri" w:hAnsi="Calibri"/>
                <w:color w:val="333333"/>
                <w:sz w:val="18"/>
              </w:rPr>
              <w:t>$1.26</w:t>
            </w:r>
          </w:p>
        </w:tc>
        <w:tc>
          <w:tcPr>
            <w:tcW w:type="dxa" w:w="1680"/>
            <w:shd w:fill="F2F4F8" w:val="clear"/>
          </w:tcPr>
          <w:p>
            <w:r>
              <w:rPr>
                <w:rFonts w:ascii="Calibri" w:hAnsi="Calibri"/>
                <w:color w:val="333333"/>
                <w:sz w:val="18"/>
              </w:rPr>
              <w:t>$1.30</w:t>
            </w:r>
          </w:p>
        </w:tc>
        <w:tc>
          <w:tcPr>
            <w:tcW w:type="dxa" w:w="1680"/>
            <w:shd w:fill="F2F4F8" w:val="clear"/>
            <w:shd w:fill="DCEEF8" w:val="clear"/>
          </w:tcPr>
          <w:p>
            <w:r>
              <w:rPr>
                <w:rFonts w:ascii="Calibri" w:hAnsi="Calibri"/>
                <w:color w:val="333333"/>
                <w:sz w:val="18"/>
              </w:rPr>
              <w:t>BEAT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+3.5%</w:t>
            </w:r>
          </w:p>
        </w:tc>
      </w:tr>
      <w:tr>
        <w:tc>
          <w:tcPr>
            <w:tcW w:type="dxa" w:w="1680"/>
          </w:tcPr>
          <w:p>
            <w:r>
              <w:rPr>
                <w:rFonts w:ascii="Calibri" w:hAnsi="Calibri"/>
                <w:color w:val="333333"/>
                <w:sz w:val="18"/>
              </w:rPr>
              <w:t>Q3 2025</w:t>
            </w:r>
          </w:p>
        </w:tc>
        <w:tc>
          <w:tcPr>
            <w:tcW w:type="dxa" w:w="1680"/>
          </w:tcPr>
          <w:p>
            <w:r>
              <w:rPr>
                <w:rFonts w:ascii="Calibri" w:hAnsi="Calibri"/>
                <w:color w:val="333333"/>
                <w:sz w:val="18"/>
              </w:rPr>
              <w:t>$1.01</w:t>
            </w:r>
          </w:p>
        </w:tc>
        <w:tc>
          <w:tcPr>
            <w:tcW w:type="dxa" w:w="1680"/>
          </w:tcPr>
          <w:p>
            <w:r>
              <w:rPr>
                <w:rFonts w:ascii="Calibri" w:hAnsi="Calibri"/>
                <w:color w:val="333333"/>
                <w:sz w:val="18"/>
              </w:rPr>
              <w:t>$1.05</w:t>
            </w:r>
          </w:p>
        </w:tc>
        <w:tc>
          <w:tcPr>
            <w:tcW w:type="dxa" w:w="1680"/>
            <w:shd w:fill="DCEEF8" w:val="clear"/>
          </w:tcPr>
          <w:p>
            <w:r>
              <w:rPr>
                <w:rFonts w:ascii="Calibri" w:hAnsi="Calibri"/>
                <w:color w:val="333333"/>
                <w:sz w:val="18"/>
              </w:rPr>
              <w:t>BEAT</w:t>
            </w:r>
          </w:p>
        </w:tc>
        <w:tc>
          <w:tcPr>
            <w:tcW w:type="dxa" w:w="1680"/>
          </w:tcPr>
          <w:p>
            <w:r>
              <w:rPr>
                <w:rFonts w:ascii="Calibri" w:hAnsi="Calibri"/>
                <w:color w:val="333333"/>
                <w:sz w:val="18"/>
              </w:rPr>
              <w:t>N/A</w:t>
            </w:r>
          </w:p>
        </w:tc>
        <w:tc>
          <w:tcPr>
            <w:tcW w:type="dxa" w:w="1680"/>
          </w:tcPr>
          <w:p>
            <w:r>
              <w:rPr>
                <w:rFonts w:ascii="Calibri" w:hAnsi="Calibri"/>
                <w:color w:val="333333"/>
                <w:sz w:val="18"/>
              </w:rPr>
              <w:t>+4.1%</w:t>
            </w:r>
          </w:p>
        </w:tc>
      </w:tr>
      <w:tr>
        <w:tc>
          <w:tcPr>
            <w:tcW w:type="dxa" w:w="1680"/>
            <w:shd w:fill="F2F4F8" w:val="clear"/>
          </w:tcPr>
          <w:p>
            <w:r>
              <w:rPr>
                <w:rFonts w:ascii="Calibri" w:hAnsi="Calibri"/>
                <w:color w:val="333333"/>
                <w:sz w:val="18"/>
              </w:rPr>
              <w:t>Q2 2025</w:t>
            </w:r>
          </w:p>
        </w:tc>
        <w:tc>
          <w:tcPr>
            <w:tcW w:type="dxa" w:w="1680"/>
            <w:shd w:fill="F2F4F8" w:val="clear"/>
          </w:tcPr>
          <w:p>
            <w:r>
              <w:rPr>
                <w:rFonts w:ascii="Calibri" w:hAnsi="Calibri"/>
                <w:color w:val="333333"/>
                <w:sz w:val="18"/>
              </w:rPr>
              <w:t>$0.75</w:t>
            </w:r>
          </w:p>
        </w:tc>
        <w:tc>
          <w:tcPr>
            <w:tcW w:type="dxa" w:w="1680"/>
            <w:shd w:fill="F2F4F8" w:val="clear"/>
          </w:tcPr>
          <w:p>
            <w:r>
              <w:rPr>
                <w:rFonts w:ascii="Calibri" w:hAnsi="Calibri"/>
                <w:color w:val="333333"/>
                <w:sz w:val="18"/>
              </w:rPr>
              <w:t>$0.81</w:t>
            </w:r>
          </w:p>
        </w:tc>
        <w:tc>
          <w:tcPr>
            <w:tcW w:type="dxa" w:w="1680"/>
            <w:shd w:fill="F2F4F8" w:val="clear"/>
            <w:shd w:fill="DCEEF8" w:val="clear"/>
          </w:tcPr>
          <w:p>
            <w:r>
              <w:rPr>
                <w:rFonts w:ascii="Calibri" w:hAnsi="Calibri"/>
                <w:color w:val="333333"/>
                <w:sz w:val="18"/>
              </w:rPr>
              <w:t>BEAT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+8.0%</w:t>
            </w:r>
          </w:p>
        </w:tc>
      </w:tr>
      <w:tr>
        <w:tc>
          <w:tcPr>
            <w:tcW w:type="dxa" w:w="1680"/>
          </w:tcPr>
          <w:p>
            <w:r>
              <w:rPr>
                <w:rFonts w:ascii="Calibri" w:hAnsi="Calibri"/>
                <w:color w:val="333333"/>
                <w:sz w:val="18"/>
              </w:rPr>
              <w:t>Q1 2025</w:t>
            </w:r>
          </w:p>
        </w:tc>
        <w:tc>
          <w:tcPr>
            <w:tcW w:type="dxa" w:w="1680"/>
          </w:tcPr>
          <w:p>
            <w:r>
              <w:rPr>
                <w:rFonts w:ascii="Calibri" w:hAnsi="Calibri"/>
                <w:color w:val="333333"/>
                <w:sz w:val="18"/>
              </w:rPr>
              <w:t>$0.85</w:t>
            </w:r>
          </w:p>
        </w:tc>
        <w:tc>
          <w:tcPr>
            <w:tcW w:type="dxa" w:w="1680"/>
          </w:tcPr>
          <w:p>
            <w:r>
              <w:rPr>
                <w:rFonts w:ascii="Calibri" w:hAnsi="Calibri"/>
                <w:color w:val="333333"/>
                <w:sz w:val="18"/>
              </w:rPr>
              <w:t>$0.89</w:t>
            </w:r>
          </w:p>
        </w:tc>
        <w:tc>
          <w:tcPr>
            <w:tcW w:type="dxa" w:w="1680"/>
            <w:shd w:fill="DCEEF8" w:val="clear"/>
          </w:tcPr>
          <w:p>
            <w:r>
              <w:rPr>
                <w:rFonts w:ascii="Calibri" w:hAnsi="Calibri"/>
                <w:color w:val="333333"/>
                <w:sz w:val="18"/>
              </w:rPr>
              <w:t>BEAT</w:t>
            </w:r>
          </w:p>
        </w:tc>
        <w:tc>
          <w:tcPr>
            <w:tcW w:type="dxa" w:w="1680"/>
          </w:tcPr>
          <w:p>
            <w:r>
              <w:rPr>
                <w:rFonts w:ascii="Calibri" w:hAnsi="Calibri"/>
                <w:color w:val="333333"/>
                <w:sz w:val="18"/>
              </w:rPr>
              <w:t>N/A</w:t>
            </w:r>
          </w:p>
        </w:tc>
        <w:tc>
          <w:tcPr>
            <w:tcW w:type="dxa" w:w="1680"/>
          </w:tcPr>
          <w:p>
            <w:r>
              <w:rPr>
                <w:rFonts w:ascii="Calibri" w:hAnsi="Calibri"/>
                <w:color w:val="333333"/>
                <w:sz w:val="18"/>
              </w:rPr>
              <w:t>+5.2%</w:t>
            </w:r>
          </w:p>
        </w:tc>
      </w:tr>
      <w:tr>
        <w:tc>
          <w:tcPr>
            <w:tcW w:type="dxa" w:w="1680"/>
            <w:shd w:fill="F2F4F8" w:val="clear"/>
          </w:tcPr>
          <w:p>
            <w:r>
              <w:rPr>
                <w:rFonts w:ascii="Calibri" w:hAnsi="Calibri"/>
                <w:color w:val="333333"/>
                <w:sz w:val="18"/>
              </w:rPr>
              <w:t>Q4 2024</w:t>
            </w:r>
          </w:p>
        </w:tc>
        <w:tc>
          <w:tcPr>
            <w:tcW w:type="dxa" w:w="1680"/>
            <w:shd w:fill="F2F4F8" w:val="clear"/>
          </w:tcPr>
          <w:p>
            <w:r>
              <w:rPr>
                <w:rFonts w:ascii="Calibri" w:hAnsi="Calibri"/>
                <w:color w:val="333333"/>
                <w:sz w:val="18"/>
              </w:rPr>
              <w:t>$0.75</w:t>
            </w:r>
          </w:p>
        </w:tc>
        <w:tc>
          <w:tcPr>
            <w:tcW w:type="dxa" w:w="1680"/>
            <w:shd w:fill="F2F4F8" w:val="clear"/>
          </w:tcPr>
          <w:p>
            <w:r>
              <w:rPr>
                <w:rFonts w:ascii="Calibri" w:hAnsi="Calibri"/>
                <w:color w:val="333333"/>
                <w:sz w:val="18"/>
              </w:rPr>
              <w:t>$0.81</w:t>
            </w:r>
          </w:p>
        </w:tc>
        <w:tc>
          <w:tcPr>
            <w:tcW w:type="dxa" w:w="1680"/>
            <w:shd w:fill="F2F4F8" w:val="clear"/>
            <w:shd w:fill="DCEEF8" w:val="clear"/>
          </w:tcPr>
          <w:p>
            <w:r>
              <w:rPr>
                <w:rFonts w:ascii="Calibri" w:hAnsi="Calibri"/>
                <w:color w:val="333333"/>
                <w:sz w:val="18"/>
              </w:rPr>
              <w:t>BEAT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+8.5%</w:t>
            </w:r>
          </w:p>
        </w:tc>
      </w:tr>
      <w:tr>
        <w:tc>
          <w:tcPr>
            <w:tcW w:type="dxa" w:w="1680"/>
          </w:tcPr>
          <w:p>
            <w:r>
              <w:rPr>
                <w:rFonts w:ascii="Calibri" w:hAnsi="Calibri"/>
                <w:color w:val="333333"/>
                <w:sz w:val="18"/>
              </w:rPr>
              <w:t>Q3 2024</w:t>
            </w:r>
          </w:p>
        </w:tc>
        <w:tc>
          <w:tcPr>
            <w:tcW w:type="dxa" w:w="1680"/>
          </w:tcPr>
          <w:p>
            <w:r>
              <w:rPr>
                <w:rFonts w:ascii="Calibri" w:hAnsi="Calibri"/>
                <w:color w:val="333333"/>
                <w:sz w:val="18"/>
              </w:rPr>
              <w:t>$0.64</w:t>
            </w:r>
          </w:p>
        </w:tc>
        <w:tc>
          <w:tcPr>
            <w:tcW w:type="dxa" w:w="1680"/>
          </w:tcPr>
          <w:p>
            <w:r>
              <w:rPr>
                <w:rFonts w:ascii="Calibri" w:hAnsi="Calibri"/>
                <w:color w:val="333333"/>
                <w:sz w:val="18"/>
              </w:rPr>
              <w:t>$0.68</w:t>
            </w:r>
          </w:p>
        </w:tc>
        <w:tc>
          <w:tcPr>
            <w:tcW w:type="dxa" w:w="1680"/>
            <w:shd w:fill="DCEEF8" w:val="clear"/>
          </w:tcPr>
          <w:p>
            <w:r>
              <w:rPr>
                <w:rFonts w:ascii="Calibri" w:hAnsi="Calibri"/>
                <w:color w:val="333333"/>
                <w:sz w:val="18"/>
              </w:rPr>
              <w:t>BEAT</w:t>
            </w:r>
          </w:p>
        </w:tc>
        <w:tc>
          <w:tcPr>
            <w:tcW w:type="dxa" w:w="1680"/>
          </w:tcPr>
          <w:p>
            <w:r>
              <w:rPr>
                <w:rFonts w:ascii="Calibri" w:hAnsi="Calibri"/>
                <w:color w:val="333333"/>
                <w:sz w:val="18"/>
              </w:rPr>
              <w:t>N/A</w:t>
            </w:r>
          </w:p>
        </w:tc>
        <w:tc>
          <w:tcPr>
            <w:tcW w:type="dxa" w:w="1680"/>
          </w:tcPr>
          <w:p>
            <w:r>
              <w:rPr>
                <w:rFonts w:ascii="Calibri" w:hAnsi="Calibri"/>
                <w:color w:val="333333"/>
                <w:sz w:val="18"/>
              </w:rPr>
              <w:t>+5.7%</w:t>
            </w:r>
          </w:p>
        </w:tc>
      </w:tr>
      <w:tr>
        <w:tc>
          <w:tcPr>
            <w:tcW w:type="dxa" w:w="1680"/>
            <w:shd w:fill="F2F4F8" w:val="clear"/>
          </w:tcPr>
          <w:p>
            <w:r>
              <w:rPr>
                <w:rFonts w:ascii="Calibri" w:hAnsi="Calibri"/>
                <w:color w:val="333333"/>
                <w:sz w:val="18"/>
              </w:rPr>
              <w:t>Q2 2024</w:t>
            </w:r>
          </w:p>
        </w:tc>
        <w:tc>
          <w:tcPr>
            <w:tcW w:type="dxa" w:w="1680"/>
            <w:shd w:fill="F2F4F8" w:val="clear"/>
          </w:tcPr>
          <w:p>
            <w:r>
              <w:rPr>
                <w:rFonts w:ascii="Calibri" w:hAnsi="Calibri"/>
                <w:color w:val="333333"/>
                <w:sz w:val="18"/>
              </w:rPr>
              <w:t>$0.52</w:t>
            </w:r>
          </w:p>
        </w:tc>
        <w:tc>
          <w:tcPr>
            <w:tcW w:type="dxa" w:w="1680"/>
            <w:shd w:fill="F2F4F8" w:val="clear"/>
          </w:tcPr>
          <w:p>
            <w:r>
              <w:rPr>
                <w:rFonts w:ascii="Calibri" w:hAnsi="Calibri"/>
                <w:color w:val="333333"/>
                <w:sz w:val="18"/>
              </w:rPr>
              <w:t>$0.60</w:t>
            </w:r>
          </w:p>
        </w:tc>
        <w:tc>
          <w:tcPr>
            <w:tcW w:type="dxa" w:w="1680"/>
            <w:shd w:fill="F2F4F8" w:val="clear"/>
            <w:shd w:fill="DCEEF8" w:val="clear"/>
          </w:tcPr>
          <w:p>
            <w:r>
              <w:rPr>
                <w:rFonts w:ascii="Calibri" w:hAnsi="Calibri"/>
                <w:color w:val="333333"/>
                <w:sz w:val="18"/>
              </w:rPr>
              <w:t>BEAT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+14.8%</w:t>
            </w:r>
          </w:p>
        </w:tc>
      </w:tr>
      <w:tr>
        <w:tc>
          <w:tcPr>
            <w:tcW w:type="dxa" w:w="1680"/>
          </w:tcPr>
          <w:p>
            <w:r>
              <w:rPr>
                <w:rFonts w:ascii="Calibri" w:hAnsi="Calibri"/>
                <w:color w:val="333333"/>
                <w:sz w:val="18"/>
              </w:rPr>
              <w:t>Q1 2024</w:t>
            </w:r>
          </w:p>
        </w:tc>
        <w:tc>
          <w:tcPr>
            <w:tcW w:type="dxa" w:w="1680"/>
          </w:tcPr>
          <w:p>
            <w:r>
              <w:rPr>
                <w:rFonts w:ascii="Calibri" w:hAnsi="Calibri"/>
                <w:color w:val="333333"/>
                <w:sz w:val="18"/>
              </w:rPr>
              <w:t>$0.46</w:t>
            </w:r>
          </w:p>
        </w:tc>
        <w:tc>
          <w:tcPr>
            <w:tcW w:type="dxa" w:w="1680"/>
          </w:tcPr>
          <w:p>
            <w:r>
              <w:rPr>
                <w:rFonts w:ascii="Calibri" w:hAnsi="Calibri"/>
                <w:color w:val="333333"/>
                <w:sz w:val="18"/>
              </w:rPr>
              <w:t>$0.52</w:t>
            </w:r>
          </w:p>
        </w:tc>
        <w:tc>
          <w:tcPr>
            <w:tcW w:type="dxa" w:w="1680"/>
            <w:shd w:fill="DCEEF8" w:val="clear"/>
          </w:tcPr>
          <w:p>
            <w:r>
              <w:rPr>
                <w:rFonts w:ascii="Calibri" w:hAnsi="Calibri"/>
                <w:color w:val="333333"/>
                <w:sz w:val="18"/>
              </w:rPr>
              <w:t>BEAT</w:t>
            </w:r>
          </w:p>
        </w:tc>
        <w:tc>
          <w:tcPr>
            <w:tcW w:type="dxa" w:w="1680"/>
          </w:tcPr>
          <w:p>
            <w:r>
              <w:rPr>
                <w:rFonts w:ascii="Calibri" w:hAnsi="Calibri"/>
                <w:color w:val="333333"/>
                <w:sz w:val="18"/>
              </w:rPr>
              <w:t>N/A</w:t>
            </w:r>
          </w:p>
        </w:tc>
        <w:tc>
          <w:tcPr>
            <w:tcW w:type="dxa" w:w="1680"/>
          </w:tcPr>
          <w:p>
            <w:r>
              <w:rPr>
                <w:rFonts w:ascii="Calibri" w:hAnsi="Calibri"/>
                <w:color w:val="333333"/>
                <w:sz w:val="18"/>
              </w:rPr>
              <w:t>+11.4%</w:t>
            </w:r>
          </w:p>
        </w:tc>
      </w:tr>
      <w:tr>
        <w:tc>
          <w:tcPr>
            <w:tcW w:type="dxa" w:w="1680"/>
            <w:shd w:fill="F2F4F8" w:val="clear"/>
          </w:tcPr>
          <w:p>
            <w:r>
              <w:rPr>
                <w:rFonts w:ascii="Calibri" w:hAnsi="Calibri"/>
                <w:color w:val="333333"/>
                <w:sz w:val="18"/>
              </w:rPr>
              <w:t>Q4 2023</w:t>
            </w:r>
          </w:p>
        </w:tc>
        <w:tc>
          <w:tcPr>
            <w:tcW w:type="dxa" w:w="1680"/>
            <w:shd w:fill="F2F4F8" w:val="clear"/>
          </w:tcPr>
          <w:p>
            <w:r>
              <w:rPr>
                <w:rFonts w:ascii="Calibri" w:hAnsi="Calibri"/>
                <w:color w:val="333333"/>
                <w:sz w:val="18"/>
              </w:rPr>
              <w:t>$0.34</w:t>
            </w:r>
          </w:p>
        </w:tc>
        <w:tc>
          <w:tcPr>
            <w:tcW w:type="dxa" w:w="1680"/>
            <w:shd w:fill="F2F4F8" w:val="clear"/>
          </w:tcPr>
          <w:p>
            <w:r>
              <w:rPr>
                <w:rFonts w:ascii="Calibri" w:hAnsi="Calibri"/>
                <w:color w:val="333333"/>
                <w:sz w:val="18"/>
              </w:rPr>
              <w:t>$0.40</w:t>
            </w:r>
          </w:p>
        </w:tc>
        <w:tc>
          <w:tcPr>
            <w:tcW w:type="dxa" w:w="1680"/>
            <w:shd w:fill="F2F4F8" w:val="clear"/>
            <w:shd w:fill="DCEEF8" w:val="clear"/>
          </w:tcPr>
          <w:p>
            <w:r>
              <w:rPr>
                <w:rFonts w:ascii="Calibri" w:hAnsi="Calibri"/>
                <w:color w:val="333333"/>
                <w:sz w:val="18"/>
              </w:rPr>
              <w:t>BEAT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+18.7%</w:t>
            </w:r>
          </w:p>
        </w:tc>
      </w:tr>
      <w:tr>
        <w:tc>
          <w:tcPr>
            <w:tcW w:type="dxa" w:w="1680"/>
          </w:tcPr>
          <w:p>
            <w:r>
              <w:rPr>
                <w:rFonts w:ascii="Calibri" w:hAnsi="Calibri"/>
                <w:color w:val="333333"/>
                <w:sz w:val="18"/>
              </w:rPr>
              <w:t>Q3 2023</w:t>
            </w:r>
          </w:p>
        </w:tc>
        <w:tc>
          <w:tcPr>
            <w:tcW w:type="dxa" w:w="1680"/>
          </w:tcPr>
          <w:p>
            <w:r>
              <w:rPr>
                <w:rFonts w:ascii="Calibri" w:hAnsi="Calibri"/>
                <w:color w:val="333333"/>
                <w:sz w:val="18"/>
              </w:rPr>
              <w:t>$0.21</w:t>
            </w:r>
          </w:p>
        </w:tc>
        <w:tc>
          <w:tcPr>
            <w:tcW w:type="dxa" w:w="1680"/>
          </w:tcPr>
          <w:p>
            <w:r>
              <w:rPr>
                <w:rFonts w:ascii="Calibri" w:hAnsi="Calibri"/>
                <w:color w:val="333333"/>
                <w:sz w:val="18"/>
              </w:rPr>
              <w:t>$0.27</w:t>
            </w:r>
          </w:p>
        </w:tc>
        <w:tc>
          <w:tcPr>
            <w:tcW w:type="dxa" w:w="1680"/>
            <w:shd w:fill="DCEEF8" w:val="clear"/>
          </w:tcPr>
          <w:p>
            <w:r>
              <w:rPr>
                <w:rFonts w:ascii="Calibri" w:hAnsi="Calibri"/>
                <w:color w:val="333333"/>
                <w:sz w:val="18"/>
              </w:rPr>
              <w:t>BEAT</w:t>
            </w:r>
          </w:p>
        </w:tc>
        <w:tc>
          <w:tcPr>
            <w:tcW w:type="dxa" w:w="1680"/>
          </w:tcPr>
          <w:p>
            <w:r>
              <w:rPr>
                <w:rFonts w:ascii="Calibri" w:hAnsi="Calibri"/>
                <w:color w:val="333333"/>
                <w:sz w:val="18"/>
              </w:rPr>
              <w:t>N/A</w:t>
            </w:r>
          </w:p>
        </w:tc>
        <w:tc>
          <w:tcPr>
            <w:tcW w:type="dxa" w:w="1680"/>
          </w:tcPr>
          <w:p>
            <w:r>
              <w:rPr>
                <w:rFonts w:ascii="Calibri" w:hAnsi="Calibri"/>
                <w:color w:val="333333"/>
                <w:sz w:val="18"/>
              </w:rPr>
              <w:t>+29.4%</w:t>
            </w:r>
          </w:p>
        </w:tc>
      </w:tr>
      <w:tr>
        <w:tc>
          <w:tcPr>
            <w:tcW w:type="dxa" w:w="1680"/>
            <w:shd w:fill="F2F4F8" w:val="clear"/>
          </w:tcPr>
          <w:p>
            <w:r>
              <w:rPr>
                <w:rFonts w:ascii="Calibri" w:hAnsi="Calibri"/>
                <w:color w:val="333333"/>
                <w:sz w:val="18"/>
              </w:rPr>
              <w:t>Q2 2023</w:t>
            </w:r>
          </w:p>
        </w:tc>
        <w:tc>
          <w:tcPr>
            <w:tcW w:type="dxa" w:w="1680"/>
            <w:shd w:fill="F2F4F8" w:val="clear"/>
          </w:tcPr>
          <w:p>
            <w:r>
              <w:rPr>
                <w:rFonts w:ascii="Calibri" w:hAnsi="Calibri"/>
                <w:color w:val="333333"/>
                <w:sz w:val="18"/>
              </w:rPr>
              <w:t>$0.09</w:t>
            </w:r>
          </w:p>
        </w:tc>
        <w:tc>
          <w:tcPr>
            <w:tcW w:type="dxa" w:w="1680"/>
            <w:shd w:fill="F2F4F8" w:val="clear"/>
          </w:tcPr>
          <w:p>
            <w:r>
              <w:rPr>
                <w:rFonts w:ascii="Calibri" w:hAnsi="Calibri"/>
                <w:color w:val="333333"/>
                <w:sz w:val="18"/>
              </w:rPr>
              <w:t>$0.11</w:t>
            </w:r>
          </w:p>
        </w:tc>
        <w:tc>
          <w:tcPr>
            <w:tcW w:type="dxa" w:w="1680"/>
            <w:shd w:fill="F2F4F8" w:val="clear"/>
            <w:shd w:fill="DCEEF8" w:val="clear"/>
          </w:tcPr>
          <w:p>
            <w:r>
              <w:rPr>
                <w:rFonts w:ascii="Calibri" w:hAnsi="Calibri"/>
                <w:color w:val="333333"/>
                <w:sz w:val="18"/>
              </w:rPr>
              <w:t>BEAT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+18.8%</w:t>
            </w:r>
          </w:p>
        </w:tc>
      </w:tr>
      <w:tr>
        <w:tc>
          <w:tcPr>
            <w:tcW w:type="dxa" w:w="1680"/>
          </w:tcPr>
          <w:p>
            <w:r>
              <w:rPr>
                <w:rFonts w:ascii="Calibri" w:hAnsi="Calibri"/>
                <w:color w:val="333333"/>
                <w:sz w:val="18"/>
              </w:rPr>
              <w:t>Q1 2023</w:t>
            </w:r>
          </w:p>
        </w:tc>
        <w:tc>
          <w:tcPr>
            <w:tcW w:type="dxa" w:w="1680"/>
          </w:tcPr>
          <w:p>
            <w:r>
              <w:rPr>
                <w:rFonts w:ascii="Calibri" w:hAnsi="Calibri"/>
                <w:color w:val="333333"/>
                <w:sz w:val="18"/>
              </w:rPr>
              <w:t>$0.08</w:t>
            </w:r>
          </w:p>
        </w:tc>
        <w:tc>
          <w:tcPr>
            <w:tcW w:type="dxa" w:w="1680"/>
          </w:tcPr>
          <w:p>
            <w:r>
              <w:rPr>
                <w:rFonts w:ascii="Calibri" w:hAnsi="Calibri"/>
                <w:color w:val="333333"/>
                <w:sz w:val="18"/>
              </w:rPr>
              <w:t>$0.09</w:t>
            </w:r>
          </w:p>
        </w:tc>
        <w:tc>
          <w:tcPr>
            <w:tcW w:type="dxa" w:w="1680"/>
            <w:shd w:fill="DCEEF8" w:val="clear"/>
          </w:tcPr>
          <w:p>
            <w:r>
              <w:rPr>
                <w:rFonts w:ascii="Calibri" w:hAnsi="Calibri"/>
                <w:color w:val="333333"/>
                <w:sz w:val="18"/>
              </w:rPr>
              <w:t>BEAT</w:t>
            </w:r>
          </w:p>
        </w:tc>
        <w:tc>
          <w:tcPr>
            <w:tcW w:type="dxa" w:w="1680"/>
          </w:tcPr>
          <w:p>
            <w:r>
              <w:rPr>
                <w:rFonts w:ascii="Calibri" w:hAnsi="Calibri"/>
                <w:color w:val="333333"/>
                <w:sz w:val="18"/>
              </w:rPr>
              <w:t>N/A</w:t>
            </w:r>
          </w:p>
        </w:tc>
        <w:tc>
          <w:tcPr>
            <w:tcW w:type="dxa" w:w="1680"/>
          </w:tcPr>
          <w:p>
            <w:r>
              <w:rPr>
                <w:rFonts w:ascii="Calibri" w:hAnsi="Calibri"/>
                <w:color w:val="333333"/>
                <w:sz w:val="18"/>
              </w:rPr>
              <w:t>+9.4%</w:t>
            </w:r>
          </w:p>
        </w:tc>
      </w:tr>
      <w:tr>
        <w:tc>
          <w:tcPr>
            <w:tcW w:type="dxa" w:w="1680"/>
            <w:shd w:fill="F2F4F8" w:val="clear"/>
          </w:tcPr>
          <w:p>
            <w:r>
              <w:rPr>
                <w:rFonts w:ascii="Calibri" w:hAnsi="Calibri"/>
                <w:color w:val="333333"/>
                <w:sz w:val="18"/>
              </w:rPr>
              <w:t>Q4 2022</w:t>
            </w:r>
          </w:p>
        </w:tc>
        <w:tc>
          <w:tcPr>
            <w:tcW w:type="dxa" w:w="1680"/>
            <w:shd w:fill="F2F4F8" w:val="clear"/>
          </w:tcPr>
          <w:p>
            <w:r>
              <w:rPr>
                <w:rFonts w:ascii="Calibri" w:hAnsi="Calibri"/>
                <w:color w:val="333333"/>
                <w:sz w:val="18"/>
              </w:rPr>
              <w:t>$0.07</w:t>
            </w:r>
          </w:p>
        </w:tc>
        <w:tc>
          <w:tcPr>
            <w:tcW w:type="dxa" w:w="1680"/>
            <w:shd w:fill="F2F4F8" w:val="clear"/>
          </w:tcPr>
          <w:p>
            <w:r>
              <w:rPr>
                <w:rFonts w:ascii="Calibri" w:hAnsi="Calibri"/>
                <w:color w:val="333333"/>
                <w:sz w:val="18"/>
              </w:rPr>
              <w:t>$0.06</w:t>
            </w:r>
          </w:p>
        </w:tc>
        <w:tc>
          <w:tcPr>
            <w:tcW w:type="dxa" w:w="1680"/>
            <w:shd w:fill="F2F4F8" w:val="clear"/>
            <w:shd w:fill="FCE8E6" w:val="clear"/>
          </w:tcPr>
          <w:p>
            <w:r>
              <w:rPr>
                <w:rFonts w:ascii="Calibri" w:hAnsi="Calibri"/>
                <w:color w:val="333333"/>
                <w:sz w:val="18"/>
              </w:rPr>
              <w:t>MISS</w:t>
            </w:r>
          </w:p>
        </w:tc>
        <w:tc>
          <w:tcPr>
            <w:tcW w:type="dxa" w:w="1680"/>
            <w:shd w:fill="F2F4F8" w:val="clear"/>
          </w:tcPr>
          <w:p>
            <w:r>
              <w:rPr>
                <w:rFonts w:ascii="Calibri" w:hAnsi="Calibri"/>
                <w:color w:val="333333"/>
                <w:sz w:val="18"/>
              </w:rPr>
              <w:t>+14.3%</w:t>
            </w:r>
          </w:p>
        </w:tc>
        <w:tc>
          <w:tcPr>
            <w:tcW w:type="dxa" w:w="1680"/>
            <w:shd w:fill="F2F4F8" w:val="clear"/>
          </w:tcPr>
          <w:p>
            <w:r>
              <w:rPr>
                <w:rFonts w:ascii="Calibri" w:hAnsi="Calibri"/>
                <w:color w:val="333333"/>
                <w:sz w:val="18"/>
              </w:rPr>
              <w:t>-17.3%</w:t>
            </w:r>
          </w:p>
        </w:tc>
      </w:tr>
      <w:tr>
        <w:tc>
          <w:tcPr>
            <w:tcW w:type="dxa" w:w="1680"/>
          </w:tcPr>
          <w:p>
            <w:r>
              <w:rPr>
                <w:rFonts w:ascii="Calibri" w:hAnsi="Calibri"/>
                <w:color w:val="333333"/>
                <w:sz w:val="18"/>
              </w:rPr>
              <w:t>Q3 2022</w:t>
            </w:r>
          </w:p>
        </w:tc>
        <w:tc>
          <w:tcPr>
            <w:tcW w:type="dxa" w:w="1680"/>
          </w:tcPr>
          <w:p>
            <w:r>
              <w:rPr>
                <w:rFonts w:ascii="Calibri" w:hAnsi="Calibri"/>
                <w:color w:val="333333"/>
                <w:sz w:val="18"/>
              </w:rPr>
              <w:t>$0.05</w:t>
            </w:r>
          </w:p>
        </w:tc>
        <w:tc>
          <w:tcPr>
            <w:tcW w:type="dxa" w:w="1680"/>
          </w:tcPr>
          <w:p>
            <w:r>
              <w:rPr>
                <w:rFonts w:ascii="Calibri" w:hAnsi="Calibri"/>
                <w:color w:val="333333"/>
                <w:sz w:val="18"/>
              </w:rPr>
              <w:t>$0.05</w:t>
            </w:r>
          </w:p>
        </w:tc>
        <w:tc>
          <w:tcPr>
            <w:tcW w:type="dxa" w:w="1680"/>
          </w:tcPr>
          <w:p>
            <w:r>
              <w:rPr>
                <w:rFonts w:ascii="Calibri" w:hAnsi="Calibri"/>
                <w:color w:val="333333"/>
                <w:sz w:val="18"/>
              </w:rPr>
              <w:t>MEET</w:t>
            </w:r>
          </w:p>
        </w:tc>
        <w:tc>
          <w:tcPr>
            <w:tcW w:type="dxa" w:w="1680"/>
          </w:tcPr>
          <w:p>
            <w:r>
              <w:rPr>
                <w:rFonts w:ascii="Calibri" w:hAnsi="Calibri"/>
                <w:color w:val="333333"/>
                <w:sz w:val="18"/>
              </w:rPr>
              <w:t>N/A</w:t>
            </w:r>
          </w:p>
        </w:tc>
        <w:tc>
          <w:tcPr>
            <w:tcW w:type="dxa" w:w="1680"/>
          </w:tcPr>
          <w:p>
            <w:r>
              <w:rPr>
                <w:rFonts w:ascii="Calibri" w:hAnsi="Calibri"/>
                <w:color w:val="333333"/>
                <w:sz w:val="18"/>
              </w:rPr>
              <w:t>-1.5%</w:t>
            </w:r>
          </w:p>
        </w:tc>
      </w:tr>
      <w:tr>
        <w:tc>
          <w:tcPr>
            <w:tcW w:type="dxa" w:w="1680"/>
            <w:shd w:fill="F2F4F8" w:val="clear"/>
          </w:tcPr>
          <w:p>
            <w:r>
              <w:rPr>
                <w:rFonts w:ascii="Calibri" w:hAnsi="Calibri"/>
                <w:color w:val="333333"/>
                <w:sz w:val="18"/>
              </w:rPr>
              <w:t>Q2 2022</w:t>
            </w:r>
          </w:p>
        </w:tc>
        <w:tc>
          <w:tcPr>
            <w:tcW w:type="dxa" w:w="1680"/>
            <w:shd w:fill="F2F4F8" w:val="clear"/>
          </w:tcPr>
          <w:p>
            <w:r>
              <w:rPr>
                <w:rFonts w:ascii="Calibri" w:hAnsi="Calibri"/>
                <w:color w:val="333333"/>
                <w:sz w:val="18"/>
              </w:rPr>
              <w:t>$0.13</w:t>
            </w:r>
          </w:p>
        </w:tc>
        <w:tc>
          <w:tcPr>
            <w:tcW w:type="dxa" w:w="1680"/>
            <w:shd w:fill="F2F4F8" w:val="clear"/>
          </w:tcPr>
          <w:p>
            <w:r>
              <w:rPr>
                <w:rFonts w:ascii="Calibri" w:hAnsi="Calibri"/>
                <w:color w:val="333333"/>
                <w:sz w:val="18"/>
              </w:rPr>
              <w:t>$0.14</w:t>
            </w:r>
          </w:p>
        </w:tc>
        <w:tc>
          <w:tcPr>
            <w:tcW w:type="dxa" w:w="1680"/>
            <w:shd w:fill="F2F4F8" w:val="clear"/>
            <w:shd w:fill="DCEEF8" w:val="clear"/>
          </w:tcPr>
          <w:p>
            <w:r>
              <w:rPr>
                <w:rFonts w:ascii="Calibri" w:hAnsi="Calibri"/>
                <w:color w:val="333333"/>
                <w:sz w:val="18"/>
              </w:rPr>
              <w:t>BEAT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+4.9%</w:t>
            </w:r>
          </w:p>
        </w:tc>
      </w:tr>
    </w:tbl>
    <w:p>
      <w:pPr>
        <w:pStyle w:val="DOHeading2"/>
      </w:pPr>
      <w:r>
        <w:t>Analyst Consensus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Analyst Coverage</w:t>
            </w:r>
          </w:p>
        </w:tc>
        <w:tc>
          <w:tcPr>
            <w:tcW w:type="dxa" w:w="5040"/>
          </w:tcPr>
          <w:p>
            <w:r>
              <w:rPr>
                <w:rFonts w:ascii="Calibri" w:hAnsi="Calibri"/>
                <w:color w:val="333333"/>
                <w:sz w:val="18"/>
              </w:rPr>
              <w:t>56</w:t>
            </w:r>
          </w:p>
        </w:tc>
      </w:tr>
      <w:tr>
        <w:tc>
          <w:tcPr>
            <w:tcW w:type="dxa" w:w="5040"/>
            <w:shd w:fill="F2F4F8" w:val="clear"/>
          </w:tcPr>
          <w:p>
            <w:r>
              <w:rPr>
                <w:rFonts w:ascii="Calibri" w:hAnsi="Calibri"/>
                <w:color w:val="333333"/>
                <w:sz w:val="18"/>
              </w:rPr>
              <w:t>Consensus Rating</w:t>
            </w:r>
          </w:p>
        </w:tc>
        <w:tc>
          <w:tcPr>
            <w:tcW w:type="dxa" w:w="5040"/>
            <w:shd w:fill="F2F4F8" w:val="clear"/>
          </w:tcPr>
          <w:p>
            <w:r>
              <w:rPr>
                <w:rFonts w:ascii="Calibri" w:hAnsi="Calibri"/>
                <w:color w:val="333333"/>
                <w:sz w:val="18"/>
              </w:rPr>
              <w:t>STRONG_BUY</w:t>
            </w:r>
          </w:p>
        </w:tc>
      </w:tr>
      <w:tr>
        <w:tc>
          <w:tcPr>
            <w:tcW w:type="dxa" w:w="5040"/>
          </w:tcPr>
          <w:p>
            <w:r>
              <w:rPr>
                <w:rFonts w:ascii="Calibri" w:hAnsi="Calibri"/>
                <w:color w:val="333333"/>
                <w:sz w:val="18"/>
              </w:rPr>
              <w:t>Mean Recommendation</w:t>
            </w:r>
          </w:p>
        </w:tc>
        <w:tc>
          <w:tcPr>
            <w:tcW w:type="dxa" w:w="5040"/>
          </w:tcPr>
          <w:p>
            <w:r>
              <w:rPr>
                <w:rFonts w:ascii="Calibri" w:hAnsi="Calibri"/>
                <w:color w:val="333333"/>
                <w:sz w:val="18"/>
              </w:rPr>
              <w:t>1.28 (1=Strong Buy, 5=Sell)</w:t>
            </w:r>
          </w:p>
        </w:tc>
      </w:tr>
      <w:tr>
        <w:tc>
          <w:tcPr>
            <w:tcW w:type="dxa" w:w="5040"/>
            <w:shd w:fill="F2F4F8" w:val="clear"/>
          </w:tcPr>
          <w:p>
            <w:r>
              <w:rPr>
                <w:rFonts w:ascii="Calibri" w:hAnsi="Calibri"/>
                <w:color w:val="333333"/>
                <w:sz w:val="18"/>
              </w:rPr>
              <w:t>Mean Target Price</w:t>
            </w:r>
          </w:p>
        </w:tc>
        <w:tc>
          <w:tcPr>
            <w:tcW w:type="dxa" w:w="5040"/>
            <w:shd w:fill="F2F4F8" w:val="clear"/>
          </w:tcPr>
          <w:p>
            <w:r>
              <w:rPr>
                <w:rFonts w:ascii="Calibri" w:hAnsi="Calibri"/>
                <w:color w:val="333333"/>
                <w:sz w:val="18"/>
              </w:rPr>
              <w:t>$268</w:t>
            </w:r>
          </w:p>
        </w:tc>
      </w:tr>
      <w:tr>
        <w:tc>
          <w:tcPr>
            <w:tcW w:type="dxa" w:w="5040"/>
          </w:tcPr>
          <w:p>
            <w:r>
              <w:rPr>
                <w:rFonts w:ascii="Calibri" w:hAnsi="Calibri"/>
                <w:color w:val="333333"/>
                <w:sz w:val="18"/>
              </w:rPr>
              <w:t>Target Price High</w:t>
            </w:r>
          </w:p>
        </w:tc>
        <w:tc>
          <w:tcPr>
            <w:tcW w:type="dxa" w:w="5040"/>
          </w:tcPr>
          <w:p>
            <w:r>
              <w:rPr>
                <w:rFonts w:ascii="Calibri" w:hAnsi="Calibri"/>
                <w:color w:val="333333"/>
                <w:sz w:val="18"/>
              </w:rPr>
              <w:t>$380</w:t>
            </w:r>
          </w:p>
        </w:tc>
      </w:tr>
      <w:tr>
        <w:tc>
          <w:tcPr>
            <w:tcW w:type="dxa" w:w="5040"/>
            <w:shd w:fill="F2F4F8" w:val="clear"/>
          </w:tcPr>
          <w:p>
            <w:r>
              <w:rPr>
                <w:rFonts w:ascii="Calibri" w:hAnsi="Calibri"/>
                <w:color w:val="333333"/>
                <w:sz w:val="18"/>
              </w:rPr>
              <w:t>Target Price Low</w:t>
            </w:r>
          </w:p>
        </w:tc>
        <w:tc>
          <w:tcPr>
            <w:tcW w:type="dxa" w:w="5040"/>
            <w:shd w:fill="F2F4F8" w:val="clear"/>
          </w:tcPr>
          <w:p>
            <w:r>
              <w:rPr>
                <w:rFonts w:ascii="Calibri" w:hAnsi="Calibri"/>
                <w:color w:val="333333"/>
                <w:sz w:val="18"/>
              </w:rPr>
              <w:t>$140</w:t>
            </w:r>
          </w:p>
        </w:tc>
      </w:tr>
    </w:tbl>
    <w:p>
      <w:pPr>
        <w:pStyle w:val="DOHeading2"/>
      </w:pPr>
      <w:r>
        <w:t>Stock Drop Analysis</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A1446" w:val="clear"/>
          </w:tcPr>
          <w:p>
            <w:r>
              <w:rPr>
                <w:rFonts w:ascii="Calibri" w:hAnsi="Calibri"/>
                <w:b/>
                <w:color w:val="FFFFFF"/>
                <w:sz w:val="18"/>
              </w:rPr>
              <w:t>Date</w:t>
            </w:r>
          </w:p>
        </w:tc>
        <w:tc>
          <w:tcPr>
            <w:tcW w:type="dxa" w:w="1680"/>
            <w:shd w:fill="1A1446" w:val="clear"/>
          </w:tcPr>
          <w:p>
            <w:r>
              <w:rPr>
                <w:rFonts w:ascii="Calibri" w:hAnsi="Calibri"/>
                <w:b/>
                <w:color w:val="FFFFFF"/>
                <w:sz w:val="18"/>
              </w:rPr>
              <w:t>Magnitude</w:t>
            </w:r>
          </w:p>
        </w:tc>
        <w:tc>
          <w:tcPr>
            <w:tcW w:type="dxa" w:w="1680"/>
            <w:shd w:fill="1A1446" w:val="clear"/>
          </w:tcPr>
          <w:p>
            <w:r>
              <w:rPr>
                <w:rFonts w:ascii="Calibri" w:hAnsi="Calibri"/>
                <w:b/>
                <w:color w:val="FFFFFF"/>
                <w:sz w:val="18"/>
              </w:rPr>
              <w:t>Type</w:t>
            </w:r>
          </w:p>
        </w:tc>
        <w:tc>
          <w:tcPr>
            <w:tcW w:type="dxa" w:w="1680"/>
            <w:shd w:fill="1A1446" w:val="clear"/>
          </w:tcPr>
          <w:p>
            <w:r>
              <w:rPr>
                <w:rFonts w:ascii="Calibri" w:hAnsi="Calibri"/>
                <w:b/>
                <w:color w:val="FFFFFF"/>
                <w:sz w:val="18"/>
              </w:rPr>
              <w:t>Trigger / Attribution</w:t>
            </w:r>
          </w:p>
        </w:tc>
        <w:tc>
          <w:tcPr>
            <w:tcW w:type="dxa" w:w="1680"/>
            <w:shd w:fill="1A1446" w:val="clear"/>
          </w:tcPr>
          <w:p>
            <w:r>
              <w:rPr>
                <w:rFonts w:ascii="Calibri" w:hAnsi="Calibri"/>
                <w:b/>
                <w:color w:val="FFFFFF"/>
                <w:sz w:val="18"/>
              </w:rPr>
              <w:t>Sector Return</w:t>
            </w:r>
          </w:p>
        </w:tc>
        <w:tc>
          <w:tcPr>
            <w:tcW w:type="dxa" w:w="1680"/>
            <w:shd w:fill="1A1446" w:val="clear"/>
          </w:tcPr>
          <w:p>
            <w:r>
              <w:rPr>
                <w:rFonts w:ascii="Calibri" w:hAnsi="Calibri"/>
                <w:b/>
                <w:color w:val="FFFFFF"/>
                <w:sz w:val="18"/>
              </w:rPr>
              <w:t>Company-Specific</w:t>
            </w:r>
          </w:p>
        </w:tc>
      </w:tr>
      <w:tr>
        <w:tc>
          <w:tcPr>
            <w:tcW w:type="dxa" w:w="1680"/>
          </w:tcPr>
          <w:p>
            <w:r>
              <w:rPr>
                <w:rFonts w:ascii="Calibri" w:hAnsi="Calibri"/>
                <w:color w:val="333333"/>
                <w:sz w:val="18"/>
              </w:rPr>
              <w:t>2024-08-07</w:t>
            </w:r>
          </w:p>
        </w:tc>
        <w:tc>
          <w:tcPr>
            <w:tcW w:type="dxa" w:w="1680"/>
          </w:tcPr>
          <w:p>
            <w:r>
              <w:rPr>
                <w:rFonts w:ascii="Calibri" w:hAnsi="Calibri"/>
                <w:color w:val="333333"/>
                <w:sz w:val="18"/>
              </w:rPr>
              <w:t>-26.7%</w:t>
            </w:r>
          </w:p>
        </w:tc>
        <w:tc>
          <w:tcPr>
            <w:tcW w:type="dxa" w:w="1680"/>
          </w:tcPr>
          <w:p>
            <w:r>
              <w:rPr>
                <w:rFonts w:ascii="Calibri" w:hAnsi="Calibri"/>
                <w:color w:val="333333"/>
                <w:sz w:val="18"/>
              </w:rPr>
              <w:t>MULTI_DAY (20d)</w:t>
            </w:r>
          </w:p>
        </w:tc>
        <w:tc>
          <w:tcPr>
            <w:tcW w:type="dxa" w:w="1680"/>
          </w:tcPr>
          <w:p>
            <w:r>
              <w:rPr>
                <w:rFonts w:ascii="Calibri" w:hAnsi="Calibri"/>
                <w:color w:val="333333"/>
                <w:sz w:val="18"/>
              </w:rPr>
              <w:t>Unknown</w:t>
            </w:r>
          </w:p>
        </w:tc>
        <w:tc>
          <w:tcPr>
            <w:tcW w:type="dxa" w:w="1680"/>
          </w:tcPr>
          <w:p>
            <w:r>
              <w:rPr>
                <w:rFonts w:ascii="Calibri" w:hAnsi="Calibri"/>
                <w:color w:val="333333"/>
                <w:sz w:val="18"/>
              </w:rPr>
              <w:t>-17.0%</w:t>
            </w:r>
          </w:p>
        </w:tc>
        <w:tc>
          <w:tcPr>
            <w:tcW w:type="dxa" w:w="1680"/>
            <w:shd w:fill="FFF3CD" w:val="clear"/>
          </w:tcPr>
          <w:p>
            <w:r>
              <w:rPr>
                <w:rFonts w:ascii="Calibri" w:hAnsi="Calibri"/>
                <w:color w:val="333333"/>
                <w:sz w:val="18"/>
              </w:rPr>
              <w:t>Yes</w:t>
            </w:r>
          </w:p>
        </w:tc>
      </w:tr>
      <w:tr>
        <w:tc>
          <w:tcPr>
            <w:tcW w:type="dxa" w:w="1680"/>
            <w:shd w:fill="F2F4F8" w:val="clear"/>
          </w:tcPr>
          <w:p>
            <w:r>
              <w:rPr>
                <w:rFonts w:ascii="Calibri" w:hAnsi="Calibri"/>
                <w:color w:val="333333"/>
                <w:sz w:val="18"/>
              </w:rPr>
              <w:t>2025-01-27 to 2025-01-31</w:t>
            </w:r>
          </w:p>
        </w:tc>
        <w:tc>
          <w:tcPr>
            <w:tcW w:type="dxa" w:w="1680"/>
            <w:shd w:fill="F2F4F8" w:val="clear"/>
          </w:tcPr>
          <w:p>
            <w:r>
              <w:rPr>
                <w:rFonts w:ascii="Calibri" w:hAnsi="Calibri"/>
                <w:color w:val="333333"/>
                <w:sz w:val="18"/>
              </w:rPr>
              <w:t>-19.6%</w:t>
            </w:r>
          </w:p>
        </w:tc>
        <w:tc>
          <w:tcPr>
            <w:tcW w:type="dxa" w:w="1680"/>
            <w:shd w:fill="F2F4F8" w:val="clear"/>
          </w:tcPr>
          <w:p>
            <w:r>
              <w:rPr>
                <w:rFonts w:ascii="Calibri" w:hAnsi="Calibri"/>
                <w:color w:val="333333"/>
                <w:sz w:val="18"/>
              </w:rPr>
              <w:t>MULTI_DAY (5d)</w:t>
            </w:r>
          </w:p>
        </w:tc>
        <w:tc>
          <w:tcPr>
            <w:tcW w:type="dxa" w:w="1680"/>
            <w:shd w:fill="F2F4F8" w:val="clear"/>
          </w:tcPr>
          <w:p>
            <w:r>
              <w:rPr>
                <w:rFonts w:ascii="Calibri" w:hAnsi="Calibri"/>
                <w:color w:val="333333"/>
                <w:sz w:val="18"/>
              </w:rPr>
              <w:t>Unknown</w:t>
            </w:r>
          </w:p>
        </w:tc>
        <w:tc>
          <w:tcPr>
            <w:tcW w:type="dxa" w:w="1680"/>
            <w:shd w:fill="F2F4F8" w:val="clear"/>
          </w:tcPr>
          <w:p>
            <w:r>
              <w:rPr>
                <w:rFonts w:ascii="Calibri" w:hAnsi="Calibri"/>
                <w:color w:val="333333"/>
                <w:sz w:val="18"/>
              </w:rPr>
              <w:t>-5.9%</w:t>
            </w:r>
          </w:p>
        </w:tc>
        <w:tc>
          <w:tcPr>
            <w:tcW w:type="dxa" w:w="1680"/>
            <w:shd w:fill="F2F4F8" w:val="clear"/>
            <w:shd w:fill="FFF3CD" w:val="clear"/>
          </w:tcPr>
          <w:p>
            <w:r>
              <w:rPr>
                <w:rFonts w:ascii="Calibri" w:hAnsi="Calibri"/>
                <w:color w:val="333333"/>
                <w:sz w:val="18"/>
              </w:rPr>
              <w:t>Yes</w:t>
            </w:r>
          </w:p>
        </w:tc>
      </w:tr>
      <w:tr>
        <w:tc>
          <w:tcPr>
            <w:tcW w:type="dxa" w:w="1680"/>
          </w:tcPr>
          <w:p>
            <w:r>
              <w:rPr>
                <w:rFonts w:ascii="Calibri" w:hAnsi="Calibri"/>
                <w:color w:val="333333"/>
                <w:sz w:val="18"/>
              </w:rPr>
              <w:t>2024-07-30</w:t>
            </w:r>
          </w:p>
        </w:tc>
        <w:tc>
          <w:tcPr>
            <w:tcW w:type="dxa" w:w="1680"/>
          </w:tcPr>
          <w:p>
            <w:r>
              <w:rPr>
                <w:rFonts w:ascii="Calibri" w:hAnsi="Calibri"/>
                <w:color w:val="333333"/>
                <w:sz w:val="18"/>
              </w:rPr>
              <w:t>-19.3%</w:t>
            </w:r>
          </w:p>
        </w:tc>
        <w:tc>
          <w:tcPr>
            <w:tcW w:type="dxa" w:w="1680"/>
          </w:tcPr>
          <w:p>
            <w:r>
              <w:rPr>
                <w:rFonts w:ascii="Calibri" w:hAnsi="Calibri"/>
                <w:color w:val="333333"/>
                <w:sz w:val="18"/>
              </w:rPr>
              <w:t>MULTI_DAY</w:t>
            </w:r>
          </w:p>
        </w:tc>
        <w:tc>
          <w:tcPr>
            <w:tcW w:type="dxa" w:w="1680"/>
          </w:tcPr>
          <w:p>
            <w:r>
              <w:rPr>
                <w:rFonts w:ascii="Calibri" w:hAnsi="Calibri"/>
                <w:color w:val="333333"/>
                <w:sz w:val="18"/>
              </w:rPr>
              <w:t>Unknown</w:t>
            </w:r>
          </w:p>
        </w:tc>
        <w:tc>
          <w:tcPr>
            <w:tcW w:type="dxa" w:w="1680"/>
          </w:tcPr>
          <w:p>
            <w:r>
              <w:rPr>
                <w:rFonts w:ascii="Calibri" w:hAnsi="Calibri"/>
                <w:color w:val="333333"/>
                <w:sz w:val="18"/>
              </w:rPr>
              <w:t>-6.8%</w:t>
            </w:r>
          </w:p>
        </w:tc>
        <w:tc>
          <w:tcPr>
            <w:tcW w:type="dxa" w:w="1680"/>
            <w:shd w:fill="FFF3CD" w:val="clear"/>
          </w:tcPr>
          <w:p>
            <w:r>
              <w:rPr>
                <w:rFonts w:ascii="Calibri" w:hAnsi="Calibri"/>
                <w:color w:val="333333"/>
                <w:sz w:val="18"/>
              </w:rPr>
              <w:t>Yes</w:t>
            </w:r>
          </w:p>
        </w:tc>
      </w:tr>
      <w:tr>
        <w:tc>
          <w:tcPr>
            <w:tcW w:type="dxa" w:w="1680"/>
            <w:shd w:fill="F2F4F8" w:val="clear"/>
          </w:tcPr>
          <w:p>
            <w:r>
              <w:rPr>
                <w:rFonts w:ascii="Calibri" w:hAnsi="Calibri"/>
                <w:color w:val="333333"/>
                <w:sz w:val="18"/>
              </w:rPr>
              <w:t>2024-08-29 to 2024-09-04</w:t>
            </w:r>
          </w:p>
        </w:tc>
        <w:tc>
          <w:tcPr>
            <w:tcW w:type="dxa" w:w="1680"/>
            <w:shd w:fill="F2F4F8" w:val="clear"/>
          </w:tcPr>
          <w:p>
            <w:r>
              <w:rPr>
                <w:rFonts w:ascii="Calibri" w:hAnsi="Calibri"/>
                <w:color w:val="333333"/>
                <w:sz w:val="18"/>
              </w:rPr>
              <w:t>-17.2%</w:t>
            </w:r>
          </w:p>
        </w:tc>
        <w:tc>
          <w:tcPr>
            <w:tcW w:type="dxa" w:w="1680"/>
            <w:shd w:fill="F2F4F8" w:val="clear"/>
          </w:tcPr>
          <w:p>
            <w:r>
              <w:rPr>
                <w:rFonts w:ascii="Calibri" w:hAnsi="Calibri"/>
                <w:color w:val="333333"/>
                <w:sz w:val="18"/>
              </w:rPr>
              <w:t>MULTI_DAY (7d)</w:t>
            </w:r>
          </w:p>
        </w:tc>
        <w:tc>
          <w:tcPr>
            <w:tcW w:type="dxa" w:w="1680"/>
            <w:shd w:fill="F2F4F8" w:val="clear"/>
          </w:tcPr>
          <w:p>
            <w:r>
              <w:rPr>
                <w:rFonts w:ascii="Calibri" w:hAnsi="Calibri"/>
                <w:color w:val="333333"/>
                <w:sz w:val="18"/>
              </w:rPr>
              <w:t>Unknown</w:t>
            </w:r>
          </w:p>
        </w:tc>
        <w:tc>
          <w:tcPr>
            <w:tcW w:type="dxa" w:w="1680"/>
            <w:shd w:fill="F2F4F8" w:val="clear"/>
          </w:tcPr>
          <w:p>
            <w:r>
              <w:rPr>
                <w:rFonts w:ascii="Calibri" w:hAnsi="Calibri"/>
                <w:color w:val="333333"/>
                <w:sz w:val="18"/>
              </w:rPr>
              <w:t>-5.8%</w:t>
            </w:r>
          </w:p>
        </w:tc>
        <w:tc>
          <w:tcPr>
            <w:tcW w:type="dxa" w:w="1680"/>
            <w:shd w:fill="F2F4F8" w:val="clear"/>
            <w:shd w:fill="FFF3CD" w:val="clear"/>
          </w:tcPr>
          <w:p>
            <w:r>
              <w:rPr>
                <w:rFonts w:ascii="Calibri" w:hAnsi="Calibri"/>
                <w:color w:val="333333"/>
                <w:sz w:val="18"/>
              </w:rPr>
              <w:t>Yes</w:t>
            </w:r>
          </w:p>
        </w:tc>
      </w:tr>
      <w:tr>
        <w:tc>
          <w:tcPr>
            <w:tcW w:type="dxa" w:w="1680"/>
          </w:tcPr>
          <w:p>
            <w:r>
              <w:rPr>
                <w:rFonts w:ascii="Calibri" w:hAnsi="Calibri"/>
                <w:color w:val="333333"/>
                <w:sz w:val="18"/>
              </w:rPr>
              <w:t>2025-01-27</w:t>
            </w:r>
          </w:p>
        </w:tc>
        <w:tc>
          <w:tcPr>
            <w:tcW w:type="dxa" w:w="1680"/>
          </w:tcPr>
          <w:p>
            <w:r>
              <w:rPr>
                <w:rFonts w:ascii="Calibri" w:hAnsi="Calibri"/>
                <w:color w:val="333333"/>
                <w:sz w:val="18"/>
              </w:rPr>
              <w:t>-17.0%</w:t>
            </w:r>
          </w:p>
        </w:tc>
        <w:tc>
          <w:tcPr>
            <w:tcW w:type="dxa" w:w="1680"/>
          </w:tcPr>
          <w:p>
            <w:r>
              <w:rPr>
                <w:rFonts w:ascii="Calibri" w:hAnsi="Calibri"/>
                <w:color w:val="333333"/>
                <w:sz w:val="18"/>
              </w:rPr>
              <w:t>SINGLE_DAY</w:t>
            </w:r>
          </w:p>
        </w:tc>
        <w:tc>
          <w:tcPr>
            <w:tcW w:type="dxa" w:w="1680"/>
          </w:tcPr>
          <w:p>
            <w:r>
              <w:rPr>
                <w:rFonts w:ascii="Calibri" w:hAnsi="Calibri"/>
                <w:color w:val="333333"/>
                <w:sz w:val="18"/>
              </w:rPr>
              <w:t>Unknown</w:t>
            </w:r>
          </w:p>
        </w:tc>
        <w:tc>
          <w:tcPr>
            <w:tcW w:type="dxa" w:w="1680"/>
          </w:tcPr>
          <w:p>
            <w:r>
              <w:rPr>
                <w:rFonts w:ascii="Calibri" w:hAnsi="Calibri"/>
                <w:color w:val="333333"/>
                <w:sz w:val="18"/>
              </w:rPr>
              <w:t>-4.9%</w:t>
            </w:r>
          </w:p>
        </w:tc>
        <w:tc>
          <w:tcPr>
            <w:tcW w:type="dxa" w:w="1680"/>
            <w:shd w:fill="FFF3CD" w:val="clear"/>
          </w:tcPr>
          <w:p>
            <w:r>
              <w:rPr>
                <w:rFonts w:ascii="Calibri" w:hAnsi="Calibri"/>
                <w:color w:val="333333"/>
                <w:sz w:val="18"/>
              </w:rPr>
              <w:t>Yes</w:t>
            </w:r>
          </w:p>
        </w:tc>
      </w:tr>
      <w:tr>
        <w:tc>
          <w:tcPr>
            <w:tcW w:type="dxa" w:w="1680"/>
            <w:shd w:fill="F2F4F8" w:val="clear"/>
          </w:tcPr>
          <w:p>
            <w:r>
              <w:rPr>
                <w:rFonts w:ascii="Calibri" w:hAnsi="Calibri"/>
                <w:color w:val="333333"/>
                <w:sz w:val="18"/>
              </w:rPr>
              <w:t>2025-01-29</w:t>
            </w:r>
          </w:p>
        </w:tc>
        <w:tc>
          <w:tcPr>
            <w:tcW w:type="dxa" w:w="1680"/>
            <w:shd w:fill="F2F4F8" w:val="clear"/>
          </w:tcPr>
          <w:p>
            <w:r>
              <w:rPr>
                <w:rFonts w:ascii="Calibri" w:hAnsi="Calibri"/>
                <w:color w:val="333333"/>
                <w:sz w:val="18"/>
              </w:rPr>
              <w:t>-15.9%</w:t>
            </w:r>
          </w:p>
        </w:tc>
        <w:tc>
          <w:tcPr>
            <w:tcW w:type="dxa" w:w="1680"/>
            <w:shd w:fill="F2F4F8" w:val="clear"/>
          </w:tcPr>
          <w:p>
            <w:r>
              <w:rPr>
                <w:rFonts w:ascii="Calibri" w:hAnsi="Calibri"/>
                <w:color w:val="333333"/>
                <w:sz w:val="18"/>
              </w:rPr>
              <w:t>MULTI_DAY (5d)</w:t>
            </w:r>
          </w:p>
        </w:tc>
        <w:tc>
          <w:tcPr>
            <w:tcW w:type="dxa" w:w="1680"/>
            <w:shd w:fill="F2F4F8" w:val="clear"/>
          </w:tcPr>
          <w:p>
            <w:r>
              <w:rPr>
                <w:rFonts w:ascii="Calibri" w:hAnsi="Calibri"/>
                <w:color w:val="333333"/>
                <w:sz w:val="18"/>
              </w:rPr>
              <w:t>Unknown</w:t>
            </w:r>
          </w:p>
        </w:tc>
        <w:tc>
          <w:tcPr>
            <w:tcW w:type="dxa" w:w="1680"/>
            <w:shd w:fill="F2F4F8" w:val="clear"/>
          </w:tcPr>
          <w:p>
            <w:r>
              <w:rPr>
                <w:rFonts w:ascii="Calibri" w:hAnsi="Calibri"/>
                <w:color w:val="333333"/>
                <w:sz w:val="18"/>
              </w:rPr>
              <w:t>-4.0%</w:t>
            </w:r>
          </w:p>
        </w:tc>
        <w:tc>
          <w:tcPr>
            <w:tcW w:type="dxa" w:w="1680"/>
            <w:shd w:fill="F2F4F8" w:val="clear"/>
            <w:shd w:fill="FFF3CD" w:val="clear"/>
          </w:tcPr>
          <w:p>
            <w:r>
              <w:rPr>
                <w:rFonts w:ascii="Calibri" w:hAnsi="Calibri"/>
                <w:color w:val="333333"/>
                <w:sz w:val="18"/>
              </w:rPr>
              <w:t>Yes</w:t>
            </w:r>
          </w:p>
        </w:tc>
      </w:tr>
      <w:tr>
        <w:tc>
          <w:tcPr>
            <w:tcW w:type="dxa" w:w="1680"/>
          </w:tcPr>
          <w:p>
            <w:r>
              <w:rPr>
                <w:rFonts w:ascii="Calibri" w:hAnsi="Calibri"/>
                <w:color w:val="333333"/>
                <w:sz w:val="18"/>
              </w:rPr>
              <w:t>2025-01-31</w:t>
            </w:r>
          </w:p>
        </w:tc>
        <w:tc>
          <w:tcPr>
            <w:tcW w:type="dxa" w:w="1680"/>
          </w:tcPr>
          <w:p>
            <w:r>
              <w:rPr>
                <w:rFonts w:ascii="Calibri" w:hAnsi="Calibri"/>
                <w:color w:val="333333"/>
                <w:sz w:val="18"/>
              </w:rPr>
              <w:t>-15.8%</w:t>
            </w:r>
          </w:p>
        </w:tc>
        <w:tc>
          <w:tcPr>
            <w:tcW w:type="dxa" w:w="1680"/>
          </w:tcPr>
          <w:p>
            <w:r>
              <w:rPr>
                <w:rFonts w:ascii="Calibri" w:hAnsi="Calibri"/>
                <w:color w:val="333333"/>
                <w:sz w:val="18"/>
              </w:rPr>
              <w:t>MULTI_DAY (5d)</w:t>
            </w:r>
          </w:p>
        </w:tc>
        <w:tc>
          <w:tcPr>
            <w:tcW w:type="dxa" w:w="1680"/>
          </w:tcPr>
          <w:p>
            <w:r>
              <w:rPr>
                <w:rFonts w:ascii="Calibri" w:hAnsi="Calibri"/>
                <w:color w:val="333333"/>
                <w:sz w:val="18"/>
              </w:rPr>
              <w:t>Unknown</w:t>
            </w:r>
          </w:p>
        </w:tc>
        <w:tc>
          <w:tcPr>
            <w:tcW w:type="dxa" w:w="1680"/>
          </w:tcPr>
          <w:p>
            <w:r>
              <w:rPr>
                <w:rFonts w:ascii="Calibri" w:hAnsi="Calibri"/>
                <w:color w:val="333333"/>
                <w:sz w:val="18"/>
              </w:rPr>
              <w:t>-3.5%</w:t>
            </w:r>
          </w:p>
        </w:tc>
        <w:tc>
          <w:tcPr>
            <w:tcW w:type="dxa" w:w="1680"/>
            <w:shd w:fill="FFF3CD" w:val="clear"/>
          </w:tcPr>
          <w:p>
            <w:r>
              <w:rPr>
                <w:rFonts w:ascii="Calibri" w:hAnsi="Calibri"/>
                <w:color w:val="333333"/>
                <w:sz w:val="18"/>
              </w:rPr>
              <w:t>Yes</w:t>
            </w:r>
          </w:p>
        </w:tc>
      </w:tr>
      <w:tr>
        <w:tc>
          <w:tcPr>
            <w:tcW w:type="dxa" w:w="1680"/>
            <w:shd w:fill="F2F4F8" w:val="clear"/>
          </w:tcPr>
          <w:p>
            <w:r>
              <w:rPr>
                <w:rFonts w:ascii="Calibri" w:hAnsi="Calibri"/>
                <w:color w:val="333333"/>
                <w:sz w:val="18"/>
              </w:rPr>
              <w:t>2025-01-30</w:t>
            </w:r>
          </w:p>
        </w:tc>
        <w:tc>
          <w:tcPr>
            <w:tcW w:type="dxa" w:w="1680"/>
            <w:shd w:fill="F2F4F8" w:val="clear"/>
          </w:tcPr>
          <w:p>
            <w:r>
              <w:rPr>
                <w:rFonts w:ascii="Calibri" w:hAnsi="Calibri"/>
                <w:color w:val="333333"/>
                <w:sz w:val="18"/>
              </w:rPr>
              <w:t>-15.3%</w:t>
            </w:r>
          </w:p>
        </w:tc>
        <w:tc>
          <w:tcPr>
            <w:tcW w:type="dxa" w:w="1680"/>
            <w:shd w:fill="F2F4F8" w:val="clear"/>
          </w:tcPr>
          <w:p>
            <w:r>
              <w:rPr>
                <w:rFonts w:ascii="Calibri" w:hAnsi="Calibri"/>
                <w:color w:val="333333"/>
                <w:sz w:val="18"/>
              </w:rPr>
              <w:t>MULTI_DAY (5d)</w:t>
            </w:r>
          </w:p>
        </w:tc>
        <w:tc>
          <w:tcPr>
            <w:tcW w:type="dxa" w:w="1680"/>
            <w:shd w:fill="F2F4F8" w:val="clear"/>
          </w:tcPr>
          <w:p>
            <w:r>
              <w:rPr>
                <w:rFonts w:ascii="Calibri" w:hAnsi="Calibri"/>
                <w:color w:val="333333"/>
                <w:sz w:val="18"/>
              </w:rPr>
              <w:t>Unknown</w:t>
            </w:r>
          </w:p>
        </w:tc>
        <w:tc>
          <w:tcPr>
            <w:tcW w:type="dxa" w:w="1680"/>
            <w:shd w:fill="F2F4F8" w:val="clear"/>
          </w:tcPr>
          <w:p>
            <w:r>
              <w:rPr>
                <w:rFonts w:ascii="Calibri" w:hAnsi="Calibri"/>
                <w:color w:val="333333"/>
                <w:sz w:val="18"/>
              </w:rPr>
              <w:t>-4.0%</w:t>
            </w:r>
          </w:p>
        </w:tc>
        <w:tc>
          <w:tcPr>
            <w:tcW w:type="dxa" w:w="1680"/>
            <w:shd w:fill="F2F4F8" w:val="clear"/>
            <w:shd w:fill="FFF3CD" w:val="clear"/>
          </w:tcPr>
          <w:p>
            <w:r>
              <w:rPr>
                <w:rFonts w:ascii="Calibri" w:hAnsi="Calibri"/>
                <w:color w:val="333333"/>
                <w:sz w:val="18"/>
              </w:rPr>
              <w:t>Yes</w:t>
            </w:r>
          </w:p>
        </w:tc>
      </w:tr>
      <w:tr>
        <w:tc>
          <w:tcPr>
            <w:tcW w:type="dxa" w:w="1680"/>
          </w:tcPr>
          <w:p>
            <w:r>
              <w:rPr>
                <w:rFonts w:ascii="Calibri" w:hAnsi="Calibri"/>
                <w:color w:val="333333"/>
                <w:sz w:val="18"/>
              </w:rPr>
              <w:t>2025-04-03 to 2025-04-04</w:t>
            </w:r>
          </w:p>
        </w:tc>
        <w:tc>
          <w:tcPr>
            <w:tcW w:type="dxa" w:w="1680"/>
          </w:tcPr>
          <w:p>
            <w:r>
              <w:rPr>
                <w:rFonts w:ascii="Calibri" w:hAnsi="Calibri"/>
                <w:color w:val="333333"/>
                <w:sz w:val="18"/>
              </w:rPr>
              <w:t>-14.6%</w:t>
            </w:r>
          </w:p>
        </w:tc>
        <w:tc>
          <w:tcPr>
            <w:tcW w:type="dxa" w:w="1680"/>
          </w:tcPr>
          <w:p>
            <w:r>
              <w:rPr>
                <w:rFonts w:ascii="Calibri" w:hAnsi="Calibri"/>
                <w:color w:val="333333"/>
                <w:sz w:val="18"/>
              </w:rPr>
              <w:t>MULTI_DAY (2d)</w:t>
            </w:r>
          </w:p>
        </w:tc>
        <w:tc>
          <w:tcPr>
            <w:tcW w:type="dxa" w:w="1680"/>
          </w:tcPr>
          <w:p>
            <w:r>
              <w:rPr>
                <w:rFonts w:ascii="Calibri" w:hAnsi="Calibri"/>
                <w:color w:val="333333"/>
                <w:sz w:val="18"/>
              </w:rPr>
              <w:t>Unknown</w:t>
            </w:r>
          </w:p>
        </w:tc>
        <w:tc>
          <w:tcPr>
            <w:tcW w:type="dxa" w:w="1680"/>
          </w:tcPr>
          <w:p>
            <w:r>
              <w:rPr>
                <w:rFonts w:ascii="Calibri" w:hAnsi="Calibri"/>
                <w:color w:val="333333"/>
                <w:sz w:val="18"/>
              </w:rPr>
              <w:t>-13.0%</w:t>
            </w:r>
          </w:p>
        </w:tc>
        <w:tc>
          <w:tcPr>
            <w:tcW w:type="dxa" w:w="1680"/>
            <w:shd w:fill="FFF3CD" w:val="clear"/>
          </w:tcPr>
          <w:p>
            <w:r>
              <w:rPr>
                <w:rFonts w:ascii="Calibri" w:hAnsi="Calibri"/>
                <w:color w:val="333333"/>
                <w:sz w:val="18"/>
              </w:rPr>
              <w:t>Yes</w:t>
            </w:r>
          </w:p>
        </w:tc>
      </w:tr>
      <w:tr>
        <w:tc>
          <w:tcPr>
            <w:tcW w:type="dxa" w:w="1680"/>
            <w:shd w:fill="F2F4F8" w:val="clear"/>
          </w:tcPr>
          <w:p>
            <w:r>
              <w:rPr>
                <w:rFonts w:ascii="Calibri" w:hAnsi="Calibri"/>
                <w:color w:val="333333"/>
                <w:sz w:val="18"/>
              </w:rPr>
              <w:t>2024-04-19</w:t>
            </w:r>
          </w:p>
        </w:tc>
        <w:tc>
          <w:tcPr>
            <w:tcW w:type="dxa" w:w="1680"/>
            <w:shd w:fill="F2F4F8" w:val="clear"/>
          </w:tcPr>
          <w:p>
            <w:r>
              <w:rPr>
                <w:rFonts w:ascii="Calibri" w:hAnsi="Calibri"/>
                <w:color w:val="333333"/>
                <w:sz w:val="18"/>
              </w:rPr>
              <w:t>-10.0%</w:t>
            </w:r>
          </w:p>
        </w:tc>
        <w:tc>
          <w:tcPr>
            <w:tcW w:type="dxa" w:w="1680"/>
            <w:shd w:fill="F2F4F8" w:val="clear"/>
          </w:tcPr>
          <w:p>
            <w:r>
              <w:rPr>
                <w:rFonts w:ascii="Calibri" w:hAnsi="Calibri"/>
                <w:color w:val="333333"/>
                <w:sz w:val="18"/>
              </w:rPr>
              <w:t>SINGLE_DAY</w:t>
            </w:r>
          </w:p>
        </w:tc>
        <w:tc>
          <w:tcPr>
            <w:tcW w:type="dxa" w:w="1680"/>
            <w:shd w:fill="F2F4F8" w:val="clear"/>
          </w:tcPr>
          <w:p>
            <w:r>
              <w:rPr>
                <w:rFonts w:ascii="Calibri" w:hAnsi="Calibri"/>
                <w:color w:val="333333"/>
                <w:sz w:val="18"/>
              </w:rPr>
              <w:t>Unknown</w:t>
            </w:r>
          </w:p>
        </w:tc>
        <w:tc>
          <w:tcPr>
            <w:tcW w:type="dxa" w:w="1680"/>
            <w:shd w:fill="F2F4F8" w:val="clear"/>
          </w:tcPr>
          <w:p>
            <w:r>
              <w:rPr>
                <w:rFonts w:ascii="Calibri" w:hAnsi="Calibri"/>
                <w:color w:val="333333"/>
                <w:sz w:val="18"/>
              </w:rPr>
              <w:t>-2.1%</w:t>
            </w:r>
          </w:p>
        </w:tc>
        <w:tc>
          <w:tcPr>
            <w:tcW w:type="dxa" w:w="1680"/>
            <w:shd w:fill="F2F4F8" w:val="clear"/>
            <w:shd w:fill="FFF3CD" w:val="clear"/>
          </w:tcPr>
          <w:p>
            <w:r>
              <w:rPr>
                <w:rFonts w:ascii="Calibri" w:hAnsi="Calibri"/>
                <w:color w:val="333333"/>
                <w:sz w:val="18"/>
              </w:rPr>
              <w:t>Yes</w:t>
            </w:r>
          </w:p>
        </w:tc>
      </w:tr>
      <w:tr>
        <w:tc>
          <w:tcPr>
            <w:tcW w:type="dxa" w:w="1680"/>
          </w:tcPr>
          <w:p>
            <w:r>
              <w:rPr>
                <w:rFonts w:ascii="Calibri" w:hAnsi="Calibri"/>
                <w:color w:val="333333"/>
                <w:sz w:val="18"/>
              </w:rPr>
              <w:t>2024-09-03</w:t>
            </w:r>
          </w:p>
        </w:tc>
        <w:tc>
          <w:tcPr>
            <w:tcW w:type="dxa" w:w="1680"/>
          </w:tcPr>
          <w:p>
            <w:r>
              <w:rPr>
                <w:rFonts w:ascii="Calibri" w:hAnsi="Calibri"/>
                <w:color w:val="333333"/>
                <w:sz w:val="18"/>
              </w:rPr>
              <w:t>-9.5%</w:t>
            </w:r>
          </w:p>
        </w:tc>
        <w:tc>
          <w:tcPr>
            <w:tcW w:type="dxa" w:w="1680"/>
          </w:tcPr>
          <w:p>
            <w:r>
              <w:rPr>
                <w:rFonts w:ascii="Calibri" w:hAnsi="Calibri"/>
                <w:color w:val="333333"/>
                <w:sz w:val="18"/>
              </w:rPr>
              <w:t>SINGLE_DAY</w:t>
            </w:r>
          </w:p>
        </w:tc>
        <w:tc>
          <w:tcPr>
            <w:tcW w:type="dxa" w:w="1680"/>
          </w:tcPr>
          <w:p>
            <w:r>
              <w:rPr>
                <w:rFonts w:ascii="Calibri" w:hAnsi="Calibri"/>
                <w:color w:val="333333"/>
                <w:sz w:val="18"/>
              </w:rPr>
              <w:t>Unknown</w:t>
            </w:r>
          </w:p>
        </w:tc>
        <w:tc>
          <w:tcPr>
            <w:tcW w:type="dxa" w:w="1680"/>
          </w:tcPr>
          <w:p>
            <w:r>
              <w:rPr>
                <w:rFonts w:ascii="Calibri" w:hAnsi="Calibri"/>
                <w:color w:val="333333"/>
                <w:sz w:val="18"/>
              </w:rPr>
              <w:t>-4.6%</w:t>
            </w:r>
          </w:p>
        </w:tc>
        <w:tc>
          <w:tcPr>
            <w:tcW w:type="dxa" w:w="1680"/>
            <w:shd w:fill="FFF3CD" w:val="clear"/>
          </w:tcPr>
          <w:p>
            <w:r>
              <w:rPr>
                <w:rFonts w:ascii="Calibri" w:hAnsi="Calibri"/>
                <w:color w:val="333333"/>
                <w:sz w:val="18"/>
              </w:rPr>
              <w:t>Yes</w:t>
            </w:r>
          </w:p>
        </w:tc>
      </w:tr>
      <w:tr>
        <w:tc>
          <w:tcPr>
            <w:tcW w:type="dxa" w:w="1680"/>
            <w:shd w:fill="F2F4F8" w:val="clear"/>
          </w:tcPr>
          <w:p>
            <w:r>
              <w:rPr>
                <w:rFonts w:ascii="Calibri" w:hAnsi="Calibri"/>
                <w:color w:val="333333"/>
                <w:sz w:val="18"/>
              </w:rPr>
              <w:t>2025-02-27</w:t>
            </w:r>
          </w:p>
        </w:tc>
        <w:tc>
          <w:tcPr>
            <w:tcW w:type="dxa" w:w="1680"/>
            <w:shd w:fill="F2F4F8" w:val="clear"/>
          </w:tcPr>
          <w:p>
            <w:r>
              <w:rPr>
                <w:rFonts w:ascii="Calibri" w:hAnsi="Calibri"/>
                <w:color w:val="333333"/>
                <w:sz w:val="18"/>
              </w:rPr>
              <w:t>-8.7%</w:t>
            </w:r>
          </w:p>
        </w:tc>
        <w:tc>
          <w:tcPr>
            <w:tcW w:type="dxa" w:w="1680"/>
            <w:shd w:fill="F2F4F8" w:val="clear"/>
          </w:tcPr>
          <w:p>
            <w:r>
              <w:rPr>
                <w:rFonts w:ascii="Calibri" w:hAnsi="Calibri"/>
                <w:color w:val="333333"/>
                <w:sz w:val="18"/>
              </w:rPr>
              <w:t>MULTI_DAY (4d)</w:t>
            </w:r>
          </w:p>
        </w:tc>
        <w:tc>
          <w:tcPr>
            <w:tcW w:type="dxa" w:w="1680"/>
            <w:shd w:fill="F2F4F8" w:val="clear"/>
          </w:tcPr>
          <w:p>
            <w:r>
              <w:rPr>
                <w:rFonts w:ascii="Calibri" w:hAnsi="Calibri"/>
                <w:color w:val="333333"/>
                <w:sz w:val="18"/>
              </w:rPr>
              <w:t>earnings_release</w:t>
            </w:r>
          </w:p>
        </w:tc>
        <w:tc>
          <w:tcPr>
            <w:tcW w:type="dxa" w:w="1680"/>
            <w:shd w:fill="F2F4F8" w:val="clear"/>
          </w:tcPr>
          <w:p>
            <w:r>
              <w:rPr>
                <w:rFonts w:ascii="Calibri" w:hAnsi="Calibri"/>
                <w:color w:val="333333"/>
                <w:sz w:val="18"/>
              </w:rPr>
              <w:t>-3.6%</w:t>
            </w:r>
          </w:p>
        </w:tc>
        <w:tc>
          <w:tcPr>
            <w:tcW w:type="dxa" w:w="1680"/>
            <w:shd w:fill="F2F4F8" w:val="clear"/>
            <w:shd w:fill="FFF3CD" w:val="clear"/>
          </w:tcPr>
          <w:p>
            <w:r>
              <w:rPr>
                <w:rFonts w:ascii="Calibri" w:hAnsi="Calibri"/>
                <w:color w:val="333333"/>
                <w:sz w:val="18"/>
              </w:rPr>
              <w:t>Yes</w:t>
            </w:r>
          </w:p>
        </w:tc>
      </w:tr>
      <w:tr>
        <w:tc>
          <w:tcPr>
            <w:tcW w:type="dxa" w:w="1680"/>
          </w:tcPr>
          <w:p>
            <w:r>
              <w:rPr>
                <w:rFonts w:ascii="Calibri" w:hAnsi="Calibri"/>
                <w:color w:val="333333"/>
                <w:sz w:val="18"/>
              </w:rPr>
              <w:t>2025-04-03</w:t>
            </w:r>
          </w:p>
        </w:tc>
        <w:tc>
          <w:tcPr>
            <w:tcW w:type="dxa" w:w="1680"/>
          </w:tcPr>
          <w:p>
            <w:r>
              <w:rPr>
                <w:rFonts w:ascii="Calibri" w:hAnsi="Calibri"/>
                <w:color w:val="333333"/>
                <w:sz w:val="18"/>
              </w:rPr>
              <w:t>-7.8%</w:t>
            </w:r>
          </w:p>
        </w:tc>
        <w:tc>
          <w:tcPr>
            <w:tcW w:type="dxa" w:w="1680"/>
          </w:tcPr>
          <w:p>
            <w:r>
              <w:rPr>
                <w:rFonts w:ascii="Calibri" w:hAnsi="Calibri"/>
                <w:color w:val="333333"/>
                <w:sz w:val="18"/>
              </w:rPr>
              <w:t>MULTI_DAY (2d)</w:t>
            </w:r>
          </w:p>
        </w:tc>
        <w:tc>
          <w:tcPr>
            <w:tcW w:type="dxa" w:w="1680"/>
          </w:tcPr>
          <w:p>
            <w:r>
              <w:rPr>
                <w:rFonts w:ascii="Calibri" w:hAnsi="Calibri"/>
                <w:color w:val="333333"/>
                <w:sz w:val="18"/>
              </w:rPr>
              <w:t>Unknown</w:t>
            </w:r>
          </w:p>
        </w:tc>
        <w:tc>
          <w:tcPr>
            <w:tcW w:type="dxa" w:w="1680"/>
          </w:tcPr>
          <w:p>
            <w:r>
              <w:rPr>
                <w:rFonts w:ascii="Calibri" w:hAnsi="Calibri"/>
                <w:color w:val="333333"/>
                <w:sz w:val="18"/>
              </w:rPr>
              <w:t>-6.8%</w:t>
            </w:r>
          </w:p>
        </w:tc>
        <w:tc>
          <w:tcPr>
            <w:tcW w:type="dxa" w:w="1680"/>
            <w:shd w:fill="FFF3CD" w:val="clear"/>
          </w:tcPr>
          <w:p>
            <w:r>
              <w:rPr>
                <w:rFonts w:ascii="Calibri" w:hAnsi="Calibri"/>
                <w:color w:val="333333"/>
                <w:sz w:val="18"/>
              </w:rPr>
              <w:t>Yes</w:t>
            </w:r>
          </w:p>
        </w:tc>
      </w:tr>
      <w:tr>
        <w:tc>
          <w:tcPr>
            <w:tcW w:type="dxa" w:w="1680"/>
            <w:shd w:fill="F2F4F8" w:val="clear"/>
          </w:tcPr>
          <w:p>
            <w:r>
              <w:rPr>
                <w:rFonts w:ascii="Calibri" w:hAnsi="Calibri"/>
                <w:color w:val="333333"/>
                <w:sz w:val="18"/>
              </w:rPr>
              <w:t>2024-07-30</w:t>
            </w:r>
          </w:p>
        </w:tc>
        <w:tc>
          <w:tcPr>
            <w:tcW w:type="dxa" w:w="1680"/>
            <w:shd w:fill="F2F4F8" w:val="clear"/>
          </w:tcPr>
          <w:p>
            <w:r>
              <w:rPr>
                <w:rFonts w:ascii="Calibri" w:hAnsi="Calibri"/>
                <w:color w:val="333333"/>
                <w:sz w:val="18"/>
              </w:rPr>
              <w:t>-7.0%</w:t>
            </w:r>
          </w:p>
        </w:tc>
        <w:tc>
          <w:tcPr>
            <w:tcW w:type="dxa" w:w="1680"/>
            <w:shd w:fill="F2F4F8" w:val="clear"/>
          </w:tcPr>
          <w:p>
            <w:r>
              <w:rPr>
                <w:rFonts w:ascii="Calibri" w:hAnsi="Calibri"/>
                <w:color w:val="333333"/>
                <w:sz w:val="18"/>
              </w:rPr>
              <w:t>MULTI_DAY (4d)</w:t>
            </w:r>
          </w:p>
        </w:tc>
        <w:tc>
          <w:tcPr>
            <w:tcW w:type="dxa" w:w="1680"/>
            <w:shd w:fill="F2F4F8" w:val="clear"/>
          </w:tcPr>
          <w:p>
            <w:r>
              <w:rPr>
                <w:rFonts w:ascii="Calibri" w:hAnsi="Calibri"/>
                <w:color w:val="333333"/>
                <w:sz w:val="18"/>
              </w:rPr>
              <w:t>Unknown</w:t>
            </w:r>
          </w:p>
        </w:tc>
        <w:tc>
          <w:tcPr>
            <w:tcW w:type="dxa" w:w="1680"/>
            <w:shd w:fill="F2F4F8" w:val="clear"/>
          </w:tcPr>
          <w:p>
            <w:r>
              <w:rPr>
                <w:rFonts w:ascii="Calibri" w:hAnsi="Calibri"/>
                <w:color w:val="333333"/>
                <w:sz w:val="18"/>
              </w:rPr>
              <w:t>-2.5%</w:t>
            </w:r>
          </w:p>
        </w:tc>
        <w:tc>
          <w:tcPr>
            <w:tcW w:type="dxa" w:w="1680"/>
            <w:shd w:fill="F2F4F8" w:val="clear"/>
            <w:shd w:fill="FFF3CD" w:val="clear"/>
          </w:tcPr>
          <w:p>
            <w:r>
              <w:rPr>
                <w:rFonts w:ascii="Calibri" w:hAnsi="Calibri"/>
                <w:color w:val="333333"/>
                <w:sz w:val="18"/>
              </w:rPr>
              <w:t>Yes</w:t>
            </w:r>
          </w:p>
        </w:tc>
      </w:tr>
      <w:tr>
        <w:tc>
          <w:tcPr>
            <w:tcW w:type="dxa" w:w="1680"/>
          </w:tcPr>
          <w:p>
            <w:r>
              <w:rPr>
                <w:rFonts w:ascii="Calibri" w:hAnsi="Calibri"/>
                <w:color w:val="333333"/>
                <w:sz w:val="18"/>
              </w:rPr>
              <w:t>2025-04-16</w:t>
            </w:r>
          </w:p>
        </w:tc>
        <w:tc>
          <w:tcPr>
            <w:tcW w:type="dxa" w:w="1680"/>
          </w:tcPr>
          <w:p>
            <w:r>
              <w:rPr>
                <w:rFonts w:ascii="Calibri" w:hAnsi="Calibri"/>
                <w:color w:val="333333"/>
                <w:sz w:val="18"/>
              </w:rPr>
              <w:t>-6.9%</w:t>
            </w:r>
          </w:p>
        </w:tc>
        <w:tc>
          <w:tcPr>
            <w:tcW w:type="dxa" w:w="1680"/>
          </w:tcPr>
          <w:p>
            <w:r>
              <w:rPr>
                <w:rFonts w:ascii="Calibri" w:hAnsi="Calibri"/>
                <w:color w:val="333333"/>
                <w:sz w:val="18"/>
              </w:rPr>
              <w:t>SINGLE_DAY</w:t>
            </w:r>
          </w:p>
        </w:tc>
        <w:tc>
          <w:tcPr>
            <w:tcW w:type="dxa" w:w="1680"/>
          </w:tcPr>
          <w:p>
            <w:r>
              <w:rPr>
                <w:rFonts w:ascii="Calibri" w:hAnsi="Calibri"/>
                <w:color w:val="333333"/>
                <w:sz w:val="18"/>
              </w:rPr>
              <w:t>8-K_filing</w:t>
            </w:r>
          </w:p>
        </w:tc>
        <w:tc>
          <w:tcPr>
            <w:tcW w:type="dxa" w:w="1680"/>
          </w:tcPr>
          <w:p>
            <w:r>
              <w:rPr>
                <w:rFonts w:ascii="Calibri" w:hAnsi="Calibri"/>
                <w:color w:val="333333"/>
                <w:sz w:val="18"/>
              </w:rPr>
              <w:t>-3.5%</w:t>
            </w:r>
          </w:p>
        </w:tc>
        <w:tc>
          <w:tcPr>
            <w:tcW w:type="dxa" w:w="1680"/>
            <w:shd w:fill="FFF3CD" w:val="clear"/>
          </w:tcPr>
          <w:p>
            <w:r>
              <w:rPr>
                <w:rFonts w:ascii="Calibri" w:hAnsi="Calibri"/>
                <w:color w:val="333333"/>
                <w:sz w:val="18"/>
              </w:rPr>
              <w:t>Yes</w:t>
            </w:r>
          </w:p>
        </w:tc>
      </w:tr>
    </w:tbl>
    <w:p>
      <w:pPr>
        <w:pStyle w:val="DOBody"/>
      </w:pPr>
      <w:r>
        <w:t>Class Period Potential: 10 company-specific drop(s) exceeding 10% identified. Severe stock drops that are company-specific (not explained by sector movement) are the primary anchors for SCA class periods. Plaintiffs will allege the drop occurred when the 'truth emerged' following prior misstatements.</w:t>
      </w:r>
      <w:r>
        <w:rPr>
          <w:b/>
          <w:color w:val="EA580C"/>
          <w:sz w:val="18"/>
        </w:rPr>
        <w:t xml:space="preserve"> [HIGH]</w:t>
      </w:r>
    </w:p>
    <w:p>
      <w:pPr>
        <w:pStyle w:val="DOHeading2"/>
      </w:pPr>
      <w:r>
        <w:t>Insider Trading Analysis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Net Direction (12mo)</w:t>
            </w:r>
          </w:p>
        </w:tc>
        <w:tc>
          <w:tcPr>
            <w:tcW w:type="dxa" w:w="5040"/>
          </w:tcPr>
          <w:p>
            <w:r>
              <w:rPr>
                <w:rFonts w:ascii="Calibri" w:hAnsi="Calibri"/>
                <w:color w:val="333333"/>
                <w:sz w:val="18"/>
              </w:rPr>
              <w:t>NET_SELLING</w:t>
            </w:r>
          </w:p>
        </w:tc>
      </w:tr>
      <w:tr>
        <w:tc>
          <w:tcPr>
            <w:tcW w:type="dxa" w:w="5040"/>
            <w:shd w:fill="F2F4F8" w:val="clear"/>
          </w:tcPr>
          <w:p>
            <w:r>
              <w:rPr>
                <w:rFonts w:ascii="Calibri" w:hAnsi="Calibri"/>
                <w:color w:val="333333"/>
                <w:sz w:val="18"/>
              </w:rPr>
              <w:t>10b5-1 Plan %</w:t>
            </w:r>
          </w:p>
        </w:tc>
        <w:tc>
          <w:tcPr>
            <w:tcW w:type="dxa" w:w="5040"/>
            <w:shd w:fill="F2F4F8" w:val="clear"/>
          </w:tcPr>
          <w:p>
            <w:r>
              <w:rPr>
                <w:rFonts w:ascii="Calibri" w:hAnsi="Calibri"/>
                <w:color w:val="333333"/>
                <w:sz w:val="18"/>
              </w:rPr>
              <w:t>97.8%</w:t>
            </w:r>
          </w:p>
        </w:tc>
      </w:tr>
      <w:tr>
        <w:tc>
          <w:tcPr>
            <w:tcW w:type="dxa" w:w="5040"/>
          </w:tcPr>
          <w:p>
            <w:r>
              <w:rPr>
                <w:rFonts w:ascii="Calibri" w:hAnsi="Calibri"/>
                <w:color w:val="333333"/>
                <w:sz w:val="18"/>
              </w:rPr>
              <w:t>Buy Transactions</w:t>
            </w:r>
          </w:p>
        </w:tc>
        <w:tc>
          <w:tcPr>
            <w:tcW w:type="dxa" w:w="5040"/>
          </w:tcPr>
          <w:p>
            <w:r>
              <w:rPr>
                <w:rFonts w:ascii="Calibri" w:hAnsi="Calibri"/>
                <w:color w:val="333333"/>
                <w:sz w:val="18"/>
              </w:rPr>
              <w:t>0</w:t>
            </w:r>
          </w:p>
        </w:tc>
      </w:tr>
      <w:tr>
        <w:tc>
          <w:tcPr>
            <w:tcW w:type="dxa" w:w="5040"/>
            <w:shd w:fill="F2F4F8" w:val="clear"/>
          </w:tcPr>
          <w:p>
            <w:r>
              <w:rPr>
                <w:rFonts w:ascii="Calibri" w:hAnsi="Calibri"/>
                <w:color w:val="333333"/>
                <w:sz w:val="18"/>
              </w:rPr>
              <w:t>Sell Transactions</w:t>
            </w:r>
          </w:p>
        </w:tc>
        <w:tc>
          <w:tcPr>
            <w:tcW w:type="dxa" w:w="5040"/>
            <w:shd w:fill="F2F4F8" w:val="clear"/>
          </w:tcPr>
          <w:p>
            <w:r>
              <w:rPr>
                <w:rFonts w:ascii="Calibri" w:hAnsi="Calibri"/>
                <w:color w:val="333333"/>
                <w:sz w:val="18"/>
              </w:rPr>
              <w:t>268</w:t>
            </w:r>
          </w:p>
        </w:tc>
      </w:tr>
      <w:tr>
        <w:tc>
          <w:tcPr>
            <w:tcW w:type="dxa" w:w="5040"/>
          </w:tcPr>
          <w:p>
            <w:r>
              <w:rPr>
                <w:rFonts w:ascii="Calibri" w:hAnsi="Calibri"/>
                <w:color w:val="333333"/>
                <w:sz w:val="18"/>
              </w:rPr>
              <w:t>Cluster Events</w:t>
            </w:r>
          </w:p>
        </w:tc>
        <w:tc>
          <w:tcPr>
            <w:tcW w:type="dxa" w:w="5040"/>
          </w:tcPr>
          <w:p>
            <w:r>
              <w:rPr>
                <w:rFonts w:ascii="Calibri" w:hAnsi="Calibri"/>
                <w:color w:val="333333"/>
                <w:sz w:val="18"/>
              </w:rPr>
              <w:t>19</w:t>
            </w:r>
          </w:p>
        </w:tc>
      </w:tr>
    </w:tbl>
    <w:p>
      <w:pPr>
        <w:pStyle w:val="DOHeading3"/>
      </w:pPr>
      <w:r>
        <w:t>Transaction Detail</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shd w:fill="1A1446" w:val="clear"/>
          </w:tcPr>
          <w:p>
            <w:r>
              <w:rPr>
                <w:rFonts w:ascii="Calibri" w:hAnsi="Calibri"/>
                <w:b/>
                <w:color w:val="FFFFFF"/>
                <w:sz w:val="18"/>
              </w:rPr>
              <w:t>Date</w:t>
            </w:r>
          </w:p>
        </w:tc>
        <w:tc>
          <w:tcPr>
            <w:tcW w:type="dxa" w:w="1440"/>
            <w:shd w:fill="1A1446" w:val="clear"/>
          </w:tcPr>
          <w:p>
            <w:r>
              <w:rPr>
                <w:rFonts w:ascii="Calibri" w:hAnsi="Calibri"/>
                <w:b/>
                <w:color w:val="FFFFFF"/>
                <w:sz w:val="18"/>
              </w:rPr>
              <w:t>Insider</w:t>
            </w:r>
          </w:p>
        </w:tc>
        <w:tc>
          <w:tcPr>
            <w:tcW w:type="dxa" w:w="1440"/>
            <w:shd w:fill="1A1446" w:val="clear"/>
          </w:tcPr>
          <w:p>
            <w:r>
              <w:rPr>
                <w:rFonts w:ascii="Calibri" w:hAnsi="Calibri"/>
                <w:b/>
                <w:color w:val="FFFFFF"/>
                <w:sz w:val="18"/>
              </w:rPr>
              <w:t>Title</w:t>
            </w:r>
          </w:p>
        </w:tc>
        <w:tc>
          <w:tcPr>
            <w:tcW w:type="dxa" w:w="1440"/>
            <w:shd w:fill="1A1446" w:val="clear"/>
          </w:tcPr>
          <w:p>
            <w:r>
              <w:rPr>
                <w:rFonts w:ascii="Calibri" w:hAnsi="Calibri"/>
                <w:b/>
                <w:color w:val="FFFFFF"/>
                <w:sz w:val="18"/>
              </w:rPr>
              <w:t>Type</w:t>
            </w:r>
          </w:p>
        </w:tc>
        <w:tc>
          <w:tcPr>
            <w:tcW w:type="dxa" w:w="1440"/>
            <w:shd w:fill="1A1446" w:val="clear"/>
          </w:tcPr>
          <w:p>
            <w:r>
              <w:rPr>
                <w:rFonts w:ascii="Calibri" w:hAnsi="Calibri"/>
                <w:b/>
                <w:color w:val="FFFFFF"/>
                <w:sz w:val="18"/>
              </w:rPr>
              <w:t>Shares</w:t>
            </w:r>
          </w:p>
        </w:tc>
        <w:tc>
          <w:tcPr>
            <w:tcW w:type="dxa" w:w="1440"/>
            <w:shd w:fill="1A1446" w:val="clear"/>
          </w:tcPr>
          <w:p>
            <w:r>
              <w:rPr>
                <w:rFonts w:ascii="Calibri" w:hAnsi="Calibri"/>
                <w:b/>
                <w:color w:val="FFFFFF"/>
                <w:sz w:val="18"/>
              </w:rPr>
              <w:t>Value</w:t>
            </w:r>
          </w:p>
        </w:tc>
        <w:tc>
          <w:tcPr>
            <w:tcW w:type="dxa" w:w="1440"/>
            <w:shd w:fill="1A1446" w:val="clear"/>
          </w:tcPr>
          <w:p>
            <w:r>
              <w:rPr>
                <w:rFonts w:ascii="Calibri" w:hAnsi="Calibri"/>
                <w:b/>
                <w:color w:val="FFFFFF"/>
                <w:sz w:val="18"/>
              </w:rPr>
              <w:t>10b5-1</w:t>
            </w:r>
          </w:p>
        </w:tc>
      </w:tr>
      <w:tr>
        <w:tc>
          <w:tcPr>
            <w:tcW w:type="dxa" w:w="1440"/>
          </w:tcPr>
          <w:p>
            <w:r>
              <w:rPr>
                <w:rFonts w:ascii="Calibri" w:hAnsi="Calibri"/>
                <w:color w:val="333333"/>
                <w:sz w:val="18"/>
              </w:rPr>
              <w:t>2026-03-20</w:t>
            </w:r>
          </w:p>
        </w:tc>
        <w:tc>
          <w:tcPr>
            <w:tcW w:type="dxa" w:w="1440"/>
          </w:tcPr>
          <w:p>
            <w:r>
              <w:rPr>
                <w:rFonts w:ascii="Calibri" w:hAnsi="Calibri"/>
                <w:color w:val="333333"/>
                <w:sz w:val="18"/>
              </w:rPr>
              <w:t>STEVENS MARK A</w:t>
            </w:r>
          </w:p>
        </w:tc>
        <w:tc>
          <w:tcPr>
            <w:tcW w:type="dxa" w:w="1440"/>
          </w:tcPr>
          <w:p>
            <w:r>
              <w:rPr>
                <w:rFonts w:ascii="Calibri" w:hAnsi="Calibri"/>
                <w:color w:val="333333"/>
                <w:sz w:val="18"/>
              </w:rPr>
              <w:t>Director</w:t>
            </w:r>
          </w:p>
        </w:tc>
        <w:tc>
          <w:tcPr>
            <w:tcW w:type="dxa" w:w="1440"/>
          </w:tcPr>
          <w:p>
            <w:r>
              <w:rPr>
                <w:rFonts w:ascii="Calibri" w:hAnsi="Calibri"/>
                <w:color w:val="333333"/>
                <w:sz w:val="18"/>
              </w:rPr>
              <w:t>SELL</w:t>
            </w:r>
          </w:p>
        </w:tc>
        <w:tc>
          <w:tcPr>
            <w:tcW w:type="dxa" w:w="1440"/>
          </w:tcPr>
          <w:p>
            <w:r>
              <w:rPr>
                <w:rFonts w:ascii="Calibri" w:hAnsi="Calibri"/>
                <w:color w:val="333333"/>
                <w:sz w:val="18"/>
              </w:rPr>
              <w:t>100,000</w:t>
            </w:r>
          </w:p>
        </w:tc>
        <w:tc>
          <w:tcPr>
            <w:tcW w:type="dxa" w:w="1440"/>
          </w:tcPr>
          <w:p>
            <w:r>
              <w:rPr>
                <w:rFonts w:ascii="Calibri" w:hAnsi="Calibri"/>
                <w:color w:val="333333"/>
                <w:sz w:val="18"/>
              </w:rPr>
              <w:t>$17.3M</w:t>
            </w:r>
          </w:p>
        </w:tc>
        <w:tc>
          <w:tcPr>
            <w:tcW w:type="dxa" w:w="1440"/>
            <w:shd w:fill="FFF3CD" w:val="clear"/>
          </w:tcPr>
          <w:p>
            <w:r>
              <w:rPr>
                <w:rFonts w:ascii="Calibri" w:hAnsi="Calibri"/>
                <w:color w:val="333333"/>
                <w:sz w:val="18"/>
              </w:rPr>
              <w:t>No (Discretionary)</w:t>
            </w:r>
          </w:p>
        </w:tc>
      </w:tr>
      <w:tr>
        <w:tc>
          <w:tcPr>
            <w:tcW w:type="dxa" w:w="1440"/>
            <w:shd w:fill="F2F4F8" w:val="clear"/>
          </w:tcPr>
          <w:p>
            <w:r>
              <w:rPr>
                <w:rFonts w:ascii="Calibri" w:hAnsi="Calibri"/>
                <w:color w:val="333333"/>
                <w:sz w:val="18"/>
              </w:rPr>
              <w:t>2026-03-20</w:t>
            </w:r>
          </w:p>
        </w:tc>
        <w:tc>
          <w:tcPr>
            <w:tcW w:type="dxa" w:w="1440"/>
            <w:shd w:fill="F2F4F8" w:val="clear"/>
          </w:tcPr>
          <w:p>
            <w:r>
              <w:rPr>
                <w:rFonts w:ascii="Calibri" w:hAnsi="Calibri"/>
                <w:color w:val="333333"/>
                <w:sz w:val="18"/>
              </w:rPr>
              <w:t>STEVENS MARK A</w:t>
            </w:r>
          </w:p>
        </w:tc>
        <w:tc>
          <w:tcPr>
            <w:tcW w:type="dxa" w:w="1440"/>
            <w:shd w:fill="F2F4F8" w:val="clear"/>
          </w:tcPr>
          <w:p>
            <w:r>
              <w:rPr>
                <w:rFonts w:ascii="Calibri" w:hAnsi="Calibri"/>
                <w:color w:val="333333"/>
                <w:sz w:val="18"/>
              </w:rPr>
              <w:t>Director</w:t>
            </w:r>
          </w:p>
        </w:tc>
        <w:tc>
          <w:tcPr>
            <w:tcW w:type="dxa" w:w="1440"/>
            <w:shd w:fill="F2F4F8" w:val="clear"/>
          </w:tcPr>
          <w:p>
            <w:r>
              <w:rPr>
                <w:rFonts w:ascii="Calibri" w:hAnsi="Calibri"/>
                <w:color w:val="333333"/>
                <w:sz w:val="18"/>
              </w:rPr>
              <w:t>SELL</w:t>
            </w:r>
          </w:p>
        </w:tc>
        <w:tc>
          <w:tcPr>
            <w:tcW w:type="dxa" w:w="1440"/>
            <w:shd w:fill="F2F4F8" w:val="clear"/>
          </w:tcPr>
          <w:p>
            <w:r>
              <w:rPr>
                <w:rFonts w:ascii="Calibri" w:hAnsi="Calibri"/>
                <w:color w:val="333333"/>
                <w:sz w:val="18"/>
              </w:rPr>
              <w:t>121,682</w:t>
            </w:r>
          </w:p>
        </w:tc>
        <w:tc>
          <w:tcPr>
            <w:tcW w:type="dxa" w:w="1440"/>
            <w:shd w:fill="F2F4F8" w:val="clear"/>
          </w:tcPr>
          <w:p>
            <w:r>
              <w:rPr>
                <w:rFonts w:ascii="Calibri" w:hAnsi="Calibri"/>
                <w:color w:val="333333"/>
                <w:sz w:val="18"/>
              </w:rPr>
              <w:t>$21.2M</w:t>
            </w:r>
          </w:p>
        </w:tc>
        <w:tc>
          <w:tcPr>
            <w:tcW w:type="dxa" w:w="1440"/>
            <w:shd w:fill="F2F4F8" w:val="clear"/>
            <w:shd w:fill="FFF3CD" w:val="clear"/>
          </w:tcPr>
          <w:p>
            <w:r>
              <w:rPr>
                <w:rFonts w:ascii="Calibri" w:hAnsi="Calibri"/>
                <w:color w:val="333333"/>
                <w:sz w:val="18"/>
              </w:rPr>
              <w:t>No (Discretionary)</w:t>
            </w:r>
          </w:p>
        </w:tc>
      </w:tr>
      <w:tr>
        <w:tc>
          <w:tcPr>
            <w:tcW w:type="dxa" w:w="1440"/>
          </w:tcPr>
          <w:p>
            <w:r>
              <w:rPr>
                <w:rFonts w:ascii="Calibri" w:hAnsi="Calibri"/>
                <w:color w:val="333333"/>
                <w:sz w:val="18"/>
              </w:rPr>
              <w:t>2026-03-20</w:t>
            </w:r>
          </w:p>
        </w:tc>
        <w:tc>
          <w:tcPr>
            <w:tcW w:type="dxa" w:w="1440"/>
          </w:tcPr>
          <w:p>
            <w:r>
              <w:rPr>
                <w:rFonts w:ascii="Calibri" w:hAnsi="Calibri"/>
                <w:color w:val="333333"/>
                <w:sz w:val="18"/>
              </w:rPr>
              <w:t>Robertson Donald F Jr</w:t>
            </w:r>
          </w:p>
        </w:tc>
        <w:tc>
          <w:tcPr>
            <w:tcW w:type="dxa" w:w="1440"/>
          </w:tcPr>
          <w:p>
            <w:r>
              <w:rPr>
                <w:rFonts w:ascii="Calibri" w:hAnsi="Calibri"/>
                <w:color w:val="333333"/>
                <w:sz w:val="18"/>
              </w:rPr>
              <w:t>Principal Accounting Officer</w:t>
            </w:r>
          </w:p>
        </w:tc>
        <w:tc>
          <w:tcPr>
            <w:tcW w:type="dxa" w:w="1440"/>
          </w:tcPr>
          <w:p>
            <w:r>
              <w:rPr>
                <w:rFonts w:ascii="Calibri" w:hAnsi="Calibri"/>
                <w:color w:val="333333"/>
                <w:sz w:val="18"/>
              </w:rPr>
              <w:t>SELL</w:t>
            </w:r>
          </w:p>
        </w:tc>
        <w:tc>
          <w:tcPr>
            <w:tcW w:type="dxa" w:w="1440"/>
          </w:tcPr>
          <w:p>
            <w:r>
              <w:rPr>
                <w:rFonts w:ascii="Calibri" w:hAnsi="Calibri"/>
                <w:color w:val="333333"/>
                <w:sz w:val="18"/>
              </w:rPr>
              <w:t>1,196</w:t>
            </w:r>
          </w:p>
        </w:tc>
        <w:tc>
          <w:tcPr>
            <w:tcW w:type="dxa" w:w="1440"/>
          </w:tcPr>
          <w:p>
            <w:r>
              <w:rPr>
                <w:rFonts w:ascii="Calibri" w:hAnsi="Calibri"/>
                <w:color w:val="333333"/>
                <w:sz w:val="18"/>
              </w:rPr>
              <w:t>$206.4K</w:t>
            </w:r>
          </w:p>
        </w:tc>
        <w:tc>
          <w:tcPr>
            <w:tcW w:type="dxa" w:w="1440"/>
          </w:tcPr>
          <w:p>
            <w:r>
              <w:rPr>
                <w:rFonts w:ascii="Calibri" w:hAnsi="Calibri"/>
                <w:color w:val="333333"/>
                <w:sz w:val="18"/>
              </w:rPr>
              <w:t>Yes (Pre-arranged)</w:t>
            </w:r>
          </w:p>
        </w:tc>
      </w:tr>
      <w:tr>
        <w:tc>
          <w:tcPr>
            <w:tcW w:type="dxa" w:w="1440"/>
            <w:shd w:fill="F2F4F8" w:val="clear"/>
          </w:tcPr>
          <w:p>
            <w:r>
              <w:rPr>
                <w:rFonts w:ascii="Calibri" w:hAnsi="Calibri"/>
                <w:color w:val="333333"/>
                <w:sz w:val="18"/>
              </w:rPr>
              <w:t>2026-03-20</w:t>
            </w:r>
          </w:p>
        </w:tc>
        <w:tc>
          <w:tcPr>
            <w:tcW w:type="dxa" w:w="1440"/>
            <w:shd w:fill="F2F4F8" w:val="clear"/>
          </w:tcPr>
          <w:p>
            <w:r>
              <w:rPr>
                <w:rFonts w:ascii="Calibri" w:hAnsi="Calibri"/>
                <w:color w:val="333333"/>
                <w:sz w:val="18"/>
              </w:rPr>
              <w:t>Robertson Donald F Jr</w:t>
            </w:r>
          </w:p>
        </w:tc>
        <w:tc>
          <w:tcPr>
            <w:tcW w:type="dxa" w:w="1440"/>
            <w:shd w:fill="F2F4F8" w:val="clear"/>
          </w:tcPr>
          <w:p>
            <w:r>
              <w:rPr>
                <w:rFonts w:ascii="Calibri" w:hAnsi="Calibri"/>
                <w:color w:val="333333"/>
                <w:sz w:val="18"/>
              </w:rPr>
              <w:t>Principal Accounting Officer</w:t>
            </w:r>
          </w:p>
        </w:tc>
        <w:tc>
          <w:tcPr>
            <w:tcW w:type="dxa" w:w="1440"/>
            <w:shd w:fill="F2F4F8" w:val="clear"/>
          </w:tcPr>
          <w:p>
            <w:r>
              <w:rPr>
                <w:rFonts w:ascii="Calibri" w:hAnsi="Calibri"/>
                <w:color w:val="333333"/>
                <w:sz w:val="18"/>
              </w:rPr>
              <w:t>SELL</w:t>
            </w:r>
          </w:p>
        </w:tc>
        <w:tc>
          <w:tcPr>
            <w:tcW w:type="dxa" w:w="1440"/>
            <w:shd w:fill="F2F4F8" w:val="clear"/>
          </w:tcPr>
          <w:p>
            <w:r>
              <w:rPr>
                <w:rFonts w:ascii="Calibri" w:hAnsi="Calibri"/>
                <w:color w:val="333333"/>
                <w:sz w:val="18"/>
              </w:rPr>
              <w:t>400</w:t>
            </w:r>
          </w:p>
        </w:tc>
        <w:tc>
          <w:tcPr>
            <w:tcW w:type="dxa" w:w="1440"/>
            <w:shd w:fill="F2F4F8" w:val="clear"/>
          </w:tcPr>
          <w:p>
            <w:r>
              <w:rPr>
                <w:rFonts w:ascii="Calibri" w:hAnsi="Calibri"/>
                <w:color w:val="333333"/>
                <w:sz w:val="18"/>
              </w:rPr>
              <w:t>$69.2K</w:t>
            </w:r>
          </w:p>
        </w:tc>
        <w:tc>
          <w:tcPr>
            <w:tcW w:type="dxa" w:w="1440"/>
            <w:shd w:fill="F2F4F8" w:val="clear"/>
          </w:tcPr>
          <w:p>
            <w:r>
              <w:rPr>
                <w:rFonts w:ascii="Calibri" w:hAnsi="Calibri"/>
                <w:color w:val="333333"/>
                <w:sz w:val="18"/>
              </w:rPr>
              <w:t>Yes (Pre-arranged)</w:t>
            </w:r>
          </w:p>
        </w:tc>
      </w:tr>
      <w:tr>
        <w:tc>
          <w:tcPr>
            <w:tcW w:type="dxa" w:w="1440"/>
          </w:tcPr>
          <w:p>
            <w:r>
              <w:rPr>
                <w:rFonts w:ascii="Calibri" w:hAnsi="Calibri"/>
                <w:color w:val="333333"/>
                <w:sz w:val="18"/>
              </w:rPr>
              <w:t>2026-03-20</w:t>
            </w:r>
          </w:p>
        </w:tc>
        <w:tc>
          <w:tcPr>
            <w:tcW w:type="dxa" w:w="1440"/>
          </w:tcPr>
          <w:p>
            <w:r>
              <w:rPr>
                <w:rFonts w:ascii="Calibri" w:hAnsi="Calibri"/>
                <w:color w:val="333333"/>
                <w:sz w:val="18"/>
              </w:rPr>
              <w:t>Robertson Donald F Jr</w:t>
            </w:r>
          </w:p>
        </w:tc>
        <w:tc>
          <w:tcPr>
            <w:tcW w:type="dxa" w:w="1440"/>
          </w:tcPr>
          <w:p>
            <w:r>
              <w:rPr>
                <w:rFonts w:ascii="Calibri" w:hAnsi="Calibri"/>
                <w:color w:val="333333"/>
                <w:sz w:val="18"/>
              </w:rPr>
              <w:t>Principal Accounting Officer</w:t>
            </w:r>
          </w:p>
        </w:tc>
        <w:tc>
          <w:tcPr>
            <w:tcW w:type="dxa" w:w="1440"/>
          </w:tcPr>
          <w:p>
            <w:r>
              <w:rPr>
                <w:rFonts w:ascii="Calibri" w:hAnsi="Calibri"/>
                <w:color w:val="333333"/>
                <w:sz w:val="18"/>
              </w:rPr>
              <w:t>SELL</w:t>
            </w:r>
          </w:p>
        </w:tc>
        <w:tc>
          <w:tcPr>
            <w:tcW w:type="dxa" w:w="1440"/>
          </w:tcPr>
          <w:p>
            <w:r>
              <w:rPr>
                <w:rFonts w:ascii="Calibri" w:hAnsi="Calibri"/>
                <w:color w:val="333333"/>
                <w:sz w:val="18"/>
              </w:rPr>
              <w:t>500</w:t>
            </w:r>
          </w:p>
        </w:tc>
        <w:tc>
          <w:tcPr>
            <w:tcW w:type="dxa" w:w="1440"/>
          </w:tcPr>
          <w:p>
            <w:r>
              <w:rPr>
                <w:rFonts w:ascii="Calibri" w:hAnsi="Calibri"/>
                <w:color w:val="333333"/>
                <w:sz w:val="18"/>
              </w:rPr>
              <w:t>$86.9K</w:t>
            </w:r>
          </w:p>
        </w:tc>
        <w:tc>
          <w:tcPr>
            <w:tcW w:type="dxa" w:w="1440"/>
          </w:tcPr>
          <w:p>
            <w:r>
              <w:rPr>
                <w:rFonts w:ascii="Calibri" w:hAnsi="Calibri"/>
                <w:color w:val="333333"/>
                <w:sz w:val="18"/>
              </w:rPr>
              <w:t>Yes (Pre-arranged)</w:t>
            </w:r>
          </w:p>
        </w:tc>
      </w:tr>
      <w:tr>
        <w:tc>
          <w:tcPr>
            <w:tcW w:type="dxa" w:w="1440"/>
            <w:shd w:fill="F2F4F8" w:val="clear"/>
          </w:tcPr>
          <w:p>
            <w:r>
              <w:rPr>
                <w:rFonts w:ascii="Calibri" w:hAnsi="Calibri"/>
                <w:color w:val="333333"/>
                <w:sz w:val="18"/>
              </w:rPr>
              <w:t>2026-03-20</w:t>
            </w:r>
          </w:p>
        </w:tc>
        <w:tc>
          <w:tcPr>
            <w:tcW w:type="dxa" w:w="1440"/>
            <w:shd w:fill="F2F4F8" w:val="clear"/>
          </w:tcPr>
          <w:p>
            <w:r>
              <w:rPr>
                <w:rFonts w:ascii="Calibri" w:hAnsi="Calibri"/>
                <w:color w:val="333333"/>
                <w:sz w:val="18"/>
              </w:rPr>
              <w:t>Robertson Donald F Jr</w:t>
            </w:r>
          </w:p>
        </w:tc>
        <w:tc>
          <w:tcPr>
            <w:tcW w:type="dxa" w:w="1440"/>
            <w:shd w:fill="F2F4F8" w:val="clear"/>
          </w:tcPr>
          <w:p>
            <w:r>
              <w:rPr>
                <w:rFonts w:ascii="Calibri" w:hAnsi="Calibri"/>
                <w:color w:val="333333"/>
                <w:sz w:val="18"/>
              </w:rPr>
              <w:t>Principal Accounting Officer</w:t>
            </w:r>
          </w:p>
        </w:tc>
        <w:tc>
          <w:tcPr>
            <w:tcW w:type="dxa" w:w="1440"/>
            <w:shd w:fill="F2F4F8" w:val="clear"/>
          </w:tcPr>
          <w:p>
            <w:r>
              <w:rPr>
                <w:rFonts w:ascii="Calibri" w:hAnsi="Calibri"/>
                <w:color w:val="333333"/>
                <w:sz w:val="18"/>
              </w:rPr>
              <w:t>SELL</w:t>
            </w:r>
          </w:p>
        </w:tc>
        <w:tc>
          <w:tcPr>
            <w:tcW w:type="dxa" w:w="1440"/>
            <w:shd w:fill="F2F4F8" w:val="clear"/>
          </w:tcPr>
          <w:p>
            <w:r>
              <w:rPr>
                <w:rFonts w:ascii="Calibri" w:hAnsi="Calibri"/>
                <w:color w:val="333333"/>
                <w:sz w:val="18"/>
              </w:rPr>
              <w:t>600</w:t>
            </w:r>
          </w:p>
        </w:tc>
        <w:tc>
          <w:tcPr>
            <w:tcW w:type="dxa" w:w="1440"/>
            <w:shd w:fill="F2F4F8" w:val="clear"/>
          </w:tcPr>
          <w:p>
            <w:r>
              <w:rPr>
                <w:rFonts w:ascii="Calibri" w:hAnsi="Calibri"/>
                <w:color w:val="333333"/>
                <w:sz w:val="18"/>
              </w:rPr>
              <w:t>$104.9K</w:t>
            </w:r>
          </w:p>
        </w:tc>
        <w:tc>
          <w:tcPr>
            <w:tcW w:type="dxa" w:w="1440"/>
            <w:shd w:fill="F2F4F8" w:val="clear"/>
          </w:tcPr>
          <w:p>
            <w:r>
              <w:rPr>
                <w:rFonts w:ascii="Calibri" w:hAnsi="Calibri"/>
                <w:color w:val="333333"/>
                <w:sz w:val="18"/>
              </w:rPr>
              <w:t>Yes (Pre-arranged)</w:t>
            </w:r>
          </w:p>
        </w:tc>
      </w:tr>
      <w:tr>
        <w:tc>
          <w:tcPr>
            <w:tcW w:type="dxa" w:w="1440"/>
          </w:tcPr>
          <w:p>
            <w:r>
              <w:rPr>
                <w:rFonts w:ascii="Calibri" w:hAnsi="Calibri"/>
                <w:color w:val="333333"/>
                <w:sz w:val="18"/>
              </w:rPr>
              <w:t>2026-03-20</w:t>
            </w:r>
          </w:p>
        </w:tc>
        <w:tc>
          <w:tcPr>
            <w:tcW w:type="dxa" w:w="1440"/>
          </w:tcPr>
          <w:p>
            <w:r>
              <w:rPr>
                <w:rFonts w:ascii="Calibri" w:hAnsi="Calibri"/>
                <w:color w:val="333333"/>
                <w:sz w:val="18"/>
              </w:rPr>
              <w:t>Robertson Donald F Jr</w:t>
            </w:r>
          </w:p>
        </w:tc>
        <w:tc>
          <w:tcPr>
            <w:tcW w:type="dxa" w:w="1440"/>
          </w:tcPr>
          <w:p>
            <w:r>
              <w:rPr>
                <w:rFonts w:ascii="Calibri" w:hAnsi="Calibri"/>
                <w:color w:val="333333"/>
                <w:sz w:val="18"/>
              </w:rPr>
              <w:t>Principal Accounting Officer</w:t>
            </w:r>
          </w:p>
        </w:tc>
        <w:tc>
          <w:tcPr>
            <w:tcW w:type="dxa" w:w="1440"/>
          </w:tcPr>
          <w:p>
            <w:r>
              <w:rPr>
                <w:rFonts w:ascii="Calibri" w:hAnsi="Calibri"/>
                <w:color w:val="333333"/>
                <w:sz w:val="18"/>
              </w:rPr>
              <w:t>SELL</w:t>
            </w:r>
          </w:p>
        </w:tc>
        <w:tc>
          <w:tcPr>
            <w:tcW w:type="dxa" w:w="1440"/>
          </w:tcPr>
          <w:p>
            <w:r>
              <w:rPr>
                <w:rFonts w:ascii="Calibri" w:hAnsi="Calibri"/>
                <w:color w:val="333333"/>
                <w:sz w:val="18"/>
              </w:rPr>
              <w:t>2,100</w:t>
            </w:r>
          </w:p>
        </w:tc>
        <w:tc>
          <w:tcPr>
            <w:tcW w:type="dxa" w:w="1440"/>
          </w:tcPr>
          <w:p>
            <w:r>
              <w:rPr>
                <w:rFonts w:ascii="Calibri" w:hAnsi="Calibri"/>
                <w:color w:val="333333"/>
                <w:sz w:val="18"/>
              </w:rPr>
              <w:t>$369.2K</w:t>
            </w:r>
          </w:p>
        </w:tc>
        <w:tc>
          <w:tcPr>
            <w:tcW w:type="dxa" w:w="1440"/>
          </w:tcPr>
          <w:p>
            <w:r>
              <w:rPr>
                <w:rFonts w:ascii="Calibri" w:hAnsi="Calibri"/>
                <w:color w:val="333333"/>
                <w:sz w:val="18"/>
              </w:rPr>
              <w:t>Yes (Pre-arranged)</w:t>
            </w:r>
          </w:p>
        </w:tc>
      </w:tr>
      <w:tr>
        <w:tc>
          <w:tcPr>
            <w:tcW w:type="dxa" w:w="1440"/>
            <w:shd w:fill="F2F4F8" w:val="clear"/>
          </w:tcPr>
          <w:p>
            <w:r>
              <w:rPr>
                <w:rFonts w:ascii="Calibri" w:hAnsi="Calibri"/>
                <w:color w:val="333333"/>
                <w:sz w:val="18"/>
              </w:rPr>
              <w:t>2026-03-20</w:t>
            </w:r>
          </w:p>
        </w:tc>
        <w:tc>
          <w:tcPr>
            <w:tcW w:type="dxa" w:w="1440"/>
            <w:shd w:fill="F2F4F8" w:val="clear"/>
          </w:tcPr>
          <w:p>
            <w:r>
              <w:rPr>
                <w:rFonts w:ascii="Calibri" w:hAnsi="Calibri"/>
                <w:color w:val="333333"/>
                <w:sz w:val="18"/>
              </w:rPr>
              <w:t>Robertson Donald F Jr</w:t>
            </w:r>
          </w:p>
        </w:tc>
        <w:tc>
          <w:tcPr>
            <w:tcW w:type="dxa" w:w="1440"/>
            <w:shd w:fill="F2F4F8" w:val="clear"/>
          </w:tcPr>
          <w:p>
            <w:r>
              <w:rPr>
                <w:rFonts w:ascii="Calibri" w:hAnsi="Calibri"/>
                <w:color w:val="333333"/>
                <w:sz w:val="18"/>
              </w:rPr>
              <w:t>Principal Accounting Officer</w:t>
            </w:r>
          </w:p>
        </w:tc>
        <w:tc>
          <w:tcPr>
            <w:tcW w:type="dxa" w:w="1440"/>
            <w:shd w:fill="F2F4F8" w:val="clear"/>
          </w:tcPr>
          <w:p>
            <w:r>
              <w:rPr>
                <w:rFonts w:ascii="Calibri" w:hAnsi="Calibri"/>
                <w:color w:val="333333"/>
                <w:sz w:val="18"/>
              </w:rPr>
              <w:t>SELL</w:t>
            </w:r>
          </w:p>
        </w:tc>
        <w:tc>
          <w:tcPr>
            <w:tcW w:type="dxa" w:w="1440"/>
            <w:shd w:fill="F2F4F8" w:val="clear"/>
          </w:tcPr>
          <w:p>
            <w:r>
              <w:rPr>
                <w:rFonts w:ascii="Calibri" w:hAnsi="Calibri"/>
                <w:color w:val="333333"/>
                <w:sz w:val="18"/>
              </w:rPr>
              <w:t>600</w:t>
            </w:r>
          </w:p>
        </w:tc>
        <w:tc>
          <w:tcPr>
            <w:tcW w:type="dxa" w:w="1440"/>
            <w:shd w:fill="F2F4F8" w:val="clear"/>
          </w:tcPr>
          <w:p>
            <w:r>
              <w:rPr>
                <w:rFonts w:ascii="Calibri" w:hAnsi="Calibri"/>
                <w:color w:val="333333"/>
                <w:sz w:val="18"/>
              </w:rPr>
              <w:t>$106.4K</w:t>
            </w:r>
          </w:p>
        </w:tc>
        <w:tc>
          <w:tcPr>
            <w:tcW w:type="dxa" w:w="1440"/>
            <w:shd w:fill="F2F4F8" w:val="clear"/>
          </w:tcPr>
          <w:p>
            <w:r>
              <w:rPr>
                <w:rFonts w:ascii="Calibri" w:hAnsi="Calibri"/>
                <w:color w:val="333333"/>
                <w:sz w:val="18"/>
              </w:rPr>
              <w:t>Yes (Pre-arranged)</w:t>
            </w:r>
          </w:p>
        </w:tc>
      </w:tr>
      <w:tr>
        <w:tc>
          <w:tcPr>
            <w:tcW w:type="dxa" w:w="1440"/>
          </w:tcPr>
          <w:p>
            <w:r>
              <w:rPr>
                <w:rFonts w:ascii="Calibri" w:hAnsi="Calibri"/>
                <w:color w:val="333333"/>
                <w:sz w:val="18"/>
              </w:rPr>
              <w:t>2026-03-20</w:t>
            </w:r>
          </w:p>
        </w:tc>
        <w:tc>
          <w:tcPr>
            <w:tcW w:type="dxa" w:w="1440"/>
          </w:tcPr>
          <w:p>
            <w:r>
              <w:rPr>
                <w:rFonts w:ascii="Calibri" w:hAnsi="Calibri"/>
                <w:color w:val="333333"/>
                <w:sz w:val="18"/>
              </w:rPr>
              <w:t>Kress Colette</w:t>
            </w:r>
          </w:p>
        </w:tc>
        <w:tc>
          <w:tcPr>
            <w:tcW w:type="dxa" w:w="1440"/>
          </w:tcPr>
          <w:p>
            <w:r>
              <w:rPr>
                <w:rFonts w:ascii="Calibri" w:hAnsi="Calibri"/>
                <w:color w:val="333333"/>
                <w:sz w:val="18"/>
              </w:rPr>
              <w:t>EVP &amp; Chief Financial Officer</w:t>
            </w:r>
          </w:p>
        </w:tc>
        <w:tc>
          <w:tcPr>
            <w:tcW w:type="dxa" w:w="1440"/>
          </w:tcPr>
          <w:p>
            <w:r>
              <w:rPr>
                <w:rFonts w:ascii="Calibri" w:hAnsi="Calibri"/>
                <w:color w:val="333333"/>
                <w:sz w:val="18"/>
              </w:rPr>
              <w:t>SELL</w:t>
            </w:r>
          </w:p>
        </w:tc>
        <w:tc>
          <w:tcPr>
            <w:tcW w:type="dxa" w:w="1440"/>
          </w:tcPr>
          <w:p>
            <w:r>
              <w:rPr>
                <w:rFonts w:ascii="Calibri" w:hAnsi="Calibri"/>
                <w:color w:val="333333"/>
                <w:sz w:val="18"/>
              </w:rPr>
              <w:t>715</w:t>
            </w:r>
          </w:p>
        </w:tc>
        <w:tc>
          <w:tcPr>
            <w:tcW w:type="dxa" w:w="1440"/>
          </w:tcPr>
          <w:p>
            <w:r>
              <w:rPr>
                <w:rFonts w:ascii="Calibri" w:hAnsi="Calibri"/>
                <w:color w:val="333333"/>
                <w:sz w:val="18"/>
              </w:rPr>
              <w:t>$123.0K</w:t>
            </w:r>
          </w:p>
        </w:tc>
        <w:tc>
          <w:tcPr>
            <w:tcW w:type="dxa" w:w="1440"/>
          </w:tcPr>
          <w:p>
            <w:r>
              <w:rPr>
                <w:rFonts w:ascii="Calibri" w:hAnsi="Calibri"/>
                <w:color w:val="333333"/>
                <w:sz w:val="18"/>
              </w:rPr>
              <w:t>Yes (Pre-arranged)</w:t>
            </w:r>
          </w:p>
        </w:tc>
      </w:tr>
      <w:tr>
        <w:tc>
          <w:tcPr>
            <w:tcW w:type="dxa" w:w="1440"/>
            <w:shd w:fill="F2F4F8" w:val="clear"/>
          </w:tcPr>
          <w:p>
            <w:r>
              <w:rPr>
                <w:rFonts w:ascii="Calibri" w:hAnsi="Calibri"/>
                <w:color w:val="333333"/>
                <w:sz w:val="18"/>
              </w:rPr>
              <w:t>2026-03-20</w:t>
            </w:r>
          </w:p>
        </w:tc>
        <w:tc>
          <w:tcPr>
            <w:tcW w:type="dxa" w:w="1440"/>
            <w:shd w:fill="F2F4F8" w:val="clear"/>
          </w:tcPr>
          <w:p>
            <w:r>
              <w:rPr>
                <w:rFonts w:ascii="Calibri" w:hAnsi="Calibri"/>
                <w:color w:val="333333"/>
                <w:sz w:val="18"/>
              </w:rPr>
              <w:t>Kress Colette</w:t>
            </w:r>
          </w:p>
        </w:tc>
        <w:tc>
          <w:tcPr>
            <w:tcW w:type="dxa" w:w="1440"/>
            <w:shd w:fill="F2F4F8" w:val="clear"/>
          </w:tcPr>
          <w:p>
            <w:r>
              <w:rPr>
                <w:rFonts w:ascii="Calibri" w:hAnsi="Calibri"/>
                <w:color w:val="333333"/>
                <w:sz w:val="18"/>
              </w:rPr>
              <w:t>EVP &amp; Chief Financial Officer</w:t>
            </w:r>
          </w:p>
        </w:tc>
        <w:tc>
          <w:tcPr>
            <w:tcW w:type="dxa" w:w="1440"/>
            <w:shd w:fill="F2F4F8" w:val="clear"/>
          </w:tcPr>
          <w:p>
            <w:r>
              <w:rPr>
                <w:rFonts w:ascii="Calibri" w:hAnsi="Calibri"/>
                <w:color w:val="333333"/>
                <w:sz w:val="18"/>
              </w:rPr>
              <w:t>SELL</w:t>
            </w:r>
          </w:p>
        </w:tc>
        <w:tc>
          <w:tcPr>
            <w:tcW w:type="dxa" w:w="1440"/>
            <w:shd w:fill="F2F4F8" w:val="clear"/>
          </w:tcPr>
          <w:p>
            <w:r>
              <w:rPr>
                <w:rFonts w:ascii="Calibri" w:hAnsi="Calibri"/>
                <w:color w:val="333333"/>
                <w:sz w:val="18"/>
              </w:rPr>
              <w:t>10,264</w:t>
            </w:r>
          </w:p>
        </w:tc>
        <w:tc>
          <w:tcPr>
            <w:tcW w:type="dxa" w:w="1440"/>
            <w:shd w:fill="F2F4F8" w:val="clear"/>
          </w:tcPr>
          <w:p>
            <w:r>
              <w:rPr>
                <w:rFonts w:ascii="Calibri" w:hAnsi="Calibri"/>
                <w:color w:val="333333"/>
                <w:sz w:val="18"/>
              </w:rPr>
              <w:t>$1.8M</w:t>
            </w:r>
          </w:p>
        </w:tc>
        <w:tc>
          <w:tcPr>
            <w:tcW w:type="dxa" w:w="1440"/>
            <w:shd w:fill="F2F4F8" w:val="clear"/>
          </w:tcPr>
          <w:p>
            <w:r>
              <w:rPr>
                <w:rFonts w:ascii="Calibri" w:hAnsi="Calibri"/>
                <w:color w:val="333333"/>
                <w:sz w:val="18"/>
              </w:rPr>
              <w:t>Yes (Pre-arranged)</w:t>
            </w:r>
          </w:p>
        </w:tc>
      </w:tr>
      <w:tr>
        <w:tc>
          <w:tcPr>
            <w:tcW w:type="dxa" w:w="1440"/>
          </w:tcPr>
          <w:p>
            <w:r>
              <w:rPr>
                <w:rFonts w:ascii="Calibri" w:hAnsi="Calibri"/>
                <w:color w:val="333333"/>
                <w:sz w:val="18"/>
              </w:rPr>
              <w:t>2026-03-20</w:t>
            </w:r>
          </w:p>
        </w:tc>
        <w:tc>
          <w:tcPr>
            <w:tcW w:type="dxa" w:w="1440"/>
          </w:tcPr>
          <w:p>
            <w:r>
              <w:rPr>
                <w:rFonts w:ascii="Calibri" w:hAnsi="Calibri"/>
                <w:color w:val="333333"/>
                <w:sz w:val="18"/>
              </w:rPr>
              <w:t>Kress Colette</w:t>
            </w:r>
          </w:p>
        </w:tc>
        <w:tc>
          <w:tcPr>
            <w:tcW w:type="dxa" w:w="1440"/>
          </w:tcPr>
          <w:p>
            <w:r>
              <w:rPr>
                <w:rFonts w:ascii="Calibri" w:hAnsi="Calibri"/>
                <w:color w:val="333333"/>
                <w:sz w:val="18"/>
              </w:rPr>
              <w:t>EVP &amp; Chief Financial Officer</w:t>
            </w:r>
          </w:p>
        </w:tc>
        <w:tc>
          <w:tcPr>
            <w:tcW w:type="dxa" w:w="1440"/>
          </w:tcPr>
          <w:p>
            <w:r>
              <w:rPr>
                <w:rFonts w:ascii="Calibri" w:hAnsi="Calibri"/>
                <w:color w:val="333333"/>
                <w:sz w:val="18"/>
              </w:rPr>
              <w:t>SELL</w:t>
            </w:r>
          </w:p>
        </w:tc>
        <w:tc>
          <w:tcPr>
            <w:tcW w:type="dxa" w:w="1440"/>
          </w:tcPr>
          <w:p>
            <w:r>
              <w:rPr>
                <w:rFonts w:ascii="Calibri" w:hAnsi="Calibri"/>
                <w:color w:val="333333"/>
                <w:sz w:val="18"/>
              </w:rPr>
              <w:t>3,307</w:t>
            </w:r>
          </w:p>
        </w:tc>
        <w:tc>
          <w:tcPr>
            <w:tcW w:type="dxa" w:w="1440"/>
          </w:tcPr>
          <w:p>
            <w:r>
              <w:rPr>
                <w:rFonts w:ascii="Calibri" w:hAnsi="Calibri"/>
                <w:color w:val="333333"/>
                <w:sz w:val="18"/>
              </w:rPr>
              <w:t>$574.2K</w:t>
            </w:r>
          </w:p>
        </w:tc>
        <w:tc>
          <w:tcPr>
            <w:tcW w:type="dxa" w:w="1440"/>
          </w:tcPr>
          <w:p>
            <w:r>
              <w:rPr>
                <w:rFonts w:ascii="Calibri" w:hAnsi="Calibri"/>
                <w:color w:val="333333"/>
                <w:sz w:val="18"/>
              </w:rPr>
              <w:t>Yes (Pre-arranged)</w:t>
            </w:r>
          </w:p>
        </w:tc>
      </w:tr>
      <w:tr>
        <w:tc>
          <w:tcPr>
            <w:tcW w:type="dxa" w:w="1440"/>
            <w:shd w:fill="F2F4F8" w:val="clear"/>
          </w:tcPr>
          <w:p>
            <w:r>
              <w:rPr>
                <w:rFonts w:ascii="Calibri" w:hAnsi="Calibri"/>
                <w:color w:val="333333"/>
                <w:sz w:val="18"/>
              </w:rPr>
              <w:t>2026-03-20</w:t>
            </w:r>
          </w:p>
        </w:tc>
        <w:tc>
          <w:tcPr>
            <w:tcW w:type="dxa" w:w="1440"/>
            <w:shd w:fill="F2F4F8" w:val="clear"/>
          </w:tcPr>
          <w:p>
            <w:r>
              <w:rPr>
                <w:rFonts w:ascii="Calibri" w:hAnsi="Calibri"/>
                <w:color w:val="333333"/>
                <w:sz w:val="18"/>
              </w:rPr>
              <w:t>Kress Colette</w:t>
            </w:r>
          </w:p>
        </w:tc>
        <w:tc>
          <w:tcPr>
            <w:tcW w:type="dxa" w:w="1440"/>
            <w:shd w:fill="F2F4F8" w:val="clear"/>
          </w:tcPr>
          <w:p>
            <w:r>
              <w:rPr>
                <w:rFonts w:ascii="Calibri" w:hAnsi="Calibri"/>
                <w:color w:val="333333"/>
                <w:sz w:val="18"/>
              </w:rPr>
              <w:t>EVP &amp; Chief Financial Officer</w:t>
            </w:r>
          </w:p>
        </w:tc>
        <w:tc>
          <w:tcPr>
            <w:tcW w:type="dxa" w:w="1440"/>
            <w:shd w:fill="F2F4F8" w:val="clear"/>
          </w:tcPr>
          <w:p>
            <w:r>
              <w:rPr>
                <w:rFonts w:ascii="Calibri" w:hAnsi="Calibri"/>
                <w:color w:val="333333"/>
                <w:sz w:val="18"/>
              </w:rPr>
              <w:t>SELL</w:t>
            </w:r>
          </w:p>
        </w:tc>
        <w:tc>
          <w:tcPr>
            <w:tcW w:type="dxa" w:w="1440"/>
            <w:shd w:fill="F2F4F8" w:val="clear"/>
          </w:tcPr>
          <w:p>
            <w:r>
              <w:rPr>
                <w:rFonts w:ascii="Calibri" w:hAnsi="Calibri"/>
                <w:color w:val="333333"/>
                <w:sz w:val="18"/>
              </w:rPr>
              <w:t>4,225</w:t>
            </w:r>
          </w:p>
        </w:tc>
        <w:tc>
          <w:tcPr>
            <w:tcW w:type="dxa" w:w="1440"/>
            <w:shd w:fill="F2F4F8" w:val="clear"/>
          </w:tcPr>
          <w:p>
            <w:r>
              <w:rPr>
                <w:rFonts w:ascii="Calibri" w:hAnsi="Calibri"/>
                <w:color w:val="333333"/>
                <w:sz w:val="18"/>
              </w:rPr>
              <w:t>$738.2K</w:t>
            </w:r>
          </w:p>
        </w:tc>
        <w:tc>
          <w:tcPr>
            <w:tcW w:type="dxa" w:w="1440"/>
            <w:shd w:fill="F2F4F8" w:val="clear"/>
          </w:tcPr>
          <w:p>
            <w:r>
              <w:rPr>
                <w:rFonts w:ascii="Calibri" w:hAnsi="Calibri"/>
                <w:color w:val="333333"/>
                <w:sz w:val="18"/>
              </w:rPr>
              <w:t>Yes (Pre-arranged)</w:t>
            </w:r>
          </w:p>
        </w:tc>
      </w:tr>
      <w:tr>
        <w:tc>
          <w:tcPr>
            <w:tcW w:type="dxa" w:w="1440"/>
          </w:tcPr>
          <w:p>
            <w:r>
              <w:rPr>
                <w:rFonts w:ascii="Calibri" w:hAnsi="Calibri"/>
                <w:color w:val="333333"/>
                <w:sz w:val="18"/>
              </w:rPr>
              <w:t>2026-03-20</w:t>
            </w:r>
          </w:p>
        </w:tc>
        <w:tc>
          <w:tcPr>
            <w:tcW w:type="dxa" w:w="1440"/>
          </w:tcPr>
          <w:p>
            <w:r>
              <w:rPr>
                <w:rFonts w:ascii="Calibri" w:hAnsi="Calibri"/>
                <w:color w:val="333333"/>
                <w:sz w:val="18"/>
              </w:rPr>
              <w:t>Kress Colette</w:t>
            </w:r>
          </w:p>
        </w:tc>
        <w:tc>
          <w:tcPr>
            <w:tcW w:type="dxa" w:w="1440"/>
          </w:tcPr>
          <w:p>
            <w:r>
              <w:rPr>
                <w:rFonts w:ascii="Calibri" w:hAnsi="Calibri"/>
                <w:color w:val="333333"/>
                <w:sz w:val="18"/>
              </w:rPr>
              <w:t>EVP &amp; Chief Financial Officer</w:t>
            </w:r>
          </w:p>
        </w:tc>
        <w:tc>
          <w:tcPr>
            <w:tcW w:type="dxa" w:w="1440"/>
          </w:tcPr>
          <w:p>
            <w:r>
              <w:rPr>
                <w:rFonts w:ascii="Calibri" w:hAnsi="Calibri"/>
                <w:color w:val="333333"/>
                <w:sz w:val="18"/>
              </w:rPr>
              <w:t>SELL</w:t>
            </w:r>
          </w:p>
        </w:tc>
        <w:tc>
          <w:tcPr>
            <w:tcW w:type="dxa" w:w="1440"/>
          </w:tcPr>
          <w:p>
            <w:r>
              <w:rPr>
                <w:rFonts w:ascii="Calibri" w:hAnsi="Calibri"/>
                <w:color w:val="333333"/>
                <w:sz w:val="18"/>
              </w:rPr>
              <w:t>18,020</w:t>
            </w:r>
          </w:p>
        </w:tc>
        <w:tc>
          <w:tcPr>
            <w:tcW w:type="dxa" w:w="1440"/>
          </w:tcPr>
          <w:p>
            <w:r>
              <w:rPr>
                <w:rFonts w:ascii="Calibri" w:hAnsi="Calibri"/>
                <w:color w:val="333333"/>
                <w:sz w:val="18"/>
              </w:rPr>
              <w:t>$3.2M</w:t>
            </w:r>
          </w:p>
        </w:tc>
        <w:tc>
          <w:tcPr>
            <w:tcW w:type="dxa" w:w="1440"/>
          </w:tcPr>
          <w:p>
            <w:r>
              <w:rPr>
                <w:rFonts w:ascii="Calibri" w:hAnsi="Calibri"/>
                <w:color w:val="333333"/>
                <w:sz w:val="18"/>
              </w:rPr>
              <w:t>Yes (Pre-arranged)</w:t>
            </w:r>
          </w:p>
        </w:tc>
      </w:tr>
      <w:tr>
        <w:tc>
          <w:tcPr>
            <w:tcW w:type="dxa" w:w="1440"/>
            <w:shd w:fill="F2F4F8" w:val="clear"/>
          </w:tcPr>
          <w:p>
            <w:r>
              <w:rPr>
                <w:rFonts w:ascii="Calibri" w:hAnsi="Calibri"/>
                <w:color w:val="333333"/>
                <w:sz w:val="18"/>
              </w:rPr>
              <w:t>2026-03-20</w:t>
            </w:r>
          </w:p>
        </w:tc>
        <w:tc>
          <w:tcPr>
            <w:tcW w:type="dxa" w:w="1440"/>
            <w:shd w:fill="F2F4F8" w:val="clear"/>
          </w:tcPr>
          <w:p>
            <w:r>
              <w:rPr>
                <w:rFonts w:ascii="Calibri" w:hAnsi="Calibri"/>
                <w:color w:val="333333"/>
                <w:sz w:val="18"/>
              </w:rPr>
              <w:t>Kress Colette</w:t>
            </w:r>
          </w:p>
        </w:tc>
        <w:tc>
          <w:tcPr>
            <w:tcW w:type="dxa" w:w="1440"/>
            <w:shd w:fill="F2F4F8" w:val="clear"/>
          </w:tcPr>
          <w:p>
            <w:r>
              <w:rPr>
                <w:rFonts w:ascii="Calibri" w:hAnsi="Calibri"/>
                <w:color w:val="333333"/>
                <w:sz w:val="18"/>
              </w:rPr>
              <w:t>EVP &amp; Chief Financial Officer</w:t>
            </w:r>
          </w:p>
        </w:tc>
        <w:tc>
          <w:tcPr>
            <w:tcW w:type="dxa" w:w="1440"/>
            <w:shd w:fill="F2F4F8" w:val="clear"/>
          </w:tcPr>
          <w:p>
            <w:r>
              <w:rPr>
                <w:rFonts w:ascii="Calibri" w:hAnsi="Calibri"/>
                <w:color w:val="333333"/>
                <w:sz w:val="18"/>
              </w:rPr>
              <w:t>SELL</w:t>
            </w:r>
          </w:p>
        </w:tc>
        <w:tc>
          <w:tcPr>
            <w:tcW w:type="dxa" w:w="1440"/>
            <w:shd w:fill="F2F4F8" w:val="clear"/>
          </w:tcPr>
          <w:p>
            <w:r>
              <w:rPr>
                <w:rFonts w:ascii="Calibri" w:hAnsi="Calibri"/>
                <w:color w:val="333333"/>
                <w:sz w:val="18"/>
              </w:rPr>
              <w:t>4,212</w:t>
            </w:r>
          </w:p>
        </w:tc>
        <w:tc>
          <w:tcPr>
            <w:tcW w:type="dxa" w:w="1440"/>
            <w:shd w:fill="F2F4F8" w:val="clear"/>
          </w:tcPr>
          <w:p>
            <w:r>
              <w:rPr>
                <w:rFonts w:ascii="Calibri" w:hAnsi="Calibri"/>
                <w:color w:val="333333"/>
                <w:sz w:val="18"/>
              </w:rPr>
              <w:t>$744.8K</w:t>
            </w:r>
          </w:p>
        </w:tc>
        <w:tc>
          <w:tcPr>
            <w:tcW w:type="dxa" w:w="1440"/>
            <w:shd w:fill="F2F4F8" w:val="clear"/>
          </w:tcPr>
          <w:p>
            <w:r>
              <w:rPr>
                <w:rFonts w:ascii="Calibri" w:hAnsi="Calibri"/>
                <w:color w:val="333333"/>
                <w:sz w:val="18"/>
              </w:rPr>
              <w:t>Yes (Pre-arranged)</w:t>
            </w:r>
          </w:p>
        </w:tc>
      </w:tr>
      <w:tr>
        <w:tc>
          <w:tcPr>
            <w:tcW w:type="dxa" w:w="1440"/>
          </w:tcPr>
          <w:p>
            <w:r>
              <w:rPr>
                <w:rFonts w:ascii="Calibri" w:hAnsi="Calibri"/>
                <w:color w:val="333333"/>
                <w:sz w:val="18"/>
              </w:rPr>
              <w:t>2026-03-20</w:t>
            </w:r>
          </w:p>
        </w:tc>
        <w:tc>
          <w:tcPr>
            <w:tcW w:type="dxa" w:w="1440"/>
          </w:tcPr>
          <w:p>
            <w:r>
              <w:rPr>
                <w:rFonts w:ascii="Calibri" w:hAnsi="Calibri"/>
                <w:color w:val="333333"/>
                <w:sz w:val="18"/>
              </w:rPr>
              <w:t>Kress Colette</w:t>
            </w:r>
          </w:p>
        </w:tc>
        <w:tc>
          <w:tcPr>
            <w:tcW w:type="dxa" w:w="1440"/>
          </w:tcPr>
          <w:p>
            <w:r>
              <w:rPr>
                <w:rFonts w:ascii="Calibri" w:hAnsi="Calibri"/>
                <w:color w:val="333333"/>
                <w:sz w:val="18"/>
              </w:rPr>
              <w:t>EVP &amp; Chief Financial Officer</w:t>
            </w:r>
          </w:p>
        </w:tc>
        <w:tc>
          <w:tcPr>
            <w:tcW w:type="dxa" w:w="1440"/>
          </w:tcPr>
          <w:p>
            <w:r>
              <w:rPr>
                <w:rFonts w:ascii="Calibri" w:hAnsi="Calibri"/>
                <w:color w:val="333333"/>
                <w:sz w:val="18"/>
              </w:rPr>
              <w:t>SELL</w:t>
            </w:r>
          </w:p>
        </w:tc>
        <w:tc>
          <w:tcPr>
            <w:tcW w:type="dxa" w:w="1440"/>
          </w:tcPr>
          <w:p>
            <w:r>
              <w:rPr>
                <w:rFonts w:ascii="Calibri" w:hAnsi="Calibri"/>
                <w:color w:val="333333"/>
                <w:sz w:val="18"/>
              </w:rPr>
              <w:t>1,907</w:t>
            </w:r>
          </w:p>
        </w:tc>
        <w:tc>
          <w:tcPr>
            <w:tcW w:type="dxa" w:w="1440"/>
          </w:tcPr>
          <w:p>
            <w:r>
              <w:rPr>
                <w:rFonts w:ascii="Calibri" w:hAnsi="Calibri"/>
                <w:color w:val="333333"/>
                <w:sz w:val="18"/>
              </w:rPr>
              <w:t>$338.5K</w:t>
            </w:r>
          </w:p>
        </w:tc>
        <w:tc>
          <w:tcPr>
            <w:tcW w:type="dxa" w:w="1440"/>
          </w:tcPr>
          <w:p>
            <w:r>
              <w:rPr>
                <w:rFonts w:ascii="Calibri" w:hAnsi="Calibri"/>
                <w:color w:val="333333"/>
                <w:sz w:val="18"/>
              </w:rPr>
              <w:t>Yes (Pre-arranged)</w:t>
            </w:r>
          </w:p>
        </w:tc>
      </w:tr>
      <w:tr>
        <w:tc>
          <w:tcPr>
            <w:tcW w:type="dxa" w:w="1440"/>
            <w:shd w:fill="F2F4F8" w:val="clear"/>
          </w:tcPr>
          <w:p>
            <w:r>
              <w:rPr>
                <w:rFonts w:ascii="Calibri" w:hAnsi="Calibri"/>
                <w:color w:val="333333"/>
                <w:sz w:val="18"/>
              </w:rPr>
              <w:t>2026-03-20</w:t>
            </w:r>
          </w:p>
        </w:tc>
        <w:tc>
          <w:tcPr>
            <w:tcW w:type="dxa" w:w="1440"/>
            <w:shd w:fill="F2F4F8" w:val="clear"/>
          </w:tcPr>
          <w:p>
            <w:r>
              <w:rPr>
                <w:rFonts w:ascii="Calibri" w:hAnsi="Calibri"/>
                <w:color w:val="333333"/>
                <w:sz w:val="18"/>
              </w:rPr>
              <w:t>Kress Colette</w:t>
            </w:r>
          </w:p>
        </w:tc>
        <w:tc>
          <w:tcPr>
            <w:tcW w:type="dxa" w:w="1440"/>
            <w:shd w:fill="F2F4F8" w:val="clear"/>
          </w:tcPr>
          <w:p>
            <w:r>
              <w:rPr>
                <w:rFonts w:ascii="Calibri" w:hAnsi="Calibri"/>
                <w:color w:val="333333"/>
                <w:sz w:val="18"/>
              </w:rPr>
              <w:t>EVP &amp; Chief Financial Officer</w:t>
            </w:r>
          </w:p>
        </w:tc>
        <w:tc>
          <w:tcPr>
            <w:tcW w:type="dxa" w:w="1440"/>
            <w:shd w:fill="F2F4F8" w:val="clear"/>
          </w:tcPr>
          <w:p>
            <w:r>
              <w:rPr>
                <w:rFonts w:ascii="Calibri" w:hAnsi="Calibri"/>
                <w:color w:val="333333"/>
                <w:sz w:val="18"/>
              </w:rPr>
              <w:t>SELL</w:t>
            </w:r>
          </w:p>
        </w:tc>
        <w:tc>
          <w:tcPr>
            <w:tcW w:type="dxa" w:w="1440"/>
            <w:shd w:fill="F2F4F8" w:val="clear"/>
          </w:tcPr>
          <w:p>
            <w:r>
              <w:rPr>
                <w:rFonts w:ascii="Calibri" w:hAnsi="Calibri"/>
                <w:color w:val="333333"/>
                <w:sz w:val="18"/>
              </w:rPr>
              <w:t>180</w:t>
            </w:r>
          </w:p>
        </w:tc>
        <w:tc>
          <w:tcPr>
            <w:tcW w:type="dxa" w:w="1440"/>
            <w:shd w:fill="F2F4F8" w:val="clear"/>
          </w:tcPr>
          <w:p>
            <w:r>
              <w:rPr>
                <w:rFonts w:ascii="Calibri" w:hAnsi="Calibri"/>
                <w:color w:val="333333"/>
                <w:sz w:val="18"/>
              </w:rPr>
              <w:t>$31.0K</w:t>
            </w:r>
          </w:p>
        </w:tc>
        <w:tc>
          <w:tcPr>
            <w:tcW w:type="dxa" w:w="1440"/>
            <w:shd w:fill="F2F4F8" w:val="clear"/>
          </w:tcPr>
          <w:p>
            <w:r>
              <w:rPr>
                <w:rFonts w:ascii="Calibri" w:hAnsi="Calibri"/>
                <w:color w:val="333333"/>
                <w:sz w:val="18"/>
              </w:rPr>
              <w:t>Yes (Pre-arranged)</w:t>
            </w:r>
          </w:p>
        </w:tc>
      </w:tr>
      <w:tr>
        <w:tc>
          <w:tcPr>
            <w:tcW w:type="dxa" w:w="1440"/>
          </w:tcPr>
          <w:p>
            <w:r>
              <w:rPr>
                <w:rFonts w:ascii="Calibri" w:hAnsi="Calibri"/>
                <w:color w:val="333333"/>
                <w:sz w:val="18"/>
              </w:rPr>
              <w:t>2026-03-20</w:t>
            </w:r>
          </w:p>
        </w:tc>
        <w:tc>
          <w:tcPr>
            <w:tcW w:type="dxa" w:w="1440"/>
          </w:tcPr>
          <w:p>
            <w:r>
              <w:rPr>
                <w:rFonts w:ascii="Calibri" w:hAnsi="Calibri"/>
                <w:color w:val="333333"/>
                <w:sz w:val="18"/>
              </w:rPr>
              <w:t>Kress Colette</w:t>
            </w:r>
          </w:p>
        </w:tc>
        <w:tc>
          <w:tcPr>
            <w:tcW w:type="dxa" w:w="1440"/>
          </w:tcPr>
          <w:p>
            <w:r>
              <w:rPr>
                <w:rFonts w:ascii="Calibri" w:hAnsi="Calibri"/>
                <w:color w:val="333333"/>
                <w:sz w:val="18"/>
              </w:rPr>
              <w:t>EVP &amp; Chief Financial Officer</w:t>
            </w:r>
          </w:p>
        </w:tc>
        <w:tc>
          <w:tcPr>
            <w:tcW w:type="dxa" w:w="1440"/>
          </w:tcPr>
          <w:p>
            <w:r>
              <w:rPr>
                <w:rFonts w:ascii="Calibri" w:hAnsi="Calibri"/>
                <w:color w:val="333333"/>
                <w:sz w:val="18"/>
              </w:rPr>
              <w:t>SELL</w:t>
            </w:r>
          </w:p>
        </w:tc>
        <w:tc>
          <w:tcPr>
            <w:tcW w:type="dxa" w:w="1440"/>
          </w:tcPr>
          <w:p>
            <w:r>
              <w:rPr>
                <w:rFonts w:ascii="Calibri" w:hAnsi="Calibri"/>
                <w:color w:val="333333"/>
                <w:sz w:val="18"/>
              </w:rPr>
              <w:t>2,396</w:t>
            </w:r>
          </w:p>
        </w:tc>
        <w:tc>
          <w:tcPr>
            <w:tcW w:type="dxa" w:w="1440"/>
          </w:tcPr>
          <w:p>
            <w:r>
              <w:rPr>
                <w:rFonts w:ascii="Calibri" w:hAnsi="Calibri"/>
                <w:color w:val="333333"/>
                <w:sz w:val="18"/>
              </w:rPr>
              <w:t>$413.8K</w:t>
            </w:r>
          </w:p>
        </w:tc>
        <w:tc>
          <w:tcPr>
            <w:tcW w:type="dxa" w:w="1440"/>
          </w:tcPr>
          <w:p>
            <w:r>
              <w:rPr>
                <w:rFonts w:ascii="Calibri" w:hAnsi="Calibri"/>
                <w:color w:val="333333"/>
                <w:sz w:val="18"/>
              </w:rPr>
              <w:t>Yes (Pre-arranged)</w:t>
            </w:r>
          </w:p>
        </w:tc>
      </w:tr>
      <w:tr>
        <w:tc>
          <w:tcPr>
            <w:tcW w:type="dxa" w:w="1440"/>
            <w:shd w:fill="F2F4F8" w:val="clear"/>
          </w:tcPr>
          <w:p>
            <w:r>
              <w:rPr>
                <w:rFonts w:ascii="Calibri" w:hAnsi="Calibri"/>
                <w:color w:val="333333"/>
                <w:sz w:val="18"/>
              </w:rPr>
              <w:t>2026-03-20</w:t>
            </w:r>
          </w:p>
        </w:tc>
        <w:tc>
          <w:tcPr>
            <w:tcW w:type="dxa" w:w="1440"/>
            <w:shd w:fill="F2F4F8" w:val="clear"/>
          </w:tcPr>
          <w:p>
            <w:r>
              <w:rPr>
                <w:rFonts w:ascii="Calibri" w:hAnsi="Calibri"/>
                <w:color w:val="333333"/>
                <w:sz w:val="18"/>
              </w:rPr>
              <w:t>Kress Colette</w:t>
            </w:r>
          </w:p>
        </w:tc>
        <w:tc>
          <w:tcPr>
            <w:tcW w:type="dxa" w:w="1440"/>
            <w:shd w:fill="F2F4F8" w:val="clear"/>
          </w:tcPr>
          <w:p>
            <w:r>
              <w:rPr>
                <w:rFonts w:ascii="Calibri" w:hAnsi="Calibri"/>
                <w:color w:val="333333"/>
                <w:sz w:val="18"/>
              </w:rPr>
              <w:t>EVP &amp; Chief Financial Officer</w:t>
            </w:r>
          </w:p>
        </w:tc>
        <w:tc>
          <w:tcPr>
            <w:tcW w:type="dxa" w:w="1440"/>
            <w:shd w:fill="F2F4F8" w:val="clear"/>
          </w:tcPr>
          <w:p>
            <w:r>
              <w:rPr>
                <w:rFonts w:ascii="Calibri" w:hAnsi="Calibri"/>
                <w:color w:val="333333"/>
                <w:sz w:val="18"/>
              </w:rPr>
              <w:t>SELL</w:t>
            </w:r>
          </w:p>
        </w:tc>
        <w:tc>
          <w:tcPr>
            <w:tcW w:type="dxa" w:w="1440"/>
            <w:shd w:fill="F2F4F8" w:val="clear"/>
          </w:tcPr>
          <w:p>
            <w:r>
              <w:rPr>
                <w:rFonts w:ascii="Calibri" w:hAnsi="Calibri"/>
                <w:color w:val="333333"/>
                <w:sz w:val="18"/>
              </w:rPr>
              <w:t>765</w:t>
            </w:r>
          </w:p>
        </w:tc>
        <w:tc>
          <w:tcPr>
            <w:tcW w:type="dxa" w:w="1440"/>
            <w:shd w:fill="F2F4F8" w:val="clear"/>
          </w:tcPr>
          <w:p>
            <w:r>
              <w:rPr>
                <w:rFonts w:ascii="Calibri" w:hAnsi="Calibri"/>
                <w:color w:val="333333"/>
                <w:sz w:val="18"/>
              </w:rPr>
              <w:t>$132.8K</w:t>
            </w:r>
          </w:p>
        </w:tc>
        <w:tc>
          <w:tcPr>
            <w:tcW w:type="dxa" w:w="1440"/>
            <w:shd w:fill="F2F4F8" w:val="clear"/>
          </w:tcPr>
          <w:p>
            <w:r>
              <w:rPr>
                <w:rFonts w:ascii="Calibri" w:hAnsi="Calibri"/>
                <w:color w:val="333333"/>
                <w:sz w:val="18"/>
              </w:rPr>
              <w:t>Yes (Pre-arranged)</w:t>
            </w:r>
          </w:p>
        </w:tc>
      </w:tr>
      <w:tr>
        <w:tc>
          <w:tcPr>
            <w:tcW w:type="dxa" w:w="1440"/>
          </w:tcPr>
          <w:p>
            <w:r>
              <w:rPr>
                <w:rFonts w:ascii="Calibri" w:hAnsi="Calibri"/>
                <w:color w:val="333333"/>
                <w:sz w:val="18"/>
              </w:rPr>
              <w:t>2026-03-20</w:t>
            </w:r>
          </w:p>
        </w:tc>
        <w:tc>
          <w:tcPr>
            <w:tcW w:type="dxa" w:w="1440"/>
          </w:tcPr>
          <w:p>
            <w:r>
              <w:rPr>
                <w:rFonts w:ascii="Calibri" w:hAnsi="Calibri"/>
                <w:color w:val="333333"/>
                <w:sz w:val="18"/>
              </w:rPr>
              <w:t>Kress Colette</w:t>
            </w:r>
          </w:p>
        </w:tc>
        <w:tc>
          <w:tcPr>
            <w:tcW w:type="dxa" w:w="1440"/>
          </w:tcPr>
          <w:p>
            <w:r>
              <w:rPr>
                <w:rFonts w:ascii="Calibri" w:hAnsi="Calibri"/>
                <w:color w:val="333333"/>
                <w:sz w:val="18"/>
              </w:rPr>
              <w:t>EVP &amp; Chief Financial Officer</w:t>
            </w:r>
          </w:p>
        </w:tc>
        <w:tc>
          <w:tcPr>
            <w:tcW w:type="dxa" w:w="1440"/>
          </w:tcPr>
          <w:p>
            <w:r>
              <w:rPr>
                <w:rFonts w:ascii="Calibri" w:hAnsi="Calibri"/>
                <w:color w:val="333333"/>
                <w:sz w:val="18"/>
              </w:rPr>
              <w:t>SELL</w:t>
            </w:r>
          </w:p>
        </w:tc>
        <w:tc>
          <w:tcPr>
            <w:tcW w:type="dxa" w:w="1440"/>
          </w:tcPr>
          <w:p>
            <w:r>
              <w:rPr>
                <w:rFonts w:ascii="Calibri" w:hAnsi="Calibri"/>
                <w:color w:val="333333"/>
                <w:sz w:val="18"/>
              </w:rPr>
              <w:t>1,051</w:t>
            </w:r>
          </w:p>
        </w:tc>
        <w:tc>
          <w:tcPr>
            <w:tcW w:type="dxa" w:w="1440"/>
          </w:tcPr>
          <w:p>
            <w:r>
              <w:rPr>
                <w:rFonts w:ascii="Calibri" w:hAnsi="Calibri"/>
                <w:color w:val="333333"/>
                <w:sz w:val="18"/>
              </w:rPr>
              <w:t>$183.6K</w:t>
            </w:r>
          </w:p>
        </w:tc>
        <w:tc>
          <w:tcPr>
            <w:tcW w:type="dxa" w:w="1440"/>
          </w:tcPr>
          <w:p>
            <w:r>
              <w:rPr>
                <w:rFonts w:ascii="Calibri" w:hAnsi="Calibri"/>
                <w:color w:val="333333"/>
                <w:sz w:val="18"/>
              </w:rPr>
              <w:t>Yes (Pre-arranged)</w:t>
            </w:r>
          </w:p>
        </w:tc>
      </w:tr>
      <w:tr>
        <w:tc>
          <w:tcPr>
            <w:tcW w:type="dxa" w:w="1440"/>
            <w:shd w:fill="F2F4F8" w:val="clear"/>
          </w:tcPr>
          <w:p>
            <w:r>
              <w:rPr>
                <w:rFonts w:ascii="Calibri" w:hAnsi="Calibri"/>
                <w:color w:val="333333"/>
                <w:sz w:val="18"/>
              </w:rPr>
              <w:t>2026-03-20</w:t>
            </w:r>
          </w:p>
        </w:tc>
        <w:tc>
          <w:tcPr>
            <w:tcW w:type="dxa" w:w="1440"/>
            <w:shd w:fill="F2F4F8" w:val="clear"/>
          </w:tcPr>
          <w:p>
            <w:r>
              <w:rPr>
                <w:rFonts w:ascii="Calibri" w:hAnsi="Calibri"/>
                <w:color w:val="333333"/>
                <w:sz w:val="18"/>
              </w:rPr>
              <w:t>Kress Colette</w:t>
            </w:r>
          </w:p>
        </w:tc>
        <w:tc>
          <w:tcPr>
            <w:tcW w:type="dxa" w:w="1440"/>
            <w:shd w:fill="F2F4F8" w:val="clear"/>
          </w:tcPr>
          <w:p>
            <w:r>
              <w:rPr>
                <w:rFonts w:ascii="Calibri" w:hAnsi="Calibri"/>
                <w:color w:val="333333"/>
                <w:sz w:val="18"/>
              </w:rPr>
              <w:t>EVP &amp; Chief Financial Officer</w:t>
            </w:r>
          </w:p>
        </w:tc>
        <w:tc>
          <w:tcPr>
            <w:tcW w:type="dxa" w:w="1440"/>
            <w:shd w:fill="F2F4F8" w:val="clear"/>
          </w:tcPr>
          <w:p>
            <w:r>
              <w:rPr>
                <w:rFonts w:ascii="Calibri" w:hAnsi="Calibri"/>
                <w:color w:val="333333"/>
                <w:sz w:val="18"/>
              </w:rPr>
              <w:t>SELL</w:t>
            </w:r>
          </w:p>
        </w:tc>
        <w:tc>
          <w:tcPr>
            <w:tcW w:type="dxa" w:w="1440"/>
            <w:shd w:fill="F2F4F8" w:val="clear"/>
          </w:tcPr>
          <w:p>
            <w:r>
              <w:rPr>
                <w:rFonts w:ascii="Calibri" w:hAnsi="Calibri"/>
                <w:color w:val="333333"/>
                <w:sz w:val="18"/>
              </w:rPr>
              <w:t>4,156</w:t>
            </w:r>
          </w:p>
        </w:tc>
        <w:tc>
          <w:tcPr>
            <w:tcW w:type="dxa" w:w="1440"/>
            <w:shd w:fill="F2F4F8" w:val="clear"/>
          </w:tcPr>
          <w:p>
            <w:r>
              <w:rPr>
                <w:rFonts w:ascii="Calibri" w:hAnsi="Calibri"/>
                <w:color w:val="333333"/>
                <w:sz w:val="18"/>
              </w:rPr>
              <w:t>$730.6K</w:t>
            </w:r>
          </w:p>
        </w:tc>
        <w:tc>
          <w:tcPr>
            <w:tcW w:type="dxa" w:w="1440"/>
            <w:shd w:fill="F2F4F8" w:val="clear"/>
          </w:tcPr>
          <w:p>
            <w:r>
              <w:rPr>
                <w:rFonts w:ascii="Calibri" w:hAnsi="Calibri"/>
                <w:color w:val="333333"/>
                <w:sz w:val="18"/>
              </w:rPr>
              <w:t>Yes (Pre-arranged)</w:t>
            </w:r>
          </w:p>
        </w:tc>
      </w:tr>
    </w:tbl>
    <w:p>
      <w:pPr>
        <w:pStyle w:val="DOHeading3"/>
      </w:pPr>
      <w:r>
        <w:t>Cluster Selling Events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Window</w:t>
            </w:r>
          </w:p>
        </w:tc>
        <w:tc>
          <w:tcPr>
            <w:tcW w:type="dxa" w:w="2520"/>
            <w:shd w:fill="1A1446" w:val="clear"/>
          </w:tcPr>
          <w:p>
            <w:r>
              <w:rPr>
                <w:rFonts w:ascii="Calibri" w:hAnsi="Calibri"/>
                <w:b/>
                <w:color w:val="FFFFFF"/>
                <w:sz w:val="18"/>
              </w:rPr>
              <w:t>Insiders</w:t>
            </w:r>
          </w:p>
        </w:tc>
        <w:tc>
          <w:tcPr>
            <w:tcW w:type="dxa" w:w="2520"/>
            <w:shd w:fill="1A1446" w:val="clear"/>
          </w:tcPr>
          <w:p>
            <w:r>
              <w:rPr>
                <w:rFonts w:ascii="Calibri" w:hAnsi="Calibri"/>
                <w:b/>
                <w:color w:val="FFFFFF"/>
                <w:sz w:val="18"/>
              </w:rPr>
              <w:t>Names</w:t>
            </w:r>
          </w:p>
        </w:tc>
        <w:tc>
          <w:tcPr>
            <w:tcW w:type="dxa" w:w="2520"/>
            <w:shd w:fill="1A1446" w:val="clear"/>
          </w:tcPr>
          <w:p>
            <w:r>
              <w:rPr>
                <w:rFonts w:ascii="Calibri" w:hAnsi="Calibri"/>
                <w:b/>
                <w:color w:val="FFFFFF"/>
                <w:sz w:val="18"/>
              </w:rPr>
              <w:t>Total Value</w:t>
            </w:r>
          </w:p>
        </w:tc>
      </w:tr>
      <w:tr>
        <w:tc>
          <w:tcPr>
            <w:tcW w:type="dxa" w:w="2520"/>
          </w:tcPr>
          <w:p>
            <w:r>
              <w:rPr>
                <w:rFonts w:ascii="Calibri" w:hAnsi="Calibri"/>
                <w:color w:val="333333"/>
                <w:sz w:val="18"/>
              </w:rPr>
              <w:t>2025-10-27 to 2025-11-24</w:t>
            </w:r>
          </w:p>
        </w:tc>
        <w:tc>
          <w:tcPr>
            <w:tcW w:type="dxa" w:w="2520"/>
          </w:tcPr>
          <w:p>
            <w:r>
              <w:rPr>
                <w:rFonts w:ascii="Calibri" w:hAnsi="Calibri"/>
                <w:color w:val="333333"/>
                <w:sz w:val="18"/>
              </w:rPr>
              <w:t>3</w:t>
            </w:r>
          </w:p>
        </w:tc>
        <w:tc>
          <w:tcPr>
            <w:tcW w:type="dxa" w:w="2520"/>
          </w:tcPr>
          <w:p>
            <w:r>
              <w:rPr>
                <w:rFonts w:ascii="Calibri" w:hAnsi="Calibri"/>
                <w:color w:val="333333"/>
                <w:sz w:val="18"/>
              </w:rPr>
              <w:t>Dabiri John, HUANG JEN HSUN, Kress Colette</w:t>
            </w:r>
          </w:p>
        </w:tc>
        <w:tc>
          <w:tcPr>
            <w:tcW w:type="dxa" w:w="2520"/>
          </w:tcPr>
          <w:p>
            <w:r>
              <w:rPr>
                <w:rFonts w:ascii="Calibri" w:hAnsi="Calibri"/>
                <w:color w:val="333333"/>
                <w:sz w:val="18"/>
              </w:rPr>
              <w:t>$24.9M</w:t>
            </w:r>
          </w:p>
        </w:tc>
      </w:tr>
      <w:tr>
        <w:tc>
          <w:tcPr>
            <w:tcW w:type="dxa" w:w="2520"/>
            <w:shd w:fill="F2F4F8" w:val="clear"/>
          </w:tcPr>
          <w:p>
            <w:r>
              <w:rPr>
                <w:rFonts w:ascii="Calibri" w:hAnsi="Calibri"/>
                <w:color w:val="333333"/>
                <w:sz w:val="18"/>
              </w:rPr>
              <w:t>2025-10-28 to 2025-11-24</w:t>
            </w:r>
          </w:p>
        </w:tc>
        <w:tc>
          <w:tcPr>
            <w:tcW w:type="dxa" w:w="2520"/>
            <w:shd w:fill="F2F4F8" w:val="clear"/>
          </w:tcPr>
          <w:p>
            <w:r>
              <w:rPr>
                <w:rFonts w:ascii="Calibri" w:hAnsi="Calibri"/>
                <w:color w:val="333333"/>
                <w:sz w:val="18"/>
              </w:rPr>
              <w:t>3</w:t>
            </w:r>
          </w:p>
        </w:tc>
        <w:tc>
          <w:tcPr>
            <w:tcW w:type="dxa" w:w="2520"/>
            <w:shd w:fill="F2F4F8" w:val="clear"/>
          </w:tcPr>
          <w:p>
            <w:r>
              <w:rPr>
                <w:rFonts w:ascii="Calibri" w:hAnsi="Calibri"/>
                <w:color w:val="333333"/>
                <w:sz w:val="18"/>
              </w:rPr>
              <w:t>Dabiri John, HUANG JEN HSUN, Kress Colette</w:t>
            </w:r>
          </w:p>
        </w:tc>
        <w:tc>
          <w:tcPr>
            <w:tcW w:type="dxa" w:w="2520"/>
            <w:shd w:fill="F2F4F8" w:val="clear"/>
          </w:tcPr>
          <w:p>
            <w:r>
              <w:rPr>
                <w:rFonts w:ascii="Calibri" w:hAnsi="Calibri"/>
                <w:color w:val="333333"/>
                <w:sz w:val="18"/>
              </w:rPr>
              <w:t>$20.1M</w:t>
            </w:r>
          </w:p>
        </w:tc>
      </w:tr>
      <w:tr>
        <w:tc>
          <w:tcPr>
            <w:tcW w:type="dxa" w:w="2520"/>
          </w:tcPr>
          <w:p>
            <w:r>
              <w:rPr>
                <w:rFonts w:ascii="Calibri" w:hAnsi="Calibri"/>
                <w:color w:val="333333"/>
                <w:sz w:val="18"/>
              </w:rPr>
              <w:t>2025-10-29 to 2025-11-24</w:t>
            </w:r>
          </w:p>
        </w:tc>
        <w:tc>
          <w:tcPr>
            <w:tcW w:type="dxa" w:w="2520"/>
          </w:tcPr>
          <w:p>
            <w:r>
              <w:rPr>
                <w:rFonts w:ascii="Calibri" w:hAnsi="Calibri"/>
                <w:color w:val="333333"/>
                <w:sz w:val="18"/>
              </w:rPr>
              <w:t>3</w:t>
            </w:r>
          </w:p>
        </w:tc>
        <w:tc>
          <w:tcPr>
            <w:tcW w:type="dxa" w:w="2520"/>
          </w:tcPr>
          <w:p>
            <w:r>
              <w:rPr>
                <w:rFonts w:ascii="Calibri" w:hAnsi="Calibri"/>
                <w:color w:val="333333"/>
                <w:sz w:val="18"/>
              </w:rPr>
              <w:t>Dabiri John, HUANG JEN HSUN, Kress Colette</w:t>
            </w:r>
          </w:p>
        </w:tc>
        <w:tc>
          <w:tcPr>
            <w:tcW w:type="dxa" w:w="2520"/>
          </w:tcPr>
          <w:p>
            <w:r>
              <w:rPr>
                <w:rFonts w:ascii="Calibri" w:hAnsi="Calibri"/>
                <w:color w:val="333333"/>
                <w:sz w:val="18"/>
              </w:rPr>
              <w:t>$15.2M</w:t>
            </w:r>
          </w:p>
        </w:tc>
      </w:tr>
      <w:tr>
        <w:tc>
          <w:tcPr>
            <w:tcW w:type="dxa" w:w="2520"/>
            <w:shd w:fill="F2F4F8" w:val="clear"/>
          </w:tcPr>
          <w:p>
            <w:r>
              <w:rPr>
                <w:rFonts w:ascii="Calibri" w:hAnsi="Calibri"/>
                <w:color w:val="333333"/>
                <w:sz w:val="18"/>
              </w:rPr>
              <w:t>2025-11-03 to 2025-12-02</w:t>
            </w:r>
          </w:p>
        </w:tc>
        <w:tc>
          <w:tcPr>
            <w:tcW w:type="dxa" w:w="2520"/>
            <w:shd w:fill="F2F4F8" w:val="clear"/>
          </w:tcPr>
          <w:p>
            <w:r>
              <w:rPr>
                <w:rFonts w:ascii="Calibri" w:hAnsi="Calibri"/>
                <w:color w:val="333333"/>
                <w:sz w:val="18"/>
              </w:rPr>
              <w:t>3</w:t>
            </w:r>
          </w:p>
        </w:tc>
        <w:tc>
          <w:tcPr>
            <w:tcW w:type="dxa" w:w="2520"/>
            <w:shd w:fill="F2F4F8" w:val="clear"/>
          </w:tcPr>
          <w:p>
            <w:r>
              <w:rPr>
                <w:rFonts w:ascii="Calibri" w:hAnsi="Calibri"/>
                <w:color w:val="333333"/>
                <w:sz w:val="18"/>
              </w:rPr>
              <w:t>Dabiri John, Kress Colette, SEAWELL A BROOKE</w:t>
            </w:r>
          </w:p>
        </w:tc>
        <w:tc>
          <w:tcPr>
            <w:tcW w:type="dxa" w:w="2520"/>
            <w:shd w:fill="F2F4F8" w:val="clear"/>
          </w:tcPr>
          <w:p>
            <w:r>
              <w:rPr>
                <w:rFonts w:ascii="Calibri" w:hAnsi="Calibri"/>
                <w:color w:val="333333"/>
                <w:sz w:val="18"/>
              </w:rPr>
              <w:t>$12.4M</w:t>
            </w:r>
          </w:p>
        </w:tc>
      </w:tr>
      <w:tr>
        <w:tc>
          <w:tcPr>
            <w:tcW w:type="dxa" w:w="2520"/>
          </w:tcPr>
          <w:p>
            <w:r>
              <w:rPr>
                <w:rFonts w:ascii="Calibri" w:hAnsi="Calibri"/>
                <w:color w:val="333333"/>
                <w:sz w:val="18"/>
              </w:rPr>
              <w:t>2025-11-24 to 2025-12-19</w:t>
            </w:r>
          </w:p>
        </w:tc>
        <w:tc>
          <w:tcPr>
            <w:tcW w:type="dxa" w:w="2520"/>
          </w:tcPr>
          <w:p>
            <w:r>
              <w:rPr>
                <w:rFonts w:ascii="Calibri" w:hAnsi="Calibri"/>
                <w:color w:val="333333"/>
                <w:sz w:val="18"/>
              </w:rPr>
              <w:t>7</w:t>
            </w:r>
          </w:p>
        </w:tc>
        <w:tc>
          <w:tcPr>
            <w:tcW w:type="dxa" w:w="2520"/>
          </w:tcPr>
          <w:p>
            <w:r>
              <w:rPr>
                <w:rFonts w:ascii="Calibri" w:hAnsi="Calibri"/>
                <w:color w:val="333333"/>
                <w:sz w:val="18"/>
              </w:rPr>
              <w:t>Dabiri John, JONES HARVEY C, Kress Colette, Robertson Donald F Jr, SEAWELL A BROOKE, STEVENS MARK A, Shoquist Debora</w:t>
            </w:r>
          </w:p>
        </w:tc>
        <w:tc>
          <w:tcPr>
            <w:tcW w:type="dxa" w:w="2520"/>
          </w:tcPr>
          <w:p>
            <w:r>
              <w:rPr>
                <w:rFonts w:ascii="Calibri" w:hAnsi="Calibri"/>
                <w:color w:val="333333"/>
                <w:sz w:val="18"/>
              </w:rPr>
              <w:t>$220.1M</w:t>
            </w:r>
          </w:p>
        </w:tc>
      </w:tr>
      <w:tr>
        <w:tc>
          <w:tcPr>
            <w:tcW w:type="dxa" w:w="2520"/>
            <w:shd w:fill="F2F4F8" w:val="clear"/>
          </w:tcPr>
          <w:p>
            <w:r>
              <w:rPr>
                <w:rFonts w:ascii="Calibri" w:hAnsi="Calibri"/>
                <w:color w:val="333333"/>
                <w:sz w:val="18"/>
              </w:rPr>
              <w:t>2025-12-02 to 2025-12-19</w:t>
            </w:r>
          </w:p>
        </w:tc>
        <w:tc>
          <w:tcPr>
            <w:tcW w:type="dxa" w:w="2520"/>
            <w:shd w:fill="F2F4F8" w:val="clear"/>
          </w:tcPr>
          <w:p>
            <w:r>
              <w:rPr>
                <w:rFonts w:ascii="Calibri" w:hAnsi="Calibri"/>
                <w:color w:val="333333"/>
                <w:sz w:val="18"/>
              </w:rPr>
              <w:t>6</w:t>
            </w:r>
          </w:p>
        </w:tc>
        <w:tc>
          <w:tcPr>
            <w:tcW w:type="dxa" w:w="2520"/>
            <w:shd w:fill="F2F4F8" w:val="clear"/>
          </w:tcPr>
          <w:p>
            <w:r>
              <w:rPr>
                <w:rFonts w:ascii="Calibri" w:hAnsi="Calibri"/>
                <w:color w:val="333333"/>
                <w:sz w:val="18"/>
              </w:rPr>
              <w:t>JONES HARVEY C, Kress Colette, Robertson Donald F Jr, SEAWELL A BROOKE, STEVENS MARK A, Shoquist Debora</w:t>
            </w:r>
          </w:p>
        </w:tc>
        <w:tc>
          <w:tcPr>
            <w:tcW w:type="dxa" w:w="2520"/>
            <w:shd w:fill="F2F4F8" w:val="clear"/>
          </w:tcPr>
          <w:p>
            <w:r>
              <w:rPr>
                <w:rFonts w:ascii="Calibri" w:hAnsi="Calibri"/>
                <w:color w:val="333333"/>
                <w:sz w:val="18"/>
              </w:rPr>
              <w:t>$220.0M</w:t>
            </w:r>
          </w:p>
        </w:tc>
      </w:tr>
      <w:tr>
        <w:tc>
          <w:tcPr>
            <w:tcW w:type="dxa" w:w="2520"/>
          </w:tcPr>
          <w:p>
            <w:r>
              <w:rPr>
                <w:rFonts w:ascii="Calibri" w:hAnsi="Calibri"/>
                <w:color w:val="333333"/>
                <w:sz w:val="18"/>
              </w:rPr>
              <w:t>2025-12-05 to 2026-01-02</w:t>
            </w:r>
          </w:p>
        </w:tc>
        <w:tc>
          <w:tcPr>
            <w:tcW w:type="dxa" w:w="2520"/>
          </w:tcPr>
          <w:p>
            <w:r>
              <w:rPr>
                <w:rFonts w:ascii="Calibri" w:hAnsi="Calibri"/>
                <w:color w:val="333333"/>
                <w:sz w:val="18"/>
              </w:rPr>
              <w:t>5</w:t>
            </w:r>
          </w:p>
        </w:tc>
        <w:tc>
          <w:tcPr>
            <w:tcW w:type="dxa" w:w="2520"/>
          </w:tcPr>
          <w:p>
            <w:r>
              <w:rPr>
                <w:rFonts w:ascii="Calibri" w:hAnsi="Calibri"/>
                <w:color w:val="333333"/>
                <w:sz w:val="18"/>
              </w:rPr>
              <w:t>JONES HARVEY C, Kress Colette, Robertson Donald F Jr, STEVENS MARK A, Shoquist Debora</w:t>
            </w:r>
          </w:p>
        </w:tc>
        <w:tc>
          <w:tcPr>
            <w:tcW w:type="dxa" w:w="2520"/>
          </w:tcPr>
          <w:p>
            <w:r>
              <w:rPr>
                <w:rFonts w:ascii="Calibri" w:hAnsi="Calibri"/>
                <w:color w:val="333333"/>
                <w:sz w:val="18"/>
              </w:rPr>
              <w:t>$232.8M</w:t>
            </w:r>
          </w:p>
        </w:tc>
      </w:tr>
      <w:tr>
        <w:tc>
          <w:tcPr>
            <w:tcW w:type="dxa" w:w="2520"/>
            <w:shd w:fill="F2F4F8" w:val="clear"/>
          </w:tcPr>
          <w:p>
            <w:r>
              <w:rPr>
                <w:rFonts w:ascii="Calibri" w:hAnsi="Calibri"/>
                <w:color w:val="333333"/>
                <w:sz w:val="18"/>
              </w:rPr>
              <w:t>2025-12-09 to 2026-01-07</w:t>
            </w:r>
          </w:p>
        </w:tc>
        <w:tc>
          <w:tcPr>
            <w:tcW w:type="dxa" w:w="2520"/>
            <w:shd w:fill="F2F4F8" w:val="clear"/>
          </w:tcPr>
          <w:p>
            <w:r>
              <w:rPr>
                <w:rFonts w:ascii="Calibri" w:hAnsi="Calibri"/>
                <w:color w:val="333333"/>
                <w:sz w:val="18"/>
              </w:rPr>
              <w:t>6</w:t>
            </w:r>
          </w:p>
        </w:tc>
        <w:tc>
          <w:tcPr>
            <w:tcW w:type="dxa" w:w="2520"/>
            <w:shd w:fill="F2F4F8" w:val="clear"/>
          </w:tcPr>
          <w:p>
            <w:r>
              <w:rPr>
                <w:rFonts w:ascii="Calibri" w:hAnsi="Calibri"/>
                <w:color w:val="333333"/>
                <w:sz w:val="18"/>
              </w:rPr>
              <w:t>JONES HARVEY C, Kress Colette, Puri Ajay K, Robertson Donald F Jr, STEVENS MARK A, Shoquist Debora</w:t>
            </w:r>
          </w:p>
        </w:tc>
        <w:tc>
          <w:tcPr>
            <w:tcW w:type="dxa" w:w="2520"/>
            <w:shd w:fill="F2F4F8" w:val="clear"/>
          </w:tcPr>
          <w:p>
            <w:r>
              <w:rPr>
                <w:rFonts w:ascii="Calibri" w:hAnsi="Calibri"/>
                <w:color w:val="333333"/>
                <w:sz w:val="18"/>
              </w:rPr>
              <w:t>$206.8M</w:t>
            </w:r>
          </w:p>
        </w:tc>
      </w:tr>
      <w:tr>
        <w:tc>
          <w:tcPr>
            <w:tcW w:type="dxa" w:w="2520"/>
          </w:tcPr>
          <w:p>
            <w:r>
              <w:rPr>
                <w:rFonts w:ascii="Calibri" w:hAnsi="Calibri"/>
                <w:color w:val="333333"/>
                <w:sz w:val="18"/>
              </w:rPr>
              <w:t>2025-12-10 to 2026-01-07</w:t>
            </w:r>
          </w:p>
        </w:tc>
        <w:tc>
          <w:tcPr>
            <w:tcW w:type="dxa" w:w="2520"/>
          </w:tcPr>
          <w:p>
            <w:r>
              <w:rPr>
                <w:rFonts w:ascii="Calibri" w:hAnsi="Calibri"/>
                <w:color w:val="333333"/>
                <w:sz w:val="18"/>
              </w:rPr>
              <w:t>6</w:t>
            </w:r>
          </w:p>
        </w:tc>
        <w:tc>
          <w:tcPr>
            <w:tcW w:type="dxa" w:w="2520"/>
          </w:tcPr>
          <w:p>
            <w:r>
              <w:rPr>
                <w:rFonts w:ascii="Calibri" w:hAnsi="Calibri"/>
                <w:color w:val="333333"/>
                <w:sz w:val="18"/>
              </w:rPr>
              <w:t>JONES HARVEY C, Kress Colette, Puri Ajay K, Robertson Donald F Jr, STEVENS MARK A, Shoquist Debora</w:t>
            </w:r>
          </w:p>
        </w:tc>
        <w:tc>
          <w:tcPr>
            <w:tcW w:type="dxa" w:w="2520"/>
          </w:tcPr>
          <w:p>
            <w:r>
              <w:rPr>
                <w:rFonts w:ascii="Calibri" w:hAnsi="Calibri"/>
                <w:color w:val="333333"/>
                <w:sz w:val="18"/>
              </w:rPr>
              <w:t>$192.0M</w:t>
            </w:r>
          </w:p>
        </w:tc>
      </w:tr>
      <w:tr>
        <w:tc>
          <w:tcPr>
            <w:tcW w:type="dxa" w:w="2520"/>
            <w:shd w:fill="F2F4F8" w:val="clear"/>
          </w:tcPr>
          <w:p>
            <w:r>
              <w:rPr>
                <w:rFonts w:ascii="Calibri" w:hAnsi="Calibri"/>
                <w:color w:val="333333"/>
                <w:sz w:val="18"/>
              </w:rPr>
              <w:t>2025-12-11 to 2026-01-07</w:t>
            </w:r>
          </w:p>
        </w:tc>
        <w:tc>
          <w:tcPr>
            <w:tcW w:type="dxa" w:w="2520"/>
            <w:shd w:fill="F2F4F8" w:val="clear"/>
          </w:tcPr>
          <w:p>
            <w:r>
              <w:rPr>
                <w:rFonts w:ascii="Calibri" w:hAnsi="Calibri"/>
                <w:color w:val="333333"/>
                <w:sz w:val="18"/>
              </w:rPr>
              <w:t>6</w:t>
            </w:r>
          </w:p>
        </w:tc>
        <w:tc>
          <w:tcPr>
            <w:tcW w:type="dxa" w:w="2520"/>
            <w:shd w:fill="F2F4F8" w:val="clear"/>
          </w:tcPr>
          <w:p>
            <w:r>
              <w:rPr>
                <w:rFonts w:ascii="Calibri" w:hAnsi="Calibri"/>
                <w:color w:val="333333"/>
                <w:sz w:val="18"/>
              </w:rPr>
              <w:t>JONES HARVEY C, Kress Colette, Puri Ajay K, Robertson Donald F Jr, STEVENS MARK A, Shoquist Debora</w:t>
            </w:r>
          </w:p>
        </w:tc>
        <w:tc>
          <w:tcPr>
            <w:tcW w:type="dxa" w:w="2520"/>
            <w:shd w:fill="F2F4F8" w:val="clear"/>
          </w:tcPr>
          <w:p>
            <w:r>
              <w:rPr>
                <w:rFonts w:ascii="Calibri" w:hAnsi="Calibri"/>
                <w:color w:val="333333"/>
                <w:sz w:val="18"/>
              </w:rPr>
              <w:t>$177.3M</w:t>
            </w:r>
          </w:p>
        </w:tc>
      </w:tr>
      <w:tr>
        <w:tc>
          <w:tcPr>
            <w:tcW w:type="dxa" w:w="2520"/>
          </w:tcPr>
          <w:p>
            <w:r>
              <w:rPr>
                <w:rFonts w:ascii="Calibri" w:hAnsi="Calibri"/>
                <w:color w:val="333333"/>
                <w:sz w:val="18"/>
              </w:rPr>
              <w:t>2025-12-12 to 2026-01-07</w:t>
            </w:r>
          </w:p>
        </w:tc>
        <w:tc>
          <w:tcPr>
            <w:tcW w:type="dxa" w:w="2520"/>
          </w:tcPr>
          <w:p>
            <w:r>
              <w:rPr>
                <w:rFonts w:ascii="Calibri" w:hAnsi="Calibri"/>
                <w:color w:val="333333"/>
                <w:sz w:val="18"/>
              </w:rPr>
              <w:t>6</w:t>
            </w:r>
          </w:p>
        </w:tc>
        <w:tc>
          <w:tcPr>
            <w:tcW w:type="dxa" w:w="2520"/>
          </w:tcPr>
          <w:p>
            <w:r>
              <w:rPr>
                <w:rFonts w:ascii="Calibri" w:hAnsi="Calibri"/>
                <w:color w:val="333333"/>
                <w:sz w:val="18"/>
              </w:rPr>
              <w:t>JONES HARVEY C, Kress Colette, Puri Ajay K, Robertson Donald F Jr, STEVENS MARK A, Shoquist Debora</w:t>
            </w:r>
          </w:p>
        </w:tc>
        <w:tc>
          <w:tcPr>
            <w:tcW w:type="dxa" w:w="2520"/>
          </w:tcPr>
          <w:p>
            <w:r>
              <w:rPr>
                <w:rFonts w:ascii="Calibri" w:hAnsi="Calibri"/>
                <w:color w:val="333333"/>
                <w:sz w:val="18"/>
              </w:rPr>
              <w:t>$163.0M</w:t>
            </w:r>
          </w:p>
        </w:tc>
      </w:tr>
      <w:tr>
        <w:tc>
          <w:tcPr>
            <w:tcW w:type="dxa" w:w="2520"/>
            <w:shd w:fill="F2F4F8" w:val="clear"/>
          </w:tcPr>
          <w:p>
            <w:r>
              <w:rPr>
                <w:rFonts w:ascii="Calibri" w:hAnsi="Calibri"/>
                <w:color w:val="333333"/>
                <w:sz w:val="18"/>
              </w:rPr>
              <w:t>2025-12-15 to 2026-01-13</w:t>
            </w:r>
          </w:p>
        </w:tc>
        <w:tc>
          <w:tcPr>
            <w:tcW w:type="dxa" w:w="2520"/>
            <w:shd w:fill="F2F4F8" w:val="clear"/>
          </w:tcPr>
          <w:p>
            <w:r>
              <w:rPr>
                <w:rFonts w:ascii="Calibri" w:hAnsi="Calibri"/>
                <w:color w:val="333333"/>
                <w:sz w:val="18"/>
              </w:rPr>
              <w:t>5</w:t>
            </w:r>
          </w:p>
        </w:tc>
        <w:tc>
          <w:tcPr>
            <w:tcW w:type="dxa" w:w="2520"/>
            <w:shd w:fill="F2F4F8" w:val="clear"/>
          </w:tcPr>
          <w:p>
            <w:r>
              <w:rPr>
                <w:rFonts w:ascii="Calibri" w:hAnsi="Calibri"/>
                <w:color w:val="333333"/>
                <w:sz w:val="18"/>
              </w:rPr>
              <w:t>JONES HARVEY C, Kress Colette, Puri Ajay K, Robertson Donald F Jr, STEVENS MARK A</w:t>
            </w:r>
          </w:p>
        </w:tc>
        <w:tc>
          <w:tcPr>
            <w:tcW w:type="dxa" w:w="2520"/>
            <w:shd w:fill="F2F4F8" w:val="clear"/>
          </w:tcPr>
          <w:p>
            <w:r>
              <w:rPr>
                <w:rFonts w:ascii="Calibri" w:hAnsi="Calibri"/>
                <w:color w:val="333333"/>
                <w:sz w:val="18"/>
              </w:rPr>
              <w:t>$150.4M</w:t>
            </w:r>
          </w:p>
        </w:tc>
      </w:tr>
      <w:tr>
        <w:tc>
          <w:tcPr>
            <w:tcW w:type="dxa" w:w="2520"/>
          </w:tcPr>
          <w:p>
            <w:r>
              <w:rPr>
                <w:rFonts w:ascii="Calibri" w:hAnsi="Calibri"/>
                <w:color w:val="333333"/>
                <w:sz w:val="18"/>
              </w:rPr>
              <w:t>2025-12-19 to 2026-01-13</w:t>
            </w:r>
          </w:p>
        </w:tc>
        <w:tc>
          <w:tcPr>
            <w:tcW w:type="dxa" w:w="2520"/>
          </w:tcPr>
          <w:p>
            <w:r>
              <w:rPr>
                <w:rFonts w:ascii="Calibri" w:hAnsi="Calibri"/>
                <w:color w:val="333333"/>
                <w:sz w:val="18"/>
              </w:rPr>
              <w:t>4</w:t>
            </w:r>
          </w:p>
        </w:tc>
        <w:tc>
          <w:tcPr>
            <w:tcW w:type="dxa" w:w="2520"/>
          </w:tcPr>
          <w:p>
            <w:r>
              <w:rPr>
                <w:rFonts w:ascii="Calibri" w:hAnsi="Calibri"/>
                <w:color w:val="333333"/>
                <w:sz w:val="18"/>
              </w:rPr>
              <w:t>Kress Colette, Puri Ajay K, Robertson Donald F Jr, STEVENS MARK A</w:t>
            </w:r>
          </w:p>
        </w:tc>
        <w:tc>
          <w:tcPr>
            <w:tcW w:type="dxa" w:w="2520"/>
          </w:tcPr>
          <w:p>
            <w:r>
              <w:rPr>
                <w:rFonts w:ascii="Calibri" w:hAnsi="Calibri"/>
                <w:color w:val="333333"/>
                <w:sz w:val="18"/>
              </w:rPr>
              <w:t>$106.1M</w:t>
            </w:r>
          </w:p>
        </w:tc>
      </w:tr>
      <w:tr>
        <w:tc>
          <w:tcPr>
            <w:tcW w:type="dxa" w:w="2520"/>
            <w:shd w:fill="F2F4F8" w:val="clear"/>
          </w:tcPr>
          <w:p>
            <w:r>
              <w:rPr>
                <w:rFonts w:ascii="Calibri" w:hAnsi="Calibri"/>
                <w:color w:val="333333"/>
                <w:sz w:val="18"/>
              </w:rPr>
              <w:t>2026-01-02 to 2026-01-21</w:t>
            </w:r>
          </w:p>
        </w:tc>
        <w:tc>
          <w:tcPr>
            <w:tcW w:type="dxa" w:w="2520"/>
            <w:shd w:fill="F2F4F8" w:val="clear"/>
          </w:tcPr>
          <w:p>
            <w:r>
              <w:rPr>
                <w:rFonts w:ascii="Calibri" w:hAnsi="Calibri"/>
                <w:color w:val="333333"/>
                <w:sz w:val="18"/>
              </w:rPr>
              <w:t>3</w:t>
            </w:r>
          </w:p>
        </w:tc>
        <w:tc>
          <w:tcPr>
            <w:tcW w:type="dxa" w:w="2520"/>
            <w:shd w:fill="F2F4F8" w:val="clear"/>
          </w:tcPr>
          <w:p>
            <w:r>
              <w:rPr>
                <w:rFonts w:ascii="Calibri" w:hAnsi="Calibri"/>
                <w:color w:val="333333"/>
                <w:sz w:val="18"/>
              </w:rPr>
              <w:t>Kress Colette, Puri Ajay K, Robertson Donald F Jr</w:t>
            </w:r>
          </w:p>
        </w:tc>
        <w:tc>
          <w:tcPr>
            <w:tcW w:type="dxa" w:w="2520"/>
            <w:shd w:fill="F2F4F8" w:val="clear"/>
          </w:tcPr>
          <w:p>
            <w:r>
              <w:rPr>
                <w:rFonts w:ascii="Calibri" w:hAnsi="Calibri"/>
                <w:color w:val="333333"/>
                <w:sz w:val="18"/>
              </w:rPr>
              <w:t>$97.6M</w:t>
            </w:r>
          </w:p>
        </w:tc>
      </w:tr>
      <w:tr>
        <w:tc>
          <w:tcPr>
            <w:tcW w:type="dxa" w:w="2520"/>
          </w:tcPr>
          <w:p>
            <w:r>
              <w:rPr>
                <w:rFonts w:ascii="Calibri" w:hAnsi="Calibri"/>
                <w:color w:val="333333"/>
                <w:sz w:val="18"/>
              </w:rPr>
              <w:t>2026-03-10 to 2026-03-20</w:t>
            </w:r>
          </w:p>
        </w:tc>
        <w:tc>
          <w:tcPr>
            <w:tcW w:type="dxa" w:w="2520"/>
          </w:tcPr>
          <w:p>
            <w:r>
              <w:rPr>
                <w:rFonts w:ascii="Calibri" w:hAnsi="Calibri"/>
                <w:color w:val="333333"/>
                <w:sz w:val="18"/>
              </w:rPr>
              <w:t>6</w:t>
            </w:r>
          </w:p>
        </w:tc>
        <w:tc>
          <w:tcPr>
            <w:tcW w:type="dxa" w:w="2520"/>
          </w:tcPr>
          <w:p>
            <w:r>
              <w:rPr>
                <w:rFonts w:ascii="Calibri" w:hAnsi="Calibri"/>
                <w:color w:val="333333"/>
                <w:sz w:val="18"/>
              </w:rPr>
              <w:t>Dabiri John, Kress Colette, Puri Ajay K, Robertson Donald F Jr, STEVENS MARK A, Shah Aarti S.</w:t>
            </w:r>
          </w:p>
        </w:tc>
        <w:tc>
          <w:tcPr>
            <w:tcW w:type="dxa" w:w="2520"/>
          </w:tcPr>
          <w:p>
            <w:r>
              <w:rPr>
                <w:rFonts w:ascii="Calibri" w:hAnsi="Calibri"/>
                <w:color w:val="333333"/>
                <w:sz w:val="18"/>
              </w:rPr>
              <w:t>$163.7M</w:t>
            </w:r>
          </w:p>
        </w:tc>
      </w:tr>
      <w:tr>
        <w:tc>
          <w:tcPr>
            <w:tcW w:type="dxa" w:w="2520"/>
            <w:shd w:fill="F2F4F8" w:val="clear"/>
          </w:tcPr>
          <w:p>
            <w:r>
              <w:rPr>
                <w:rFonts w:ascii="Calibri" w:hAnsi="Calibri"/>
                <w:color w:val="333333"/>
                <w:sz w:val="18"/>
              </w:rPr>
              <w:t>2026-03-13 to 2026-03-20</w:t>
            </w:r>
          </w:p>
        </w:tc>
        <w:tc>
          <w:tcPr>
            <w:tcW w:type="dxa" w:w="2520"/>
            <w:shd w:fill="F2F4F8" w:val="clear"/>
          </w:tcPr>
          <w:p>
            <w:r>
              <w:rPr>
                <w:rFonts w:ascii="Calibri" w:hAnsi="Calibri"/>
                <w:color w:val="333333"/>
                <w:sz w:val="18"/>
              </w:rPr>
              <w:t>6</w:t>
            </w:r>
          </w:p>
        </w:tc>
        <w:tc>
          <w:tcPr>
            <w:tcW w:type="dxa" w:w="2520"/>
            <w:shd w:fill="F2F4F8" w:val="clear"/>
          </w:tcPr>
          <w:p>
            <w:r>
              <w:rPr>
                <w:rFonts w:ascii="Calibri" w:hAnsi="Calibri"/>
                <w:color w:val="333333"/>
                <w:sz w:val="18"/>
              </w:rPr>
              <w:t>Dabiri John, Kress Colette, Puri Ajay K, Robertson Donald F Jr, STEVENS MARK A, Shah Aarti S.</w:t>
            </w:r>
          </w:p>
        </w:tc>
        <w:tc>
          <w:tcPr>
            <w:tcW w:type="dxa" w:w="2520"/>
            <w:shd w:fill="F2F4F8" w:val="clear"/>
          </w:tcPr>
          <w:p>
            <w:r>
              <w:rPr>
                <w:rFonts w:ascii="Calibri" w:hAnsi="Calibri"/>
                <w:color w:val="333333"/>
                <w:sz w:val="18"/>
              </w:rPr>
              <w:t>$109.0M</w:t>
            </w:r>
          </w:p>
        </w:tc>
      </w:tr>
      <w:tr>
        <w:tc>
          <w:tcPr>
            <w:tcW w:type="dxa" w:w="2520"/>
          </w:tcPr>
          <w:p>
            <w:r>
              <w:rPr>
                <w:rFonts w:ascii="Calibri" w:hAnsi="Calibri"/>
                <w:color w:val="333333"/>
                <w:sz w:val="18"/>
              </w:rPr>
              <w:t>2026-03-18 to 2026-03-20</w:t>
            </w:r>
          </w:p>
        </w:tc>
        <w:tc>
          <w:tcPr>
            <w:tcW w:type="dxa" w:w="2520"/>
          </w:tcPr>
          <w:p>
            <w:r>
              <w:rPr>
                <w:rFonts w:ascii="Calibri" w:hAnsi="Calibri"/>
                <w:color w:val="333333"/>
                <w:sz w:val="18"/>
              </w:rPr>
              <w:t>5</w:t>
            </w:r>
          </w:p>
        </w:tc>
        <w:tc>
          <w:tcPr>
            <w:tcW w:type="dxa" w:w="2520"/>
          </w:tcPr>
          <w:p>
            <w:r>
              <w:rPr>
                <w:rFonts w:ascii="Calibri" w:hAnsi="Calibri"/>
                <w:color w:val="333333"/>
                <w:sz w:val="18"/>
              </w:rPr>
              <w:t>Kress Colette, Puri Ajay K, Robertson Donald F Jr, STEVENS MARK A, Shah Aarti S.</w:t>
            </w:r>
          </w:p>
        </w:tc>
        <w:tc>
          <w:tcPr>
            <w:tcW w:type="dxa" w:w="2520"/>
          </w:tcPr>
          <w:p>
            <w:r>
              <w:rPr>
                <w:rFonts w:ascii="Calibri" w:hAnsi="Calibri"/>
                <w:color w:val="333333"/>
                <w:sz w:val="18"/>
              </w:rPr>
              <w:t>$108.4M</w:t>
            </w:r>
          </w:p>
        </w:tc>
      </w:tr>
      <w:tr>
        <w:tc>
          <w:tcPr>
            <w:tcW w:type="dxa" w:w="2520"/>
            <w:shd w:fill="F2F4F8" w:val="clear"/>
          </w:tcPr>
          <w:p>
            <w:r>
              <w:rPr>
                <w:rFonts w:ascii="Calibri" w:hAnsi="Calibri"/>
                <w:color w:val="333333"/>
                <w:sz w:val="18"/>
              </w:rPr>
              <w:t>2026-03-19 to 2026-03-20</w:t>
            </w:r>
          </w:p>
        </w:tc>
        <w:tc>
          <w:tcPr>
            <w:tcW w:type="dxa" w:w="2520"/>
            <w:shd w:fill="F2F4F8" w:val="clear"/>
          </w:tcPr>
          <w:p>
            <w:r>
              <w:rPr>
                <w:rFonts w:ascii="Calibri" w:hAnsi="Calibri"/>
                <w:color w:val="333333"/>
                <w:sz w:val="18"/>
              </w:rPr>
              <w:t>4</w:t>
            </w:r>
          </w:p>
        </w:tc>
        <w:tc>
          <w:tcPr>
            <w:tcW w:type="dxa" w:w="2520"/>
            <w:shd w:fill="F2F4F8" w:val="clear"/>
          </w:tcPr>
          <w:p>
            <w:r>
              <w:rPr>
                <w:rFonts w:ascii="Calibri" w:hAnsi="Calibri"/>
                <w:color w:val="333333"/>
                <w:sz w:val="18"/>
              </w:rPr>
              <w:t>Kress Colette, Robertson Donald F Jr, STEVENS MARK A, Shah Aarti S.</w:t>
            </w:r>
          </w:p>
        </w:tc>
        <w:tc>
          <w:tcPr>
            <w:tcW w:type="dxa" w:w="2520"/>
            <w:shd w:fill="F2F4F8" w:val="clear"/>
          </w:tcPr>
          <w:p>
            <w:r>
              <w:rPr>
                <w:rFonts w:ascii="Calibri" w:hAnsi="Calibri"/>
                <w:color w:val="333333"/>
                <w:sz w:val="18"/>
              </w:rPr>
              <w:t>$53.8M</w:t>
            </w:r>
          </w:p>
        </w:tc>
      </w:tr>
      <w:tr>
        <w:tc>
          <w:tcPr>
            <w:tcW w:type="dxa" w:w="2520"/>
          </w:tcPr>
          <w:p>
            <w:r>
              <w:rPr>
                <w:rFonts w:ascii="Calibri" w:hAnsi="Calibri"/>
                <w:color w:val="333333"/>
                <w:sz w:val="18"/>
              </w:rPr>
              <w:t>2026-03-20 to 2026-03-20</w:t>
            </w:r>
          </w:p>
        </w:tc>
        <w:tc>
          <w:tcPr>
            <w:tcW w:type="dxa" w:w="2520"/>
          </w:tcPr>
          <w:p>
            <w:r>
              <w:rPr>
                <w:rFonts w:ascii="Calibri" w:hAnsi="Calibri"/>
                <w:color w:val="333333"/>
                <w:sz w:val="18"/>
              </w:rPr>
              <w:t>3</w:t>
            </w:r>
          </w:p>
        </w:tc>
        <w:tc>
          <w:tcPr>
            <w:tcW w:type="dxa" w:w="2520"/>
          </w:tcPr>
          <w:p>
            <w:r>
              <w:rPr>
                <w:rFonts w:ascii="Calibri" w:hAnsi="Calibri"/>
                <w:color w:val="333333"/>
                <w:sz w:val="18"/>
              </w:rPr>
              <w:t>Kress Colette, Robertson Donald F Jr, STEVENS MARK A</w:t>
            </w:r>
          </w:p>
        </w:tc>
        <w:tc>
          <w:tcPr>
            <w:tcW w:type="dxa" w:w="2520"/>
          </w:tcPr>
          <w:p>
            <w:r>
              <w:rPr>
                <w:rFonts w:ascii="Calibri" w:hAnsi="Calibri"/>
                <w:color w:val="333333"/>
                <w:sz w:val="18"/>
              </w:rPr>
              <w:t>$50.4M</w:t>
            </w:r>
          </w:p>
        </w:tc>
      </w:tr>
    </w:tbl>
    <w:p>
      <w:pPr>
        <w:pStyle w:val="DOBody"/>
      </w:pPr>
      <w:r>
        <w:t>Insider Cluster Selling (19 event(s)): Coordinated insider selling is a key D&amp;O risk signal. Courts view cluster sales -- where 3+ insiders sell within a narrow window -- as circumstantial evidence of scienter (intent to defraud) in securities fraud claims.</w:t>
      </w:r>
      <w:r>
        <w:rPr>
          <w:b/>
          <w:color w:val="EA580C"/>
          <w:sz w:val="18"/>
        </w:rPr>
        <w:t xml:space="preserve"> [HIGH]</w:t>
      </w:r>
    </w:p>
    <w:p>
      <w:pPr>
        <w:pStyle w:val="DOHeading2"/>
      </w:pPr>
      <w:r>
        <w:t>Executive Departures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Name</w:t>
            </w:r>
          </w:p>
        </w:tc>
        <w:tc>
          <w:tcPr>
            <w:tcW w:type="dxa" w:w="2016"/>
            <w:shd w:fill="1A1446" w:val="clear"/>
          </w:tcPr>
          <w:p>
            <w:r>
              <w:rPr>
                <w:rFonts w:ascii="Calibri" w:hAnsi="Calibri"/>
                <w:b/>
                <w:color w:val="FFFFFF"/>
                <w:sz w:val="18"/>
              </w:rPr>
              <w:t>Title</w:t>
            </w:r>
          </w:p>
        </w:tc>
        <w:tc>
          <w:tcPr>
            <w:tcW w:type="dxa" w:w="2016"/>
            <w:shd w:fill="1A1446" w:val="clear"/>
          </w:tcPr>
          <w:p>
            <w:r>
              <w:rPr>
                <w:rFonts w:ascii="Calibri" w:hAnsi="Calibri"/>
                <w:b/>
                <w:color w:val="FFFFFF"/>
                <w:sz w:val="18"/>
              </w:rPr>
              <w:t>Departure Date</w:t>
            </w:r>
          </w:p>
        </w:tc>
        <w:tc>
          <w:tcPr>
            <w:tcW w:type="dxa" w:w="2016"/>
            <w:shd w:fill="1A1446" w:val="clear"/>
          </w:tcPr>
          <w:p>
            <w:r>
              <w:rPr>
                <w:rFonts w:ascii="Calibri" w:hAnsi="Calibri"/>
                <w:b/>
                <w:color w:val="FFFFFF"/>
                <w:sz w:val="18"/>
              </w:rPr>
              <w:t>Type</w:t>
            </w:r>
          </w:p>
        </w:tc>
        <w:tc>
          <w:tcPr>
            <w:tcW w:type="dxa" w:w="2016"/>
            <w:shd w:fill="1A1446" w:val="clear"/>
          </w:tcPr>
          <w:p>
            <w:r>
              <w:rPr>
                <w:rFonts w:ascii="Calibri" w:hAnsi="Calibri"/>
                <w:b/>
                <w:color w:val="FFFFFF"/>
                <w:sz w:val="18"/>
              </w:rPr>
              <w:t>D&amp;O Context</w:t>
            </w:r>
          </w:p>
        </w:tc>
      </w:tr>
      <w:tr>
        <w:tc>
          <w:tcPr>
            <w:tcW w:type="dxa" w:w="2016"/>
          </w:tcPr>
          <w:p>
            <w:r>
              <w:rPr>
                <w:rFonts w:ascii="Calibri" w:hAnsi="Calibri"/>
                <w:color w:val="333333"/>
                <w:sz w:val="18"/>
              </w:rPr>
              <w:t>Persis Drell</w:t>
            </w:r>
          </w:p>
        </w:tc>
        <w:tc>
          <w:tcPr>
            <w:tcW w:type="dxa" w:w="2016"/>
          </w:tcPr>
          <w:p>
            <w:r>
              <w:rPr>
                <w:rFonts w:ascii="Calibri" w:hAnsi="Calibri"/>
                <w:color w:val="333333"/>
                <w:sz w:val="18"/>
              </w:rPr>
              <w:t>CLO</w:t>
            </w:r>
          </w:p>
        </w:tc>
        <w:tc>
          <w:tcPr>
            <w:tcW w:type="dxa" w:w="2016"/>
          </w:tcPr>
          <w:p>
            <w:r>
              <w:rPr>
                <w:rFonts w:ascii="Calibri" w:hAnsi="Calibri"/>
                <w:color w:val="333333"/>
                <w:sz w:val="18"/>
              </w:rPr>
              <w:t>2026-01-20</w:t>
            </w:r>
          </w:p>
        </w:tc>
        <w:tc>
          <w:tcPr>
            <w:tcW w:type="dxa" w:w="2016"/>
          </w:tcPr>
          <w:p>
            <w:r>
              <w:rPr>
                <w:rFonts w:ascii="Calibri" w:hAnsi="Calibri"/>
                <w:color w:val="333333"/>
                <w:sz w:val="18"/>
              </w:rPr>
              <w:t>UNPLANNED</w:t>
            </w:r>
          </w:p>
        </w:tc>
        <w:tc>
          <w:tcPr>
            <w:tcW w:type="dxa" w:w="2016"/>
          </w:tcPr>
          <w:p>
            <w:r>
              <w:rPr>
                <w:rFonts w:ascii="Calibri" w:hAnsi="Calibri"/>
                <w:color w:val="333333"/>
                <w:sz w:val="18"/>
              </w:rPr>
              <w:t xml:space="preserve"> triggered CFO Departure Coinciding With Stress Signals (F10, F3) — this agent r</w:t>
            </w:r>
          </w:p>
        </w:tc>
      </w:tr>
      <w:tr>
        <w:tc>
          <w:tcPr>
            <w:tcW w:type="dxa" w:w="2016"/>
            <w:shd w:fill="F2F4F8" w:val="clear"/>
          </w:tcPr>
          <w:p>
            <w:r>
              <w:rPr>
                <w:rFonts w:ascii="Calibri" w:hAnsi="Calibri"/>
                <w:color w:val="333333"/>
                <w:sz w:val="18"/>
              </w:rPr>
              <w:t>Ellen Ochoa</w:t>
            </w:r>
          </w:p>
        </w:tc>
        <w:tc>
          <w:tcPr>
            <w:tcW w:type="dxa" w:w="2016"/>
            <w:shd w:fill="F2F4F8" w:val="clear"/>
          </w:tcPr>
          <w:p>
            <w:r>
              <w:rPr>
                <w:rFonts w:ascii="Calibri" w:hAnsi="Calibri"/>
                <w:color w:val="333333"/>
                <w:sz w:val="18"/>
              </w:rPr>
              <w:t>CLO</w:t>
            </w:r>
          </w:p>
        </w:tc>
        <w:tc>
          <w:tcPr>
            <w:tcW w:type="dxa" w:w="2016"/>
            <w:shd w:fill="F2F4F8" w:val="clear"/>
          </w:tcPr>
          <w:p>
            <w:r>
              <w:rPr>
                <w:rFonts w:ascii="Calibri" w:hAnsi="Calibri"/>
                <w:color w:val="333333"/>
                <w:sz w:val="18"/>
              </w:rPr>
              <w:t>2025-07-31</w:t>
            </w:r>
          </w:p>
        </w:tc>
        <w:tc>
          <w:tcPr>
            <w:tcW w:type="dxa" w:w="2016"/>
            <w:shd w:fill="F2F4F8" w:val="clear"/>
          </w:tcPr>
          <w:p>
            <w:r>
              <w:rPr>
                <w:rFonts w:ascii="Calibri" w:hAnsi="Calibri"/>
                <w:color w:val="333333"/>
                <w:sz w:val="18"/>
              </w:rPr>
              <w:t>PLANNED</w:t>
            </w:r>
          </w:p>
        </w:tc>
        <w:tc>
          <w:tcPr>
            <w:tcW w:type="dxa" w:w="2016"/>
            <w:shd w:fill="F2F4F8" w:val="clear"/>
          </w:tcPr>
          <w:p>
            <w:r>
              <w:rPr>
                <w:rFonts w:ascii="Calibri" w:hAnsi="Calibri"/>
                <w:color w:val="333333"/>
                <w:sz w:val="18"/>
              </w:rPr>
              <w:t xml:space="preserve"> triggered Chief Accounting Officer Departure (F10, F3) — this agent risk (execu</w:t>
            </w:r>
          </w:p>
        </w:tc>
      </w:tr>
    </w:tbl>
    <w:p>
      <w:pPr>
        <w:pStyle w:val="DOBody"/>
      </w:pPr>
      <w:r>
        <w:t>Unexpected Executive Departures (1):  triggered CFO Departure Coinciding With Stress Signals (F10, F3) — this agent risk (executive/director actions and decisions that create D&amp;O exposure) indicates Emerging Risk / Forward-Looking Exposure. Evidence: Boolean check: True condition met.</w:t>
      </w:r>
      <w:r>
        <w:rPr>
          <w:b/>
          <w:color w:val="EA580C"/>
          <w:sz w:val="18"/>
        </w:rPr>
        <w:t xml:space="preserve"> [HIGH]</w:t>
      </w:r>
    </w:p>
    <w:p>
      <w:pPr>
        <w:pStyle w:val="DOHeading2"/>
      </w:pPr>
      <w:r>
        <w:t>Capital Markets Activity</w:t>
      </w:r>
    </w:p>
    <w:p>
      <w:pPr>
        <w:pStyle w:val="DOBody"/>
      </w:pPr>
      <w:r>
        <w:t>No significant capital markets activity identified in the trailing 3-year period.</w:t>
      </w:r>
    </w:p>
    <w:p>
      <w:pPr>
        <w:spacing w:before="120" w:after="40"/>
        <w:pBdr>
          <w:bottom w:val="single" w:sz="6" w:space="1" w:color="FFD000"/>
        </w:pBdr>
      </w:pPr>
    </w:p>
    <w:p>
      <w:pPr>
        <w:pStyle w:val="DOBody"/>
        <w:spacing w:before="40" w:after="80"/>
      </w:pPr>
      <w:r>
        <w:rPr>
          <w:b/>
          <w:color w:val="CC0000"/>
          <w:sz w:val="20"/>
        </w:rPr>
        <w:t>CRITICAL RISK</w:t>
      </w:r>
    </w:p>
    <w:p>
      <w:pPr>
        <w:pStyle w:val="DOBody"/>
        <w:spacing w:before="40" w:after="120"/>
      </w:pPr>
      <w:r>
        <w:rPr>
          <w:color w:val="333333"/>
          <w:sz w:val="20"/>
        </w:rPr>
        <w:t>NVIDIA's revenue increased to $215.9B from $130.5B prior, a 65% surge, while net income rose to $120.1B from $72.9B, growth metrics that elevate litigation risk by inflating shareholder expectations and creating a target for securities class actions should performance decelerate. The pristine Altman Z-Score of 56.4 and a debt-to-equity ratio of 0.05 fundamentally undercut any plausible claim of insolvency or going concern, which simplifies the defense against Section 10(b) allegations of fraud. However, the Beneish M-Score of -1.16, flagged in the "distress" zone, provides a direct quantitative hook for plaintiffs to allege earnings manipulation under Section 11, despite the clean audit opinion from Ernst &amp; Young after their 22-year tenure. The disconnect between $130.4B in operating income and the operating-cash-flow-to-net-income ratio of 0.86 indicates $120.1B in net income is significantly supported by non-cash items, a vulnerability plaintiffs' experts will use to attack earnings quality in a class action. The Piotroski F-Score of 4, a middling "grey" zone result against 134 total financial checks, hints at scoring pressures from 19 triggered items that warrant forensic review for accrual-related litigation risk. Ultimately, underwriting this D&amp;O risk is less about insolvency—their interest coverage ratio of 517x negates that—and entirely about funding defense against inevitable stock-drop litigation, with plaintiffs leveraging the -1.16 Beneish M-Score to challenge the integrity of their $4.93 earnings per share.</w:t>
      </w:r>
    </w:p>
    <w:p>
      <w:pPr>
        <w:pStyle w:val="DOHeading1"/>
      </w:pPr>
      <w:r>
        <w:t>Section 3: Financial Health</w:t>
      </w:r>
    </w:p>
    <w:p>
      <w:pPr>
        <w:pStyle w:val="DOBody"/>
      </w:pPr>
      <w:r>
        <w:t>The company reported revenue of $215.9B and net income of $120.1B (per FY2026 10-K, Company Facts API CIK1045810). Revenue grew 65.5% year-over-year (from $130.5B). Financial health is exceptionally strong: Altman Z-Score of 56.43 (safe zone threshold: 2.99) indicates negligible bankruptcy risk. Ohlson O-Score of 0.00 confirms no distress signals. Capital structure is conservative with D/E ratio of 0.05, providing meaningful headroom against financial covenant triggers. Earnings quality is healthy (OCF/NI: 0.86), indicating reported income is well-supported by operating cash flows -- reducing restatement risk. Auditor: Ernst &amp; Young (Big 4), tenure: 22 years -- extended tenure may raise independence concerns. From a D&amp;O perspective, the financial profile supports standard underwriting terms.</w:t>
      </w:r>
    </w:p>
    <w:p>
      <w:pPr>
        <w:pStyle w:val="DOHeading2"/>
      </w:pPr>
      <w:r>
        <w:t>Income Statement</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Metric</w:t>
            </w:r>
          </w:p>
        </w:tc>
        <w:tc>
          <w:tcPr>
            <w:tcW w:type="dxa" w:w="2520"/>
            <w:shd w:fill="1A1446" w:val="clear"/>
          </w:tcPr>
          <w:p>
            <w:r>
              <w:rPr>
                <w:rFonts w:ascii="Calibri" w:hAnsi="Calibri"/>
                <w:b/>
                <w:color w:val="FFFFFF"/>
                <w:sz w:val="18"/>
              </w:rPr>
              <w:t>FY2025</w:t>
            </w:r>
          </w:p>
        </w:tc>
        <w:tc>
          <w:tcPr>
            <w:tcW w:type="dxa" w:w="2520"/>
            <w:shd w:fill="1A1446" w:val="clear"/>
          </w:tcPr>
          <w:p>
            <w:r>
              <w:rPr>
                <w:rFonts w:ascii="Calibri" w:hAnsi="Calibri"/>
                <w:b/>
                <w:color w:val="FFFFFF"/>
                <w:sz w:val="18"/>
              </w:rPr>
              <w:t>FY2026</w:t>
            </w:r>
          </w:p>
        </w:tc>
        <w:tc>
          <w:tcPr>
            <w:tcW w:type="dxa" w:w="2520"/>
            <w:shd w:fill="1A1446" w:val="clear"/>
          </w:tcPr>
          <w:p>
            <w:r>
              <w:rPr>
                <w:rFonts w:ascii="Calibri" w:hAnsi="Calibri"/>
                <w:b/>
                <w:color w:val="FFFFFF"/>
                <w:sz w:val="18"/>
              </w:rPr>
              <w:t>YoY Change</w:t>
            </w:r>
          </w:p>
        </w:tc>
      </w:tr>
      <w:tr>
        <w:tc>
          <w:tcPr>
            <w:tcW w:type="dxa" w:w="2520"/>
          </w:tcPr>
          <w:p>
            <w:r>
              <w:rPr>
                <w:rFonts w:ascii="Calibri" w:hAnsi="Calibri"/>
                <w:color w:val="333333"/>
                <w:sz w:val="18"/>
              </w:rPr>
              <w:t>Total revenue / net sales</w:t>
            </w:r>
          </w:p>
        </w:tc>
        <w:tc>
          <w:tcPr>
            <w:tcW w:type="dxa" w:w="2520"/>
          </w:tcPr>
          <w:p>
            <w:r>
              <w:rPr>
                <w:rFonts w:ascii="Calibri" w:hAnsi="Calibri"/>
                <w:color w:val="333333"/>
                <w:sz w:val="18"/>
              </w:rPr>
              <w:t>$130.5B</w:t>
            </w:r>
          </w:p>
        </w:tc>
        <w:tc>
          <w:tcPr>
            <w:tcW w:type="dxa" w:w="2520"/>
          </w:tcPr>
          <w:p>
            <w:r>
              <w:rPr>
                <w:rFonts w:ascii="Calibri" w:hAnsi="Calibri"/>
                <w:color w:val="333333"/>
                <w:sz w:val="18"/>
              </w:rPr>
              <w:t>$215.9B</w:t>
            </w:r>
          </w:p>
        </w:tc>
        <w:tc>
          <w:tcPr>
            <w:tcW w:type="dxa" w:w="2520"/>
            <w:shd w:fill="DCEEF8" w:val="clear"/>
          </w:tcPr>
          <w:p>
            <w:r>
              <w:rPr>
                <w:rFonts w:ascii="Calibri" w:hAnsi="Calibri"/>
                <w:color w:val="333333"/>
                <w:sz w:val="18"/>
              </w:rPr>
              <w:t>65.5%</w:t>
            </w:r>
          </w:p>
        </w:tc>
      </w:tr>
      <w:tr>
        <w:tc>
          <w:tcPr>
            <w:tcW w:type="dxa" w:w="2520"/>
            <w:shd w:fill="F2F4F8" w:val="clear"/>
          </w:tcPr>
          <w:p>
            <w:r>
              <w:rPr>
                <w:rFonts w:ascii="Calibri" w:hAnsi="Calibri"/>
                <w:color w:val="333333"/>
                <w:sz w:val="18"/>
              </w:rPr>
              <w:t>Cost of revenue / COGS</w:t>
            </w:r>
          </w:p>
        </w:tc>
        <w:tc>
          <w:tcPr>
            <w:tcW w:type="dxa" w:w="2520"/>
            <w:shd w:fill="F2F4F8" w:val="clear"/>
          </w:tcPr>
          <w:p>
            <w:r>
              <w:rPr>
                <w:rFonts w:ascii="Calibri" w:hAnsi="Calibri"/>
                <w:color w:val="333333"/>
                <w:sz w:val="18"/>
              </w:rPr>
              <w:t>$32.6B</w:t>
            </w:r>
          </w:p>
        </w:tc>
        <w:tc>
          <w:tcPr>
            <w:tcW w:type="dxa" w:w="2520"/>
            <w:shd w:fill="F2F4F8" w:val="clear"/>
          </w:tcPr>
          <w:p>
            <w:r>
              <w:rPr>
                <w:rFonts w:ascii="Calibri" w:hAnsi="Calibri"/>
                <w:color w:val="333333"/>
                <w:sz w:val="18"/>
              </w:rPr>
              <w:t>$62.5B</w:t>
            </w:r>
          </w:p>
        </w:tc>
        <w:tc>
          <w:tcPr>
            <w:tcW w:type="dxa" w:w="2520"/>
            <w:shd w:fill="F2F4F8" w:val="clear"/>
            <w:shd w:fill="DCEEF8" w:val="clear"/>
          </w:tcPr>
          <w:p>
            <w:r>
              <w:rPr>
                <w:rFonts w:ascii="Calibri" w:hAnsi="Calibri"/>
                <w:color w:val="333333"/>
                <w:sz w:val="18"/>
              </w:rPr>
              <w:t>91.4%</w:t>
            </w:r>
          </w:p>
        </w:tc>
      </w:tr>
      <w:tr>
        <w:tc>
          <w:tcPr>
            <w:tcW w:type="dxa" w:w="2520"/>
          </w:tcPr>
          <w:p>
            <w:r>
              <w:rPr>
                <w:rFonts w:ascii="Calibri" w:hAnsi="Calibri"/>
                <w:color w:val="333333"/>
                <w:sz w:val="18"/>
              </w:rPr>
              <w:t>Gross profit</w:t>
            </w:r>
          </w:p>
        </w:tc>
        <w:tc>
          <w:tcPr>
            <w:tcW w:type="dxa" w:w="2520"/>
          </w:tcPr>
          <w:p>
            <w:r>
              <w:rPr>
                <w:rFonts w:ascii="Calibri" w:hAnsi="Calibri"/>
                <w:color w:val="333333"/>
                <w:sz w:val="18"/>
              </w:rPr>
              <w:t>$97.9B</w:t>
            </w:r>
          </w:p>
        </w:tc>
        <w:tc>
          <w:tcPr>
            <w:tcW w:type="dxa" w:w="2520"/>
          </w:tcPr>
          <w:p>
            <w:r>
              <w:rPr>
                <w:rFonts w:ascii="Calibri" w:hAnsi="Calibri"/>
                <w:color w:val="333333"/>
                <w:sz w:val="18"/>
              </w:rPr>
              <w:t>$153.5B</w:t>
            </w:r>
          </w:p>
        </w:tc>
        <w:tc>
          <w:tcPr>
            <w:tcW w:type="dxa" w:w="2520"/>
            <w:shd w:fill="DCEEF8" w:val="clear"/>
          </w:tcPr>
          <w:p>
            <w:r>
              <w:rPr>
                <w:rFonts w:ascii="Calibri" w:hAnsi="Calibri"/>
                <w:color w:val="333333"/>
                <w:sz w:val="18"/>
              </w:rPr>
              <w:t>56.8%</w:t>
            </w:r>
          </w:p>
        </w:tc>
      </w:tr>
      <w:tr>
        <w:tc>
          <w:tcPr>
            <w:tcW w:type="dxa" w:w="2520"/>
            <w:shd w:fill="F2F4F8" w:val="clear"/>
          </w:tcPr>
          <w:p>
            <w:r>
              <w:rPr>
                <w:rFonts w:ascii="Calibri" w:hAnsi="Calibri"/>
                <w:color w:val="333333"/>
                <w:sz w:val="18"/>
              </w:rPr>
              <w:t>Operating income / loss</w:t>
            </w:r>
          </w:p>
        </w:tc>
        <w:tc>
          <w:tcPr>
            <w:tcW w:type="dxa" w:w="2520"/>
            <w:shd w:fill="F2F4F8" w:val="clear"/>
          </w:tcPr>
          <w:p>
            <w:r>
              <w:rPr>
                <w:rFonts w:ascii="Calibri" w:hAnsi="Calibri"/>
                <w:color w:val="333333"/>
                <w:sz w:val="18"/>
              </w:rPr>
              <w:t>$81.5B</w:t>
            </w:r>
          </w:p>
        </w:tc>
        <w:tc>
          <w:tcPr>
            <w:tcW w:type="dxa" w:w="2520"/>
            <w:shd w:fill="F2F4F8" w:val="clear"/>
          </w:tcPr>
          <w:p>
            <w:r>
              <w:rPr>
                <w:rFonts w:ascii="Calibri" w:hAnsi="Calibri"/>
                <w:color w:val="333333"/>
                <w:sz w:val="18"/>
              </w:rPr>
              <w:t>$130.4B</w:t>
            </w:r>
          </w:p>
        </w:tc>
        <w:tc>
          <w:tcPr>
            <w:tcW w:type="dxa" w:w="2520"/>
            <w:shd w:fill="F2F4F8" w:val="clear"/>
            <w:shd w:fill="DCEEF8" w:val="clear"/>
          </w:tcPr>
          <w:p>
            <w:r>
              <w:rPr>
                <w:rFonts w:ascii="Calibri" w:hAnsi="Calibri"/>
                <w:color w:val="333333"/>
                <w:sz w:val="18"/>
              </w:rPr>
              <w:t>60.1%</w:t>
            </w:r>
          </w:p>
        </w:tc>
      </w:tr>
      <w:tr>
        <w:tc>
          <w:tcPr>
            <w:tcW w:type="dxa" w:w="2520"/>
          </w:tcPr>
          <w:p>
            <w:r>
              <w:rPr>
                <w:rFonts w:ascii="Calibri" w:hAnsi="Calibri"/>
                <w:color w:val="333333"/>
                <w:sz w:val="18"/>
              </w:rPr>
              <w:t>Net income / net loss</w:t>
            </w:r>
          </w:p>
        </w:tc>
        <w:tc>
          <w:tcPr>
            <w:tcW w:type="dxa" w:w="2520"/>
          </w:tcPr>
          <w:p>
            <w:r>
              <w:rPr>
                <w:rFonts w:ascii="Calibri" w:hAnsi="Calibri"/>
                <w:color w:val="333333"/>
                <w:sz w:val="18"/>
              </w:rPr>
              <w:t>$72.9B</w:t>
            </w:r>
          </w:p>
        </w:tc>
        <w:tc>
          <w:tcPr>
            <w:tcW w:type="dxa" w:w="2520"/>
          </w:tcPr>
          <w:p>
            <w:r>
              <w:rPr>
                <w:rFonts w:ascii="Calibri" w:hAnsi="Calibri"/>
                <w:color w:val="333333"/>
                <w:sz w:val="18"/>
              </w:rPr>
              <w:t>$120.1B</w:t>
            </w:r>
          </w:p>
        </w:tc>
        <w:tc>
          <w:tcPr>
            <w:tcW w:type="dxa" w:w="2520"/>
            <w:shd w:fill="DCEEF8" w:val="clear"/>
          </w:tcPr>
          <w:p>
            <w:r>
              <w:rPr>
                <w:rFonts w:ascii="Calibri" w:hAnsi="Calibri"/>
                <w:color w:val="333333"/>
                <w:sz w:val="18"/>
              </w:rPr>
              <w:t>64.8%</w:t>
            </w:r>
          </w:p>
        </w:tc>
      </w:tr>
      <w:tr>
        <w:tc>
          <w:tcPr>
            <w:tcW w:type="dxa" w:w="2520"/>
            <w:shd w:fill="F2F4F8" w:val="clear"/>
          </w:tcPr>
          <w:p>
            <w:r>
              <w:rPr>
                <w:rFonts w:ascii="Calibri" w:hAnsi="Calibri"/>
                <w:color w:val="333333"/>
                <w:sz w:val="18"/>
              </w:rPr>
              <w:t>Basic earnings per share</w:t>
            </w:r>
          </w:p>
        </w:tc>
        <w:tc>
          <w:tcPr>
            <w:tcW w:type="dxa" w:w="2520"/>
            <w:shd w:fill="F2F4F8" w:val="clear"/>
          </w:tcPr>
          <w:p>
            <w:r>
              <w:rPr>
                <w:rFonts w:ascii="Calibri" w:hAnsi="Calibri"/>
                <w:color w:val="333333"/>
                <w:sz w:val="18"/>
              </w:rPr>
              <w:t>$2.97</w:t>
            </w:r>
          </w:p>
        </w:tc>
        <w:tc>
          <w:tcPr>
            <w:tcW w:type="dxa" w:w="2520"/>
            <w:shd w:fill="F2F4F8" w:val="clear"/>
          </w:tcPr>
          <w:p>
            <w:r>
              <w:rPr>
                <w:rFonts w:ascii="Calibri" w:hAnsi="Calibri"/>
                <w:color w:val="333333"/>
                <w:sz w:val="18"/>
              </w:rPr>
              <w:t>$4.93</w:t>
            </w:r>
          </w:p>
        </w:tc>
        <w:tc>
          <w:tcPr>
            <w:tcW w:type="dxa" w:w="2520"/>
            <w:shd w:fill="F2F4F8" w:val="clear"/>
            <w:shd w:fill="DCEEF8" w:val="clear"/>
          </w:tcPr>
          <w:p>
            <w:r>
              <w:rPr>
                <w:rFonts w:ascii="Calibri" w:hAnsi="Calibri"/>
                <w:color w:val="333333"/>
                <w:sz w:val="18"/>
              </w:rPr>
              <w:t>66.0%</w:t>
            </w:r>
          </w:p>
        </w:tc>
      </w:tr>
      <w:tr>
        <w:tc>
          <w:tcPr>
            <w:tcW w:type="dxa" w:w="2520"/>
          </w:tcPr>
          <w:p>
            <w:r>
              <w:rPr>
                <w:rFonts w:ascii="Calibri" w:hAnsi="Calibri"/>
                <w:color w:val="333333"/>
                <w:sz w:val="18"/>
              </w:rPr>
              <w:t>Diluted earnings per share</w:t>
            </w:r>
          </w:p>
        </w:tc>
        <w:tc>
          <w:tcPr>
            <w:tcW w:type="dxa" w:w="2520"/>
          </w:tcPr>
          <w:p>
            <w:r>
              <w:rPr>
                <w:rFonts w:ascii="Calibri" w:hAnsi="Calibri"/>
                <w:color w:val="333333"/>
                <w:sz w:val="18"/>
              </w:rPr>
              <w:t>$2.94</w:t>
            </w:r>
          </w:p>
        </w:tc>
        <w:tc>
          <w:tcPr>
            <w:tcW w:type="dxa" w:w="2520"/>
          </w:tcPr>
          <w:p>
            <w:r>
              <w:rPr>
                <w:rFonts w:ascii="Calibri" w:hAnsi="Calibri"/>
                <w:color w:val="333333"/>
                <w:sz w:val="18"/>
              </w:rPr>
              <w:t>$4.90</w:t>
            </w:r>
          </w:p>
        </w:tc>
        <w:tc>
          <w:tcPr>
            <w:tcW w:type="dxa" w:w="2520"/>
            <w:shd w:fill="DCEEF8" w:val="clear"/>
          </w:tcPr>
          <w:p>
            <w:r>
              <w:rPr>
                <w:rFonts w:ascii="Calibri" w:hAnsi="Calibri"/>
                <w:color w:val="333333"/>
                <w:sz w:val="18"/>
              </w:rPr>
              <w:t>66.7%</w:t>
            </w:r>
          </w:p>
        </w:tc>
      </w:tr>
      <w:tr>
        <w:tc>
          <w:tcPr>
            <w:tcW w:type="dxa" w:w="2520"/>
            <w:shd w:fill="F2F4F8" w:val="clear"/>
          </w:tcPr>
          <w:p>
            <w:r>
              <w:rPr>
                <w:rFonts w:ascii="Calibri" w:hAnsi="Calibri"/>
                <w:color w:val="333333"/>
                <w:sz w:val="18"/>
              </w:rPr>
              <w:t>Interest expense</w:t>
            </w:r>
          </w:p>
        </w:tc>
        <w:tc>
          <w:tcPr>
            <w:tcW w:type="dxa" w:w="2520"/>
            <w:shd w:fill="F2F4F8" w:val="clear"/>
          </w:tcPr>
          <w:p>
            <w:r>
              <w:rPr>
                <w:rFonts w:ascii="Calibri" w:hAnsi="Calibri"/>
                <w:color w:val="333333"/>
                <w:sz w:val="18"/>
              </w:rPr>
              <w:t>$246.0M</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Income tax expense / benefit</w:t>
            </w:r>
          </w:p>
        </w:tc>
        <w:tc>
          <w:tcPr>
            <w:tcW w:type="dxa" w:w="2520"/>
          </w:tcPr>
          <w:p>
            <w:r>
              <w:rPr>
                <w:rFonts w:ascii="Calibri" w:hAnsi="Calibri"/>
                <w:color w:val="333333"/>
                <w:sz w:val="18"/>
              </w:rPr>
              <w:t>$11.1B</w:t>
            </w:r>
          </w:p>
        </w:tc>
        <w:tc>
          <w:tcPr>
            <w:tcW w:type="dxa" w:w="2520"/>
          </w:tcPr>
          <w:p>
            <w:r>
              <w:rPr>
                <w:rFonts w:ascii="Calibri" w:hAnsi="Calibri"/>
                <w:color w:val="333333"/>
                <w:sz w:val="18"/>
              </w:rPr>
              <w:t>$21.4B</w:t>
            </w:r>
          </w:p>
        </w:tc>
        <w:tc>
          <w:tcPr>
            <w:tcW w:type="dxa" w:w="2520"/>
            <w:shd w:fill="DCEEF8" w:val="clear"/>
          </w:tcPr>
          <w:p>
            <w:r>
              <w:rPr>
                <w:rFonts w:ascii="Calibri" w:hAnsi="Calibri"/>
                <w:color w:val="333333"/>
                <w:sz w:val="18"/>
              </w:rPr>
              <w:t>91.8%</w:t>
            </w:r>
          </w:p>
        </w:tc>
      </w:tr>
      <w:tr>
        <w:tc>
          <w:tcPr>
            <w:tcW w:type="dxa" w:w="2520"/>
            <w:shd w:fill="F2F4F8" w:val="clear"/>
          </w:tcPr>
          <w:p>
            <w:r>
              <w:rPr>
                <w:rFonts w:ascii="Calibri" w:hAnsi="Calibri"/>
                <w:color w:val="333333"/>
                <w:sz w:val="18"/>
              </w:rPr>
              <w:t>Research and development expense</w:t>
            </w:r>
          </w:p>
        </w:tc>
        <w:tc>
          <w:tcPr>
            <w:tcW w:type="dxa" w:w="2520"/>
            <w:shd w:fill="F2F4F8" w:val="clear"/>
          </w:tcPr>
          <w:p>
            <w:r>
              <w:rPr>
                <w:rFonts w:ascii="Calibri" w:hAnsi="Calibri"/>
                <w:color w:val="333333"/>
                <w:sz w:val="18"/>
              </w:rPr>
              <w:t>$12.9B</w:t>
            </w:r>
          </w:p>
        </w:tc>
        <w:tc>
          <w:tcPr>
            <w:tcW w:type="dxa" w:w="2520"/>
            <w:shd w:fill="F2F4F8" w:val="clear"/>
          </w:tcPr>
          <w:p>
            <w:r>
              <w:rPr>
                <w:rFonts w:ascii="Calibri" w:hAnsi="Calibri"/>
                <w:color w:val="333333"/>
                <w:sz w:val="18"/>
              </w:rPr>
              <w:t>$18.5B</w:t>
            </w:r>
          </w:p>
        </w:tc>
        <w:tc>
          <w:tcPr>
            <w:tcW w:type="dxa" w:w="2520"/>
            <w:shd w:fill="F2F4F8" w:val="clear"/>
            <w:shd w:fill="DCEEF8" w:val="clear"/>
          </w:tcPr>
          <w:p>
            <w:r>
              <w:rPr>
                <w:rFonts w:ascii="Calibri" w:hAnsi="Calibri"/>
                <w:color w:val="333333"/>
                <w:sz w:val="18"/>
              </w:rPr>
              <w:t>43.2%</w:t>
            </w:r>
          </w:p>
        </w:tc>
      </w:tr>
      <w:tr>
        <w:tc>
          <w:tcPr>
            <w:tcW w:type="dxa" w:w="2520"/>
          </w:tcPr>
          <w:p>
            <w:r>
              <w:rPr>
                <w:rFonts w:ascii="Calibri" w:hAnsi="Calibri"/>
                <w:color w:val="333333"/>
                <w:sz w:val="18"/>
              </w:rPr>
              <w:t>Selling, general and administrative expense</w:t>
            </w:r>
          </w:p>
        </w:tc>
        <w:tc>
          <w:tcPr>
            <w:tcW w:type="dxa" w:w="2520"/>
          </w:tcPr>
          <w:p>
            <w:r>
              <w:rPr>
                <w:rFonts w:ascii="Calibri" w:hAnsi="Calibri"/>
                <w:color w:val="333333"/>
                <w:sz w:val="18"/>
              </w:rPr>
              <w:t>$3.5B</w:t>
            </w:r>
          </w:p>
        </w:tc>
        <w:tc>
          <w:tcPr>
            <w:tcW w:type="dxa" w:w="2520"/>
          </w:tcPr>
          <w:p>
            <w:r>
              <w:rPr>
                <w:rFonts w:ascii="Calibri" w:hAnsi="Calibri"/>
                <w:color w:val="333333"/>
                <w:sz w:val="18"/>
              </w:rPr>
              <w:t>$4.6B</w:t>
            </w:r>
          </w:p>
        </w:tc>
        <w:tc>
          <w:tcPr>
            <w:tcW w:type="dxa" w:w="2520"/>
            <w:shd w:fill="DCEEF8" w:val="clear"/>
          </w:tcPr>
          <w:p>
            <w:r>
              <w:rPr>
                <w:rFonts w:ascii="Calibri" w:hAnsi="Calibri"/>
                <w:color w:val="333333"/>
                <w:sz w:val="18"/>
              </w:rPr>
              <w:t>31.2%</w:t>
            </w:r>
          </w:p>
        </w:tc>
      </w:tr>
      <w:tr>
        <w:tc>
          <w:tcPr>
            <w:tcW w:type="dxa" w:w="2520"/>
            <w:shd w:fill="F2F4F8" w:val="clear"/>
          </w:tcPr>
          <w:p>
            <w:r>
              <w:rPr>
                <w:rFonts w:ascii="Calibri" w:hAnsi="Calibri"/>
                <w:color w:val="333333"/>
                <w:sz w:val="18"/>
              </w:rPr>
              <w:t>Earnings before interest and taxes (EBIT)</w:t>
            </w:r>
          </w:p>
        </w:tc>
        <w:tc>
          <w:tcPr>
            <w:tcW w:type="dxa" w:w="2520"/>
            <w:shd w:fill="F2F4F8" w:val="clear"/>
          </w:tcPr>
          <w:p>
            <w:r>
              <w:rPr>
                <w:rFonts w:ascii="Calibri" w:hAnsi="Calibri"/>
                <w:color w:val="333333"/>
                <w:sz w:val="18"/>
              </w:rPr>
              <w:t>$81.5B</w:t>
            </w:r>
          </w:p>
        </w:tc>
        <w:tc>
          <w:tcPr>
            <w:tcW w:type="dxa" w:w="2520"/>
            <w:shd w:fill="F2F4F8" w:val="clear"/>
          </w:tcPr>
          <w:p>
            <w:r>
              <w:rPr>
                <w:rFonts w:ascii="Calibri" w:hAnsi="Calibri"/>
                <w:color w:val="333333"/>
                <w:sz w:val="18"/>
              </w:rPr>
              <w:t>$130.4B</w:t>
            </w:r>
          </w:p>
        </w:tc>
        <w:tc>
          <w:tcPr>
            <w:tcW w:type="dxa" w:w="2520"/>
            <w:shd w:fill="F2F4F8" w:val="clear"/>
            <w:shd w:fill="DCEEF8" w:val="clear"/>
          </w:tcPr>
          <w:p>
            <w:r>
              <w:rPr>
                <w:rFonts w:ascii="Calibri" w:hAnsi="Calibri"/>
                <w:color w:val="333333"/>
                <w:sz w:val="18"/>
              </w:rPr>
              <w:t>60.1%</w:t>
            </w:r>
          </w:p>
        </w:tc>
      </w:tr>
      <w:tr>
        <w:tc>
          <w:tcPr>
            <w:tcW w:type="dxa" w:w="2520"/>
          </w:tcPr>
          <w:p>
            <w:r>
              <w:rPr>
                <w:rFonts w:ascii="Calibri" w:hAnsi="Calibri"/>
                <w:color w:val="333333"/>
                <w:sz w:val="18"/>
              </w:rPr>
              <w:t>Weighted average shares outstanding (basic)</w:t>
            </w:r>
          </w:p>
        </w:tc>
        <w:tc>
          <w:tcPr>
            <w:tcW w:type="dxa" w:w="2520"/>
          </w:tcPr>
          <w:p>
            <w:r>
              <w:rPr>
                <w:rFonts w:ascii="Calibri" w:hAnsi="Calibri"/>
                <w:color w:val="333333"/>
                <w:sz w:val="18"/>
              </w:rPr>
              <w:t>24.6B</w:t>
            </w:r>
          </w:p>
        </w:tc>
        <w:tc>
          <w:tcPr>
            <w:tcW w:type="dxa" w:w="2520"/>
          </w:tcPr>
          <w:p>
            <w:r>
              <w:rPr>
                <w:rFonts w:ascii="Calibri" w:hAnsi="Calibri"/>
                <w:color w:val="333333"/>
                <w:sz w:val="18"/>
              </w:rPr>
              <w:t>24.4B</w:t>
            </w:r>
          </w:p>
        </w:tc>
        <w:tc>
          <w:tcPr>
            <w:tcW w:type="dxa" w:w="2520"/>
          </w:tcPr>
          <w:p>
            <w:r>
              <w:rPr>
                <w:rFonts w:ascii="Calibri" w:hAnsi="Calibri"/>
                <w:color w:val="333333"/>
                <w:sz w:val="18"/>
              </w:rPr>
              <w:t>-0.8%</w:t>
            </w:r>
          </w:p>
        </w:tc>
      </w:tr>
      <w:tr>
        <w:tc>
          <w:tcPr>
            <w:tcW w:type="dxa" w:w="2520"/>
            <w:shd w:fill="F2F4F8" w:val="clear"/>
          </w:tcPr>
          <w:p>
            <w:r>
              <w:rPr>
                <w:rFonts w:ascii="Calibri" w:hAnsi="Calibri"/>
                <w:color w:val="333333"/>
                <w:sz w:val="18"/>
              </w:rPr>
              <w:t>Weighted average shares outstanding (diluted)</w:t>
            </w:r>
          </w:p>
        </w:tc>
        <w:tc>
          <w:tcPr>
            <w:tcW w:type="dxa" w:w="2520"/>
            <w:shd w:fill="F2F4F8" w:val="clear"/>
          </w:tcPr>
          <w:p>
            <w:r>
              <w:rPr>
                <w:rFonts w:ascii="Calibri" w:hAnsi="Calibri"/>
                <w:color w:val="333333"/>
                <w:sz w:val="18"/>
              </w:rPr>
              <w:t>24.8B</w:t>
            </w:r>
          </w:p>
        </w:tc>
        <w:tc>
          <w:tcPr>
            <w:tcW w:type="dxa" w:w="2520"/>
            <w:shd w:fill="F2F4F8" w:val="clear"/>
          </w:tcPr>
          <w:p>
            <w:r>
              <w:rPr>
                <w:rFonts w:ascii="Calibri" w:hAnsi="Calibri"/>
                <w:color w:val="333333"/>
                <w:sz w:val="18"/>
              </w:rPr>
              <w:t>24.5B</w:t>
            </w:r>
          </w:p>
        </w:tc>
        <w:tc>
          <w:tcPr>
            <w:tcW w:type="dxa" w:w="2520"/>
            <w:shd w:fill="F2F4F8" w:val="clear"/>
            <w:shd w:fill="FFF3CD" w:val="clear"/>
          </w:tcPr>
          <w:p>
            <w:r>
              <w:rPr>
                <w:rFonts w:ascii="Calibri" w:hAnsi="Calibri"/>
                <w:color w:val="333333"/>
                <w:sz w:val="18"/>
              </w:rPr>
              <w:t>-1.2%</w:t>
            </w:r>
          </w:p>
        </w:tc>
      </w:tr>
      <w:tr>
        <w:tc>
          <w:tcPr>
            <w:tcW w:type="dxa" w:w="2520"/>
          </w:tcPr>
          <w:p>
            <w:r>
              <w:rPr>
                <w:rFonts w:ascii="Calibri" w:hAnsi="Calibri"/>
                <w:color w:val="333333"/>
                <w:sz w:val="18"/>
              </w:rPr>
              <w:t>Total comprehensive income / loss</w:t>
            </w:r>
          </w:p>
        </w:tc>
        <w:tc>
          <w:tcPr>
            <w:tcW w:type="dxa" w:w="2520"/>
          </w:tcPr>
          <w:p>
            <w:r>
              <w:rPr>
                <w:rFonts w:ascii="Calibri" w:hAnsi="Calibri"/>
                <w:color w:val="333333"/>
                <w:sz w:val="18"/>
              </w:rPr>
              <w:t>$72.9B</w:t>
            </w:r>
          </w:p>
        </w:tc>
        <w:tc>
          <w:tcPr>
            <w:tcW w:type="dxa" w:w="2520"/>
          </w:tcPr>
          <w:p>
            <w:r>
              <w:rPr>
                <w:rFonts w:ascii="Calibri" w:hAnsi="Calibri"/>
                <w:color w:val="333333"/>
                <w:sz w:val="18"/>
              </w:rPr>
              <w:t>$120.2B</w:t>
            </w:r>
          </w:p>
        </w:tc>
        <w:tc>
          <w:tcPr>
            <w:tcW w:type="dxa" w:w="2520"/>
            <w:shd w:fill="DCEEF8" w:val="clear"/>
          </w:tcPr>
          <w:p>
            <w:r>
              <w:rPr>
                <w:rFonts w:ascii="Calibri" w:hAnsi="Calibri"/>
                <w:color w:val="333333"/>
                <w:sz w:val="18"/>
              </w:rPr>
              <w:t>65.0%</w:t>
            </w:r>
          </w:p>
        </w:tc>
      </w:tr>
      <w:tr>
        <w:tc>
          <w:tcPr>
            <w:tcW w:type="dxa" w:w="2520"/>
            <w:shd w:fill="F2F4F8" w:val="clear"/>
          </w:tcPr>
          <w:p>
            <w:r>
              <w:rPr>
                <w:rFonts w:ascii="Calibri" w:hAnsi="Calibri"/>
                <w:color w:val="333333"/>
                <w:sz w:val="18"/>
              </w:rPr>
              <w:t>Other income / non-operating income</w:t>
            </w:r>
          </w:p>
        </w:tc>
        <w:tc>
          <w:tcPr>
            <w:tcW w:type="dxa" w:w="2520"/>
            <w:shd w:fill="F2F4F8" w:val="clear"/>
          </w:tcPr>
          <w:p>
            <w:r>
              <w:rPr>
                <w:rFonts w:ascii="Calibri" w:hAnsi="Calibri"/>
                <w:color w:val="333333"/>
                <w:sz w:val="18"/>
              </w:rPr>
              <w:t>$2.6B</w:t>
            </w:r>
          </w:p>
        </w:tc>
        <w:tc>
          <w:tcPr>
            <w:tcW w:type="dxa" w:w="2520"/>
            <w:shd w:fill="F2F4F8" w:val="clear"/>
          </w:tcPr>
          <w:p>
            <w:r>
              <w:rPr>
                <w:rFonts w:ascii="Calibri" w:hAnsi="Calibri"/>
                <w:color w:val="333333"/>
                <w:sz w:val="18"/>
              </w:rPr>
              <w:t>$11.1B</w:t>
            </w:r>
          </w:p>
        </w:tc>
        <w:tc>
          <w:tcPr>
            <w:tcW w:type="dxa" w:w="2520"/>
            <w:shd w:fill="F2F4F8" w:val="clear"/>
            <w:shd w:fill="DCEEF8" w:val="clear"/>
          </w:tcPr>
          <w:p>
            <w:r>
              <w:rPr>
                <w:rFonts w:ascii="Calibri" w:hAnsi="Calibri"/>
                <w:color w:val="333333"/>
                <w:sz w:val="18"/>
              </w:rPr>
              <w:t>330.0%</w:t>
            </w:r>
          </w:p>
        </w:tc>
      </w:tr>
      <w:tr>
        <w:tc>
          <w:tcPr>
            <w:tcW w:type="dxa" w:w="2520"/>
          </w:tcPr>
          <w:p>
            <w:r>
              <w:rPr>
                <w:rFonts w:ascii="Calibri" w:hAnsi="Calibri"/>
                <w:color w:val="333333"/>
                <w:sz w:val="18"/>
              </w:rPr>
              <w:t>Impairment charges (goodwill, intangibles, long-lived assets)</w:t>
            </w:r>
          </w:p>
        </w:tc>
        <w:tc>
          <w:tcPr>
            <w:tcW w:type="dxa" w:w="2520"/>
          </w:tcPr>
          <w:p>
            <w:r>
              <w:rPr>
                <w:rFonts w:ascii="Calibri" w:hAnsi="Calibri"/>
                <w:color w:val="333333"/>
                <w:sz w:val="18"/>
              </w:rPr>
              <w:t>$0</w:t>
            </w:r>
          </w:p>
        </w:tc>
        <w:tc>
          <w:tcPr>
            <w:tcW w:type="dxa" w:w="2520"/>
          </w:tcPr>
          <w:p>
            <w:r>
              <w:rPr>
                <w:rFonts w:ascii="Calibri" w:hAnsi="Calibri"/>
                <w:color w:val="333333"/>
                <w:sz w:val="18"/>
              </w:rPr>
              <w:t>$0</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Income from operations</w:t>
            </w:r>
          </w:p>
        </w:tc>
        <w:tc>
          <w:tcPr>
            <w:tcW w:type="dxa" w:w="2520"/>
            <w:shd w:fill="F2F4F8" w:val="clear"/>
          </w:tcPr>
          <w:p>
            <w:r>
              <w:rPr>
                <w:rFonts w:ascii="Calibri" w:hAnsi="Calibri"/>
                <w:color w:val="333333"/>
                <w:sz w:val="18"/>
              </w:rPr>
              <w:t>$81.5B</w:t>
            </w:r>
          </w:p>
        </w:tc>
        <w:tc>
          <w:tcPr>
            <w:tcW w:type="dxa" w:w="2520"/>
            <w:shd w:fill="F2F4F8" w:val="clear"/>
          </w:tcPr>
          <w:p>
            <w:r>
              <w:rPr>
                <w:rFonts w:ascii="Calibri" w:hAnsi="Calibri"/>
                <w:color w:val="333333"/>
                <w:sz w:val="18"/>
              </w:rPr>
              <w:t>$130.4B</w:t>
            </w:r>
          </w:p>
        </w:tc>
        <w:tc>
          <w:tcPr>
            <w:tcW w:type="dxa" w:w="2520"/>
            <w:shd w:fill="F2F4F8" w:val="clear"/>
            <w:shd w:fill="DCEEF8" w:val="clear"/>
          </w:tcPr>
          <w:p>
            <w:r>
              <w:rPr>
                <w:rFonts w:ascii="Calibri" w:hAnsi="Calibri"/>
                <w:color w:val="333333"/>
                <w:sz w:val="18"/>
              </w:rPr>
              <w:t>60.1%</w:t>
            </w:r>
          </w:p>
        </w:tc>
      </w:tr>
      <w:tr>
        <w:tc>
          <w:tcPr>
            <w:tcW w:type="dxa" w:w="2520"/>
          </w:tcPr>
          <w:p>
            <w:r>
              <w:rPr>
                <w:rFonts w:ascii="Calibri" w:hAnsi="Calibri"/>
                <w:color w:val="333333"/>
                <w:sz w:val="18"/>
              </w:rPr>
              <w:t>Pre-tax income</w:t>
            </w:r>
          </w:p>
        </w:tc>
        <w:tc>
          <w:tcPr>
            <w:tcW w:type="dxa" w:w="2520"/>
          </w:tcPr>
          <w:p>
            <w:r>
              <w:rPr>
                <w:rFonts w:ascii="Calibri" w:hAnsi="Calibri"/>
                <w:color w:val="333333"/>
                <w:sz w:val="18"/>
              </w:rPr>
              <w:t>$84.0B</w:t>
            </w:r>
          </w:p>
        </w:tc>
        <w:tc>
          <w:tcPr>
            <w:tcW w:type="dxa" w:w="2520"/>
          </w:tcPr>
          <w:p>
            <w:r>
              <w:rPr>
                <w:rFonts w:ascii="Calibri" w:hAnsi="Calibri"/>
                <w:color w:val="333333"/>
                <w:sz w:val="18"/>
              </w:rPr>
              <w:t>$141.4B</w:t>
            </w:r>
          </w:p>
        </w:tc>
        <w:tc>
          <w:tcPr>
            <w:tcW w:type="dxa" w:w="2520"/>
            <w:shd w:fill="DCEEF8" w:val="clear"/>
          </w:tcPr>
          <w:p>
            <w:r>
              <w:rPr>
                <w:rFonts w:ascii="Calibri" w:hAnsi="Calibri"/>
                <w:color w:val="333333"/>
                <w:sz w:val="18"/>
              </w:rPr>
              <w:t>68.3%</w:t>
            </w:r>
          </w:p>
        </w:tc>
      </w:tr>
      <w:tr>
        <w:tc>
          <w:tcPr>
            <w:tcW w:type="dxa" w:w="2520"/>
            <w:shd w:fill="F2F4F8" w:val="clear"/>
          </w:tcPr>
          <w:p>
            <w:r>
              <w:rPr>
                <w:rFonts w:ascii="Calibri" w:hAnsi="Calibri"/>
                <w:color w:val="333333"/>
                <w:sz w:val="18"/>
              </w:rPr>
              <w:t>Stock-based compensation expense</w:t>
            </w:r>
          </w:p>
        </w:tc>
        <w:tc>
          <w:tcPr>
            <w:tcW w:type="dxa" w:w="2520"/>
            <w:shd w:fill="F2F4F8" w:val="clear"/>
          </w:tcPr>
          <w:p>
            <w:r>
              <w:rPr>
                <w:rFonts w:ascii="Calibri" w:hAnsi="Calibri"/>
                <w:color w:val="333333"/>
                <w:sz w:val="18"/>
              </w:rPr>
              <w:t>$4.7B</w:t>
            </w:r>
          </w:p>
        </w:tc>
        <w:tc>
          <w:tcPr>
            <w:tcW w:type="dxa" w:w="2520"/>
            <w:shd w:fill="F2F4F8" w:val="clear"/>
          </w:tcPr>
          <w:p>
            <w:r>
              <w:rPr>
                <w:rFonts w:ascii="Calibri" w:hAnsi="Calibri"/>
                <w:color w:val="333333"/>
                <w:sz w:val="18"/>
              </w:rPr>
              <w:t>$6.4B</w:t>
            </w:r>
          </w:p>
        </w:tc>
        <w:tc>
          <w:tcPr>
            <w:tcW w:type="dxa" w:w="2520"/>
            <w:shd w:fill="F2F4F8" w:val="clear"/>
            <w:shd w:fill="DCEEF8" w:val="clear"/>
          </w:tcPr>
          <w:p>
            <w:r>
              <w:rPr>
                <w:rFonts w:ascii="Calibri" w:hAnsi="Calibri"/>
                <w:color w:val="333333"/>
                <w:sz w:val="18"/>
              </w:rPr>
              <w:t>34.8%</w:t>
            </w:r>
          </w:p>
        </w:tc>
      </w:tr>
      <w:tr>
        <w:tc>
          <w:tcPr>
            <w:tcW w:type="dxa" w:w="2520"/>
          </w:tcPr>
          <w:p>
            <w:r>
              <w:rPr>
                <w:rFonts w:ascii="Calibri" w:hAnsi="Calibri"/>
                <w:color w:val="333333"/>
                <w:sz w:val="18"/>
              </w:rPr>
              <w:t>Income before income taxes</w:t>
            </w:r>
          </w:p>
        </w:tc>
        <w:tc>
          <w:tcPr>
            <w:tcW w:type="dxa" w:w="2520"/>
          </w:tcPr>
          <w:p>
            <w:r>
              <w:rPr>
                <w:rFonts w:ascii="Calibri" w:hAnsi="Calibri"/>
                <w:color w:val="333333"/>
                <w:sz w:val="18"/>
              </w:rPr>
              <w:t>$84.0B</w:t>
            </w:r>
          </w:p>
        </w:tc>
        <w:tc>
          <w:tcPr>
            <w:tcW w:type="dxa" w:w="2520"/>
          </w:tcPr>
          <w:p>
            <w:r>
              <w:rPr>
                <w:rFonts w:ascii="Calibri" w:hAnsi="Calibri"/>
                <w:color w:val="333333"/>
                <w:sz w:val="18"/>
              </w:rPr>
              <w:t>$141.4B</w:t>
            </w:r>
          </w:p>
        </w:tc>
        <w:tc>
          <w:tcPr>
            <w:tcW w:type="dxa" w:w="2520"/>
            <w:shd w:fill="DCEEF8" w:val="clear"/>
          </w:tcPr>
          <w:p>
            <w:r>
              <w:rPr>
                <w:rFonts w:ascii="Calibri" w:hAnsi="Calibri"/>
                <w:color w:val="333333"/>
                <w:sz w:val="18"/>
              </w:rPr>
              <w:t>68.3%</w:t>
            </w:r>
          </w:p>
        </w:tc>
      </w:tr>
      <w:tr>
        <w:tc>
          <w:tcPr>
            <w:tcW w:type="dxa" w:w="2520"/>
            <w:shd w:fill="F2F4F8" w:val="clear"/>
          </w:tcPr>
          <w:p>
            <w:r>
              <w:rPr>
                <w:rFonts w:ascii="Calibri" w:hAnsi="Calibri"/>
                <w:color w:val="333333"/>
                <w:sz w:val="18"/>
              </w:rPr>
              <w:t>Gain/loss on investments</w:t>
            </w:r>
          </w:p>
        </w:tc>
        <w:tc>
          <w:tcPr>
            <w:tcW w:type="dxa" w:w="2520"/>
            <w:shd w:fill="F2F4F8" w:val="clear"/>
          </w:tcPr>
          <w:p>
            <w:r>
              <w:rPr>
                <w:rFonts w:ascii="Calibri" w:hAnsi="Calibri"/>
                <w:color w:val="333333"/>
                <w:sz w:val="18"/>
              </w:rPr>
              <w:t>$1.0B</w:t>
            </w:r>
          </w:p>
        </w:tc>
        <w:tc>
          <w:tcPr>
            <w:tcW w:type="dxa" w:w="2520"/>
            <w:shd w:fill="F2F4F8" w:val="clear"/>
          </w:tcPr>
          <w:p>
            <w:r>
              <w:rPr>
                <w:rFonts w:ascii="Calibri" w:hAnsi="Calibri"/>
                <w:color w:val="333333"/>
                <w:sz w:val="18"/>
              </w:rPr>
              <w:t>$8.9B</w:t>
            </w:r>
          </w:p>
        </w:tc>
        <w:tc>
          <w:tcPr>
            <w:tcW w:type="dxa" w:w="2520"/>
            <w:shd w:fill="F2F4F8" w:val="clear"/>
            <w:shd w:fill="DCEEF8" w:val="clear"/>
          </w:tcPr>
          <w:p>
            <w:r>
              <w:rPr>
                <w:rFonts w:ascii="Calibri" w:hAnsi="Calibri"/>
                <w:color w:val="333333"/>
                <w:sz w:val="18"/>
              </w:rPr>
              <w:t>765.8%</w:t>
            </w:r>
          </w:p>
        </w:tc>
      </w:tr>
      <w:tr>
        <w:tc>
          <w:tcPr>
            <w:tcW w:type="dxa" w:w="2520"/>
          </w:tcPr>
          <w:p>
            <w:r>
              <w:rPr>
                <w:rFonts w:ascii="Calibri" w:hAnsi="Calibri"/>
                <w:color w:val="333333"/>
                <w:sz w:val="18"/>
              </w:rPr>
              <w:t>Other comprehensive income/loss, net of tax</w:t>
            </w:r>
          </w:p>
        </w:tc>
        <w:tc>
          <w:tcPr>
            <w:tcW w:type="dxa" w:w="2520"/>
          </w:tcPr>
          <w:p>
            <w:r>
              <w:rPr>
                <w:rFonts w:ascii="Calibri" w:hAnsi="Calibri"/>
                <w:color w:val="333333"/>
                <w:sz w:val="18"/>
              </w:rPr>
              <w:t>N/A</w:t>
            </w:r>
          </w:p>
        </w:tc>
        <w:tc>
          <w:tcPr>
            <w:tcW w:type="dxa" w:w="2520"/>
          </w:tcPr>
          <w:p>
            <w:r>
              <w:rPr>
                <w:rFonts w:ascii="Calibri" w:hAnsi="Calibri"/>
                <w:color w:val="333333"/>
                <w:sz w:val="18"/>
              </w:rPr>
              <w:t>$150.0M</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Total operating expenses</w:t>
            </w:r>
          </w:p>
        </w:tc>
        <w:tc>
          <w:tcPr>
            <w:tcW w:type="dxa" w:w="2520"/>
            <w:shd w:fill="F2F4F8" w:val="clear"/>
          </w:tcPr>
          <w:p>
            <w:r>
              <w:rPr>
                <w:rFonts w:ascii="Calibri" w:hAnsi="Calibri"/>
                <w:color w:val="333333"/>
                <w:sz w:val="18"/>
              </w:rPr>
              <w:t>$16.4B</w:t>
            </w:r>
          </w:p>
        </w:tc>
        <w:tc>
          <w:tcPr>
            <w:tcW w:type="dxa" w:w="2520"/>
            <w:shd w:fill="F2F4F8" w:val="clear"/>
          </w:tcPr>
          <w:p>
            <w:r>
              <w:rPr>
                <w:rFonts w:ascii="Calibri" w:hAnsi="Calibri"/>
                <w:color w:val="333333"/>
                <w:sz w:val="18"/>
              </w:rPr>
              <w:t>$23.1B</w:t>
            </w:r>
          </w:p>
        </w:tc>
        <w:tc>
          <w:tcPr>
            <w:tcW w:type="dxa" w:w="2520"/>
            <w:shd w:fill="F2F4F8" w:val="clear"/>
            <w:shd w:fill="DCEEF8" w:val="clear"/>
          </w:tcPr>
          <w:p>
            <w:r>
              <w:rPr>
                <w:rFonts w:ascii="Calibri" w:hAnsi="Calibri"/>
                <w:color w:val="333333"/>
                <w:sz w:val="18"/>
              </w:rPr>
              <w:t>40.7%</w:t>
            </w:r>
          </w:p>
        </w:tc>
      </w:tr>
      <w:tr>
        <w:tc>
          <w:tcPr>
            <w:tcW w:type="dxa" w:w="2520"/>
          </w:tcPr>
          <w:p>
            <w:r>
              <w:rPr>
                <w:rFonts w:ascii="Calibri" w:hAnsi="Calibri"/>
                <w:color w:val="333333"/>
                <w:sz w:val="18"/>
              </w:rPr>
              <w:t>Total costs and expenses</w:t>
            </w:r>
          </w:p>
        </w:tc>
        <w:tc>
          <w:tcPr>
            <w:tcW w:type="dxa" w:w="2520"/>
          </w:tcPr>
          <w:p>
            <w:r>
              <w:rPr>
                <w:rFonts w:ascii="Calibri" w:hAnsi="Calibri"/>
                <w:color w:val="333333"/>
                <w:sz w:val="18"/>
              </w:rPr>
              <w:t>$16.4B</w:t>
            </w:r>
          </w:p>
        </w:tc>
        <w:tc>
          <w:tcPr>
            <w:tcW w:type="dxa" w:w="2520"/>
          </w:tcPr>
          <w:p>
            <w:r>
              <w:rPr>
                <w:rFonts w:ascii="Calibri" w:hAnsi="Calibri"/>
                <w:color w:val="333333"/>
                <w:sz w:val="18"/>
              </w:rPr>
              <w:t>$23.1B</w:t>
            </w:r>
          </w:p>
        </w:tc>
        <w:tc>
          <w:tcPr>
            <w:tcW w:type="dxa" w:w="2520"/>
            <w:shd w:fill="DCEEF8" w:val="clear"/>
          </w:tcPr>
          <w:p>
            <w:r>
              <w:rPr>
                <w:rFonts w:ascii="Calibri" w:hAnsi="Calibri"/>
                <w:color w:val="333333"/>
                <w:sz w:val="18"/>
              </w:rPr>
              <w:t>40.7%</w:t>
            </w:r>
          </w:p>
        </w:tc>
      </w:tr>
      <w:tr>
        <w:tc>
          <w:tcPr>
            <w:tcW w:type="dxa" w:w="2520"/>
            <w:shd w:fill="F2F4F8" w:val="clear"/>
          </w:tcPr>
          <w:p>
            <w:r>
              <w:rPr>
                <w:rFonts w:ascii="Calibri" w:hAnsi="Calibri"/>
                <w:color w:val="333333"/>
                <w:sz w:val="18"/>
              </w:rPr>
              <w:t>Non-operating income / expense</w:t>
            </w:r>
          </w:p>
        </w:tc>
        <w:tc>
          <w:tcPr>
            <w:tcW w:type="dxa" w:w="2520"/>
            <w:shd w:fill="F2F4F8" w:val="clear"/>
          </w:tcPr>
          <w:p>
            <w:r>
              <w:rPr>
                <w:rFonts w:ascii="Calibri" w:hAnsi="Calibri"/>
                <w:color w:val="333333"/>
                <w:sz w:val="18"/>
              </w:rPr>
              <w:t>$2.6B</w:t>
            </w:r>
          </w:p>
        </w:tc>
        <w:tc>
          <w:tcPr>
            <w:tcW w:type="dxa" w:w="2520"/>
            <w:shd w:fill="F2F4F8" w:val="clear"/>
          </w:tcPr>
          <w:p>
            <w:r>
              <w:rPr>
                <w:rFonts w:ascii="Calibri" w:hAnsi="Calibri"/>
                <w:color w:val="333333"/>
                <w:sz w:val="18"/>
              </w:rPr>
              <w:t>$11.1B</w:t>
            </w:r>
          </w:p>
        </w:tc>
        <w:tc>
          <w:tcPr>
            <w:tcW w:type="dxa" w:w="2520"/>
            <w:shd w:fill="F2F4F8" w:val="clear"/>
            <w:shd w:fill="DCEEF8" w:val="clear"/>
          </w:tcPr>
          <w:p>
            <w:r>
              <w:rPr>
                <w:rFonts w:ascii="Calibri" w:hAnsi="Calibri"/>
                <w:color w:val="333333"/>
                <w:sz w:val="18"/>
              </w:rPr>
              <w:t>330.0%</w:t>
            </w:r>
          </w:p>
        </w:tc>
      </w:tr>
      <w:tr>
        <w:tc>
          <w:tcPr>
            <w:tcW w:type="dxa" w:w="2520"/>
          </w:tcPr>
          <w:p>
            <w:r>
              <w:rPr>
                <w:rFonts w:ascii="Calibri" w:hAnsi="Calibri"/>
                <w:color w:val="333333"/>
                <w:sz w:val="18"/>
              </w:rPr>
              <w:t>Current federal income tax expense / benefit</w:t>
            </w:r>
          </w:p>
        </w:tc>
        <w:tc>
          <w:tcPr>
            <w:tcW w:type="dxa" w:w="2520"/>
          </w:tcPr>
          <w:p>
            <w:r>
              <w:rPr>
                <w:rFonts w:ascii="Calibri" w:hAnsi="Calibri"/>
                <w:color w:val="333333"/>
                <w:sz w:val="18"/>
              </w:rPr>
              <w:t>$14.0B</w:t>
            </w:r>
          </w:p>
        </w:tc>
        <w:tc>
          <w:tcPr>
            <w:tcW w:type="dxa" w:w="2520"/>
          </w:tcPr>
          <w:p>
            <w:r>
              <w:rPr>
                <w:rFonts w:ascii="Calibri" w:hAnsi="Calibri"/>
                <w:color w:val="333333"/>
                <w:sz w:val="18"/>
              </w:rPr>
              <w:t>$19.0B</w:t>
            </w:r>
          </w:p>
        </w:tc>
        <w:tc>
          <w:tcPr>
            <w:tcW w:type="dxa" w:w="2520"/>
            <w:shd w:fill="DCEEF8" w:val="clear"/>
          </w:tcPr>
          <w:p>
            <w:r>
              <w:rPr>
                <w:rFonts w:ascii="Calibri" w:hAnsi="Calibri"/>
                <w:color w:val="333333"/>
                <w:sz w:val="18"/>
              </w:rPr>
              <w:t>35.7%</w:t>
            </w:r>
          </w:p>
        </w:tc>
      </w:tr>
      <w:tr>
        <w:tc>
          <w:tcPr>
            <w:tcW w:type="dxa" w:w="2520"/>
            <w:shd w:fill="F2F4F8" w:val="clear"/>
          </w:tcPr>
          <w:p>
            <w:r>
              <w:rPr>
                <w:rFonts w:ascii="Calibri" w:hAnsi="Calibri"/>
                <w:color w:val="333333"/>
                <w:sz w:val="18"/>
              </w:rPr>
              <w:t>Current state and local income tax expense / benefit</w:t>
            </w:r>
          </w:p>
        </w:tc>
        <w:tc>
          <w:tcPr>
            <w:tcW w:type="dxa" w:w="2520"/>
            <w:shd w:fill="F2F4F8" w:val="clear"/>
          </w:tcPr>
          <w:p>
            <w:r>
              <w:rPr>
                <w:rFonts w:ascii="Calibri" w:hAnsi="Calibri"/>
                <w:color w:val="333333"/>
                <w:sz w:val="18"/>
              </w:rPr>
              <w:t>$892.0M</w:t>
            </w:r>
          </w:p>
        </w:tc>
        <w:tc>
          <w:tcPr>
            <w:tcW w:type="dxa" w:w="2520"/>
            <w:shd w:fill="F2F4F8" w:val="clear"/>
          </w:tcPr>
          <w:p>
            <w:r>
              <w:rPr>
                <w:rFonts w:ascii="Calibri" w:hAnsi="Calibri"/>
                <w:color w:val="333333"/>
                <w:sz w:val="18"/>
              </w:rPr>
              <w:t>$1.2B</w:t>
            </w:r>
          </w:p>
        </w:tc>
        <w:tc>
          <w:tcPr>
            <w:tcW w:type="dxa" w:w="2520"/>
            <w:shd w:fill="F2F4F8" w:val="clear"/>
            <w:shd w:fill="DCEEF8" w:val="clear"/>
          </w:tcPr>
          <w:p>
            <w:r>
              <w:rPr>
                <w:rFonts w:ascii="Calibri" w:hAnsi="Calibri"/>
                <w:color w:val="333333"/>
                <w:sz w:val="18"/>
              </w:rPr>
              <w:t>36.5%</w:t>
            </w:r>
          </w:p>
        </w:tc>
      </w:tr>
      <w:tr>
        <w:tc>
          <w:tcPr>
            <w:tcW w:type="dxa" w:w="2520"/>
          </w:tcPr>
          <w:p>
            <w:r>
              <w:rPr>
                <w:rFonts w:ascii="Calibri" w:hAnsi="Calibri"/>
                <w:color w:val="333333"/>
                <w:sz w:val="18"/>
              </w:rPr>
              <w:t>Current foreign income tax expense / benefit</w:t>
            </w:r>
          </w:p>
        </w:tc>
        <w:tc>
          <w:tcPr>
            <w:tcW w:type="dxa" w:w="2520"/>
          </w:tcPr>
          <w:p>
            <w:r>
              <w:rPr>
                <w:rFonts w:ascii="Calibri" w:hAnsi="Calibri"/>
                <w:color w:val="333333"/>
                <w:sz w:val="18"/>
              </w:rPr>
              <w:t>$699.0M</w:t>
            </w:r>
          </w:p>
        </w:tc>
        <w:tc>
          <w:tcPr>
            <w:tcW w:type="dxa" w:w="2520"/>
          </w:tcPr>
          <w:p>
            <w:r>
              <w:rPr>
                <w:rFonts w:ascii="Calibri" w:hAnsi="Calibri"/>
                <w:color w:val="333333"/>
                <w:sz w:val="18"/>
              </w:rPr>
              <w:t>$2.5B</w:t>
            </w:r>
          </w:p>
        </w:tc>
        <w:tc>
          <w:tcPr>
            <w:tcW w:type="dxa" w:w="2520"/>
            <w:shd w:fill="DCEEF8" w:val="clear"/>
          </w:tcPr>
          <w:p>
            <w:r>
              <w:rPr>
                <w:rFonts w:ascii="Calibri" w:hAnsi="Calibri"/>
                <w:color w:val="333333"/>
                <w:sz w:val="18"/>
              </w:rPr>
              <w:t>264.8%</w:t>
            </w:r>
          </w:p>
        </w:tc>
      </w:tr>
      <w:tr>
        <w:tc>
          <w:tcPr>
            <w:tcW w:type="dxa" w:w="2520"/>
            <w:shd w:fill="F2F4F8" w:val="clear"/>
          </w:tcPr>
          <w:p>
            <w:r>
              <w:rPr>
                <w:rFonts w:ascii="Calibri" w:hAnsi="Calibri"/>
                <w:color w:val="333333"/>
                <w:sz w:val="18"/>
              </w:rPr>
              <w:t>Deferred federal income tax expense / benefit</w:t>
            </w:r>
          </w:p>
        </w:tc>
        <w:tc>
          <w:tcPr>
            <w:tcW w:type="dxa" w:w="2520"/>
            <w:shd w:fill="F2F4F8" w:val="clear"/>
          </w:tcPr>
          <w:p>
            <w:r>
              <w:rPr>
                <w:rFonts w:ascii="Calibri" w:hAnsi="Calibri"/>
                <w:color w:val="333333"/>
                <w:sz w:val="18"/>
              </w:rPr>
              <w:t>$-4.5B</w:t>
            </w:r>
          </w:p>
        </w:tc>
        <w:tc>
          <w:tcPr>
            <w:tcW w:type="dxa" w:w="2520"/>
            <w:shd w:fill="F2F4F8" w:val="clear"/>
          </w:tcPr>
          <w:p>
            <w:r>
              <w:rPr>
                <w:rFonts w:ascii="Calibri" w:hAnsi="Calibri"/>
                <w:color w:val="333333"/>
                <w:sz w:val="18"/>
              </w:rPr>
              <w:t>$-1.4B</w:t>
            </w:r>
          </w:p>
        </w:tc>
        <w:tc>
          <w:tcPr>
            <w:tcW w:type="dxa" w:w="2520"/>
            <w:shd w:fill="F2F4F8" w:val="clear"/>
            <w:shd w:fill="DCEEF8" w:val="clear"/>
          </w:tcPr>
          <w:p>
            <w:r>
              <w:rPr>
                <w:rFonts w:ascii="Calibri" w:hAnsi="Calibri"/>
                <w:color w:val="333333"/>
                <w:sz w:val="18"/>
              </w:rPr>
              <w:t>69.8%</w:t>
            </w:r>
          </w:p>
        </w:tc>
      </w:tr>
      <w:tr>
        <w:tc>
          <w:tcPr>
            <w:tcW w:type="dxa" w:w="2520"/>
          </w:tcPr>
          <w:p>
            <w:r>
              <w:rPr>
                <w:rFonts w:ascii="Calibri" w:hAnsi="Calibri"/>
                <w:color w:val="333333"/>
                <w:sz w:val="18"/>
              </w:rPr>
              <w:t>Deferred state and local income tax expense / benefit</w:t>
            </w:r>
          </w:p>
        </w:tc>
        <w:tc>
          <w:tcPr>
            <w:tcW w:type="dxa" w:w="2520"/>
          </w:tcPr>
          <w:p>
            <w:r>
              <w:rPr>
                <w:rFonts w:ascii="Calibri" w:hAnsi="Calibri"/>
                <w:color w:val="333333"/>
                <w:sz w:val="18"/>
              </w:rPr>
              <w:t>$-242.0M</w:t>
            </w:r>
          </w:p>
        </w:tc>
        <w:tc>
          <w:tcPr>
            <w:tcW w:type="dxa" w:w="2520"/>
          </w:tcPr>
          <w:p>
            <w:r>
              <w:rPr>
                <w:rFonts w:ascii="Calibri" w:hAnsi="Calibri"/>
                <w:color w:val="333333"/>
                <w:sz w:val="18"/>
              </w:rPr>
              <w:t>$-885.0M</w:t>
            </w:r>
          </w:p>
        </w:tc>
        <w:tc>
          <w:tcPr>
            <w:tcW w:type="dxa" w:w="2520"/>
            <w:shd w:fill="FCE8E6" w:val="clear"/>
          </w:tcPr>
          <w:p>
            <w:r>
              <w:rPr>
                <w:rFonts w:ascii="Calibri" w:hAnsi="Calibri"/>
                <w:color w:val="333333"/>
                <w:sz w:val="18"/>
              </w:rPr>
              <w:t>-265.7%</w:t>
            </w:r>
          </w:p>
        </w:tc>
      </w:tr>
      <w:tr>
        <w:tc>
          <w:tcPr>
            <w:tcW w:type="dxa" w:w="2520"/>
            <w:shd w:fill="F2F4F8" w:val="clear"/>
          </w:tcPr>
          <w:p>
            <w:r>
              <w:rPr>
                <w:rFonts w:ascii="Calibri" w:hAnsi="Calibri"/>
                <w:color w:val="333333"/>
                <w:sz w:val="18"/>
              </w:rPr>
              <w:t>Deferred foreign income tax expense / benefit</w:t>
            </w:r>
          </w:p>
        </w:tc>
        <w:tc>
          <w:tcPr>
            <w:tcW w:type="dxa" w:w="2520"/>
            <w:shd w:fill="F2F4F8" w:val="clear"/>
          </w:tcPr>
          <w:p>
            <w:r>
              <w:rPr>
                <w:rFonts w:ascii="Calibri" w:hAnsi="Calibri"/>
                <w:color w:val="333333"/>
                <w:sz w:val="18"/>
              </w:rPr>
              <w:t>$280.0M</w:t>
            </w:r>
          </w:p>
        </w:tc>
        <w:tc>
          <w:tcPr>
            <w:tcW w:type="dxa" w:w="2520"/>
            <w:shd w:fill="F2F4F8" w:val="clear"/>
          </w:tcPr>
          <w:p>
            <w:r>
              <w:rPr>
                <w:rFonts w:ascii="Calibri" w:hAnsi="Calibri"/>
                <w:color w:val="333333"/>
                <w:sz w:val="18"/>
              </w:rPr>
              <w:t>$825.0M</w:t>
            </w:r>
          </w:p>
        </w:tc>
        <w:tc>
          <w:tcPr>
            <w:tcW w:type="dxa" w:w="2520"/>
            <w:shd w:fill="F2F4F8" w:val="clear"/>
            <w:shd w:fill="DCEEF8" w:val="clear"/>
          </w:tcPr>
          <w:p>
            <w:r>
              <w:rPr>
                <w:rFonts w:ascii="Calibri" w:hAnsi="Calibri"/>
                <w:color w:val="333333"/>
                <w:sz w:val="18"/>
              </w:rPr>
              <w:t>194.6%</w:t>
            </w:r>
          </w:p>
        </w:tc>
      </w:tr>
      <w:tr>
        <w:tc>
          <w:tcPr>
            <w:tcW w:type="dxa" w:w="2520"/>
          </w:tcPr>
          <w:p>
            <w:r>
              <w:rPr>
                <w:rFonts w:ascii="Calibri" w:hAnsi="Calibri"/>
                <w:color w:val="333333"/>
                <w:sz w:val="18"/>
              </w:rPr>
              <w:t>Goodwill impairment loss</w:t>
            </w:r>
          </w:p>
        </w:tc>
        <w:tc>
          <w:tcPr>
            <w:tcW w:type="dxa" w:w="2520"/>
          </w:tcPr>
          <w:p>
            <w:r>
              <w:rPr>
                <w:rFonts w:ascii="Calibri" w:hAnsi="Calibri"/>
                <w:color w:val="333333"/>
                <w:sz w:val="18"/>
              </w:rPr>
              <w:t>$0</w:t>
            </w:r>
          </w:p>
        </w:tc>
        <w:tc>
          <w:tcPr>
            <w:tcW w:type="dxa" w:w="2520"/>
          </w:tcPr>
          <w:p>
            <w:r>
              <w:rPr>
                <w:rFonts w:ascii="Calibri" w:hAnsi="Calibri"/>
                <w:color w:val="333333"/>
                <w:sz w:val="18"/>
              </w:rPr>
              <w:t>$0</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RSU/restricted stock units granted in period</w:t>
            </w:r>
          </w:p>
        </w:tc>
        <w:tc>
          <w:tcPr>
            <w:tcW w:type="dxa" w:w="2520"/>
            <w:shd w:fill="F2F4F8" w:val="clear"/>
          </w:tcPr>
          <w:p>
            <w:r>
              <w:rPr>
                <w:rFonts w:ascii="Calibri" w:hAnsi="Calibri"/>
                <w:color w:val="333333"/>
                <w:sz w:val="18"/>
              </w:rPr>
              <w:t>$89.0M</w:t>
            </w:r>
          </w:p>
        </w:tc>
        <w:tc>
          <w:tcPr>
            <w:tcW w:type="dxa" w:w="2520"/>
            <w:shd w:fill="F2F4F8" w:val="clear"/>
          </w:tcPr>
          <w:p>
            <w:r>
              <w:rPr>
                <w:rFonts w:ascii="Calibri" w:hAnsi="Calibri"/>
                <w:color w:val="333333"/>
                <w:sz w:val="18"/>
              </w:rPr>
              <w:t>$70.0M</w:t>
            </w:r>
          </w:p>
        </w:tc>
        <w:tc>
          <w:tcPr>
            <w:tcW w:type="dxa" w:w="2520"/>
            <w:shd w:fill="F2F4F8" w:val="clear"/>
            <w:shd w:fill="FCE8E6" w:val="clear"/>
          </w:tcPr>
          <w:p>
            <w:r>
              <w:rPr>
                <w:rFonts w:ascii="Calibri" w:hAnsi="Calibri"/>
                <w:color w:val="333333"/>
                <w:sz w:val="18"/>
              </w:rPr>
              <w:t>-21.4%</w:t>
            </w:r>
          </w:p>
        </w:tc>
      </w:tr>
      <w:tr>
        <w:tc>
          <w:tcPr>
            <w:tcW w:type="dxa" w:w="2520"/>
          </w:tcPr>
          <w:p>
            <w:r>
              <w:rPr>
                <w:rFonts w:ascii="Calibri" w:hAnsi="Calibri"/>
                <w:color w:val="333333"/>
                <w:sz w:val="18"/>
              </w:rPr>
              <w:t>Gross margin percentage</w:t>
            </w:r>
          </w:p>
        </w:tc>
        <w:tc>
          <w:tcPr>
            <w:tcW w:type="dxa" w:w="2520"/>
          </w:tcPr>
          <w:p>
            <w:r>
              <w:rPr>
                <w:rFonts w:ascii="Calibri" w:hAnsi="Calibri"/>
                <w:color w:val="333333"/>
                <w:sz w:val="18"/>
              </w:rPr>
              <w:t>75.0%</w:t>
            </w:r>
          </w:p>
        </w:tc>
        <w:tc>
          <w:tcPr>
            <w:tcW w:type="dxa" w:w="2520"/>
          </w:tcPr>
          <w:p>
            <w:r>
              <w:rPr>
                <w:rFonts w:ascii="Calibri" w:hAnsi="Calibri"/>
                <w:color w:val="333333"/>
                <w:sz w:val="18"/>
              </w:rPr>
              <w:t>71.1%</w:t>
            </w:r>
          </w:p>
        </w:tc>
        <w:tc>
          <w:tcPr>
            <w:tcW w:type="dxa" w:w="2520"/>
            <w:shd w:fill="FFF3CD" w:val="clear"/>
          </w:tcPr>
          <w:p>
            <w:r>
              <w:rPr>
                <w:rFonts w:ascii="Calibri" w:hAnsi="Calibri"/>
                <w:color w:val="333333"/>
                <w:sz w:val="18"/>
              </w:rPr>
              <w:t>-5.2%</w:t>
            </w:r>
          </w:p>
        </w:tc>
      </w:tr>
      <w:tr>
        <w:tc>
          <w:tcPr>
            <w:tcW w:type="dxa" w:w="2520"/>
            <w:shd w:fill="F2F4F8" w:val="clear"/>
          </w:tcPr>
          <w:p>
            <w:r>
              <w:rPr>
                <w:rFonts w:ascii="Calibri" w:hAnsi="Calibri"/>
                <w:color w:val="333333"/>
                <w:sz w:val="18"/>
              </w:rPr>
              <w:t>Operating margin percentage</w:t>
            </w:r>
          </w:p>
        </w:tc>
        <w:tc>
          <w:tcPr>
            <w:tcW w:type="dxa" w:w="2520"/>
            <w:shd w:fill="F2F4F8" w:val="clear"/>
          </w:tcPr>
          <w:p>
            <w:r>
              <w:rPr>
                <w:rFonts w:ascii="Calibri" w:hAnsi="Calibri"/>
                <w:color w:val="333333"/>
                <w:sz w:val="18"/>
              </w:rPr>
              <w:t>62.4%</w:t>
            </w:r>
          </w:p>
        </w:tc>
        <w:tc>
          <w:tcPr>
            <w:tcW w:type="dxa" w:w="2520"/>
            <w:shd w:fill="F2F4F8" w:val="clear"/>
          </w:tcPr>
          <w:p>
            <w:r>
              <w:rPr>
                <w:rFonts w:ascii="Calibri" w:hAnsi="Calibri"/>
                <w:color w:val="333333"/>
                <w:sz w:val="18"/>
              </w:rPr>
              <w:t>60.4%</w:t>
            </w:r>
          </w:p>
        </w:tc>
        <w:tc>
          <w:tcPr>
            <w:tcW w:type="dxa" w:w="2520"/>
            <w:shd w:fill="F2F4F8" w:val="clear"/>
            <w:shd w:fill="FFF3CD" w:val="clear"/>
          </w:tcPr>
          <w:p>
            <w:r>
              <w:rPr>
                <w:rFonts w:ascii="Calibri" w:hAnsi="Calibri"/>
                <w:color w:val="333333"/>
                <w:sz w:val="18"/>
              </w:rPr>
              <w:t>-3.3%</w:t>
            </w:r>
          </w:p>
        </w:tc>
      </w:tr>
      <w:tr>
        <w:tc>
          <w:tcPr>
            <w:tcW w:type="dxa" w:w="2520"/>
          </w:tcPr>
          <w:p>
            <w:r>
              <w:rPr>
                <w:rFonts w:ascii="Calibri" w:hAnsi="Calibri"/>
                <w:color w:val="333333"/>
                <w:sz w:val="18"/>
              </w:rPr>
              <w:t>Net margin percentage</w:t>
            </w:r>
          </w:p>
        </w:tc>
        <w:tc>
          <w:tcPr>
            <w:tcW w:type="dxa" w:w="2520"/>
          </w:tcPr>
          <w:p>
            <w:r>
              <w:rPr>
                <w:rFonts w:ascii="Calibri" w:hAnsi="Calibri"/>
                <w:color w:val="333333"/>
                <w:sz w:val="18"/>
              </w:rPr>
              <w:t>55.9%</w:t>
            </w:r>
          </w:p>
        </w:tc>
        <w:tc>
          <w:tcPr>
            <w:tcW w:type="dxa" w:w="2520"/>
          </w:tcPr>
          <w:p>
            <w:r>
              <w:rPr>
                <w:rFonts w:ascii="Calibri" w:hAnsi="Calibri"/>
                <w:color w:val="333333"/>
                <w:sz w:val="18"/>
              </w:rPr>
              <w:t>55.6%</w:t>
            </w:r>
          </w:p>
        </w:tc>
        <w:tc>
          <w:tcPr>
            <w:tcW w:type="dxa" w:w="2520"/>
          </w:tcPr>
          <w:p>
            <w:r>
              <w:rPr>
                <w:rFonts w:ascii="Calibri" w:hAnsi="Calibri"/>
                <w:color w:val="333333"/>
                <w:sz w:val="18"/>
              </w:rPr>
              <w:t>-0.5%</w:t>
            </w:r>
          </w:p>
        </w:tc>
      </w:tr>
      <w:tr>
        <w:tc>
          <w:tcPr>
            <w:tcW w:type="dxa" w:w="2520"/>
            <w:shd w:fill="F2F4F8" w:val="clear"/>
          </w:tcPr>
          <w:p>
            <w:r>
              <w:rPr>
                <w:rFonts w:ascii="Calibri" w:hAnsi="Calibri"/>
                <w:color w:val="333333"/>
                <w:sz w:val="18"/>
              </w:rPr>
              <w:t>EBITDA margin percentage</w:t>
            </w:r>
          </w:p>
        </w:tc>
        <w:tc>
          <w:tcPr>
            <w:tcW w:type="dxa" w:w="2520"/>
            <w:shd w:fill="F2F4F8" w:val="clear"/>
          </w:tcPr>
          <w:p>
            <w:r>
              <w:rPr>
                <w:rFonts w:ascii="Calibri" w:hAnsi="Calibri"/>
                <w:color w:val="333333"/>
                <w:sz w:val="18"/>
              </w:rPr>
              <w:t>63.9%</w:t>
            </w:r>
          </w:p>
        </w:tc>
        <w:tc>
          <w:tcPr>
            <w:tcW w:type="dxa" w:w="2520"/>
            <w:shd w:fill="F2F4F8" w:val="clear"/>
          </w:tcPr>
          <w:p>
            <w:r>
              <w:rPr>
                <w:rFonts w:ascii="Calibri" w:hAnsi="Calibri"/>
                <w:color w:val="333333"/>
                <w:sz w:val="18"/>
              </w:rPr>
              <w:t>61.7%</w:t>
            </w:r>
          </w:p>
        </w:tc>
        <w:tc>
          <w:tcPr>
            <w:tcW w:type="dxa" w:w="2520"/>
            <w:shd w:fill="F2F4F8" w:val="clear"/>
            <w:shd w:fill="FFF3CD" w:val="clear"/>
          </w:tcPr>
          <w:p>
            <w:r>
              <w:rPr>
                <w:rFonts w:ascii="Calibri" w:hAnsi="Calibri"/>
                <w:color w:val="333333"/>
                <w:sz w:val="18"/>
              </w:rPr>
              <w:t>-3.4%</w:t>
            </w:r>
          </w:p>
        </w:tc>
      </w:tr>
      <w:tr>
        <w:tc>
          <w:tcPr>
            <w:tcW w:type="dxa" w:w="2520"/>
          </w:tcPr>
          <w:p>
            <w:r>
              <w:rPr>
                <w:rFonts w:ascii="Calibri" w:hAnsi="Calibri"/>
                <w:color w:val="333333"/>
                <w:sz w:val="18"/>
              </w:rPr>
              <w:t>Effective tax rate</w:t>
            </w:r>
          </w:p>
        </w:tc>
        <w:tc>
          <w:tcPr>
            <w:tcW w:type="dxa" w:w="2520"/>
          </w:tcPr>
          <w:p>
            <w:r>
              <w:rPr>
                <w:rFonts w:ascii="Calibri" w:hAnsi="Calibri"/>
                <w:color w:val="333333"/>
                <w:sz w:val="18"/>
              </w:rPr>
              <w:t>$13</w:t>
            </w:r>
          </w:p>
        </w:tc>
        <w:tc>
          <w:tcPr>
            <w:tcW w:type="dxa" w:w="2520"/>
          </w:tcPr>
          <w:p>
            <w:r>
              <w:rPr>
                <w:rFonts w:ascii="Calibri" w:hAnsi="Calibri"/>
                <w:color w:val="333333"/>
                <w:sz w:val="18"/>
              </w:rPr>
              <w:t>$15</w:t>
            </w:r>
          </w:p>
        </w:tc>
        <w:tc>
          <w:tcPr>
            <w:tcW w:type="dxa" w:w="2520"/>
            <w:shd w:fill="DCEEF8" w:val="clear"/>
          </w:tcPr>
          <w:p>
            <w:r>
              <w:rPr>
                <w:rFonts w:ascii="Calibri" w:hAnsi="Calibri"/>
                <w:color w:val="333333"/>
                <w:sz w:val="18"/>
              </w:rPr>
              <w:t>14.0%</w:t>
            </w:r>
          </w:p>
        </w:tc>
      </w:tr>
      <w:tr>
        <w:tc>
          <w:tcPr>
            <w:tcW w:type="dxa" w:w="2520"/>
            <w:shd w:fill="F2F4F8" w:val="clear"/>
          </w:tcPr>
          <w:p>
            <w:r>
              <w:rPr>
                <w:rFonts w:ascii="Calibri" w:hAnsi="Calibri"/>
                <w:color w:val="333333"/>
                <w:sz w:val="18"/>
              </w:rPr>
              <w:t>Interest coverage ratio</w:t>
            </w:r>
          </w:p>
        </w:tc>
        <w:tc>
          <w:tcPr>
            <w:tcW w:type="dxa" w:w="2520"/>
            <w:shd w:fill="F2F4F8" w:val="clear"/>
          </w:tcPr>
          <w:p>
            <w:r>
              <w:rPr>
                <w:rFonts w:ascii="Calibri" w:hAnsi="Calibri"/>
                <w:color w:val="333333"/>
                <w:sz w:val="18"/>
              </w:rPr>
              <w:t>$331</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r>
    </w:tbl>
    <w:p>
      <w:pPr>
        <w:pStyle w:val="DOHeading2"/>
      </w:pPr>
      <w:r>
        <w:t>Balance Sheet</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Metric</w:t>
            </w:r>
          </w:p>
        </w:tc>
        <w:tc>
          <w:tcPr>
            <w:tcW w:type="dxa" w:w="2520"/>
            <w:shd w:fill="1A1446" w:val="clear"/>
          </w:tcPr>
          <w:p>
            <w:r>
              <w:rPr>
                <w:rFonts w:ascii="Calibri" w:hAnsi="Calibri"/>
                <w:b/>
                <w:color w:val="FFFFFF"/>
                <w:sz w:val="18"/>
              </w:rPr>
              <w:t>FY2025</w:t>
            </w:r>
          </w:p>
        </w:tc>
        <w:tc>
          <w:tcPr>
            <w:tcW w:type="dxa" w:w="2520"/>
            <w:shd w:fill="1A1446" w:val="clear"/>
          </w:tcPr>
          <w:p>
            <w:r>
              <w:rPr>
                <w:rFonts w:ascii="Calibri" w:hAnsi="Calibri"/>
                <w:b/>
                <w:color w:val="FFFFFF"/>
                <w:sz w:val="18"/>
              </w:rPr>
              <w:t>FY2026</w:t>
            </w:r>
          </w:p>
        </w:tc>
        <w:tc>
          <w:tcPr>
            <w:tcW w:type="dxa" w:w="2520"/>
            <w:shd w:fill="1A1446" w:val="clear"/>
          </w:tcPr>
          <w:p>
            <w:r>
              <w:rPr>
                <w:rFonts w:ascii="Calibri" w:hAnsi="Calibri"/>
                <w:b/>
                <w:color w:val="FFFFFF"/>
                <w:sz w:val="18"/>
              </w:rPr>
              <w:t>YoY Change</w:t>
            </w:r>
          </w:p>
        </w:tc>
      </w:tr>
      <w:tr>
        <w:tc>
          <w:tcPr>
            <w:tcW w:type="dxa" w:w="2520"/>
          </w:tcPr>
          <w:p>
            <w:r>
              <w:rPr>
                <w:rFonts w:ascii="Calibri" w:hAnsi="Calibri"/>
                <w:color w:val="333333"/>
                <w:sz w:val="18"/>
              </w:rPr>
              <w:t>Total assets</w:t>
            </w:r>
          </w:p>
        </w:tc>
        <w:tc>
          <w:tcPr>
            <w:tcW w:type="dxa" w:w="2520"/>
          </w:tcPr>
          <w:p>
            <w:r>
              <w:rPr>
                <w:rFonts w:ascii="Calibri" w:hAnsi="Calibri"/>
                <w:color w:val="333333"/>
                <w:sz w:val="18"/>
              </w:rPr>
              <w:t>$111.6B</w:t>
            </w:r>
          </w:p>
        </w:tc>
        <w:tc>
          <w:tcPr>
            <w:tcW w:type="dxa" w:w="2520"/>
          </w:tcPr>
          <w:p>
            <w:r>
              <w:rPr>
                <w:rFonts w:ascii="Calibri" w:hAnsi="Calibri"/>
                <w:color w:val="333333"/>
                <w:sz w:val="18"/>
              </w:rPr>
              <w:t>$206.8B</w:t>
            </w:r>
          </w:p>
        </w:tc>
        <w:tc>
          <w:tcPr>
            <w:tcW w:type="dxa" w:w="2520"/>
            <w:shd w:fill="DCEEF8" w:val="clear"/>
          </w:tcPr>
          <w:p>
            <w:r>
              <w:rPr>
                <w:rFonts w:ascii="Calibri" w:hAnsi="Calibri"/>
                <w:color w:val="333333"/>
                <w:sz w:val="18"/>
              </w:rPr>
              <w:t>85.3%</w:t>
            </w:r>
          </w:p>
        </w:tc>
      </w:tr>
      <w:tr>
        <w:tc>
          <w:tcPr>
            <w:tcW w:type="dxa" w:w="2520"/>
            <w:shd w:fill="F2F4F8" w:val="clear"/>
          </w:tcPr>
          <w:p>
            <w:r>
              <w:rPr>
                <w:rFonts w:ascii="Calibri" w:hAnsi="Calibri"/>
                <w:color w:val="333333"/>
                <w:sz w:val="18"/>
              </w:rPr>
              <w:t>Total liabilities</w:t>
            </w:r>
          </w:p>
        </w:tc>
        <w:tc>
          <w:tcPr>
            <w:tcW w:type="dxa" w:w="2520"/>
            <w:shd w:fill="F2F4F8" w:val="clear"/>
          </w:tcPr>
          <w:p>
            <w:r>
              <w:rPr>
                <w:rFonts w:ascii="Calibri" w:hAnsi="Calibri"/>
                <w:color w:val="333333"/>
                <w:sz w:val="18"/>
              </w:rPr>
              <w:t>$32.3B</w:t>
            </w:r>
          </w:p>
        </w:tc>
        <w:tc>
          <w:tcPr>
            <w:tcW w:type="dxa" w:w="2520"/>
            <w:shd w:fill="F2F4F8" w:val="clear"/>
          </w:tcPr>
          <w:p>
            <w:r>
              <w:rPr>
                <w:rFonts w:ascii="Calibri" w:hAnsi="Calibri"/>
                <w:color w:val="333333"/>
                <w:sz w:val="18"/>
              </w:rPr>
              <w:t>$49.5B</w:t>
            </w:r>
          </w:p>
        </w:tc>
        <w:tc>
          <w:tcPr>
            <w:tcW w:type="dxa" w:w="2520"/>
            <w:shd w:fill="F2F4F8" w:val="clear"/>
            <w:shd w:fill="DCEEF8" w:val="clear"/>
          </w:tcPr>
          <w:p>
            <w:r>
              <w:rPr>
                <w:rFonts w:ascii="Calibri" w:hAnsi="Calibri"/>
                <w:color w:val="333333"/>
                <w:sz w:val="18"/>
              </w:rPr>
              <w:t>53.4%</w:t>
            </w:r>
          </w:p>
        </w:tc>
      </w:tr>
      <w:tr>
        <w:tc>
          <w:tcPr>
            <w:tcW w:type="dxa" w:w="2520"/>
          </w:tcPr>
          <w:p>
            <w:r>
              <w:rPr>
                <w:rFonts w:ascii="Calibri" w:hAnsi="Calibri"/>
                <w:color w:val="333333"/>
                <w:sz w:val="18"/>
              </w:rPr>
              <w:t>Total stockholders' equity</w:t>
            </w:r>
          </w:p>
        </w:tc>
        <w:tc>
          <w:tcPr>
            <w:tcW w:type="dxa" w:w="2520"/>
          </w:tcPr>
          <w:p>
            <w:r>
              <w:rPr>
                <w:rFonts w:ascii="Calibri" w:hAnsi="Calibri"/>
                <w:color w:val="333333"/>
                <w:sz w:val="18"/>
              </w:rPr>
              <w:t>$79.3B</w:t>
            </w:r>
          </w:p>
        </w:tc>
        <w:tc>
          <w:tcPr>
            <w:tcW w:type="dxa" w:w="2520"/>
          </w:tcPr>
          <w:p>
            <w:r>
              <w:rPr>
                <w:rFonts w:ascii="Calibri" w:hAnsi="Calibri"/>
                <w:color w:val="333333"/>
                <w:sz w:val="18"/>
              </w:rPr>
              <w:t>$157.3B</w:t>
            </w:r>
          </w:p>
        </w:tc>
        <w:tc>
          <w:tcPr>
            <w:tcW w:type="dxa" w:w="2520"/>
            <w:shd w:fill="DCEEF8" w:val="clear"/>
          </w:tcPr>
          <w:p>
            <w:r>
              <w:rPr>
                <w:rFonts w:ascii="Calibri" w:hAnsi="Calibri"/>
                <w:color w:val="333333"/>
                <w:sz w:val="18"/>
              </w:rPr>
              <w:t>98.3%</w:t>
            </w:r>
          </w:p>
        </w:tc>
      </w:tr>
      <w:tr>
        <w:tc>
          <w:tcPr>
            <w:tcW w:type="dxa" w:w="2520"/>
            <w:shd w:fill="F2F4F8" w:val="clear"/>
          </w:tcPr>
          <w:p>
            <w:r>
              <w:rPr>
                <w:rFonts w:ascii="Calibri" w:hAnsi="Calibri"/>
                <w:color w:val="333333"/>
                <w:sz w:val="18"/>
              </w:rPr>
              <w:t>Total current assets</w:t>
            </w:r>
          </w:p>
        </w:tc>
        <w:tc>
          <w:tcPr>
            <w:tcW w:type="dxa" w:w="2520"/>
            <w:shd w:fill="F2F4F8" w:val="clear"/>
          </w:tcPr>
          <w:p>
            <w:r>
              <w:rPr>
                <w:rFonts w:ascii="Calibri" w:hAnsi="Calibri"/>
                <w:color w:val="333333"/>
                <w:sz w:val="18"/>
              </w:rPr>
              <w:t>$80.1B</w:t>
            </w:r>
          </w:p>
        </w:tc>
        <w:tc>
          <w:tcPr>
            <w:tcW w:type="dxa" w:w="2520"/>
            <w:shd w:fill="F2F4F8" w:val="clear"/>
          </w:tcPr>
          <w:p>
            <w:r>
              <w:rPr>
                <w:rFonts w:ascii="Calibri" w:hAnsi="Calibri"/>
                <w:color w:val="333333"/>
                <w:sz w:val="18"/>
              </w:rPr>
              <w:t>$125.6B</w:t>
            </w:r>
          </w:p>
        </w:tc>
        <w:tc>
          <w:tcPr>
            <w:tcW w:type="dxa" w:w="2520"/>
            <w:shd w:fill="F2F4F8" w:val="clear"/>
            <w:shd w:fill="DCEEF8" w:val="clear"/>
          </w:tcPr>
          <w:p>
            <w:r>
              <w:rPr>
                <w:rFonts w:ascii="Calibri" w:hAnsi="Calibri"/>
                <w:color w:val="333333"/>
                <w:sz w:val="18"/>
              </w:rPr>
              <w:t>56.8%</w:t>
            </w:r>
          </w:p>
        </w:tc>
      </w:tr>
      <w:tr>
        <w:tc>
          <w:tcPr>
            <w:tcW w:type="dxa" w:w="2520"/>
          </w:tcPr>
          <w:p>
            <w:r>
              <w:rPr>
                <w:rFonts w:ascii="Calibri" w:hAnsi="Calibri"/>
                <w:color w:val="333333"/>
                <w:sz w:val="18"/>
              </w:rPr>
              <w:t>Total current liabilities</w:t>
            </w:r>
          </w:p>
        </w:tc>
        <w:tc>
          <w:tcPr>
            <w:tcW w:type="dxa" w:w="2520"/>
          </w:tcPr>
          <w:p>
            <w:r>
              <w:rPr>
                <w:rFonts w:ascii="Calibri" w:hAnsi="Calibri"/>
                <w:color w:val="333333"/>
                <w:sz w:val="18"/>
              </w:rPr>
              <w:t>$18.0B</w:t>
            </w:r>
          </w:p>
        </w:tc>
        <w:tc>
          <w:tcPr>
            <w:tcW w:type="dxa" w:w="2520"/>
          </w:tcPr>
          <w:p>
            <w:r>
              <w:rPr>
                <w:rFonts w:ascii="Calibri" w:hAnsi="Calibri"/>
                <w:color w:val="333333"/>
                <w:sz w:val="18"/>
              </w:rPr>
              <w:t>$32.2B</w:t>
            </w:r>
          </w:p>
        </w:tc>
        <w:tc>
          <w:tcPr>
            <w:tcW w:type="dxa" w:w="2520"/>
            <w:shd w:fill="DCEEF8" w:val="clear"/>
          </w:tcPr>
          <w:p>
            <w:r>
              <w:rPr>
                <w:rFonts w:ascii="Calibri" w:hAnsi="Calibri"/>
                <w:color w:val="333333"/>
                <w:sz w:val="18"/>
              </w:rPr>
              <w:t>78.2%</w:t>
            </w:r>
          </w:p>
        </w:tc>
      </w:tr>
      <w:tr>
        <w:tc>
          <w:tcPr>
            <w:tcW w:type="dxa" w:w="2520"/>
            <w:shd w:fill="F2F4F8" w:val="clear"/>
          </w:tcPr>
          <w:p>
            <w:r>
              <w:rPr>
                <w:rFonts w:ascii="Calibri" w:hAnsi="Calibri"/>
                <w:color w:val="333333"/>
                <w:sz w:val="18"/>
              </w:rPr>
              <w:t>Cash and cash equivalents</w:t>
            </w:r>
          </w:p>
        </w:tc>
        <w:tc>
          <w:tcPr>
            <w:tcW w:type="dxa" w:w="2520"/>
            <w:shd w:fill="F2F4F8" w:val="clear"/>
          </w:tcPr>
          <w:p>
            <w:r>
              <w:rPr>
                <w:rFonts w:ascii="Calibri" w:hAnsi="Calibri"/>
                <w:color w:val="333333"/>
                <w:sz w:val="18"/>
              </w:rPr>
              <w:t>$8.6B</w:t>
            </w:r>
          </w:p>
        </w:tc>
        <w:tc>
          <w:tcPr>
            <w:tcW w:type="dxa" w:w="2520"/>
            <w:shd w:fill="F2F4F8" w:val="clear"/>
          </w:tcPr>
          <w:p>
            <w:r>
              <w:rPr>
                <w:rFonts w:ascii="Calibri" w:hAnsi="Calibri"/>
                <w:color w:val="333333"/>
                <w:sz w:val="18"/>
              </w:rPr>
              <w:t>$10.6B</w:t>
            </w:r>
          </w:p>
        </w:tc>
        <w:tc>
          <w:tcPr>
            <w:tcW w:type="dxa" w:w="2520"/>
            <w:shd w:fill="F2F4F8" w:val="clear"/>
            <w:shd w:fill="DCEEF8" w:val="clear"/>
          </w:tcPr>
          <w:p>
            <w:r>
              <w:rPr>
                <w:rFonts w:ascii="Calibri" w:hAnsi="Calibri"/>
                <w:color w:val="333333"/>
                <w:sz w:val="18"/>
              </w:rPr>
              <w:t>23.5%</w:t>
            </w:r>
          </w:p>
        </w:tc>
      </w:tr>
      <w:tr>
        <w:tc>
          <w:tcPr>
            <w:tcW w:type="dxa" w:w="2520"/>
          </w:tcPr>
          <w:p>
            <w:r>
              <w:rPr>
                <w:rFonts w:ascii="Calibri" w:hAnsi="Calibri"/>
                <w:color w:val="333333"/>
                <w:sz w:val="18"/>
              </w:rPr>
              <w:t>Accounts receivable, net</w:t>
            </w:r>
          </w:p>
        </w:tc>
        <w:tc>
          <w:tcPr>
            <w:tcW w:type="dxa" w:w="2520"/>
          </w:tcPr>
          <w:p>
            <w:r>
              <w:rPr>
                <w:rFonts w:ascii="Calibri" w:hAnsi="Calibri"/>
                <w:color w:val="333333"/>
                <w:sz w:val="18"/>
              </w:rPr>
              <w:t>$23.1B</w:t>
            </w:r>
          </w:p>
        </w:tc>
        <w:tc>
          <w:tcPr>
            <w:tcW w:type="dxa" w:w="2520"/>
          </w:tcPr>
          <w:p>
            <w:r>
              <w:rPr>
                <w:rFonts w:ascii="Calibri" w:hAnsi="Calibri"/>
                <w:color w:val="333333"/>
                <w:sz w:val="18"/>
              </w:rPr>
              <w:t>$38.5B</w:t>
            </w:r>
          </w:p>
        </w:tc>
        <w:tc>
          <w:tcPr>
            <w:tcW w:type="dxa" w:w="2520"/>
            <w:shd w:fill="DCEEF8" w:val="clear"/>
          </w:tcPr>
          <w:p>
            <w:r>
              <w:rPr>
                <w:rFonts w:ascii="Calibri" w:hAnsi="Calibri"/>
                <w:color w:val="333333"/>
                <w:sz w:val="18"/>
              </w:rPr>
              <w:t>66.8%</w:t>
            </w:r>
          </w:p>
        </w:tc>
      </w:tr>
      <w:tr>
        <w:tc>
          <w:tcPr>
            <w:tcW w:type="dxa" w:w="2520"/>
            <w:shd w:fill="F2F4F8" w:val="clear"/>
          </w:tcPr>
          <w:p>
            <w:r>
              <w:rPr>
                <w:rFonts w:ascii="Calibri" w:hAnsi="Calibri"/>
                <w:color w:val="333333"/>
                <w:sz w:val="18"/>
              </w:rPr>
              <w:t>Inventory, net</w:t>
            </w:r>
          </w:p>
        </w:tc>
        <w:tc>
          <w:tcPr>
            <w:tcW w:type="dxa" w:w="2520"/>
            <w:shd w:fill="F2F4F8" w:val="clear"/>
          </w:tcPr>
          <w:p>
            <w:r>
              <w:rPr>
                <w:rFonts w:ascii="Calibri" w:hAnsi="Calibri"/>
                <w:color w:val="333333"/>
                <w:sz w:val="18"/>
              </w:rPr>
              <w:t>$10.1B</w:t>
            </w:r>
          </w:p>
        </w:tc>
        <w:tc>
          <w:tcPr>
            <w:tcW w:type="dxa" w:w="2520"/>
            <w:shd w:fill="F2F4F8" w:val="clear"/>
          </w:tcPr>
          <w:p>
            <w:r>
              <w:rPr>
                <w:rFonts w:ascii="Calibri" w:hAnsi="Calibri"/>
                <w:color w:val="333333"/>
                <w:sz w:val="18"/>
              </w:rPr>
              <w:t>$21.4B</w:t>
            </w:r>
          </w:p>
        </w:tc>
        <w:tc>
          <w:tcPr>
            <w:tcW w:type="dxa" w:w="2520"/>
            <w:shd w:fill="F2F4F8" w:val="clear"/>
            <w:shd w:fill="DCEEF8" w:val="clear"/>
          </w:tcPr>
          <w:p>
            <w:r>
              <w:rPr>
                <w:rFonts w:ascii="Calibri" w:hAnsi="Calibri"/>
                <w:color w:val="333333"/>
                <w:sz w:val="18"/>
              </w:rPr>
              <w:t>112.3%</w:t>
            </w:r>
          </w:p>
        </w:tc>
      </w:tr>
      <w:tr>
        <w:tc>
          <w:tcPr>
            <w:tcW w:type="dxa" w:w="2520"/>
          </w:tcPr>
          <w:p>
            <w:r>
              <w:rPr>
                <w:rFonts w:ascii="Calibri" w:hAnsi="Calibri"/>
                <w:color w:val="333333"/>
                <w:sz w:val="18"/>
              </w:rPr>
              <w:t>Property, plant and equipment, net</w:t>
            </w:r>
          </w:p>
        </w:tc>
        <w:tc>
          <w:tcPr>
            <w:tcW w:type="dxa" w:w="2520"/>
          </w:tcPr>
          <w:p>
            <w:r>
              <w:rPr>
                <w:rFonts w:ascii="Calibri" w:hAnsi="Calibri"/>
                <w:color w:val="333333"/>
                <w:sz w:val="18"/>
              </w:rPr>
              <w:t>$6.3B</w:t>
            </w:r>
          </w:p>
        </w:tc>
        <w:tc>
          <w:tcPr>
            <w:tcW w:type="dxa" w:w="2520"/>
          </w:tcPr>
          <w:p>
            <w:r>
              <w:rPr>
                <w:rFonts w:ascii="Calibri" w:hAnsi="Calibri"/>
                <w:color w:val="333333"/>
                <w:sz w:val="18"/>
              </w:rPr>
              <w:t>$10.4B</w:t>
            </w:r>
          </w:p>
        </w:tc>
        <w:tc>
          <w:tcPr>
            <w:tcW w:type="dxa" w:w="2520"/>
            <w:shd w:fill="DCEEF8" w:val="clear"/>
          </w:tcPr>
          <w:p>
            <w:r>
              <w:rPr>
                <w:rFonts w:ascii="Calibri" w:hAnsi="Calibri"/>
                <w:color w:val="333333"/>
                <w:sz w:val="18"/>
              </w:rPr>
              <w:t>65.3%</w:t>
            </w:r>
          </w:p>
        </w:tc>
      </w:tr>
      <w:tr>
        <w:tc>
          <w:tcPr>
            <w:tcW w:type="dxa" w:w="2520"/>
            <w:shd w:fill="F2F4F8" w:val="clear"/>
          </w:tcPr>
          <w:p>
            <w:r>
              <w:rPr>
                <w:rFonts w:ascii="Calibri" w:hAnsi="Calibri"/>
                <w:color w:val="333333"/>
                <w:sz w:val="18"/>
              </w:rPr>
              <w:t>Goodwill</w:t>
            </w:r>
          </w:p>
        </w:tc>
        <w:tc>
          <w:tcPr>
            <w:tcW w:type="dxa" w:w="2520"/>
            <w:shd w:fill="F2F4F8" w:val="clear"/>
          </w:tcPr>
          <w:p>
            <w:r>
              <w:rPr>
                <w:rFonts w:ascii="Calibri" w:hAnsi="Calibri"/>
                <w:color w:val="333333"/>
                <w:sz w:val="18"/>
              </w:rPr>
              <w:t>$5.2B</w:t>
            </w:r>
          </w:p>
        </w:tc>
        <w:tc>
          <w:tcPr>
            <w:tcW w:type="dxa" w:w="2520"/>
            <w:shd w:fill="F2F4F8" w:val="clear"/>
          </w:tcPr>
          <w:p>
            <w:r>
              <w:rPr>
                <w:rFonts w:ascii="Calibri" w:hAnsi="Calibri"/>
                <w:color w:val="333333"/>
                <w:sz w:val="18"/>
              </w:rPr>
              <w:t>$20.8B</w:t>
            </w:r>
          </w:p>
        </w:tc>
        <w:tc>
          <w:tcPr>
            <w:tcW w:type="dxa" w:w="2520"/>
            <w:shd w:fill="F2F4F8" w:val="clear"/>
            <w:shd w:fill="DCEEF8" w:val="clear"/>
          </w:tcPr>
          <w:p>
            <w:r>
              <w:rPr>
                <w:rFonts w:ascii="Calibri" w:hAnsi="Calibri"/>
                <w:color w:val="333333"/>
                <w:sz w:val="18"/>
              </w:rPr>
              <w:t>301.5%</w:t>
            </w:r>
          </w:p>
        </w:tc>
      </w:tr>
      <w:tr>
        <w:tc>
          <w:tcPr>
            <w:tcW w:type="dxa" w:w="2520"/>
          </w:tcPr>
          <w:p>
            <w:r>
              <w:rPr>
                <w:rFonts w:ascii="Calibri" w:hAnsi="Calibri"/>
                <w:color w:val="333333"/>
                <w:sz w:val="18"/>
              </w:rPr>
              <w:t>Intangible assets, net (excluding goodwill)</w:t>
            </w:r>
          </w:p>
        </w:tc>
        <w:tc>
          <w:tcPr>
            <w:tcW w:type="dxa" w:w="2520"/>
          </w:tcPr>
          <w:p>
            <w:r>
              <w:rPr>
                <w:rFonts w:ascii="Calibri" w:hAnsi="Calibri"/>
                <w:color w:val="333333"/>
                <w:sz w:val="18"/>
              </w:rPr>
              <w:t>$807.0M</w:t>
            </w:r>
          </w:p>
        </w:tc>
        <w:tc>
          <w:tcPr>
            <w:tcW w:type="dxa" w:w="2520"/>
          </w:tcPr>
          <w:p>
            <w:r>
              <w:rPr>
                <w:rFonts w:ascii="Calibri" w:hAnsi="Calibri"/>
                <w:color w:val="333333"/>
                <w:sz w:val="18"/>
              </w:rPr>
              <w:t>$3.3B</w:t>
            </w:r>
          </w:p>
        </w:tc>
        <w:tc>
          <w:tcPr>
            <w:tcW w:type="dxa" w:w="2520"/>
            <w:shd w:fill="DCEEF8" w:val="clear"/>
          </w:tcPr>
          <w:p>
            <w:r>
              <w:rPr>
                <w:rFonts w:ascii="Calibri" w:hAnsi="Calibri"/>
                <w:color w:val="333333"/>
                <w:sz w:val="18"/>
              </w:rPr>
              <w:t>309.7%</w:t>
            </w:r>
          </w:p>
        </w:tc>
      </w:tr>
      <w:tr>
        <w:tc>
          <w:tcPr>
            <w:tcW w:type="dxa" w:w="2520"/>
            <w:shd w:fill="F2F4F8" w:val="clear"/>
          </w:tcPr>
          <w:p>
            <w:r>
              <w:rPr>
                <w:rFonts w:ascii="Calibri" w:hAnsi="Calibri"/>
                <w:color w:val="333333"/>
                <w:sz w:val="18"/>
              </w:rPr>
              <w:t>Long-term debt, non-current</w:t>
            </w:r>
          </w:p>
        </w:tc>
        <w:tc>
          <w:tcPr>
            <w:tcW w:type="dxa" w:w="2520"/>
            <w:shd w:fill="F2F4F8" w:val="clear"/>
          </w:tcPr>
          <w:p>
            <w:r>
              <w:rPr>
                <w:rFonts w:ascii="Calibri" w:hAnsi="Calibri"/>
                <w:color w:val="333333"/>
                <w:sz w:val="18"/>
              </w:rPr>
              <w:t>$8.5B</w:t>
            </w:r>
          </w:p>
        </w:tc>
        <w:tc>
          <w:tcPr>
            <w:tcW w:type="dxa" w:w="2520"/>
            <w:shd w:fill="F2F4F8" w:val="clear"/>
          </w:tcPr>
          <w:p>
            <w:r>
              <w:rPr>
                <w:rFonts w:ascii="Calibri" w:hAnsi="Calibri"/>
                <w:color w:val="333333"/>
                <w:sz w:val="18"/>
              </w:rPr>
              <w:t>$7.5B</w:t>
            </w:r>
          </w:p>
        </w:tc>
        <w:tc>
          <w:tcPr>
            <w:tcW w:type="dxa" w:w="2520"/>
            <w:shd w:fill="F2F4F8" w:val="clear"/>
            <w:shd w:fill="FCE8E6" w:val="clear"/>
          </w:tcPr>
          <w:p>
            <w:r>
              <w:rPr>
                <w:rFonts w:ascii="Calibri" w:hAnsi="Calibri"/>
                <w:color w:val="333333"/>
                <w:sz w:val="18"/>
              </w:rPr>
              <w:t>-11.8%</w:t>
            </w:r>
          </w:p>
        </w:tc>
      </w:tr>
      <w:tr>
        <w:tc>
          <w:tcPr>
            <w:tcW w:type="dxa" w:w="2520"/>
          </w:tcPr>
          <w:p>
            <w:r>
              <w:rPr>
                <w:rFonts w:ascii="Calibri" w:hAnsi="Calibri"/>
                <w:color w:val="333333"/>
                <w:sz w:val="18"/>
              </w:rPr>
              <w:t>Short-term debt / current portion of long-term debt</w:t>
            </w:r>
          </w:p>
        </w:tc>
        <w:tc>
          <w:tcPr>
            <w:tcW w:type="dxa" w:w="2520"/>
          </w:tcPr>
          <w:p>
            <w:r>
              <w:rPr>
                <w:rFonts w:ascii="Calibri" w:hAnsi="Calibri"/>
                <w:color w:val="333333"/>
                <w:sz w:val="18"/>
              </w:rPr>
              <w:t>$0</w:t>
            </w:r>
          </w:p>
        </w:tc>
        <w:tc>
          <w:tcPr>
            <w:tcW w:type="dxa" w:w="2520"/>
          </w:tcPr>
          <w:p>
            <w:r>
              <w:rPr>
                <w:rFonts w:ascii="Calibri" w:hAnsi="Calibri"/>
                <w:color w:val="333333"/>
                <w:sz w:val="18"/>
              </w:rPr>
              <w:t>$999.0M</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Retained earnings / accumulated deficit</w:t>
            </w:r>
          </w:p>
        </w:tc>
        <w:tc>
          <w:tcPr>
            <w:tcW w:type="dxa" w:w="2520"/>
            <w:shd w:fill="F2F4F8" w:val="clear"/>
          </w:tcPr>
          <w:p>
            <w:r>
              <w:rPr>
                <w:rFonts w:ascii="Calibri" w:hAnsi="Calibri"/>
                <w:color w:val="333333"/>
                <w:sz w:val="18"/>
              </w:rPr>
              <w:t>$68.0B</w:t>
            </w:r>
          </w:p>
        </w:tc>
        <w:tc>
          <w:tcPr>
            <w:tcW w:type="dxa" w:w="2520"/>
            <w:shd w:fill="F2F4F8" w:val="clear"/>
          </w:tcPr>
          <w:p>
            <w:r>
              <w:rPr>
                <w:rFonts w:ascii="Calibri" w:hAnsi="Calibri"/>
                <w:color w:val="333333"/>
                <w:sz w:val="18"/>
              </w:rPr>
              <w:t>$147.0B</w:t>
            </w:r>
          </w:p>
        </w:tc>
        <w:tc>
          <w:tcPr>
            <w:tcW w:type="dxa" w:w="2520"/>
            <w:shd w:fill="F2F4F8" w:val="clear"/>
            <w:shd w:fill="DCEEF8" w:val="clear"/>
          </w:tcPr>
          <w:p>
            <w:r>
              <w:rPr>
                <w:rFonts w:ascii="Calibri" w:hAnsi="Calibri"/>
                <w:color w:val="333333"/>
                <w:sz w:val="18"/>
              </w:rPr>
              <w:t>116.0%</w:t>
            </w:r>
          </w:p>
        </w:tc>
      </w:tr>
      <w:tr>
        <w:tc>
          <w:tcPr>
            <w:tcW w:type="dxa" w:w="2520"/>
          </w:tcPr>
          <w:p>
            <w:r>
              <w:rPr>
                <w:rFonts w:ascii="Calibri" w:hAnsi="Calibri"/>
                <w:color w:val="333333"/>
                <w:sz w:val="18"/>
              </w:rPr>
              <w:t>Total debt (short-term + long-term)</w:t>
            </w:r>
          </w:p>
        </w:tc>
        <w:tc>
          <w:tcPr>
            <w:tcW w:type="dxa" w:w="2520"/>
          </w:tcPr>
          <w:p>
            <w:r>
              <w:rPr>
                <w:rFonts w:ascii="Calibri" w:hAnsi="Calibri"/>
                <w:color w:val="333333"/>
                <w:sz w:val="18"/>
              </w:rPr>
              <w:t>$8.5B</w:t>
            </w:r>
          </w:p>
        </w:tc>
        <w:tc>
          <w:tcPr>
            <w:tcW w:type="dxa" w:w="2520"/>
          </w:tcPr>
          <w:p>
            <w:r>
              <w:rPr>
                <w:rFonts w:ascii="Calibri" w:hAnsi="Calibri"/>
                <w:color w:val="333333"/>
                <w:sz w:val="18"/>
              </w:rPr>
              <w:t>$8.5B</w:t>
            </w:r>
          </w:p>
        </w:tc>
        <w:tc>
          <w:tcPr>
            <w:tcW w:type="dxa" w:w="2520"/>
          </w:tcPr>
          <w:p>
            <w:r>
              <w:rPr>
                <w:rFonts w:ascii="Calibri" w:hAnsi="Calibri"/>
                <w:color w:val="333333"/>
                <w:sz w:val="18"/>
              </w:rPr>
              <w:t>0.1%</w:t>
            </w:r>
          </w:p>
        </w:tc>
      </w:tr>
      <w:tr>
        <w:tc>
          <w:tcPr>
            <w:tcW w:type="dxa" w:w="2520"/>
            <w:shd w:fill="F2F4F8" w:val="clear"/>
          </w:tcPr>
          <w:p>
            <w:r>
              <w:rPr>
                <w:rFonts w:ascii="Calibri" w:hAnsi="Calibri"/>
                <w:color w:val="333333"/>
                <w:sz w:val="18"/>
              </w:rPr>
              <w:t>Common shares outstanding</w:t>
            </w:r>
          </w:p>
        </w:tc>
        <w:tc>
          <w:tcPr>
            <w:tcW w:type="dxa" w:w="2520"/>
            <w:shd w:fill="F2F4F8" w:val="clear"/>
          </w:tcPr>
          <w:p>
            <w:r>
              <w:rPr>
                <w:rFonts w:ascii="Calibri" w:hAnsi="Calibri"/>
                <w:color w:val="333333"/>
                <w:sz w:val="18"/>
              </w:rPr>
              <w:t>24.5B</w:t>
            </w:r>
          </w:p>
        </w:tc>
        <w:tc>
          <w:tcPr>
            <w:tcW w:type="dxa" w:w="2520"/>
            <w:shd w:fill="F2F4F8" w:val="clear"/>
          </w:tcPr>
          <w:p>
            <w:r>
              <w:rPr>
                <w:rFonts w:ascii="Calibri" w:hAnsi="Calibri"/>
                <w:color w:val="333333"/>
                <w:sz w:val="18"/>
              </w:rPr>
              <w:t>24.3B</w:t>
            </w:r>
          </w:p>
        </w:tc>
        <w:tc>
          <w:tcPr>
            <w:tcW w:type="dxa" w:w="2520"/>
            <w:shd w:fill="F2F4F8" w:val="clear"/>
          </w:tcPr>
          <w:p>
            <w:r>
              <w:rPr>
                <w:rFonts w:ascii="Calibri" w:hAnsi="Calibri"/>
                <w:color w:val="333333"/>
                <w:sz w:val="18"/>
              </w:rPr>
              <w:t>-0.7%</w:t>
            </w:r>
          </w:p>
        </w:tc>
      </w:tr>
      <w:tr>
        <w:tc>
          <w:tcPr>
            <w:tcW w:type="dxa" w:w="2520"/>
          </w:tcPr>
          <w:p>
            <w:r>
              <w:rPr>
                <w:rFonts w:ascii="Calibri" w:hAnsi="Calibri"/>
                <w:color w:val="333333"/>
                <w:sz w:val="18"/>
              </w:rPr>
              <w:t>Accounts payable</w:t>
            </w:r>
          </w:p>
        </w:tc>
        <w:tc>
          <w:tcPr>
            <w:tcW w:type="dxa" w:w="2520"/>
          </w:tcPr>
          <w:p>
            <w:r>
              <w:rPr>
                <w:rFonts w:ascii="Calibri" w:hAnsi="Calibri"/>
                <w:color w:val="333333"/>
                <w:sz w:val="18"/>
              </w:rPr>
              <w:t>$6.3B</w:t>
            </w:r>
          </w:p>
        </w:tc>
        <w:tc>
          <w:tcPr>
            <w:tcW w:type="dxa" w:w="2520"/>
          </w:tcPr>
          <w:p>
            <w:r>
              <w:rPr>
                <w:rFonts w:ascii="Calibri" w:hAnsi="Calibri"/>
                <w:color w:val="333333"/>
                <w:sz w:val="18"/>
              </w:rPr>
              <w:t>$9.8B</w:t>
            </w:r>
          </w:p>
        </w:tc>
        <w:tc>
          <w:tcPr>
            <w:tcW w:type="dxa" w:w="2520"/>
            <w:shd w:fill="DCEEF8" w:val="clear"/>
          </w:tcPr>
          <w:p>
            <w:r>
              <w:rPr>
                <w:rFonts w:ascii="Calibri" w:hAnsi="Calibri"/>
                <w:color w:val="333333"/>
                <w:sz w:val="18"/>
              </w:rPr>
              <w:t>55.5%</w:t>
            </w:r>
          </w:p>
        </w:tc>
      </w:tr>
      <w:tr>
        <w:tc>
          <w:tcPr>
            <w:tcW w:type="dxa" w:w="2520"/>
            <w:shd w:fill="F2F4F8" w:val="clear"/>
          </w:tcPr>
          <w:p>
            <w:r>
              <w:rPr>
                <w:rFonts w:ascii="Calibri" w:hAnsi="Calibri"/>
                <w:color w:val="333333"/>
                <w:sz w:val="18"/>
              </w:rPr>
              <w:t>Deferred revenue / contract liabilities</w:t>
            </w:r>
          </w:p>
        </w:tc>
        <w:tc>
          <w:tcPr>
            <w:tcW w:type="dxa" w:w="2520"/>
            <w:shd w:fill="F2F4F8" w:val="clear"/>
          </w:tcPr>
          <w:p>
            <w:r>
              <w:rPr>
                <w:rFonts w:ascii="Calibri" w:hAnsi="Calibri"/>
                <w:color w:val="333333"/>
                <w:sz w:val="18"/>
              </w:rPr>
              <w:t>$837.0M</w:t>
            </w:r>
          </w:p>
        </w:tc>
        <w:tc>
          <w:tcPr>
            <w:tcW w:type="dxa" w:w="2520"/>
            <w:shd w:fill="F2F4F8" w:val="clear"/>
          </w:tcPr>
          <w:p>
            <w:r>
              <w:rPr>
                <w:rFonts w:ascii="Calibri" w:hAnsi="Calibri"/>
                <w:color w:val="333333"/>
                <w:sz w:val="18"/>
              </w:rPr>
              <w:t>$1.4B</w:t>
            </w:r>
          </w:p>
        </w:tc>
        <w:tc>
          <w:tcPr>
            <w:tcW w:type="dxa" w:w="2520"/>
            <w:shd w:fill="F2F4F8" w:val="clear"/>
            <w:shd w:fill="DCEEF8" w:val="clear"/>
          </w:tcPr>
          <w:p>
            <w:r>
              <w:rPr>
                <w:rFonts w:ascii="Calibri" w:hAnsi="Calibri"/>
                <w:color w:val="333333"/>
                <w:sz w:val="18"/>
              </w:rPr>
              <w:t>64.8%</w:t>
            </w:r>
          </w:p>
        </w:tc>
      </w:tr>
      <w:tr>
        <w:tc>
          <w:tcPr>
            <w:tcW w:type="dxa" w:w="2520"/>
          </w:tcPr>
          <w:p>
            <w:r>
              <w:rPr>
                <w:rFonts w:ascii="Calibri" w:hAnsi="Calibri"/>
                <w:color w:val="333333"/>
                <w:sz w:val="18"/>
              </w:rPr>
              <w:t>Operating lease liabilities</w:t>
            </w:r>
          </w:p>
        </w:tc>
        <w:tc>
          <w:tcPr>
            <w:tcW w:type="dxa" w:w="2520"/>
          </w:tcPr>
          <w:p>
            <w:r>
              <w:rPr>
                <w:rFonts w:ascii="Calibri" w:hAnsi="Calibri"/>
                <w:color w:val="333333"/>
                <w:sz w:val="18"/>
              </w:rPr>
              <w:t>$1.8B</w:t>
            </w:r>
          </w:p>
        </w:tc>
        <w:tc>
          <w:tcPr>
            <w:tcW w:type="dxa" w:w="2520"/>
          </w:tcPr>
          <w:p>
            <w:r>
              <w:rPr>
                <w:rFonts w:ascii="Calibri" w:hAnsi="Calibri"/>
                <w:color w:val="333333"/>
                <w:sz w:val="18"/>
              </w:rPr>
              <w:t>$2.9B</w:t>
            </w:r>
          </w:p>
        </w:tc>
        <w:tc>
          <w:tcPr>
            <w:tcW w:type="dxa" w:w="2520"/>
            <w:shd w:fill="DCEEF8" w:val="clear"/>
          </w:tcPr>
          <w:p>
            <w:r>
              <w:rPr>
                <w:rFonts w:ascii="Calibri" w:hAnsi="Calibri"/>
                <w:color w:val="333333"/>
                <w:sz w:val="18"/>
              </w:rPr>
              <w:t>62.9%</w:t>
            </w:r>
          </w:p>
        </w:tc>
      </w:tr>
      <w:tr>
        <w:tc>
          <w:tcPr>
            <w:tcW w:type="dxa" w:w="2520"/>
            <w:shd w:fill="F2F4F8" w:val="clear"/>
          </w:tcPr>
          <w:p>
            <w:r>
              <w:rPr>
                <w:rFonts w:ascii="Calibri" w:hAnsi="Calibri"/>
                <w:color w:val="333333"/>
                <w:sz w:val="18"/>
              </w:rPr>
              <w:t>Short-term investments / marketable securities</w:t>
            </w:r>
          </w:p>
        </w:tc>
        <w:tc>
          <w:tcPr>
            <w:tcW w:type="dxa" w:w="2520"/>
            <w:shd w:fill="F2F4F8" w:val="clear"/>
          </w:tcPr>
          <w:p>
            <w:r>
              <w:rPr>
                <w:rFonts w:ascii="Calibri" w:hAnsi="Calibri"/>
                <w:color w:val="333333"/>
                <w:sz w:val="18"/>
              </w:rPr>
              <w:t>$34.6B</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Prepaid expenses and other current assets</w:t>
            </w:r>
          </w:p>
        </w:tc>
        <w:tc>
          <w:tcPr>
            <w:tcW w:type="dxa" w:w="2520"/>
          </w:tcPr>
          <w:p>
            <w:r>
              <w:rPr>
                <w:rFonts w:ascii="Calibri" w:hAnsi="Calibri"/>
                <w:color w:val="333333"/>
                <w:sz w:val="18"/>
              </w:rPr>
              <w:t>$3.8B</w:t>
            </w:r>
          </w:p>
        </w:tc>
        <w:tc>
          <w:tcPr>
            <w:tcW w:type="dxa" w:w="2520"/>
          </w:tcPr>
          <w:p>
            <w:r>
              <w:rPr>
                <w:rFonts w:ascii="Calibri" w:hAnsi="Calibri"/>
                <w:color w:val="333333"/>
                <w:sz w:val="18"/>
              </w:rPr>
              <w:t>$3.2B</w:t>
            </w:r>
          </w:p>
        </w:tc>
        <w:tc>
          <w:tcPr>
            <w:tcW w:type="dxa" w:w="2520"/>
            <w:shd w:fill="FCE8E6" w:val="clear"/>
          </w:tcPr>
          <w:p>
            <w:r>
              <w:rPr>
                <w:rFonts w:ascii="Calibri" w:hAnsi="Calibri"/>
                <w:color w:val="333333"/>
                <w:sz w:val="18"/>
              </w:rPr>
              <w:t>-15.7%</w:t>
            </w:r>
          </w:p>
        </w:tc>
      </w:tr>
      <w:tr>
        <w:tc>
          <w:tcPr>
            <w:tcW w:type="dxa" w:w="2520"/>
            <w:shd w:fill="F2F4F8" w:val="clear"/>
          </w:tcPr>
          <w:p>
            <w:r>
              <w:rPr>
                <w:rFonts w:ascii="Calibri" w:hAnsi="Calibri"/>
                <w:color w:val="333333"/>
                <w:sz w:val="18"/>
              </w:rPr>
              <w:t>Accrued liabilities</w:t>
            </w:r>
          </w:p>
        </w:tc>
        <w:tc>
          <w:tcPr>
            <w:tcW w:type="dxa" w:w="2520"/>
            <w:shd w:fill="F2F4F8" w:val="clear"/>
          </w:tcPr>
          <w:p>
            <w:r>
              <w:rPr>
                <w:rFonts w:ascii="Calibri" w:hAnsi="Calibri"/>
                <w:color w:val="333333"/>
                <w:sz w:val="18"/>
              </w:rPr>
              <w:t>$11.7B</w:t>
            </w:r>
          </w:p>
        </w:tc>
        <w:tc>
          <w:tcPr>
            <w:tcW w:type="dxa" w:w="2520"/>
            <w:shd w:fill="F2F4F8" w:val="clear"/>
          </w:tcPr>
          <w:p>
            <w:r>
              <w:rPr>
                <w:rFonts w:ascii="Calibri" w:hAnsi="Calibri"/>
                <w:color w:val="333333"/>
                <w:sz w:val="18"/>
              </w:rPr>
              <w:t>$21.4B</w:t>
            </w:r>
          </w:p>
        </w:tc>
        <w:tc>
          <w:tcPr>
            <w:tcW w:type="dxa" w:w="2520"/>
            <w:shd w:fill="F2F4F8" w:val="clear"/>
            <w:shd w:fill="DCEEF8" w:val="clear"/>
          </w:tcPr>
          <w:p>
            <w:r>
              <w:rPr>
                <w:rFonts w:ascii="Calibri" w:hAnsi="Calibri"/>
                <w:color w:val="333333"/>
                <w:sz w:val="18"/>
              </w:rPr>
              <w:t>81.9%</w:t>
            </w:r>
          </w:p>
        </w:tc>
      </w:tr>
      <w:tr>
        <w:tc>
          <w:tcPr>
            <w:tcW w:type="dxa" w:w="2520"/>
          </w:tcPr>
          <w:p>
            <w:r>
              <w:rPr>
                <w:rFonts w:ascii="Calibri" w:hAnsi="Calibri"/>
                <w:color w:val="333333"/>
                <w:sz w:val="18"/>
              </w:rPr>
              <w:t>Deferred income tax assets, net</w:t>
            </w:r>
          </w:p>
        </w:tc>
        <w:tc>
          <w:tcPr>
            <w:tcW w:type="dxa" w:w="2520"/>
          </w:tcPr>
          <w:p>
            <w:r>
              <w:rPr>
                <w:rFonts w:ascii="Calibri" w:hAnsi="Calibri"/>
                <w:color w:val="333333"/>
                <w:sz w:val="18"/>
              </w:rPr>
              <w:t>$11.0B</w:t>
            </w:r>
          </w:p>
        </w:tc>
        <w:tc>
          <w:tcPr>
            <w:tcW w:type="dxa" w:w="2520"/>
          </w:tcPr>
          <w:p>
            <w:r>
              <w:rPr>
                <w:rFonts w:ascii="Calibri" w:hAnsi="Calibri"/>
                <w:color w:val="333333"/>
                <w:sz w:val="18"/>
              </w:rPr>
              <w:t>$13.3B</w:t>
            </w:r>
          </w:p>
        </w:tc>
        <w:tc>
          <w:tcPr>
            <w:tcW w:type="dxa" w:w="2520"/>
            <w:shd w:fill="DCEEF8" w:val="clear"/>
          </w:tcPr>
          <w:p>
            <w:r>
              <w:rPr>
                <w:rFonts w:ascii="Calibri" w:hAnsi="Calibri"/>
                <w:color w:val="333333"/>
                <w:sz w:val="18"/>
              </w:rPr>
              <w:t>20.8%</w:t>
            </w:r>
          </w:p>
        </w:tc>
      </w:tr>
      <w:tr>
        <w:tc>
          <w:tcPr>
            <w:tcW w:type="dxa" w:w="2520"/>
            <w:shd w:fill="F2F4F8" w:val="clear"/>
          </w:tcPr>
          <w:p>
            <w:r>
              <w:rPr>
                <w:rFonts w:ascii="Calibri" w:hAnsi="Calibri"/>
                <w:color w:val="333333"/>
                <w:sz w:val="18"/>
              </w:rPr>
              <w:t>Deferred income tax liabilities, net</w:t>
            </w:r>
          </w:p>
        </w:tc>
        <w:tc>
          <w:tcPr>
            <w:tcW w:type="dxa" w:w="2520"/>
            <w:shd w:fill="F2F4F8" w:val="clear"/>
          </w:tcPr>
          <w:p>
            <w:r>
              <w:rPr>
                <w:rFonts w:ascii="Calibri" w:hAnsi="Calibri"/>
                <w:color w:val="333333"/>
                <w:sz w:val="18"/>
              </w:rPr>
              <w:t>$886.0M</w:t>
            </w:r>
          </w:p>
        </w:tc>
        <w:tc>
          <w:tcPr>
            <w:tcW w:type="dxa" w:w="2520"/>
            <w:shd w:fill="F2F4F8" w:val="clear"/>
          </w:tcPr>
          <w:p>
            <w:r>
              <w:rPr>
                <w:rFonts w:ascii="Calibri" w:hAnsi="Calibri"/>
                <w:color w:val="333333"/>
                <w:sz w:val="18"/>
              </w:rPr>
              <w:t>$1.8B</w:t>
            </w:r>
          </w:p>
        </w:tc>
        <w:tc>
          <w:tcPr>
            <w:tcW w:type="dxa" w:w="2520"/>
            <w:shd w:fill="F2F4F8" w:val="clear"/>
            <w:shd w:fill="DCEEF8" w:val="clear"/>
          </w:tcPr>
          <w:p>
            <w:r>
              <w:rPr>
                <w:rFonts w:ascii="Calibri" w:hAnsi="Calibri"/>
                <w:color w:val="333333"/>
                <w:sz w:val="18"/>
              </w:rPr>
              <w:t>100.2%</w:t>
            </w:r>
          </w:p>
        </w:tc>
      </w:tr>
      <w:tr>
        <w:tc>
          <w:tcPr>
            <w:tcW w:type="dxa" w:w="2520"/>
          </w:tcPr>
          <w:p>
            <w:r>
              <w:rPr>
                <w:rFonts w:ascii="Calibri" w:hAnsi="Calibri"/>
                <w:color w:val="333333"/>
                <w:sz w:val="18"/>
              </w:rPr>
              <w:t>Accumulated other comprehensive income/loss</w:t>
            </w:r>
          </w:p>
        </w:tc>
        <w:tc>
          <w:tcPr>
            <w:tcW w:type="dxa" w:w="2520"/>
          </w:tcPr>
          <w:p>
            <w:r>
              <w:rPr>
                <w:rFonts w:ascii="Calibri" w:hAnsi="Calibri"/>
                <w:color w:val="333333"/>
                <w:sz w:val="18"/>
              </w:rPr>
              <w:t>$28.0M</w:t>
            </w:r>
          </w:p>
        </w:tc>
        <w:tc>
          <w:tcPr>
            <w:tcW w:type="dxa" w:w="2520"/>
          </w:tcPr>
          <w:p>
            <w:r>
              <w:rPr>
                <w:rFonts w:ascii="Calibri" w:hAnsi="Calibri"/>
                <w:color w:val="333333"/>
                <w:sz w:val="18"/>
              </w:rPr>
              <w:t>$178.0M</w:t>
            </w:r>
          </w:p>
        </w:tc>
        <w:tc>
          <w:tcPr>
            <w:tcW w:type="dxa" w:w="2520"/>
            <w:shd w:fill="DCEEF8" w:val="clear"/>
          </w:tcPr>
          <w:p>
            <w:r>
              <w:rPr>
                <w:rFonts w:ascii="Calibri" w:hAnsi="Calibri"/>
                <w:color w:val="333333"/>
                <w:sz w:val="18"/>
              </w:rPr>
              <w:t>535.7%</w:t>
            </w:r>
          </w:p>
        </w:tc>
      </w:tr>
      <w:tr>
        <w:tc>
          <w:tcPr>
            <w:tcW w:type="dxa" w:w="2520"/>
            <w:shd w:fill="F2F4F8" w:val="clear"/>
          </w:tcPr>
          <w:p>
            <w:r>
              <w:rPr>
                <w:rFonts w:ascii="Calibri" w:hAnsi="Calibri"/>
                <w:color w:val="333333"/>
                <w:sz w:val="18"/>
              </w:rPr>
              <w:t>Common stock par value</w:t>
            </w:r>
          </w:p>
        </w:tc>
        <w:tc>
          <w:tcPr>
            <w:tcW w:type="dxa" w:w="2520"/>
            <w:shd w:fill="F2F4F8" w:val="clear"/>
          </w:tcPr>
          <w:p>
            <w:r>
              <w:rPr>
                <w:rFonts w:ascii="Calibri" w:hAnsi="Calibri"/>
                <w:color w:val="333333"/>
                <w:sz w:val="18"/>
              </w:rPr>
              <w:t>$24.0M</w:t>
            </w:r>
          </w:p>
        </w:tc>
        <w:tc>
          <w:tcPr>
            <w:tcW w:type="dxa" w:w="2520"/>
            <w:shd w:fill="F2F4F8" w:val="clear"/>
          </w:tcPr>
          <w:p>
            <w:r>
              <w:rPr>
                <w:rFonts w:ascii="Calibri" w:hAnsi="Calibri"/>
                <w:color w:val="333333"/>
                <w:sz w:val="18"/>
              </w:rPr>
              <w:t>$24.0M</w:t>
            </w:r>
          </w:p>
        </w:tc>
        <w:tc>
          <w:tcPr>
            <w:tcW w:type="dxa" w:w="2520"/>
            <w:shd w:fill="F2F4F8" w:val="clear"/>
          </w:tcPr>
          <w:p>
            <w:r>
              <w:rPr>
                <w:rFonts w:ascii="Calibri" w:hAnsi="Calibri"/>
                <w:color w:val="333333"/>
                <w:sz w:val="18"/>
              </w:rPr>
              <w:t>0.0%</w:t>
            </w:r>
          </w:p>
        </w:tc>
      </w:tr>
      <w:tr>
        <w:tc>
          <w:tcPr>
            <w:tcW w:type="dxa" w:w="2520"/>
          </w:tcPr>
          <w:p>
            <w:r>
              <w:rPr>
                <w:rFonts w:ascii="Calibri" w:hAnsi="Calibri"/>
                <w:color w:val="333333"/>
                <w:sz w:val="18"/>
              </w:rPr>
              <w:t>Additional paid-in capital</w:t>
            </w:r>
          </w:p>
        </w:tc>
        <w:tc>
          <w:tcPr>
            <w:tcW w:type="dxa" w:w="2520"/>
          </w:tcPr>
          <w:p>
            <w:r>
              <w:rPr>
                <w:rFonts w:ascii="Calibri" w:hAnsi="Calibri"/>
                <w:color w:val="333333"/>
                <w:sz w:val="18"/>
              </w:rPr>
              <w:t>$11.2B</w:t>
            </w:r>
          </w:p>
        </w:tc>
        <w:tc>
          <w:tcPr>
            <w:tcW w:type="dxa" w:w="2520"/>
          </w:tcPr>
          <w:p>
            <w:r>
              <w:rPr>
                <w:rFonts w:ascii="Calibri" w:hAnsi="Calibri"/>
                <w:color w:val="333333"/>
                <w:sz w:val="18"/>
              </w:rPr>
              <w:t>$10.1B</w:t>
            </w:r>
          </w:p>
        </w:tc>
        <w:tc>
          <w:tcPr>
            <w:tcW w:type="dxa" w:w="2520"/>
            <w:shd w:fill="FFF3CD" w:val="clear"/>
          </w:tcPr>
          <w:p>
            <w:r>
              <w:rPr>
                <w:rFonts w:ascii="Calibri" w:hAnsi="Calibri"/>
                <w:color w:val="333333"/>
                <w:sz w:val="18"/>
              </w:rPr>
              <w:t>-10.0%</w:t>
            </w:r>
          </w:p>
        </w:tc>
      </w:tr>
      <w:tr>
        <w:tc>
          <w:tcPr>
            <w:tcW w:type="dxa" w:w="2520"/>
            <w:shd w:fill="F2F4F8" w:val="clear"/>
          </w:tcPr>
          <w:p>
            <w:r>
              <w:rPr>
                <w:rFonts w:ascii="Calibri" w:hAnsi="Calibri"/>
                <w:color w:val="333333"/>
                <w:sz w:val="18"/>
              </w:rPr>
              <w:t>Total liabilities and stockholders' equity</w:t>
            </w:r>
          </w:p>
        </w:tc>
        <w:tc>
          <w:tcPr>
            <w:tcW w:type="dxa" w:w="2520"/>
            <w:shd w:fill="F2F4F8" w:val="clear"/>
          </w:tcPr>
          <w:p>
            <w:r>
              <w:rPr>
                <w:rFonts w:ascii="Calibri" w:hAnsi="Calibri"/>
                <w:color w:val="333333"/>
                <w:sz w:val="18"/>
              </w:rPr>
              <w:t>$111.6B</w:t>
            </w:r>
          </w:p>
        </w:tc>
        <w:tc>
          <w:tcPr>
            <w:tcW w:type="dxa" w:w="2520"/>
            <w:shd w:fill="F2F4F8" w:val="clear"/>
          </w:tcPr>
          <w:p>
            <w:r>
              <w:rPr>
                <w:rFonts w:ascii="Calibri" w:hAnsi="Calibri"/>
                <w:color w:val="333333"/>
                <w:sz w:val="18"/>
              </w:rPr>
              <w:t>$206.8B</w:t>
            </w:r>
          </w:p>
        </w:tc>
        <w:tc>
          <w:tcPr>
            <w:tcW w:type="dxa" w:w="2520"/>
            <w:shd w:fill="F2F4F8" w:val="clear"/>
            <w:shd w:fill="DCEEF8" w:val="clear"/>
          </w:tcPr>
          <w:p>
            <w:r>
              <w:rPr>
                <w:rFonts w:ascii="Calibri" w:hAnsi="Calibri"/>
                <w:color w:val="333333"/>
                <w:sz w:val="18"/>
              </w:rPr>
              <w:t>85.3%</w:t>
            </w:r>
          </w:p>
        </w:tc>
      </w:tr>
      <w:tr>
        <w:tc>
          <w:tcPr>
            <w:tcW w:type="dxa" w:w="2520"/>
          </w:tcPr>
          <w:p>
            <w:r>
              <w:rPr>
                <w:rFonts w:ascii="Calibri" w:hAnsi="Calibri"/>
                <w:color w:val="333333"/>
                <w:sz w:val="18"/>
              </w:rPr>
              <w:t>Preferred stock value</w:t>
            </w:r>
          </w:p>
        </w:tc>
        <w:tc>
          <w:tcPr>
            <w:tcW w:type="dxa" w:w="2520"/>
          </w:tcPr>
          <w:p>
            <w:r>
              <w:rPr>
                <w:rFonts w:ascii="Calibri" w:hAnsi="Calibri"/>
                <w:color w:val="333333"/>
                <w:sz w:val="18"/>
              </w:rPr>
              <w:t>$0</w:t>
            </w:r>
          </w:p>
        </w:tc>
        <w:tc>
          <w:tcPr>
            <w:tcW w:type="dxa" w:w="2520"/>
          </w:tcPr>
          <w:p>
            <w:r>
              <w:rPr>
                <w:rFonts w:ascii="Calibri" w:hAnsi="Calibri"/>
                <w:color w:val="333333"/>
                <w:sz w:val="18"/>
              </w:rPr>
              <w:t>$0</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Right-of-use assets (operating and finance leases)</w:t>
            </w:r>
          </w:p>
        </w:tc>
        <w:tc>
          <w:tcPr>
            <w:tcW w:type="dxa" w:w="2520"/>
            <w:shd w:fill="F2F4F8" w:val="clear"/>
          </w:tcPr>
          <w:p>
            <w:r>
              <w:rPr>
                <w:rFonts w:ascii="Calibri" w:hAnsi="Calibri"/>
                <w:color w:val="333333"/>
                <w:sz w:val="18"/>
              </w:rPr>
              <w:t>$1.8B</w:t>
            </w:r>
          </w:p>
        </w:tc>
        <w:tc>
          <w:tcPr>
            <w:tcW w:type="dxa" w:w="2520"/>
            <w:shd w:fill="F2F4F8" w:val="clear"/>
          </w:tcPr>
          <w:p>
            <w:r>
              <w:rPr>
                <w:rFonts w:ascii="Calibri" w:hAnsi="Calibri"/>
                <w:color w:val="333333"/>
                <w:sz w:val="18"/>
              </w:rPr>
              <w:t>$2.9B</w:t>
            </w:r>
          </w:p>
        </w:tc>
        <w:tc>
          <w:tcPr>
            <w:tcW w:type="dxa" w:w="2520"/>
            <w:shd w:fill="F2F4F8" w:val="clear"/>
            <w:shd w:fill="DCEEF8" w:val="clear"/>
          </w:tcPr>
          <w:p>
            <w:r>
              <w:rPr>
                <w:rFonts w:ascii="Calibri" w:hAnsi="Calibri"/>
                <w:color w:val="333333"/>
                <w:sz w:val="18"/>
              </w:rPr>
              <w:t>59.9%</w:t>
            </w:r>
          </w:p>
        </w:tc>
      </w:tr>
      <w:tr>
        <w:tc>
          <w:tcPr>
            <w:tcW w:type="dxa" w:w="2520"/>
          </w:tcPr>
          <w:p>
            <w:r>
              <w:rPr>
                <w:rFonts w:ascii="Calibri" w:hAnsi="Calibri"/>
                <w:color w:val="333333"/>
                <w:sz w:val="18"/>
              </w:rPr>
              <w:t>Other non-current assets</w:t>
            </w:r>
          </w:p>
        </w:tc>
        <w:tc>
          <w:tcPr>
            <w:tcW w:type="dxa" w:w="2520"/>
          </w:tcPr>
          <w:p>
            <w:r>
              <w:rPr>
                <w:rFonts w:ascii="Calibri" w:hAnsi="Calibri"/>
                <w:color w:val="333333"/>
                <w:sz w:val="18"/>
              </w:rPr>
              <w:t>$6.4B</w:t>
            </w:r>
          </w:p>
        </w:tc>
        <w:tc>
          <w:tcPr>
            <w:tcW w:type="dxa" w:w="2520"/>
          </w:tcPr>
          <w:p>
            <w:r>
              <w:rPr>
                <w:rFonts w:ascii="Calibri" w:hAnsi="Calibri"/>
                <w:color w:val="333333"/>
                <w:sz w:val="18"/>
              </w:rPr>
              <w:t>$8.3B</w:t>
            </w:r>
          </w:p>
        </w:tc>
        <w:tc>
          <w:tcPr>
            <w:tcW w:type="dxa" w:w="2520"/>
            <w:shd w:fill="DCEEF8" w:val="clear"/>
          </w:tcPr>
          <w:p>
            <w:r>
              <w:rPr>
                <w:rFonts w:ascii="Calibri" w:hAnsi="Calibri"/>
                <w:color w:val="333333"/>
                <w:sz w:val="18"/>
              </w:rPr>
              <w:t>29.2%</w:t>
            </w:r>
          </w:p>
        </w:tc>
      </w:tr>
      <w:tr>
        <w:tc>
          <w:tcPr>
            <w:tcW w:type="dxa" w:w="2520"/>
            <w:shd w:fill="F2F4F8" w:val="clear"/>
          </w:tcPr>
          <w:p>
            <w:r>
              <w:rPr>
                <w:rFonts w:ascii="Calibri" w:hAnsi="Calibri"/>
                <w:color w:val="333333"/>
                <w:sz w:val="18"/>
              </w:rPr>
              <w:t>Other non-current liabilities</w:t>
            </w:r>
          </w:p>
        </w:tc>
        <w:tc>
          <w:tcPr>
            <w:tcW w:type="dxa" w:w="2520"/>
            <w:shd w:fill="F2F4F8" w:val="clear"/>
          </w:tcPr>
          <w:p>
            <w:r>
              <w:rPr>
                <w:rFonts w:ascii="Calibri" w:hAnsi="Calibri"/>
                <w:color w:val="333333"/>
                <w:sz w:val="18"/>
              </w:rPr>
              <w:t>$4.2B</w:t>
            </w:r>
          </w:p>
        </w:tc>
        <w:tc>
          <w:tcPr>
            <w:tcW w:type="dxa" w:w="2520"/>
            <w:shd w:fill="F2F4F8" w:val="clear"/>
          </w:tcPr>
          <w:p>
            <w:r>
              <w:rPr>
                <w:rFonts w:ascii="Calibri" w:hAnsi="Calibri"/>
                <w:color w:val="333333"/>
                <w:sz w:val="18"/>
              </w:rPr>
              <w:t>$7.3B</w:t>
            </w:r>
          </w:p>
        </w:tc>
        <w:tc>
          <w:tcPr>
            <w:tcW w:type="dxa" w:w="2520"/>
            <w:shd w:fill="F2F4F8" w:val="clear"/>
            <w:shd w:fill="DCEEF8" w:val="clear"/>
          </w:tcPr>
          <w:p>
            <w:r>
              <w:rPr>
                <w:rFonts w:ascii="Calibri" w:hAnsi="Calibri"/>
                <w:color w:val="333333"/>
                <w:sz w:val="18"/>
              </w:rPr>
              <w:t>72.1%</w:t>
            </w:r>
          </w:p>
        </w:tc>
      </w:tr>
      <w:tr>
        <w:tc>
          <w:tcPr>
            <w:tcW w:type="dxa" w:w="2520"/>
          </w:tcPr>
          <w:p>
            <w:r>
              <w:rPr>
                <w:rFonts w:ascii="Calibri" w:hAnsi="Calibri"/>
                <w:color w:val="333333"/>
                <w:sz w:val="18"/>
              </w:rPr>
              <w:t>Total non-current / long-term assets</w:t>
            </w:r>
          </w:p>
        </w:tc>
        <w:tc>
          <w:tcPr>
            <w:tcW w:type="dxa" w:w="2520"/>
          </w:tcPr>
          <w:p>
            <w:r>
              <w:rPr>
                <w:rFonts w:ascii="Calibri" w:hAnsi="Calibri"/>
                <w:color w:val="333333"/>
                <w:sz w:val="18"/>
              </w:rPr>
              <w:t>$6.3B</w:t>
            </w:r>
          </w:p>
        </w:tc>
        <w:tc>
          <w:tcPr>
            <w:tcW w:type="dxa" w:w="2520"/>
          </w:tcPr>
          <w:p>
            <w:r>
              <w:rPr>
                <w:rFonts w:ascii="Calibri" w:hAnsi="Calibri"/>
                <w:color w:val="333333"/>
                <w:sz w:val="18"/>
              </w:rPr>
              <w:t>$10.4B</w:t>
            </w:r>
          </w:p>
        </w:tc>
        <w:tc>
          <w:tcPr>
            <w:tcW w:type="dxa" w:w="2520"/>
            <w:shd w:fill="DCEEF8" w:val="clear"/>
          </w:tcPr>
          <w:p>
            <w:r>
              <w:rPr>
                <w:rFonts w:ascii="Calibri" w:hAnsi="Calibri"/>
                <w:color w:val="333333"/>
                <w:sz w:val="18"/>
              </w:rPr>
              <w:t>65.3%</w:t>
            </w:r>
          </w:p>
        </w:tc>
      </w:tr>
      <w:tr>
        <w:tc>
          <w:tcPr>
            <w:tcW w:type="dxa" w:w="2520"/>
            <w:shd w:fill="F2F4F8" w:val="clear"/>
          </w:tcPr>
          <w:p>
            <w:r>
              <w:rPr>
                <w:rFonts w:ascii="Calibri" w:hAnsi="Calibri"/>
                <w:color w:val="333333"/>
                <w:sz w:val="18"/>
              </w:rPr>
              <w:t>Contract liabilities (ASC 606 deferred revenue)</w:t>
            </w:r>
          </w:p>
        </w:tc>
        <w:tc>
          <w:tcPr>
            <w:tcW w:type="dxa" w:w="2520"/>
            <w:shd w:fill="F2F4F8" w:val="clear"/>
          </w:tcPr>
          <w:p>
            <w:r>
              <w:rPr>
                <w:rFonts w:ascii="Calibri" w:hAnsi="Calibri"/>
                <w:color w:val="333333"/>
                <w:sz w:val="18"/>
              </w:rPr>
              <w:t>$837.0M</w:t>
            </w:r>
          </w:p>
        </w:tc>
        <w:tc>
          <w:tcPr>
            <w:tcW w:type="dxa" w:w="2520"/>
            <w:shd w:fill="F2F4F8" w:val="clear"/>
          </w:tcPr>
          <w:p>
            <w:r>
              <w:rPr>
                <w:rFonts w:ascii="Calibri" w:hAnsi="Calibri"/>
                <w:color w:val="333333"/>
                <w:sz w:val="18"/>
              </w:rPr>
              <w:t>$1.4B</w:t>
            </w:r>
          </w:p>
        </w:tc>
        <w:tc>
          <w:tcPr>
            <w:tcW w:type="dxa" w:w="2520"/>
            <w:shd w:fill="F2F4F8" w:val="clear"/>
            <w:shd w:fill="DCEEF8" w:val="clear"/>
          </w:tcPr>
          <w:p>
            <w:r>
              <w:rPr>
                <w:rFonts w:ascii="Calibri" w:hAnsi="Calibri"/>
                <w:color w:val="333333"/>
                <w:sz w:val="18"/>
              </w:rPr>
              <w:t>64.8%</w:t>
            </w:r>
          </w:p>
        </w:tc>
      </w:tr>
      <w:tr>
        <w:tc>
          <w:tcPr>
            <w:tcW w:type="dxa" w:w="2520"/>
          </w:tcPr>
          <w:p>
            <w:r>
              <w:rPr>
                <w:rFonts w:ascii="Calibri" w:hAnsi="Calibri"/>
                <w:color w:val="333333"/>
                <w:sz w:val="18"/>
              </w:rPr>
              <w:t>Unrecognized tax benefits (UTB) liability</w:t>
            </w:r>
          </w:p>
        </w:tc>
        <w:tc>
          <w:tcPr>
            <w:tcW w:type="dxa" w:w="2520"/>
          </w:tcPr>
          <w:p>
            <w:r>
              <w:rPr>
                <w:rFonts w:ascii="Calibri" w:hAnsi="Calibri"/>
                <w:color w:val="333333"/>
                <w:sz w:val="18"/>
              </w:rPr>
              <w:t>$2.9B</w:t>
            </w:r>
          </w:p>
        </w:tc>
        <w:tc>
          <w:tcPr>
            <w:tcW w:type="dxa" w:w="2520"/>
          </w:tcPr>
          <w:p>
            <w:r>
              <w:rPr>
                <w:rFonts w:ascii="Calibri" w:hAnsi="Calibri"/>
                <w:color w:val="333333"/>
                <w:sz w:val="18"/>
              </w:rPr>
              <w:t>$4.4B</w:t>
            </w:r>
          </w:p>
        </w:tc>
        <w:tc>
          <w:tcPr>
            <w:tcW w:type="dxa" w:w="2520"/>
            <w:shd w:fill="DCEEF8" w:val="clear"/>
          </w:tcPr>
          <w:p>
            <w:r>
              <w:rPr>
                <w:rFonts w:ascii="Calibri" w:hAnsi="Calibri"/>
                <w:color w:val="333333"/>
                <w:sz w:val="18"/>
              </w:rPr>
              <w:t>54.5%</w:t>
            </w:r>
          </w:p>
        </w:tc>
      </w:tr>
      <w:tr>
        <w:tc>
          <w:tcPr>
            <w:tcW w:type="dxa" w:w="2520"/>
            <w:shd w:fill="F2F4F8" w:val="clear"/>
          </w:tcPr>
          <w:p>
            <w:r>
              <w:rPr>
                <w:rFonts w:ascii="Calibri" w:hAnsi="Calibri"/>
                <w:color w:val="333333"/>
                <w:sz w:val="18"/>
              </w:rPr>
              <w:t>Commercial paper outstanding</w:t>
            </w:r>
          </w:p>
        </w:tc>
        <w:tc>
          <w:tcPr>
            <w:tcW w:type="dxa" w:w="2520"/>
            <w:shd w:fill="F2F4F8" w:val="clear"/>
          </w:tcPr>
          <w:p>
            <w:r>
              <w:rPr>
                <w:rFonts w:ascii="Calibri" w:hAnsi="Calibri"/>
                <w:color w:val="333333"/>
                <w:sz w:val="18"/>
              </w:rPr>
              <w:t>$0</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Unvested stock-based compensation cost not yet recognized</w:t>
            </w:r>
          </w:p>
        </w:tc>
        <w:tc>
          <w:tcPr>
            <w:tcW w:type="dxa" w:w="2520"/>
          </w:tcPr>
          <w:p>
            <w:r>
              <w:rPr>
                <w:rFonts w:ascii="Calibri" w:hAnsi="Calibri"/>
                <w:color w:val="333333"/>
                <w:sz w:val="18"/>
              </w:rPr>
              <w:t>$11.6B</w:t>
            </w:r>
          </w:p>
        </w:tc>
        <w:tc>
          <w:tcPr>
            <w:tcW w:type="dxa" w:w="2520"/>
          </w:tcPr>
          <w:p>
            <w:r>
              <w:rPr>
                <w:rFonts w:ascii="Calibri" w:hAnsi="Calibri"/>
                <w:color w:val="333333"/>
                <w:sz w:val="18"/>
              </w:rPr>
              <w:t>$14.8B</w:t>
            </w:r>
          </w:p>
        </w:tc>
        <w:tc>
          <w:tcPr>
            <w:tcW w:type="dxa" w:w="2520"/>
            <w:shd w:fill="DCEEF8" w:val="clear"/>
          </w:tcPr>
          <w:p>
            <w:r>
              <w:rPr>
                <w:rFonts w:ascii="Calibri" w:hAnsi="Calibri"/>
                <w:color w:val="333333"/>
                <w:sz w:val="18"/>
              </w:rPr>
              <w:t>27.6%</w:t>
            </w:r>
          </w:p>
        </w:tc>
      </w:tr>
      <w:tr>
        <w:tc>
          <w:tcPr>
            <w:tcW w:type="dxa" w:w="2520"/>
            <w:shd w:fill="F2F4F8" w:val="clear"/>
          </w:tcPr>
          <w:p>
            <w:r>
              <w:rPr>
                <w:rFonts w:ascii="Calibri" w:hAnsi="Calibri"/>
                <w:color w:val="333333"/>
                <w:sz w:val="18"/>
              </w:rPr>
              <w:t>Product warranty accrual / reserve</w:t>
            </w:r>
          </w:p>
        </w:tc>
        <w:tc>
          <w:tcPr>
            <w:tcW w:type="dxa" w:w="2520"/>
            <w:shd w:fill="F2F4F8" w:val="clear"/>
          </w:tcPr>
          <w:p>
            <w:r>
              <w:rPr>
                <w:rFonts w:ascii="Calibri" w:hAnsi="Calibri"/>
                <w:color w:val="333333"/>
                <w:sz w:val="18"/>
              </w:rPr>
              <w:t>$1.3B</w:t>
            </w:r>
          </w:p>
        </w:tc>
        <w:tc>
          <w:tcPr>
            <w:tcW w:type="dxa" w:w="2520"/>
            <w:shd w:fill="F2F4F8" w:val="clear"/>
          </w:tcPr>
          <w:p>
            <w:r>
              <w:rPr>
                <w:rFonts w:ascii="Calibri" w:hAnsi="Calibri"/>
                <w:color w:val="333333"/>
                <w:sz w:val="18"/>
              </w:rPr>
              <w:t>$2.8B</w:t>
            </w:r>
          </w:p>
        </w:tc>
        <w:tc>
          <w:tcPr>
            <w:tcW w:type="dxa" w:w="2520"/>
            <w:shd w:fill="F2F4F8" w:val="clear"/>
            <w:shd w:fill="DCEEF8" w:val="clear"/>
          </w:tcPr>
          <w:p>
            <w:r>
              <w:rPr>
                <w:rFonts w:ascii="Calibri" w:hAnsi="Calibri"/>
                <w:color w:val="333333"/>
                <w:sz w:val="18"/>
              </w:rPr>
              <w:t>117.6%</w:t>
            </w:r>
          </w:p>
        </w:tc>
      </w:tr>
      <w:tr>
        <w:tc>
          <w:tcPr>
            <w:tcW w:type="dxa" w:w="2520"/>
          </w:tcPr>
          <w:p>
            <w:r>
              <w:rPr>
                <w:rFonts w:ascii="Calibri" w:hAnsi="Calibri"/>
                <w:color w:val="333333"/>
                <w:sz w:val="18"/>
              </w:rPr>
              <w:t>Common stock shares authorized</w:t>
            </w:r>
          </w:p>
        </w:tc>
        <w:tc>
          <w:tcPr>
            <w:tcW w:type="dxa" w:w="2520"/>
          </w:tcPr>
          <w:p>
            <w:r>
              <w:rPr>
                <w:rFonts w:ascii="Calibri" w:hAnsi="Calibri"/>
                <w:color w:val="333333"/>
                <w:sz w:val="18"/>
              </w:rPr>
              <w:t>80.0B</w:t>
            </w:r>
          </w:p>
        </w:tc>
        <w:tc>
          <w:tcPr>
            <w:tcW w:type="dxa" w:w="2520"/>
          </w:tcPr>
          <w:p>
            <w:r>
              <w:rPr>
                <w:rFonts w:ascii="Calibri" w:hAnsi="Calibri"/>
                <w:color w:val="333333"/>
                <w:sz w:val="18"/>
              </w:rPr>
              <w:t>80.0B</w:t>
            </w:r>
          </w:p>
        </w:tc>
        <w:tc>
          <w:tcPr>
            <w:tcW w:type="dxa" w:w="2520"/>
          </w:tcPr>
          <w:p>
            <w:r>
              <w:rPr>
                <w:rFonts w:ascii="Calibri" w:hAnsi="Calibri"/>
                <w:color w:val="333333"/>
                <w:sz w:val="18"/>
              </w:rPr>
              <w:t>0.0%</w:t>
            </w:r>
          </w:p>
        </w:tc>
      </w:tr>
      <w:tr>
        <w:tc>
          <w:tcPr>
            <w:tcW w:type="dxa" w:w="2520"/>
            <w:shd w:fill="F2F4F8" w:val="clear"/>
          </w:tcPr>
          <w:p>
            <w:r>
              <w:rPr>
                <w:rFonts w:ascii="Calibri" w:hAnsi="Calibri"/>
                <w:color w:val="333333"/>
                <w:sz w:val="18"/>
              </w:rPr>
              <w:t>Contract with customer liability (total deferred revenue under ASC 606)</w:t>
            </w:r>
          </w:p>
        </w:tc>
        <w:tc>
          <w:tcPr>
            <w:tcW w:type="dxa" w:w="2520"/>
            <w:shd w:fill="F2F4F8" w:val="clear"/>
          </w:tcPr>
          <w:p>
            <w:r>
              <w:rPr>
                <w:rFonts w:ascii="Calibri" w:hAnsi="Calibri"/>
                <w:color w:val="333333"/>
                <w:sz w:val="18"/>
              </w:rPr>
              <w:t>$1.8B</w:t>
            </w:r>
          </w:p>
        </w:tc>
        <w:tc>
          <w:tcPr>
            <w:tcW w:type="dxa" w:w="2520"/>
            <w:shd w:fill="F2F4F8" w:val="clear"/>
          </w:tcPr>
          <w:p>
            <w:r>
              <w:rPr>
                <w:rFonts w:ascii="Calibri" w:hAnsi="Calibri"/>
                <w:color w:val="333333"/>
                <w:sz w:val="18"/>
              </w:rPr>
              <w:t>$2.6B</w:t>
            </w:r>
          </w:p>
        </w:tc>
        <w:tc>
          <w:tcPr>
            <w:tcW w:type="dxa" w:w="2520"/>
            <w:shd w:fill="F2F4F8" w:val="clear"/>
            <w:shd w:fill="DCEEF8" w:val="clear"/>
          </w:tcPr>
          <w:p>
            <w:r>
              <w:rPr>
                <w:rFonts w:ascii="Calibri" w:hAnsi="Calibri"/>
                <w:color w:val="333333"/>
                <w:sz w:val="18"/>
              </w:rPr>
              <w:t>41.9%</w:t>
            </w:r>
          </w:p>
        </w:tc>
      </w:tr>
      <w:tr>
        <w:tc>
          <w:tcPr>
            <w:tcW w:type="dxa" w:w="2520"/>
          </w:tcPr>
          <w:p>
            <w:r>
              <w:rPr>
                <w:rFonts w:ascii="Calibri" w:hAnsi="Calibri"/>
                <w:color w:val="333333"/>
                <w:sz w:val="18"/>
              </w:rPr>
              <w:t>Current ratio</w:t>
            </w:r>
          </w:p>
        </w:tc>
        <w:tc>
          <w:tcPr>
            <w:tcW w:type="dxa" w:w="2520"/>
          </w:tcPr>
          <w:p>
            <w:r>
              <w:rPr>
                <w:rFonts w:ascii="Calibri" w:hAnsi="Calibri"/>
                <w:color w:val="333333"/>
                <w:sz w:val="18"/>
              </w:rPr>
              <w:t>$4</w:t>
            </w:r>
          </w:p>
        </w:tc>
        <w:tc>
          <w:tcPr>
            <w:tcW w:type="dxa" w:w="2520"/>
          </w:tcPr>
          <w:p>
            <w:r>
              <w:rPr>
                <w:rFonts w:ascii="Calibri" w:hAnsi="Calibri"/>
                <w:color w:val="333333"/>
                <w:sz w:val="18"/>
              </w:rPr>
              <w:t>$4</w:t>
            </w:r>
          </w:p>
        </w:tc>
        <w:tc>
          <w:tcPr>
            <w:tcW w:type="dxa" w:w="2520"/>
            <w:shd w:fill="FCE8E6" w:val="clear"/>
          </w:tcPr>
          <w:p>
            <w:r>
              <w:rPr>
                <w:rFonts w:ascii="Calibri" w:hAnsi="Calibri"/>
                <w:color w:val="333333"/>
                <w:sz w:val="18"/>
              </w:rPr>
              <w:t>-12.0%</w:t>
            </w:r>
          </w:p>
        </w:tc>
      </w:tr>
      <w:tr>
        <w:tc>
          <w:tcPr>
            <w:tcW w:type="dxa" w:w="2520"/>
            <w:shd w:fill="F2F4F8" w:val="clear"/>
          </w:tcPr>
          <w:p>
            <w:r>
              <w:rPr>
                <w:rFonts w:ascii="Calibri" w:hAnsi="Calibri"/>
                <w:color w:val="333333"/>
                <w:sz w:val="18"/>
              </w:rPr>
              <w:t>Quick ratio</w:t>
            </w:r>
          </w:p>
        </w:tc>
        <w:tc>
          <w:tcPr>
            <w:tcW w:type="dxa" w:w="2520"/>
            <w:shd w:fill="F2F4F8" w:val="clear"/>
          </w:tcPr>
          <w:p>
            <w:r>
              <w:rPr>
                <w:rFonts w:ascii="Calibri" w:hAnsi="Calibri"/>
                <w:color w:val="333333"/>
                <w:sz w:val="18"/>
              </w:rPr>
              <w:t>$4</w:t>
            </w:r>
          </w:p>
        </w:tc>
        <w:tc>
          <w:tcPr>
            <w:tcW w:type="dxa" w:w="2520"/>
            <w:shd w:fill="F2F4F8" w:val="clear"/>
          </w:tcPr>
          <w:p>
            <w:r>
              <w:rPr>
                <w:rFonts w:ascii="Calibri" w:hAnsi="Calibri"/>
                <w:color w:val="333333"/>
                <w:sz w:val="18"/>
              </w:rPr>
              <w:t>$3</w:t>
            </w:r>
          </w:p>
        </w:tc>
        <w:tc>
          <w:tcPr>
            <w:tcW w:type="dxa" w:w="2520"/>
            <w:shd w:fill="F2F4F8" w:val="clear"/>
            <w:shd w:fill="FCE8E6" w:val="clear"/>
          </w:tcPr>
          <w:p>
            <w:r>
              <w:rPr>
                <w:rFonts w:ascii="Calibri" w:hAnsi="Calibri"/>
                <w:color w:val="333333"/>
                <w:sz w:val="18"/>
              </w:rPr>
              <w:t>-16.5%</w:t>
            </w:r>
          </w:p>
        </w:tc>
      </w:tr>
      <w:tr>
        <w:tc>
          <w:tcPr>
            <w:tcW w:type="dxa" w:w="2520"/>
          </w:tcPr>
          <w:p>
            <w:r>
              <w:rPr>
                <w:rFonts w:ascii="Calibri" w:hAnsi="Calibri"/>
                <w:color w:val="333333"/>
                <w:sz w:val="18"/>
              </w:rPr>
              <w:t>Debt-to-equity ratio</w:t>
            </w:r>
          </w:p>
        </w:tc>
        <w:tc>
          <w:tcPr>
            <w:tcW w:type="dxa" w:w="2520"/>
          </w:tcPr>
          <w:p>
            <w:r>
              <w:rPr>
                <w:rFonts w:ascii="Calibri" w:hAnsi="Calibri"/>
                <w:color w:val="333333"/>
                <w:sz w:val="18"/>
              </w:rPr>
              <w:t>$0</w:t>
            </w:r>
          </w:p>
        </w:tc>
        <w:tc>
          <w:tcPr>
            <w:tcW w:type="dxa" w:w="2520"/>
          </w:tcPr>
          <w:p>
            <w:r>
              <w:rPr>
                <w:rFonts w:ascii="Calibri" w:hAnsi="Calibri"/>
                <w:color w:val="333333"/>
                <w:sz w:val="18"/>
              </w:rPr>
              <w:t>$0</w:t>
            </w:r>
          </w:p>
        </w:tc>
        <w:tc>
          <w:tcPr>
            <w:tcW w:type="dxa" w:w="2520"/>
            <w:shd w:fill="FCE8E6" w:val="clear"/>
          </w:tcPr>
          <w:p>
            <w:r>
              <w:rPr>
                <w:rFonts w:ascii="Calibri" w:hAnsi="Calibri"/>
                <w:color w:val="333333"/>
                <w:sz w:val="18"/>
              </w:rPr>
              <w:t>-49.6%</w:t>
            </w:r>
          </w:p>
        </w:tc>
      </w:tr>
      <w:tr>
        <w:tc>
          <w:tcPr>
            <w:tcW w:type="dxa" w:w="2520"/>
            <w:shd w:fill="F2F4F8" w:val="clear"/>
          </w:tcPr>
          <w:p>
            <w:r>
              <w:rPr>
                <w:rFonts w:ascii="Calibri" w:hAnsi="Calibri"/>
                <w:color w:val="333333"/>
                <w:sz w:val="18"/>
              </w:rPr>
              <w:t>Debt-to-EBITDA ratio</w:t>
            </w:r>
          </w:p>
        </w:tc>
        <w:tc>
          <w:tcPr>
            <w:tcW w:type="dxa" w:w="2520"/>
            <w:shd w:fill="F2F4F8" w:val="clear"/>
          </w:tcPr>
          <w:p>
            <w:r>
              <w:rPr>
                <w:rFonts w:ascii="Calibri" w:hAnsi="Calibri"/>
                <w:color w:val="333333"/>
                <w:sz w:val="18"/>
              </w:rPr>
              <w:t>$0</w:t>
            </w:r>
          </w:p>
        </w:tc>
        <w:tc>
          <w:tcPr>
            <w:tcW w:type="dxa" w:w="2520"/>
            <w:shd w:fill="F2F4F8" w:val="clear"/>
          </w:tcPr>
          <w:p>
            <w:r>
              <w:rPr>
                <w:rFonts w:ascii="Calibri" w:hAnsi="Calibri"/>
                <w:color w:val="333333"/>
                <w:sz w:val="18"/>
              </w:rPr>
              <w:t>$0</w:t>
            </w:r>
          </w:p>
        </w:tc>
        <w:tc>
          <w:tcPr>
            <w:tcW w:type="dxa" w:w="2520"/>
            <w:shd w:fill="F2F4F8" w:val="clear"/>
            <w:shd w:fill="FCE8E6" w:val="clear"/>
          </w:tcPr>
          <w:p>
            <w:r>
              <w:rPr>
                <w:rFonts w:ascii="Calibri" w:hAnsi="Calibri"/>
                <w:color w:val="333333"/>
                <w:sz w:val="18"/>
              </w:rPr>
              <w:t>-37.4%</w:t>
            </w:r>
          </w:p>
        </w:tc>
      </w:tr>
      <w:tr>
        <w:tc>
          <w:tcPr>
            <w:tcW w:type="dxa" w:w="2520"/>
          </w:tcPr>
          <w:p>
            <w:r>
              <w:rPr>
                <w:rFonts w:ascii="Calibri" w:hAnsi="Calibri"/>
                <w:color w:val="333333"/>
                <w:sz w:val="18"/>
              </w:rPr>
              <w:t>Tangible book value</w:t>
            </w:r>
          </w:p>
        </w:tc>
        <w:tc>
          <w:tcPr>
            <w:tcW w:type="dxa" w:w="2520"/>
          </w:tcPr>
          <w:p>
            <w:r>
              <w:rPr>
                <w:rFonts w:ascii="Calibri" w:hAnsi="Calibri"/>
                <w:color w:val="333333"/>
                <w:sz w:val="18"/>
              </w:rPr>
              <w:t>$73.3B</w:t>
            </w:r>
          </w:p>
        </w:tc>
        <w:tc>
          <w:tcPr>
            <w:tcW w:type="dxa" w:w="2520"/>
          </w:tcPr>
          <w:p>
            <w:r>
              <w:rPr>
                <w:rFonts w:ascii="Calibri" w:hAnsi="Calibri"/>
                <w:color w:val="333333"/>
                <w:sz w:val="18"/>
              </w:rPr>
              <w:t>$133.2B</w:t>
            </w:r>
          </w:p>
        </w:tc>
        <w:tc>
          <w:tcPr>
            <w:tcW w:type="dxa" w:w="2520"/>
            <w:shd w:fill="DCEEF8" w:val="clear"/>
          </w:tcPr>
          <w:p>
            <w:r>
              <w:rPr>
                <w:rFonts w:ascii="Calibri" w:hAnsi="Calibri"/>
                <w:color w:val="333333"/>
                <w:sz w:val="18"/>
              </w:rPr>
              <w:t>81.6%</w:t>
            </w:r>
          </w:p>
        </w:tc>
      </w:tr>
      <w:tr>
        <w:tc>
          <w:tcPr>
            <w:tcW w:type="dxa" w:w="2520"/>
            <w:shd w:fill="F2F4F8" w:val="clear"/>
          </w:tcPr>
          <w:p>
            <w:r>
              <w:rPr>
                <w:rFonts w:ascii="Calibri" w:hAnsi="Calibri"/>
                <w:color w:val="333333"/>
                <w:sz w:val="18"/>
              </w:rPr>
              <w:t>Net debt</w:t>
            </w:r>
          </w:p>
        </w:tc>
        <w:tc>
          <w:tcPr>
            <w:tcW w:type="dxa" w:w="2520"/>
            <w:shd w:fill="F2F4F8" w:val="clear"/>
          </w:tcPr>
          <w:p>
            <w:r>
              <w:rPr>
                <w:rFonts w:ascii="Calibri" w:hAnsi="Calibri"/>
                <w:color w:val="333333"/>
                <w:sz w:val="18"/>
              </w:rPr>
              <w:t>$-126.0M</w:t>
            </w:r>
          </w:p>
        </w:tc>
        <w:tc>
          <w:tcPr>
            <w:tcW w:type="dxa" w:w="2520"/>
            <w:shd w:fill="F2F4F8" w:val="clear"/>
          </w:tcPr>
          <w:p>
            <w:r>
              <w:rPr>
                <w:rFonts w:ascii="Calibri" w:hAnsi="Calibri"/>
                <w:color w:val="333333"/>
                <w:sz w:val="18"/>
              </w:rPr>
              <w:t>$-2.1B</w:t>
            </w:r>
          </w:p>
        </w:tc>
        <w:tc>
          <w:tcPr>
            <w:tcW w:type="dxa" w:w="2520"/>
            <w:shd w:fill="F2F4F8" w:val="clear"/>
            <w:shd w:fill="FCE8E6" w:val="clear"/>
          </w:tcPr>
          <w:p>
            <w:r>
              <w:rPr>
                <w:rFonts w:ascii="Calibri" w:hAnsi="Calibri"/>
                <w:color w:val="333333"/>
                <w:sz w:val="18"/>
              </w:rPr>
              <w:t>-1596.0%</w:t>
            </w:r>
          </w:p>
        </w:tc>
      </w:tr>
      <w:tr>
        <w:tc>
          <w:tcPr>
            <w:tcW w:type="dxa" w:w="2520"/>
          </w:tcPr>
          <w:p>
            <w:r>
              <w:rPr>
                <w:rFonts w:ascii="Calibri" w:hAnsi="Calibri"/>
                <w:color w:val="333333"/>
                <w:sz w:val="18"/>
              </w:rPr>
              <w:t>Book value per share</w:t>
            </w:r>
          </w:p>
        </w:tc>
        <w:tc>
          <w:tcPr>
            <w:tcW w:type="dxa" w:w="2520"/>
          </w:tcPr>
          <w:p>
            <w:r>
              <w:rPr>
                <w:rFonts w:ascii="Calibri" w:hAnsi="Calibri"/>
                <w:color w:val="333333"/>
                <w:sz w:val="18"/>
              </w:rPr>
              <w:t>$3.24</w:t>
            </w:r>
          </w:p>
        </w:tc>
        <w:tc>
          <w:tcPr>
            <w:tcW w:type="dxa" w:w="2520"/>
          </w:tcPr>
          <w:p>
            <w:r>
              <w:rPr>
                <w:rFonts w:ascii="Calibri" w:hAnsi="Calibri"/>
                <w:color w:val="333333"/>
                <w:sz w:val="18"/>
              </w:rPr>
              <w:t>$6.47</w:t>
            </w:r>
          </w:p>
        </w:tc>
        <w:tc>
          <w:tcPr>
            <w:tcW w:type="dxa" w:w="2520"/>
            <w:shd w:fill="DCEEF8" w:val="clear"/>
          </w:tcPr>
          <w:p>
            <w:r>
              <w:rPr>
                <w:rFonts w:ascii="Calibri" w:hAnsi="Calibri"/>
                <w:color w:val="333333"/>
                <w:sz w:val="18"/>
              </w:rPr>
              <w:t>99.7%</w:t>
            </w:r>
          </w:p>
        </w:tc>
      </w:tr>
      <w:tr>
        <w:tc>
          <w:tcPr>
            <w:tcW w:type="dxa" w:w="2520"/>
            <w:shd w:fill="F2F4F8" w:val="clear"/>
          </w:tcPr>
          <w:p>
            <w:r>
              <w:rPr>
                <w:rFonts w:ascii="Calibri" w:hAnsi="Calibri"/>
                <w:color w:val="333333"/>
                <w:sz w:val="18"/>
              </w:rPr>
              <w:t>Return on assets</w:t>
            </w:r>
          </w:p>
        </w:tc>
        <w:tc>
          <w:tcPr>
            <w:tcW w:type="dxa" w:w="2520"/>
            <w:shd w:fill="F2F4F8" w:val="clear"/>
          </w:tcPr>
          <w:p>
            <w:r>
              <w:rPr>
                <w:rFonts w:ascii="Calibri" w:hAnsi="Calibri"/>
                <w:color w:val="333333"/>
                <w:sz w:val="18"/>
              </w:rPr>
              <w:t>$65</w:t>
            </w:r>
          </w:p>
        </w:tc>
        <w:tc>
          <w:tcPr>
            <w:tcW w:type="dxa" w:w="2520"/>
            <w:shd w:fill="F2F4F8" w:val="clear"/>
          </w:tcPr>
          <w:p>
            <w:r>
              <w:rPr>
                <w:rFonts w:ascii="Calibri" w:hAnsi="Calibri"/>
                <w:color w:val="333333"/>
                <w:sz w:val="18"/>
              </w:rPr>
              <w:t>$58</w:t>
            </w:r>
          </w:p>
        </w:tc>
        <w:tc>
          <w:tcPr>
            <w:tcW w:type="dxa" w:w="2520"/>
            <w:shd w:fill="F2F4F8" w:val="clear"/>
            <w:shd w:fill="FCE8E6" w:val="clear"/>
          </w:tcPr>
          <w:p>
            <w:r>
              <w:rPr>
                <w:rFonts w:ascii="Calibri" w:hAnsi="Calibri"/>
                <w:color w:val="333333"/>
                <w:sz w:val="18"/>
              </w:rPr>
              <w:t>-11.1%</w:t>
            </w:r>
          </w:p>
        </w:tc>
      </w:tr>
      <w:tr>
        <w:tc>
          <w:tcPr>
            <w:tcW w:type="dxa" w:w="2520"/>
          </w:tcPr>
          <w:p>
            <w:r>
              <w:rPr>
                <w:rFonts w:ascii="Calibri" w:hAnsi="Calibri"/>
                <w:color w:val="333333"/>
                <w:sz w:val="18"/>
              </w:rPr>
              <w:t>Return on equity</w:t>
            </w:r>
          </w:p>
        </w:tc>
        <w:tc>
          <w:tcPr>
            <w:tcW w:type="dxa" w:w="2520"/>
          </w:tcPr>
          <w:p>
            <w:r>
              <w:rPr>
                <w:rFonts w:ascii="Calibri" w:hAnsi="Calibri"/>
                <w:color w:val="333333"/>
                <w:sz w:val="18"/>
              </w:rPr>
              <w:t>$92</w:t>
            </w:r>
          </w:p>
        </w:tc>
        <w:tc>
          <w:tcPr>
            <w:tcW w:type="dxa" w:w="2520"/>
          </w:tcPr>
          <w:p>
            <w:r>
              <w:rPr>
                <w:rFonts w:ascii="Calibri" w:hAnsi="Calibri"/>
                <w:color w:val="333333"/>
                <w:sz w:val="18"/>
              </w:rPr>
              <w:t>$76</w:t>
            </w:r>
          </w:p>
        </w:tc>
        <w:tc>
          <w:tcPr>
            <w:tcW w:type="dxa" w:w="2520"/>
            <w:shd w:fill="FCE8E6" w:val="clear"/>
          </w:tcPr>
          <w:p>
            <w:r>
              <w:rPr>
                <w:rFonts w:ascii="Calibri" w:hAnsi="Calibri"/>
                <w:color w:val="333333"/>
                <w:sz w:val="18"/>
              </w:rPr>
              <w:t>-16.9%</w:t>
            </w:r>
          </w:p>
        </w:tc>
      </w:tr>
      <w:tr>
        <w:tc>
          <w:tcPr>
            <w:tcW w:type="dxa" w:w="2520"/>
            <w:shd w:fill="F2F4F8" w:val="clear"/>
          </w:tcPr>
          <w:p>
            <w:r>
              <w:rPr>
                <w:rFonts w:ascii="Calibri" w:hAnsi="Calibri"/>
                <w:color w:val="333333"/>
                <w:sz w:val="18"/>
              </w:rPr>
              <w:t>Asset turnover ratio</w:t>
            </w:r>
          </w:p>
        </w:tc>
        <w:tc>
          <w:tcPr>
            <w:tcW w:type="dxa" w:w="2520"/>
            <w:shd w:fill="F2F4F8" w:val="clear"/>
          </w:tcPr>
          <w:p>
            <w:r>
              <w:rPr>
                <w:rFonts w:ascii="Calibri" w:hAnsi="Calibri"/>
                <w:color w:val="333333"/>
                <w:sz w:val="18"/>
              </w:rPr>
              <w:t>$1</w:t>
            </w:r>
          </w:p>
        </w:tc>
        <w:tc>
          <w:tcPr>
            <w:tcW w:type="dxa" w:w="2520"/>
            <w:shd w:fill="F2F4F8" w:val="clear"/>
          </w:tcPr>
          <w:p>
            <w:r>
              <w:rPr>
                <w:rFonts w:ascii="Calibri" w:hAnsi="Calibri"/>
                <w:color w:val="333333"/>
                <w:sz w:val="18"/>
              </w:rPr>
              <w:t>$1</w:t>
            </w:r>
          </w:p>
        </w:tc>
        <w:tc>
          <w:tcPr>
            <w:tcW w:type="dxa" w:w="2520"/>
            <w:shd w:fill="F2F4F8" w:val="clear"/>
            <w:shd w:fill="FCE8E6" w:val="clear"/>
          </w:tcPr>
          <w:p>
            <w:r>
              <w:rPr>
                <w:rFonts w:ascii="Calibri" w:hAnsi="Calibri"/>
                <w:color w:val="333333"/>
                <w:sz w:val="18"/>
              </w:rPr>
              <w:t>-10.7%</w:t>
            </w:r>
          </w:p>
        </w:tc>
      </w:tr>
    </w:tbl>
    <w:p>
      <w:pPr>
        <w:pStyle w:val="DOHeading3"/>
      </w:pPr>
      <w:r>
        <w:t>Key Balance Sheet Ratios</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Ratio</w:t>
            </w:r>
          </w:p>
        </w:tc>
        <w:tc>
          <w:tcPr>
            <w:tcW w:type="dxa" w:w="3360"/>
            <w:shd w:fill="1A1446" w:val="clear"/>
          </w:tcPr>
          <w:p>
            <w:r>
              <w:rPr>
                <w:rFonts w:ascii="Calibri" w:hAnsi="Calibri"/>
                <w:b/>
                <w:color w:val="FFFFFF"/>
                <w:sz w:val="18"/>
              </w:rPr>
              <w:t>Value</w:t>
            </w:r>
          </w:p>
        </w:tc>
        <w:tc>
          <w:tcPr>
            <w:tcW w:type="dxa" w:w="3360"/>
            <w:shd w:fill="1A1446" w:val="clear"/>
          </w:tcPr>
          <w:p>
            <w:r>
              <w:rPr>
                <w:rFonts w:ascii="Calibri" w:hAnsi="Calibri"/>
                <w:b/>
                <w:color w:val="FFFFFF"/>
                <w:sz w:val="18"/>
              </w:rPr>
              <w:t>Assessment</w:t>
            </w:r>
          </w:p>
        </w:tc>
      </w:tr>
      <w:tr>
        <w:tc>
          <w:tcPr>
            <w:tcW w:type="dxa" w:w="3360"/>
          </w:tcPr>
          <w:p>
            <w:r>
              <w:rPr>
                <w:rFonts w:ascii="Calibri" w:hAnsi="Calibri"/>
                <w:color w:val="333333"/>
                <w:sz w:val="18"/>
              </w:rPr>
              <w:t>Current Ratio</w:t>
            </w:r>
          </w:p>
        </w:tc>
        <w:tc>
          <w:tcPr>
            <w:tcW w:type="dxa" w:w="3360"/>
          </w:tcPr>
          <w:p>
            <w:r>
              <w:rPr>
                <w:rFonts w:ascii="Calibri" w:hAnsi="Calibri"/>
                <w:color w:val="333333"/>
                <w:sz w:val="18"/>
              </w:rPr>
              <w:t>3.91</w:t>
            </w:r>
          </w:p>
        </w:tc>
        <w:tc>
          <w:tcPr>
            <w:tcW w:type="dxa" w:w="3360"/>
          </w:tcPr>
          <w:p>
            <w:r>
              <w:rPr>
                <w:rFonts w:ascii="Calibri" w:hAnsi="Calibri"/>
                <w:color w:val="333333"/>
                <w:sz w:val="18"/>
              </w:rPr>
              <w:t>Healthy</w:t>
            </w:r>
          </w:p>
        </w:tc>
      </w:tr>
      <w:tr>
        <w:tc>
          <w:tcPr>
            <w:tcW w:type="dxa" w:w="3360"/>
            <w:shd w:fill="F2F4F8" w:val="clear"/>
          </w:tcPr>
          <w:p>
            <w:r>
              <w:rPr>
                <w:rFonts w:ascii="Calibri" w:hAnsi="Calibri"/>
                <w:color w:val="333333"/>
                <w:sz w:val="18"/>
              </w:rPr>
              <w:t>Debt/Equity</w:t>
            </w:r>
          </w:p>
        </w:tc>
        <w:tc>
          <w:tcPr>
            <w:tcW w:type="dxa" w:w="3360"/>
            <w:shd w:fill="F2F4F8" w:val="clear"/>
          </w:tcPr>
          <w:p>
            <w:r>
              <w:rPr>
                <w:rFonts w:ascii="Calibri" w:hAnsi="Calibri"/>
                <w:color w:val="333333"/>
                <w:sz w:val="18"/>
              </w:rPr>
              <w:t>0.05</w:t>
            </w:r>
          </w:p>
        </w:tc>
        <w:tc>
          <w:tcPr>
            <w:tcW w:type="dxa" w:w="3360"/>
            <w:shd w:fill="F2F4F8" w:val="clear"/>
          </w:tcPr>
          <w:p>
            <w:r>
              <w:rPr>
                <w:rFonts w:ascii="Calibri" w:hAnsi="Calibri"/>
                <w:color w:val="333333"/>
                <w:sz w:val="18"/>
              </w:rPr>
              <w:t>Conservative</w:t>
            </w:r>
          </w:p>
        </w:tc>
      </w:tr>
      <w:tr>
        <w:tc>
          <w:tcPr>
            <w:tcW w:type="dxa" w:w="3360"/>
          </w:tcPr>
          <w:p>
            <w:r>
              <w:rPr>
                <w:rFonts w:ascii="Calibri" w:hAnsi="Calibri"/>
                <w:color w:val="333333"/>
                <w:sz w:val="18"/>
              </w:rPr>
              <w:t>Debt/Assets</w:t>
            </w:r>
          </w:p>
        </w:tc>
        <w:tc>
          <w:tcPr>
            <w:tcW w:type="dxa" w:w="3360"/>
          </w:tcPr>
          <w:p>
            <w:r>
              <w:rPr>
                <w:rFonts w:ascii="Calibri" w:hAnsi="Calibri"/>
                <w:color w:val="333333"/>
                <w:sz w:val="18"/>
              </w:rPr>
              <w:t>0.24</w:t>
            </w:r>
          </w:p>
        </w:tc>
        <w:tc>
          <w:tcPr>
            <w:tcW w:type="dxa" w:w="3360"/>
          </w:tcPr>
          <w:p>
            <w:r>
              <w:rPr>
                <w:rFonts w:ascii="Calibri" w:hAnsi="Calibri"/>
                <w:color w:val="333333"/>
                <w:sz w:val="18"/>
              </w:rPr>
              <w:t>Low</w:t>
            </w:r>
          </w:p>
        </w:tc>
      </w:tr>
      <w:tr>
        <w:tc>
          <w:tcPr>
            <w:tcW w:type="dxa" w:w="3360"/>
            <w:shd w:fill="F2F4F8" w:val="clear"/>
          </w:tcPr>
          <w:p>
            <w:r>
              <w:rPr>
                <w:rFonts w:ascii="Calibri" w:hAnsi="Calibri"/>
                <w:color w:val="333333"/>
                <w:sz w:val="18"/>
              </w:rPr>
              <w:t>Cash/Assets</w:t>
            </w:r>
          </w:p>
        </w:tc>
        <w:tc>
          <w:tcPr>
            <w:tcW w:type="dxa" w:w="3360"/>
            <w:shd w:fill="F2F4F8" w:val="clear"/>
          </w:tcPr>
          <w:p>
            <w:r>
              <w:rPr>
                <w:rFonts w:ascii="Calibri" w:hAnsi="Calibri"/>
                <w:color w:val="333333"/>
                <w:sz w:val="18"/>
              </w:rPr>
              <w:t>5.1%</w:t>
            </w:r>
          </w:p>
        </w:tc>
        <w:tc>
          <w:tcPr>
            <w:tcW w:type="dxa" w:w="3360"/>
            <w:shd w:fill="F2F4F8" w:val="clear"/>
          </w:tcPr>
          <w:p>
            <w:r>
              <w:rPr>
                <w:rFonts w:ascii="Calibri" w:hAnsi="Calibri"/>
                <w:color w:val="333333"/>
                <w:sz w:val="18"/>
              </w:rPr>
            </w:r>
          </w:p>
        </w:tc>
      </w:tr>
    </w:tbl>
    <w:p>
      <w:pPr>
        <w:pStyle w:val="DOHeading2"/>
      </w:pPr>
      <w:r>
        <w:t>Cash Flow Statement</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Metric</w:t>
            </w:r>
          </w:p>
        </w:tc>
        <w:tc>
          <w:tcPr>
            <w:tcW w:type="dxa" w:w="2520"/>
            <w:shd w:fill="1A1446" w:val="clear"/>
          </w:tcPr>
          <w:p>
            <w:r>
              <w:rPr>
                <w:rFonts w:ascii="Calibri" w:hAnsi="Calibri"/>
                <w:b/>
                <w:color w:val="FFFFFF"/>
                <w:sz w:val="18"/>
              </w:rPr>
              <w:t>FY2025</w:t>
            </w:r>
          </w:p>
        </w:tc>
        <w:tc>
          <w:tcPr>
            <w:tcW w:type="dxa" w:w="2520"/>
            <w:shd w:fill="1A1446" w:val="clear"/>
          </w:tcPr>
          <w:p>
            <w:r>
              <w:rPr>
                <w:rFonts w:ascii="Calibri" w:hAnsi="Calibri"/>
                <w:b/>
                <w:color w:val="FFFFFF"/>
                <w:sz w:val="18"/>
              </w:rPr>
              <w:t>FY2026</w:t>
            </w:r>
          </w:p>
        </w:tc>
        <w:tc>
          <w:tcPr>
            <w:tcW w:type="dxa" w:w="2520"/>
            <w:shd w:fill="1A1446" w:val="clear"/>
          </w:tcPr>
          <w:p>
            <w:r>
              <w:rPr>
                <w:rFonts w:ascii="Calibri" w:hAnsi="Calibri"/>
                <w:b/>
                <w:color w:val="FFFFFF"/>
                <w:sz w:val="18"/>
              </w:rPr>
              <w:t>YoY Change</w:t>
            </w:r>
          </w:p>
        </w:tc>
      </w:tr>
      <w:tr>
        <w:tc>
          <w:tcPr>
            <w:tcW w:type="dxa" w:w="2520"/>
          </w:tcPr>
          <w:p>
            <w:r>
              <w:rPr>
                <w:rFonts w:ascii="Calibri" w:hAnsi="Calibri"/>
                <w:color w:val="333333"/>
                <w:sz w:val="18"/>
              </w:rPr>
              <w:t>Net cash from operating activities</w:t>
            </w:r>
          </w:p>
        </w:tc>
        <w:tc>
          <w:tcPr>
            <w:tcW w:type="dxa" w:w="2520"/>
          </w:tcPr>
          <w:p>
            <w:r>
              <w:rPr>
                <w:rFonts w:ascii="Calibri" w:hAnsi="Calibri"/>
                <w:color w:val="333333"/>
                <w:sz w:val="18"/>
              </w:rPr>
              <w:t>$64.1B</w:t>
            </w:r>
          </w:p>
        </w:tc>
        <w:tc>
          <w:tcPr>
            <w:tcW w:type="dxa" w:w="2520"/>
          </w:tcPr>
          <w:p>
            <w:r>
              <w:rPr>
                <w:rFonts w:ascii="Calibri" w:hAnsi="Calibri"/>
                <w:color w:val="333333"/>
                <w:sz w:val="18"/>
              </w:rPr>
              <w:t>$102.7B</w:t>
            </w:r>
          </w:p>
        </w:tc>
        <w:tc>
          <w:tcPr>
            <w:tcW w:type="dxa" w:w="2520"/>
            <w:shd w:fill="DCEEF8" w:val="clear"/>
          </w:tcPr>
          <w:p>
            <w:r>
              <w:rPr>
                <w:rFonts w:ascii="Calibri" w:hAnsi="Calibri"/>
                <w:color w:val="333333"/>
                <w:sz w:val="18"/>
              </w:rPr>
              <w:t>60.3%</w:t>
            </w:r>
          </w:p>
        </w:tc>
      </w:tr>
      <w:tr>
        <w:tc>
          <w:tcPr>
            <w:tcW w:type="dxa" w:w="2520"/>
            <w:shd w:fill="F2F4F8" w:val="clear"/>
          </w:tcPr>
          <w:p>
            <w:r>
              <w:rPr>
                <w:rFonts w:ascii="Calibri" w:hAnsi="Calibri"/>
                <w:color w:val="333333"/>
                <w:sz w:val="18"/>
              </w:rPr>
              <w:t>Net cash from investing activities</w:t>
            </w:r>
          </w:p>
        </w:tc>
        <w:tc>
          <w:tcPr>
            <w:tcW w:type="dxa" w:w="2520"/>
            <w:shd w:fill="F2F4F8" w:val="clear"/>
          </w:tcPr>
          <w:p>
            <w:r>
              <w:rPr>
                <w:rFonts w:ascii="Calibri" w:hAnsi="Calibri"/>
                <w:color w:val="333333"/>
                <w:sz w:val="18"/>
              </w:rPr>
              <w:t>$-20.4B</w:t>
            </w:r>
          </w:p>
        </w:tc>
        <w:tc>
          <w:tcPr>
            <w:tcW w:type="dxa" w:w="2520"/>
            <w:shd w:fill="F2F4F8" w:val="clear"/>
          </w:tcPr>
          <w:p>
            <w:r>
              <w:rPr>
                <w:rFonts w:ascii="Calibri" w:hAnsi="Calibri"/>
                <w:color w:val="333333"/>
                <w:sz w:val="18"/>
              </w:rPr>
              <w:t>$-52.2B</w:t>
            </w:r>
          </w:p>
        </w:tc>
        <w:tc>
          <w:tcPr>
            <w:tcW w:type="dxa" w:w="2520"/>
            <w:shd w:fill="F2F4F8" w:val="clear"/>
            <w:shd w:fill="FCE8E6" w:val="clear"/>
          </w:tcPr>
          <w:p>
            <w:r>
              <w:rPr>
                <w:rFonts w:ascii="Calibri" w:hAnsi="Calibri"/>
                <w:color w:val="333333"/>
                <w:sz w:val="18"/>
              </w:rPr>
              <w:t>-155.8%</w:t>
            </w:r>
          </w:p>
        </w:tc>
      </w:tr>
      <w:tr>
        <w:tc>
          <w:tcPr>
            <w:tcW w:type="dxa" w:w="2520"/>
          </w:tcPr>
          <w:p>
            <w:r>
              <w:rPr>
                <w:rFonts w:ascii="Calibri" w:hAnsi="Calibri"/>
                <w:color w:val="333333"/>
                <w:sz w:val="18"/>
              </w:rPr>
              <w:t>Net cash from financing activities</w:t>
            </w:r>
          </w:p>
        </w:tc>
        <w:tc>
          <w:tcPr>
            <w:tcW w:type="dxa" w:w="2520"/>
          </w:tcPr>
          <w:p>
            <w:r>
              <w:rPr>
                <w:rFonts w:ascii="Calibri" w:hAnsi="Calibri"/>
                <w:color w:val="333333"/>
                <w:sz w:val="18"/>
              </w:rPr>
              <w:t>$-42.4B</w:t>
            </w:r>
          </w:p>
        </w:tc>
        <w:tc>
          <w:tcPr>
            <w:tcW w:type="dxa" w:w="2520"/>
          </w:tcPr>
          <w:p>
            <w:r>
              <w:rPr>
                <w:rFonts w:ascii="Calibri" w:hAnsi="Calibri"/>
                <w:color w:val="333333"/>
                <w:sz w:val="18"/>
              </w:rPr>
              <w:t>$-48.5B</w:t>
            </w:r>
          </w:p>
        </w:tc>
        <w:tc>
          <w:tcPr>
            <w:tcW w:type="dxa" w:w="2520"/>
            <w:shd w:fill="FCE8E6" w:val="clear"/>
          </w:tcPr>
          <w:p>
            <w:r>
              <w:rPr>
                <w:rFonts w:ascii="Calibri" w:hAnsi="Calibri"/>
                <w:color w:val="333333"/>
                <w:sz w:val="18"/>
              </w:rPr>
              <w:t>-14.4%</w:t>
            </w:r>
          </w:p>
        </w:tc>
      </w:tr>
      <w:tr>
        <w:tc>
          <w:tcPr>
            <w:tcW w:type="dxa" w:w="2520"/>
            <w:shd w:fill="F2F4F8" w:val="clear"/>
          </w:tcPr>
          <w:p>
            <w:r>
              <w:rPr>
                <w:rFonts w:ascii="Calibri" w:hAnsi="Calibri"/>
                <w:color w:val="333333"/>
                <w:sz w:val="18"/>
              </w:rPr>
              <w:t>Capital expenditures</w:t>
            </w:r>
          </w:p>
        </w:tc>
        <w:tc>
          <w:tcPr>
            <w:tcW w:type="dxa" w:w="2520"/>
            <w:shd w:fill="F2F4F8" w:val="clear"/>
          </w:tcPr>
          <w:p>
            <w:r>
              <w:rPr>
                <w:rFonts w:ascii="Calibri" w:hAnsi="Calibri"/>
                <w:color w:val="333333"/>
                <w:sz w:val="18"/>
              </w:rPr>
              <w:t>$3.2B</w:t>
            </w:r>
          </w:p>
        </w:tc>
        <w:tc>
          <w:tcPr>
            <w:tcW w:type="dxa" w:w="2520"/>
            <w:shd w:fill="F2F4F8" w:val="clear"/>
          </w:tcPr>
          <w:p>
            <w:r>
              <w:rPr>
                <w:rFonts w:ascii="Calibri" w:hAnsi="Calibri"/>
                <w:color w:val="333333"/>
                <w:sz w:val="18"/>
              </w:rPr>
              <w:t>$6.0B</w:t>
            </w:r>
          </w:p>
        </w:tc>
        <w:tc>
          <w:tcPr>
            <w:tcW w:type="dxa" w:w="2520"/>
            <w:shd w:fill="F2F4F8" w:val="clear"/>
            <w:shd w:fill="DCEEF8" w:val="clear"/>
          </w:tcPr>
          <w:p>
            <w:r>
              <w:rPr>
                <w:rFonts w:ascii="Calibri" w:hAnsi="Calibri"/>
                <w:color w:val="333333"/>
                <w:sz w:val="18"/>
              </w:rPr>
              <w:t>86.7%</w:t>
            </w:r>
          </w:p>
        </w:tc>
      </w:tr>
      <w:tr>
        <w:tc>
          <w:tcPr>
            <w:tcW w:type="dxa" w:w="2520"/>
          </w:tcPr>
          <w:p>
            <w:r>
              <w:rPr>
                <w:rFonts w:ascii="Calibri" w:hAnsi="Calibri"/>
                <w:color w:val="333333"/>
                <w:sz w:val="18"/>
              </w:rPr>
              <w:t>Depreciation and amortization</w:t>
            </w:r>
          </w:p>
        </w:tc>
        <w:tc>
          <w:tcPr>
            <w:tcW w:type="dxa" w:w="2520"/>
          </w:tcPr>
          <w:p>
            <w:r>
              <w:rPr>
                <w:rFonts w:ascii="Calibri" w:hAnsi="Calibri"/>
                <w:color w:val="333333"/>
                <w:sz w:val="18"/>
              </w:rPr>
              <w:t>$1.9B</w:t>
            </w:r>
          </w:p>
        </w:tc>
        <w:tc>
          <w:tcPr>
            <w:tcW w:type="dxa" w:w="2520"/>
          </w:tcPr>
          <w:p>
            <w:r>
              <w:rPr>
                <w:rFonts w:ascii="Calibri" w:hAnsi="Calibri"/>
                <w:color w:val="333333"/>
                <w:sz w:val="18"/>
              </w:rPr>
              <w:t>$2.8B</w:t>
            </w:r>
          </w:p>
        </w:tc>
        <w:tc>
          <w:tcPr>
            <w:tcW w:type="dxa" w:w="2520"/>
            <w:shd w:fill="DCEEF8" w:val="clear"/>
          </w:tcPr>
          <w:p>
            <w:r>
              <w:rPr>
                <w:rFonts w:ascii="Calibri" w:hAnsi="Calibri"/>
                <w:color w:val="333333"/>
                <w:sz w:val="18"/>
              </w:rPr>
              <w:t>52.5%</w:t>
            </w:r>
          </w:p>
        </w:tc>
      </w:tr>
      <w:tr>
        <w:tc>
          <w:tcPr>
            <w:tcW w:type="dxa" w:w="2520"/>
            <w:shd w:fill="F2F4F8" w:val="clear"/>
          </w:tcPr>
          <w:p>
            <w:r>
              <w:rPr>
                <w:rFonts w:ascii="Calibri" w:hAnsi="Calibri"/>
                <w:color w:val="333333"/>
                <w:sz w:val="18"/>
              </w:rPr>
              <w:t>Dividends paid</w:t>
            </w:r>
          </w:p>
        </w:tc>
        <w:tc>
          <w:tcPr>
            <w:tcW w:type="dxa" w:w="2520"/>
            <w:shd w:fill="F2F4F8" w:val="clear"/>
          </w:tcPr>
          <w:p>
            <w:r>
              <w:rPr>
                <w:rFonts w:ascii="Calibri" w:hAnsi="Calibri"/>
                <w:color w:val="333333"/>
                <w:sz w:val="18"/>
              </w:rPr>
              <w:t>$834.0M</w:t>
            </w:r>
          </w:p>
        </w:tc>
        <w:tc>
          <w:tcPr>
            <w:tcW w:type="dxa" w:w="2520"/>
            <w:shd w:fill="F2F4F8" w:val="clear"/>
          </w:tcPr>
          <w:p>
            <w:r>
              <w:rPr>
                <w:rFonts w:ascii="Calibri" w:hAnsi="Calibri"/>
                <w:color w:val="333333"/>
                <w:sz w:val="18"/>
              </w:rPr>
              <w:t>$974.0M</w:t>
            </w:r>
          </w:p>
        </w:tc>
        <w:tc>
          <w:tcPr>
            <w:tcW w:type="dxa" w:w="2520"/>
            <w:shd w:fill="F2F4F8" w:val="clear"/>
            <w:shd w:fill="DCEEF8" w:val="clear"/>
          </w:tcPr>
          <w:p>
            <w:r>
              <w:rPr>
                <w:rFonts w:ascii="Calibri" w:hAnsi="Calibri"/>
                <w:color w:val="333333"/>
                <w:sz w:val="18"/>
              </w:rPr>
              <w:t>16.8%</w:t>
            </w:r>
          </w:p>
        </w:tc>
      </w:tr>
      <w:tr>
        <w:tc>
          <w:tcPr>
            <w:tcW w:type="dxa" w:w="2520"/>
          </w:tcPr>
          <w:p>
            <w:r>
              <w:rPr>
                <w:rFonts w:ascii="Calibri" w:hAnsi="Calibri"/>
                <w:color w:val="333333"/>
                <w:sz w:val="18"/>
              </w:rPr>
              <w:t>Share repurchases / buybacks</w:t>
            </w:r>
          </w:p>
        </w:tc>
        <w:tc>
          <w:tcPr>
            <w:tcW w:type="dxa" w:w="2520"/>
          </w:tcPr>
          <w:p>
            <w:r>
              <w:rPr>
                <w:rFonts w:ascii="Calibri" w:hAnsi="Calibri"/>
                <w:color w:val="333333"/>
                <w:sz w:val="18"/>
              </w:rPr>
              <w:t>$33.7B</w:t>
            </w:r>
          </w:p>
        </w:tc>
        <w:tc>
          <w:tcPr>
            <w:tcW w:type="dxa" w:w="2520"/>
          </w:tcPr>
          <w:p>
            <w:r>
              <w:rPr>
                <w:rFonts w:ascii="Calibri" w:hAnsi="Calibri"/>
                <w:color w:val="333333"/>
                <w:sz w:val="18"/>
              </w:rPr>
              <w:t>$40.1B</w:t>
            </w:r>
          </w:p>
        </w:tc>
        <w:tc>
          <w:tcPr>
            <w:tcW w:type="dxa" w:w="2520"/>
            <w:shd w:fill="DCEEF8" w:val="clear"/>
          </w:tcPr>
          <w:p>
            <w:r>
              <w:rPr>
                <w:rFonts w:ascii="Calibri" w:hAnsi="Calibri"/>
                <w:color w:val="333333"/>
                <w:sz w:val="18"/>
              </w:rPr>
              <w:t>18.9%</w:t>
            </w:r>
          </w:p>
        </w:tc>
      </w:tr>
      <w:tr>
        <w:tc>
          <w:tcPr>
            <w:tcW w:type="dxa" w:w="2520"/>
            <w:shd w:fill="F2F4F8" w:val="clear"/>
          </w:tcPr>
          <w:p>
            <w:r>
              <w:rPr>
                <w:rFonts w:ascii="Calibri" w:hAnsi="Calibri"/>
                <w:color w:val="333333"/>
                <w:sz w:val="18"/>
              </w:rPr>
              <w:t>Acquisitions, net of cash acquired</w:t>
            </w:r>
          </w:p>
        </w:tc>
        <w:tc>
          <w:tcPr>
            <w:tcW w:type="dxa" w:w="2520"/>
            <w:shd w:fill="F2F4F8" w:val="clear"/>
          </w:tcPr>
          <w:p>
            <w:r>
              <w:rPr>
                <w:rFonts w:ascii="Calibri" w:hAnsi="Calibri"/>
                <w:color w:val="333333"/>
                <w:sz w:val="18"/>
              </w:rPr>
              <w:t>$1.0B</w:t>
            </w:r>
          </w:p>
        </w:tc>
        <w:tc>
          <w:tcPr>
            <w:tcW w:type="dxa" w:w="2520"/>
            <w:shd w:fill="F2F4F8" w:val="clear"/>
          </w:tcPr>
          <w:p>
            <w:r>
              <w:rPr>
                <w:rFonts w:ascii="Calibri" w:hAnsi="Calibri"/>
                <w:color w:val="333333"/>
                <w:sz w:val="18"/>
              </w:rPr>
              <w:t>$1.5B</w:t>
            </w:r>
          </w:p>
        </w:tc>
        <w:tc>
          <w:tcPr>
            <w:tcW w:type="dxa" w:w="2520"/>
            <w:shd w:fill="F2F4F8" w:val="clear"/>
            <w:shd w:fill="DCEEF8" w:val="clear"/>
          </w:tcPr>
          <w:p>
            <w:r>
              <w:rPr>
                <w:rFonts w:ascii="Calibri" w:hAnsi="Calibri"/>
                <w:color w:val="333333"/>
                <w:sz w:val="18"/>
              </w:rPr>
              <w:t>52.4%</w:t>
            </w:r>
          </w:p>
        </w:tc>
      </w:tr>
      <w:tr>
        <w:tc>
          <w:tcPr>
            <w:tcW w:type="dxa" w:w="2520"/>
          </w:tcPr>
          <w:p>
            <w:r>
              <w:rPr>
                <w:rFonts w:ascii="Calibri" w:hAnsi="Calibri"/>
                <w:color w:val="333333"/>
                <w:sz w:val="18"/>
              </w:rPr>
              <w:t>Repayments of debt</w:t>
            </w:r>
          </w:p>
        </w:tc>
        <w:tc>
          <w:tcPr>
            <w:tcW w:type="dxa" w:w="2520"/>
          </w:tcPr>
          <w:p>
            <w:r>
              <w:rPr>
                <w:rFonts w:ascii="Calibri" w:hAnsi="Calibri"/>
                <w:color w:val="333333"/>
                <w:sz w:val="18"/>
              </w:rPr>
              <w:t>$1.2B</w:t>
            </w:r>
          </w:p>
        </w:tc>
        <w:tc>
          <w:tcPr>
            <w:tcW w:type="dxa" w:w="2520"/>
          </w:tcPr>
          <w:p>
            <w:r>
              <w:rPr>
                <w:rFonts w:ascii="Calibri" w:hAnsi="Calibri"/>
                <w:color w:val="333333"/>
                <w:sz w:val="18"/>
              </w:rPr>
              <w:t>$0</w:t>
            </w:r>
          </w:p>
        </w:tc>
        <w:tc>
          <w:tcPr>
            <w:tcW w:type="dxa" w:w="2520"/>
            <w:shd w:fill="FCE8E6" w:val="clear"/>
          </w:tcPr>
          <w:p>
            <w:r>
              <w:rPr>
                <w:rFonts w:ascii="Calibri" w:hAnsi="Calibri"/>
                <w:color w:val="333333"/>
                <w:sz w:val="18"/>
              </w:rPr>
              <w:t>-100.0%</w:t>
            </w:r>
          </w:p>
        </w:tc>
      </w:tr>
      <w:tr>
        <w:tc>
          <w:tcPr>
            <w:tcW w:type="dxa" w:w="2520"/>
            <w:shd w:fill="F2F4F8" w:val="clear"/>
          </w:tcPr>
          <w:p>
            <w:r>
              <w:rPr>
                <w:rFonts w:ascii="Calibri" w:hAnsi="Calibri"/>
                <w:color w:val="333333"/>
                <w:sz w:val="18"/>
              </w:rPr>
              <w:t>Proceeds from stock issuance</w:t>
            </w:r>
          </w:p>
        </w:tc>
        <w:tc>
          <w:tcPr>
            <w:tcW w:type="dxa" w:w="2520"/>
            <w:shd w:fill="F2F4F8" w:val="clear"/>
          </w:tcPr>
          <w:p>
            <w:r>
              <w:rPr>
                <w:rFonts w:ascii="Calibri" w:hAnsi="Calibri"/>
                <w:color w:val="333333"/>
                <w:sz w:val="18"/>
              </w:rPr>
              <w:t>$490.0M</w:t>
            </w:r>
          </w:p>
        </w:tc>
        <w:tc>
          <w:tcPr>
            <w:tcW w:type="dxa" w:w="2520"/>
            <w:shd w:fill="F2F4F8" w:val="clear"/>
          </w:tcPr>
          <w:p>
            <w:r>
              <w:rPr>
                <w:rFonts w:ascii="Calibri" w:hAnsi="Calibri"/>
                <w:color w:val="333333"/>
                <w:sz w:val="18"/>
              </w:rPr>
              <w:t>$644.0M</w:t>
            </w:r>
          </w:p>
        </w:tc>
        <w:tc>
          <w:tcPr>
            <w:tcW w:type="dxa" w:w="2520"/>
            <w:shd w:fill="F2F4F8" w:val="clear"/>
            <w:shd w:fill="DCEEF8" w:val="clear"/>
          </w:tcPr>
          <w:p>
            <w:r>
              <w:rPr>
                <w:rFonts w:ascii="Calibri" w:hAnsi="Calibri"/>
                <w:color w:val="333333"/>
                <w:sz w:val="18"/>
              </w:rPr>
              <w:t>31.4%</w:t>
            </w:r>
          </w:p>
        </w:tc>
      </w:tr>
      <w:tr>
        <w:tc>
          <w:tcPr>
            <w:tcW w:type="dxa" w:w="2520"/>
          </w:tcPr>
          <w:p>
            <w:r>
              <w:rPr>
                <w:rFonts w:ascii="Calibri" w:hAnsi="Calibri"/>
                <w:color w:val="333333"/>
                <w:sz w:val="18"/>
              </w:rPr>
              <w:t>Interest paid (supplemental)</w:t>
            </w:r>
          </w:p>
        </w:tc>
        <w:tc>
          <w:tcPr>
            <w:tcW w:type="dxa" w:w="2520"/>
          </w:tcPr>
          <w:p>
            <w:r>
              <w:rPr>
                <w:rFonts w:ascii="Calibri" w:hAnsi="Calibri"/>
                <w:color w:val="333333"/>
                <w:sz w:val="18"/>
              </w:rPr>
              <w:t>$246.0M</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Income taxes paid (supplemental)</w:t>
            </w:r>
          </w:p>
        </w:tc>
        <w:tc>
          <w:tcPr>
            <w:tcW w:type="dxa" w:w="2520"/>
            <w:shd w:fill="F2F4F8" w:val="clear"/>
          </w:tcPr>
          <w:p>
            <w:r>
              <w:rPr>
                <w:rFonts w:ascii="Calibri" w:hAnsi="Calibri"/>
                <w:color w:val="333333"/>
                <w:sz w:val="18"/>
              </w:rPr>
              <w:t>$15.1B</w:t>
            </w:r>
          </w:p>
        </w:tc>
        <w:tc>
          <w:tcPr>
            <w:tcW w:type="dxa" w:w="2520"/>
            <w:shd w:fill="F2F4F8" w:val="clear"/>
          </w:tcPr>
          <w:p>
            <w:r>
              <w:rPr>
                <w:rFonts w:ascii="Calibri" w:hAnsi="Calibri"/>
                <w:color w:val="333333"/>
                <w:sz w:val="18"/>
              </w:rPr>
              <w:t>$20.3B</w:t>
            </w:r>
          </w:p>
        </w:tc>
        <w:tc>
          <w:tcPr>
            <w:tcW w:type="dxa" w:w="2520"/>
            <w:shd w:fill="F2F4F8" w:val="clear"/>
            <w:shd w:fill="DCEEF8" w:val="clear"/>
          </w:tcPr>
          <w:p>
            <w:r>
              <w:rPr>
                <w:rFonts w:ascii="Calibri" w:hAnsi="Calibri"/>
                <w:color w:val="333333"/>
                <w:sz w:val="18"/>
              </w:rPr>
              <w:t>34.2%</w:t>
            </w:r>
          </w:p>
        </w:tc>
      </w:tr>
      <w:tr>
        <w:tc>
          <w:tcPr>
            <w:tcW w:type="dxa" w:w="2520"/>
          </w:tcPr>
          <w:p>
            <w:r>
              <w:rPr>
                <w:rFonts w:ascii="Calibri" w:hAnsi="Calibri"/>
                <w:color w:val="333333"/>
                <w:sz w:val="18"/>
              </w:rPr>
              <w:t>Stock-based compensation (cash flow adjustment)</w:t>
            </w:r>
          </w:p>
        </w:tc>
        <w:tc>
          <w:tcPr>
            <w:tcW w:type="dxa" w:w="2520"/>
          </w:tcPr>
          <w:p>
            <w:r>
              <w:rPr>
                <w:rFonts w:ascii="Calibri" w:hAnsi="Calibri"/>
                <w:color w:val="333333"/>
                <w:sz w:val="18"/>
              </w:rPr>
              <w:t>$4.7B</w:t>
            </w:r>
          </w:p>
        </w:tc>
        <w:tc>
          <w:tcPr>
            <w:tcW w:type="dxa" w:w="2520"/>
          </w:tcPr>
          <w:p>
            <w:r>
              <w:rPr>
                <w:rFonts w:ascii="Calibri" w:hAnsi="Calibri"/>
                <w:color w:val="333333"/>
                <w:sz w:val="18"/>
              </w:rPr>
              <w:t>$6.4B</w:t>
            </w:r>
          </w:p>
        </w:tc>
        <w:tc>
          <w:tcPr>
            <w:tcW w:type="dxa" w:w="2520"/>
            <w:shd w:fill="DCEEF8" w:val="clear"/>
          </w:tcPr>
          <w:p>
            <w:r>
              <w:rPr>
                <w:rFonts w:ascii="Calibri" w:hAnsi="Calibri"/>
                <w:color w:val="333333"/>
                <w:sz w:val="18"/>
              </w:rPr>
              <w:t>34.8%</w:t>
            </w:r>
          </w:p>
        </w:tc>
      </w:tr>
      <w:tr>
        <w:tc>
          <w:tcPr>
            <w:tcW w:type="dxa" w:w="2520"/>
            <w:shd w:fill="F2F4F8" w:val="clear"/>
          </w:tcPr>
          <w:p>
            <w:r>
              <w:rPr>
                <w:rFonts w:ascii="Calibri" w:hAnsi="Calibri"/>
                <w:color w:val="333333"/>
                <w:sz w:val="18"/>
              </w:rPr>
              <w:t>Net increase/decrease in cash and equivalents</w:t>
            </w:r>
          </w:p>
        </w:tc>
        <w:tc>
          <w:tcPr>
            <w:tcW w:type="dxa" w:w="2520"/>
            <w:shd w:fill="F2F4F8" w:val="clear"/>
          </w:tcPr>
          <w:p>
            <w:r>
              <w:rPr>
                <w:rFonts w:ascii="Calibri" w:hAnsi="Calibri"/>
                <w:color w:val="333333"/>
                <w:sz w:val="18"/>
              </w:rPr>
              <w:t>$1.3B</w:t>
            </w:r>
          </w:p>
        </w:tc>
        <w:tc>
          <w:tcPr>
            <w:tcW w:type="dxa" w:w="2520"/>
            <w:shd w:fill="F2F4F8" w:val="clear"/>
          </w:tcPr>
          <w:p>
            <w:r>
              <w:rPr>
                <w:rFonts w:ascii="Calibri" w:hAnsi="Calibri"/>
                <w:color w:val="333333"/>
                <w:sz w:val="18"/>
              </w:rPr>
              <w:t>$2.0B</w:t>
            </w:r>
          </w:p>
        </w:tc>
        <w:tc>
          <w:tcPr>
            <w:tcW w:type="dxa" w:w="2520"/>
            <w:shd w:fill="F2F4F8" w:val="clear"/>
            <w:shd w:fill="DCEEF8" w:val="clear"/>
          </w:tcPr>
          <w:p>
            <w:r>
              <w:rPr>
                <w:rFonts w:ascii="Calibri" w:hAnsi="Calibri"/>
                <w:color w:val="333333"/>
                <w:sz w:val="18"/>
              </w:rPr>
              <w:t>54.0%</w:t>
            </w:r>
          </w:p>
        </w:tc>
      </w:tr>
      <w:tr>
        <w:tc>
          <w:tcPr>
            <w:tcW w:type="dxa" w:w="2520"/>
          </w:tcPr>
          <w:p>
            <w:r>
              <w:rPr>
                <w:rFonts w:ascii="Calibri" w:hAnsi="Calibri"/>
                <w:color w:val="333333"/>
                <w:sz w:val="18"/>
              </w:rPr>
              <w:t>Purchases of investments</w:t>
            </w:r>
          </w:p>
        </w:tc>
        <w:tc>
          <w:tcPr>
            <w:tcW w:type="dxa" w:w="2520"/>
          </w:tcPr>
          <w:p>
            <w:r>
              <w:rPr>
                <w:rFonts w:ascii="Calibri" w:hAnsi="Calibri"/>
                <w:color w:val="333333"/>
                <w:sz w:val="18"/>
              </w:rPr>
              <w:t>$26.6B</w:t>
            </w:r>
          </w:p>
        </w:tc>
        <w:tc>
          <w:tcPr>
            <w:tcW w:type="dxa" w:w="2520"/>
          </w:tcPr>
          <w:p>
            <w:r>
              <w:rPr>
                <w:rFonts w:ascii="Calibri" w:hAnsi="Calibri"/>
                <w:color w:val="333333"/>
                <w:sz w:val="18"/>
              </w:rPr>
              <w:t>$40.6B</w:t>
            </w:r>
          </w:p>
        </w:tc>
        <w:tc>
          <w:tcPr>
            <w:tcW w:type="dxa" w:w="2520"/>
            <w:shd w:fill="DCEEF8" w:val="clear"/>
          </w:tcPr>
          <w:p>
            <w:r>
              <w:rPr>
                <w:rFonts w:ascii="Calibri" w:hAnsi="Calibri"/>
                <w:color w:val="333333"/>
                <w:sz w:val="18"/>
              </w:rPr>
              <w:t>52.8%</w:t>
            </w:r>
          </w:p>
        </w:tc>
      </w:tr>
      <w:tr>
        <w:tc>
          <w:tcPr>
            <w:tcW w:type="dxa" w:w="2520"/>
            <w:shd w:fill="F2F4F8" w:val="clear"/>
          </w:tcPr>
          <w:p>
            <w:r>
              <w:rPr>
                <w:rFonts w:ascii="Calibri" w:hAnsi="Calibri"/>
                <w:color w:val="333333"/>
                <w:sz w:val="18"/>
              </w:rPr>
              <w:t>Proceeds from sale/maturity of investments</w:t>
            </w:r>
          </w:p>
        </w:tc>
        <w:tc>
          <w:tcPr>
            <w:tcW w:type="dxa" w:w="2520"/>
            <w:shd w:fill="F2F4F8" w:val="clear"/>
          </w:tcPr>
          <w:p>
            <w:r>
              <w:rPr>
                <w:rFonts w:ascii="Calibri" w:hAnsi="Calibri"/>
                <w:color w:val="333333"/>
                <w:sz w:val="18"/>
              </w:rPr>
              <w:t>$495.0M</w:t>
            </w:r>
          </w:p>
        </w:tc>
        <w:tc>
          <w:tcPr>
            <w:tcW w:type="dxa" w:w="2520"/>
            <w:shd w:fill="F2F4F8" w:val="clear"/>
          </w:tcPr>
          <w:p>
            <w:r>
              <w:rPr>
                <w:rFonts w:ascii="Calibri" w:hAnsi="Calibri"/>
                <w:color w:val="333333"/>
                <w:sz w:val="18"/>
              </w:rPr>
              <w:t>$15.2B</w:t>
            </w:r>
          </w:p>
        </w:tc>
        <w:tc>
          <w:tcPr>
            <w:tcW w:type="dxa" w:w="2520"/>
            <w:shd w:fill="F2F4F8" w:val="clear"/>
            <w:shd w:fill="DCEEF8" w:val="clear"/>
          </w:tcPr>
          <w:p>
            <w:r>
              <w:rPr>
                <w:rFonts w:ascii="Calibri" w:hAnsi="Calibri"/>
                <w:color w:val="333333"/>
                <w:sz w:val="18"/>
              </w:rPr>
              <w:t>2962.0%</w:t>
            </w:r>
          </w:p>
        </w:tc>
      </w:tr>
      <w:tr>
        <w:tc>
          <w:tcPr>
            <w:tcW w:type="dxa" w:w="2520"/>
          </w:tcPr>
          <w:p>
            <w:r>
              <w:rPr>
                <w:rFonts w:ascii="Calibri" w:hAnsi="Calibri"/>
                <w:color w:val="333333"/>
                <w:sz w:val="18"/>
              </w:rPr>
              <w:t>Deferred income taxes (cash flow adjustment)</w:t>
            </w:r>
          </w:p>
        </w:tc>
        <w:tc>
          <w:tcPr>
            <w:tcW w:type="dxa" w:w="2520"/>
          </w:tcPr>
          <w:p>
            <w:r>
              <w:rPr>
                <w:rFonts w:ascii="Calibri" w:hAnsi="Calibri"/>
                <w:color w:val="333333"/>
                <w:sz w:val="18"/>
              </w:rPr>
              <w:t>$-4.5B</w:t>
            </w:r>
          </w:p>
        </w:tc>
        <w:tc>
          <w:tcPr>
            <w:tcW w:type="dxa" w:w="2520"/>
          </w:tcPr>
          <w:p>
            <w:r>
              <w:rPr>
                <w:rFonts w:ascii="Calibri" w:hAnsi="Calibri"/>
                <w:color w:val="333333"/>
                <w:sz w:val="18"/>
              </w:rPr>
              <w:t>$-1.4B</w:t>
            </w:r>
          </w:p>
        </w:tc>
        <w:tc>
          <w:tcPr>
            <w:tcW w:type="dxa" w:w="2520"/>
            <w:shd w:fill="DCEEF8" w:val="clear"/>
          </w:tcPr>
          <w:p>
            <w:r>
              <w:rPr>
                <w:rFonts w:ascii="Calibri" w:hAnsi="Calibri"/>
                <w:color w:val="333333"/>
                <w:sz w:val="18"/>
              </w:rPr>
              <w:t>68.2%</w:t>
            </w:r>
          </w:p>
        </w:tc>
      </w:tr>
      <w:tr>
        <w:tc>
          <w:tcPr>
            <w:tcW w:type="dxa" w:w="2520"/>
            <w:shd w:fill="F2F4F8" w:val="clear"/>
          </w:tcPr>
          <w:p>
            <w:r>
              <w:rPr>
                <w:rFonts w:ascii="Calibri" w:hAnsi="Calibri"/>
                <w:color w:val="333333"/>
                <w:sz w:val="18"/>
              </w:rPr>
              <w:t>Change in accounts receivable</w:t>
            </w:r>
          </w:p>
        </w:tc>
        <w:tc>
          <w:tcPr>
            <w:tcW w:type="dxa" w:w="2520"/>
            <w:shd w:fill="F2F4F8" w:val="clear"/>
          </w:tcPr>
          <w:p>
            <w:r>
              <w:rPr>
                <w:rFonts w:ascii="Calibri" w:hAnsi="Calibri"/>
                <w:color w:val="333333"/>
                <w:sz w:val="18"/>
              </w:rPr>
              <w:t>$13.1B</w:t>
            </w:r>
          </w:p>
        </w:tc>
        <w:tc>
          <w:tcPr>
            <w:tcW w:type="dxa" w:w="2520"/>
            <w:shd w:fill="F2F4F8" w:val="clear"/>
          </w:tcPr>
          <w:p>
            <w:r>
              <w:rPr>
                <w:rFonts w:ascii="Calibri" w:hAnsi="Calibri"/>
                <w:color w:val="333333"/>
                <w:sz w:val="18"/>
              </w:rPr>
              <w:t>$15.4B</w:t>
            </w:r>
          </w:p>
        </w:tc>
        <w:tc>
          <w:tcPr>
            <w:tcW w:type="dxa" w:w="2520"/>
            <w:shd w:fill="F2F4F8" w:val="clear"/>
            <w:shd w:fill="DCEEF8" w:val="clear"/>
          </w:tcPr>
          <w:p>
            <w:r>
              <w:rPr>
                <w:rFonts w:ascii="Calibri" w:hAnsi="Calibri"/>
                <w:color w:val="333333"/>
                <w:sz w:val="18"/>
              </w:rPr>
              <w:t>17.9%</w:t>
            </w:r>
          </w:p>
        </w:tc>
      </w:tr>
      <w:tr>
        <w:tc>
          <w:tcPr>
            <w:tcW w:type="dxa" w:w="2520"/>
          </w:tcPr>
          <w:p>
            <w:r>
              <w:rPr>
                <w:rFonts w:ascii="Calibri" w:hAnsi="Calibri"/>
                <w:color w:val="333333"/>
                <w:sz w:val="18"/>
              </w:rPr>
              <w:t>Change in inventory</w:t>
            </w:r>
          </w:p>
        </w:tc>
        <w:tc>
          <w:tcPr>
            <w:tcW w:type="dxa" w:w="2520"/>
          </w:tcPr>
          <w:p>
            <w:r>
              <w:rPr>
                <w:rFonts w:ascii="Calibri" w:hAnsi="Calibri"/>
                <w:color w:val="333333"/>
                <w:sz w:val="18"/>
              </w:rPr>
              <w:t>$4.8B</w:t>
            </w:r>
          </w:p>
        </w:tc>
        <w:tc>
          <w:tcPr>
            <w:tcW w:type="dxa" w:w="2520"/>
          </w:tcPr>
          <w:p>
            <w:r>
              <w:rPr>
                <w:rFonts w:ascii="Calibri" w:hAnsi="Calibri"/>
                <w:color w:val="333333"/>
                <w:sz w:val="18"/>
              </w:rPr>
              <w:t>$11.3B</w:t>
            </w:r>
          </w:p>
        </w:tc>
        <w:tc>
          <w:tcPr>
            <w:tcW w:type="dxa" w:w="2520"/>
            <w:shd w:fill="DCEEF8" w:val="clear"/>
          </w:tcPr>
          <w:p>
            <w:r>
              <w:rPr>
                <w:rFonts w:ascii="Calibri" w:hAnsi="Calibri"/>
                <w:color w:val="333333"/>
                <w:sz w:val="18"/>
              </w:rPr>
              <w:t>136.8%</w:t>
            </w:r>
          </w:p>
        </w:tc>
      </w:tr>
      <w:tr>
        <w:tc>
          <w:tcPr>
            <w:tcW w:type="dxa" w:w="2520"/>
            <w:shd w:fill="F2F4F8" w:val="clear"/>
          </w:tcPr>
          <w:p>
            <w:r>
              <w:rPr>
                <w:rFonts w:ascii="Calibri" w:hAnsi="Calibri"/>
                <w:color w:val="333333"/>
                <w:sz w:val="18"/>
              </w:rPr>
              <w:t>Change in accounts payable</w:t>
            </w:r>
          </w:p>
        </w:tc>
        <w:tc>
          <w:tcPr>
            <w:tcW w:type="dxa" w:w="2520"/>
            <w:shd w:fill="F2F4F8" w:val="clear"/>
          </w:tcPr>
          <w:p>
            <w:r>
              <w:rPr>
                <w:rFonts w:ascii="Calibri" w:hAnsi="Calibri"/>
                <w:color w:val="333333"/>
                <w:sz w:val="18"/>
              </w:rPr>
              <w:t>$3.4B</w:t>
            </w:r>
          </w:p>
        </w:tc>
        <w:tc>
          <w:tcPr>
            <w:tcW w:type="dxa" w:w="2520"/>
            <w:shd w:fill="F2F4F8" w:val="clear"/>
          </w:tcPr>
          <w:p>
            <w:r>
              <w:rPr>
                <w:rFonts w:ascii="Calibri" w:hAnsi="Calibri"/>
                <w:color w:val="333333"/>
                <w:sz w:val="18"/>
              </w:rPr>
              <w:t>$3.1B</w:t>
            </w:r>
          </w:p>
        </w:tc>
        <w:tc>
          <w:tcPr>
            <w:tcW w:type="dxa" w:w="2520"/>
            <w:shd w:fill="F2F4F8" w:val="clear"/>
            <w:shd w:fill="FFF3CD" w:val="clear"/>
          </w:tcPr>
          <w:p>
            <w:r>
              <w:rPr>
                <w:rFonts w:ascii="Calibri" w:hAnsi="Calibri"/>
                <w:color w:val="333333"/>
                <w:sz w:val="18"/>
              </w:rPr>
              <w:t>-7.8%</w:t>
            </w:r>
          </w:p>
        </w:tc>
      </w:tr>
      <w:tr>
        <w:tc>
          <w:tcPr>
            <w:tcW w:type="dxa" w:w="2520"/>
          </w:tcPr>
          <w:p>
            <w:r>
              <w:rPr>
                <w:rFonts w:ascii="Calibri" w:hAnsi="Calibri"/>
                <w:color w:val="333333"/>
                <w:sz w:val="18"/>
              </w:rPr>
              <w:t>Amortization of intangible assets</w:t>
            </w:r>
          </w:p>
        </w:tc>
        <w:tc>
          <w:tcPr>
            <w:tcW w:type="dxa" w:w="2520"/>
          </w:tcPr>
          <w:p>
            <w:r>
              <w:rPr>
                <w:rFonts w:ascii="Calibri" w:hAnsi="Calibri"/>
                <w:color w:val="333333"/>
                <w:sz w:val="18"/>
              </w:rPr>
              <w:t>$593.0M</w:t>
            </w:r>
          </w:p>
        </w:tc>
        <w:tc>
          <w:tcPr>
            <w:tcW w:type="dxa" w:w="2520"/>
          </w:tcPr>
          <w:p>
            <w:r>
              <w:rPr>
                <w:rFonts w:ascii="Calibri" w:hAnsi="Calibri"/>
                <w:color w:val="333333"/>
                <w:sz w:val="18"/>
              </w:rPr>
              <w:t>$488.0M</w:t>
            </w:r>
          </w:p>
        </w:tc>
        <w:tc>
          <w:tcPr>
            <w:tcW w:type="dxa" w:w="2520"/>
            <w:shd w:fill="FCE8E6" w:val="clear"/>
          </w:tcPr>
          <w:p>
            <w:r>
              <w:rPr>
                <w:rFonts w:ascii="Calibri" w:hAnsi="Calibri"/>
                <w:color w:val="333333"/>
                <w:sz w:val="18"/>
              </w:rPr>
              <w:t>-17.7%</w:t>
            </w:r>
          </w:p>
        </w:tc>
      </w:tr>
      <w:tr>
        <w:tc>
          <w:tcPr>
            <w:tcW w:type="dxa" w:w="2520"/>
            <w:shd w:fill="F2F4F8" w:val="clear"/>
          </w:tcPr>
          <w:p>
            <w:r>
              <w:rPr>
                <w:rFonts w:ascii="Calibri" w:hAnsi="Calibri"/>
                <w:color w:val="333333"/>
                <w:sz w:val="18"/>
              </w:rPr>
              <w:t>Free cash flow</w:t>
            </w:r>
          </w:p>
        </w:tc>
        <w:tc>
          <w:tcPr>
            <w:tcW w:type="dxa" w:w="2520"/>
            <w:shd w:fill="F2F4F8" w:val="clear"/>
          </w:tcPr>
          <w:p>
            <w:r>
              <w:rPr>
                <w:rFonts w:ascii="Calibri" w:hAnsi="Calibri"/>
                <w:color w:val="333333"/>
                <w:sz w:val="18"/>
              </w:rPr>
              <w:t>$60.9B</w:t>
            </w:r>
          </w:p>
        </w:tc>
        <w:tc>
          <w:tcPr>
            <w:tcW w:type="dxa" w:w="2520"/>
            <w:shd w:fill="F2F4F8" w:val="clear"/>
          </w:tcPr>
          <w:p>
            <w:r>
              <w:rPr>
                <w:rFonts w:ascii="Calibri" w:hAnsi="Calibri"/>
                <w:color w:val="333333"/>
                <w:sz w:val="18"/>
              </w:rPr>
              <w:t>$96.7B</w:t>
            </w:r>
          </w:p>
        </w:tc>
        <w:tc>
          <w:tcPr>
            <w:tcW w:type="dxa" w:w="2520"/>
            <w:shd w:fill="F2F4F8" w:val="clear"/>
            <w:shd w:fill="DCEEF8" w:val="clear"/>
          </w:tcPr>
          <w:p>
            <w:r>
              <w:rPr>
                <w:rFonts w:ascii="Calibri" w:hAnsi="Calibri"/>
                <w:color w:val="333333"/>
                <w:sz w:val="18"/>
              </w:rPr>
              <w:t>58.9%</w:t>
            </w:r>
          </w:p>
        </w:tc>
      </w:tr>
      <w:tr>
        <w:tc>
          <w:tcPr>
            <w:tcW w:type="dxa" w:w="2520"/>
          </w:tcPr>
          <w:p>
            <w:r>
              <w:rPr>
                <w:rFonts w:ascii="Calibri" w:hAnsi="Calibri"/>
                <w:color w:val="333333"/>
                <w:sz w:val="18"/>
              </w:rPr>
              <w:t>FCF-to-revenue ratio</w:t>
            </w:r>
          </w:p>
        </w:tc>
        <w:tc>
          <w:tcPr>
            <w:tcW w:type="dxa" w:w="2520"/>
          </w:tcPr>
          <w:p>
            <w:r>
              <w:rPr>
                <w:rFonts w:ascii="Calibri" w:hAnsi="Calibri"/>
                <w:color w:val="333333"/>
                <w:sz w:val="18"/>
              </w:rPr>
              <w:t>$47</w:t>
            </w:r>
          </w:p>
        </w:tc>
        <w:tc>
          <w:tcPr>
            <w:tcW w:type="dxa" w:w="2520"/>
          </w:tcPr>
          <w:p>
            <w:r>
              <w:rPr>
                <w:rFonts w:ascii="Calibri" w:hAnsi="Calibri"/>
                <w:color w:val="333333"/>
                <w:sz w:val="18"/>
              </w:rPr>
              <w:t>$45</w:t>
            </w:r>
          </w:p>
        </w:tc>
        <w:tc>
          <w:tcPr>
            <w:tcW w:type="dxa" w:w="2520"/>
            <w:shd w:fill="FFF3CD" w:val="clear"/>
          </w:tcPr>
          <w:p>
            <w:r>
              <w:rPr>
                <w:rFonts w:ascii="Calibri" w:hAnsi="Calibri"/>
                <w:color w:val="333333"/>
                <w:sz w:val="18"/>
              </w:rPr>
              <w:t>-4.0%</w:t>
            </w:r>
          </w:p>
        </w:tc>
      </w:tr>
      <w:tr>
        <w:tc>
          <w:tcPr>
            <w:tcW w:type="dxa" w:w="2520"/>
            <w:shd w:fill="F2F4F8" w:val="clear"/>
          </w:tcPr>
          <w:p>
            <w:r>
              <w:rPr>
                <w:rFonts w:ascii="Calibri" w:hAnsi="Calibri"/>
                <w:color w:val="333333"/>
                <w:sz w:val="18"/>
              </w:rPr>
              <w:t>Capex-to-revenue ratio</w:t>
            </w:r>
          </w:p>
        </w:tc>
        <w:tc>
          <w:tcPr>
            <w:tcW w:type="dxa" w:w="2520"/>
            <w:shd w:fill="F2F4F8" w:val="clear"/>
          </w:tcPr>
          <w:p>
            <w:r>
              <w:rPr>
                <w:rFonts w:ascii="Calibri" w:hAnsi="Calibri"/>
                <w:color w:val="333333"/>
                <w:sz w:val="18"/>
              </w:rPr>
              <w:t>$2</w:t>
            </w:r>
          </w:p>
        </w:tc>
        <w:tc>
          <w:tcPr>
            <w:tcW w:type="dxa" w:w="2520"/>
            <w:shd w:fill="F2F4F8" w:val="clear"/>
          </w:tcPr>
          <w:p>
            <w:r>
              <w:rPr>
                <w:rFonts w:ascii="Calibri" w:hAnsi="Calibri"/>
                <w:color w:val="333333"/>
                <w:sz w:val="18"/>
              </w:rPr>
              <w:t>$3</w:t>
            </w:r>
          </w:p>
        </w:tc>
        <w:tc>
          <w:tcPr>
            <w:tcW w:type="dxa" w:w="2520"/>
            <w:shd w:fill="F2F4F8" w:val="clear"/>
            <w:shd w:fill="DCEEF8" w:val="clear"/>
          </w:tcPr>
          <w:p>
            <w:r>
              <w:rPr>
                <w:rFonts w:ascii="Calibri" w:hAnsi="Calibri"/>
                <w:color w:val="333333"/>
                <w:sz w:val="18"/>
              </w:rPr>
              <w:t>12.9%</w:t>
            </w:r>
          </w:p>
        </w:tc>
      </w:tr>
      <w:tr>
        <w:tc>
          <w:tcPr>
            <w:tcW w:type="dxa" w:w="2520"/>
          </w:tcPr>
          <w:p>
            <w:r>
              <w:rPr>
                <w:rFonts w:ascii="Calibri" w:hAnsi="Calibri"/>
                <w:color w:val="333333"/>
                <w:sz w:val="18"/>
              </w:rPr>
              <w:t>Capex-to-depreciation ratio</w:t>
            </w:r>
          </w:p>
        </w:tc>
        <w:tc>
          <w:tcPr>
            <w:tcW w:type="dxa" w:w="2520"/>
          </w:tcPr>
          <w:p>
            <w:r>
              <w:rPr>
                <w:rFonts w:ascii="Calibri" w:hAnsi="Calibri"/>
                <w:color w:val="333333"/>
                <w:sz w:val="18"/>
              </w:rPr>
              <w:t>$2</w:t>
            </w:r>
          </w:p>
        </w:tc>
        <w:tc>
          <w:tcPr>
            <w:tcW w:type="dxa" w:w="2520"/>
          </w:tcPr>
          <w:p>
            <w:r>
              <w:rPr>
                <w:rFonts w:ascii="Calibri" w:hAnsi="Calibri"/>
                <w:color w:val="333333"/>
                <w:sz w:val="18"/>
              </w:rPr>
              <w:t>$2</w:t>
            </w:r>
          </w:p>
        </w:tc>
        <w:tc>
          <w:tcPr>
            <w:tcW w:type="dxa" w:w="2520"/>
            <w:shd w:fill="DCEEF8" w:val="clear"/>
          </w:tcPr>
          <w:p>
            <w:r>
              <w:rPr>
                <w:rFonts w:ascii="Calibri" w:hAnsi="Calibri"/>
                <w:color w:val="333333"/>
                <w:sz w:val="18"/>
              </w:rPr>
              <w:t>22.4%</w:t>
            </w:r>
          </w:p>
        </w:tc>
      </w:tr>
      <w:tr>
        <w:tc>
          <w:tcPr>
            <w:tcW w:type="dxa" w:w="2520"/>
            <w:shd w:fill="F2F4F8" w:val="clear"/>
          </w:tcPr>
          <w:p>
            <w:r>
              <w:rPr>
                <w:rFonts w:ascii="Calibri" w:hAnsi="Calibri"/>
                <w:color w:val="333333"/>
                <w:sz w:val="18"/>
              </w:rPr>
              <w:t>Dividend payout ratio</w:t>
            </w:r>
          </w:p>
        </w:tc>
        <w:tc>
          <w:tcPr>
            <w:tcW w:type="dxa" w:w="2520"/>
            <w:shd w:fill="F2F4F8" w:val="clear"/>
          </w:tcPr>
          <w:p>
            <w:r>
              <w:rPr>
                <w:rFonts w:ascii="Calibri" w:hAnsi="Calibri"/>
                <w:color w:val="333333"/>
                <w:sz w:val="18"/>
              </w:rPr>
              <w:t>$1</w:t>
            </w:r>
          </w:p>
        </w:tc>
        <w:tc>
          <w:tcPr>
            <w:tcW w:type="dxa" w:w="2520"/>
            <w:shd w:fill="F2F4F8" w:val="clear"/>
          </w:tcPr>
          <w:p>
            <w:r>
              <w:rPr>
                <w:rFonts w:ascii="Calibri" w:hAnsi="Calibri"/>
                <w:color w:val="333333"/>
                <w:sz w:val="18"/>
              </w:rPr>
              <w:t>$1</w:t>
            </w:r>
          </w:p>
        </w:tc>
        <w:tc>
          <w:tcPr>
            <w:tcW w:type="dxa" w:w="2520"/>
            <w:shd w:fill="F2F4F8" w:val="clear"/>
            <w:shd w:fill="FCE8E6" w:val="clear"/>
          </w:tcPr>
          <w:p>
            <w:r>
              <w:rPr>
                <w:rFonts w:ascii="Calibri" w:hAnsi="Calibri"/>
                <w:color w:val="333333"/>
                <w:sz w:val="18"/>
              </w:rPr>
              <w:t>-28.9%</w:t>
            </w:r>
          </w:p>
        </w:tc>
      </w:tr>
      <w:tr>
        <w:tc>
          <w:tcPr>
            <w:tcW w:type="dxa" w:w="2520"/>
          </w:tcPr>
          <w:p>
            <w:r>
              <w:rPr>
                <w:rFonts w:ascii="Calibri" w:hAnsi="Calibri"/>
                <w:color w:val="333333"/>
                <w:sz w:val="18"/>
              </w:rPr>
              <w:t>Free cash flow per share</w:t>
            </w:r>
          </w:p>
        </w:tc>
        <w:tc>
          <w:tcPr>
            <w:tcW w:type="dxa" w:w="2520"/>
          </w:tcPr>
          <w:p>
            <w:r>
              <w:rPr>
                <w:rFonts w:ascii="Calibri" w:hAnsi="Calibri"/>
                <w:color w:val="333333"/>
                <w:sz w:val="18"/>
              </w:rPr>
              <w:t>$2.49</w:t>
            </w:r>
          </w:p>
        </w:tc>
        <w:tc>
          <w:tcPr>
            <w:tcW w:type="dxa" w:w="2520"/>
          </w:tcPr>
          <w:p>
            <w:r>
              <w:rPr>
                <w:rFonts w:ascii="Calibri" w:hAnsi="Calibri"/>
                <w:color w:val="333333"/>
                <w:sz w:val="18"/>
              </w:rPr>
              <w:t>$3.98</w:t>
            </w:r>
          </w:p>
        </w:tc>
        <w:tc>
          <w:tcPr>
            <w:tcW w:type="dxa" w:w="2520"/>
            <w:shd w:fill="DCEEF8" w:val="clear"/>
          </w:tcPr>
          <w:p>
            <w:r>
              <w:rPr>
                <w:rFonts w:ascii="Calibri" w:hAnsi="Calibri"/>
                <w:color w:val="333333"/>
                <w:sz w:val="18"/>
              </w:rPr>
              <w:t>60.0%</w:t>
            </w:r>
          </w:p>
        </w:tc>
      </w:tr>
    </w:tbl>
    <w:p>
      <w:pPr>
        <w:pStyle w:val="DOHeading3"/>
      </w:pPr>
      <w:r>
        <w:t>Key Ratios: Company vs. Peers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Ratio</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Current Ratio</w:t>
            </w:r>
          </w:p>
        </w:tc>
        <w:tc>
          <w:tcPr>
            <w:tcW w:type="dxa" w:w="5040"/>
          </w:tcPr>
          <w:p>
            <w:r>
              <w:rPr>
                <w:rFonts w:ascii="Calibri" w:hAnsi="Calibri"/>
                <w:color w:val="333333"/>
                <w:sz w:val="18"/>
              </w:rPr>
              <w:t>3.91</w:t>
            </w:r>
          </w:p>
        </w:tc>
      </w:tr>
      <w:tr>
        <w:tc>
          <w:tcPr>
            <w:tcW w:type="dxa" w:w="5040"/>
            <w:shd w:fill="F2F4F8" w:val="clear"/>
          </w:tcPr>
          <w:p>
            <w:r>
              <w:rPr>
                <w:rFonts w:ascii="Calibri" w:hAnsi="Calibri"/>
                <w:color w:val="333333"/>
                <w:sz w:val="18"/>
              </w:rPr>
              <w:t>Quick Ratio</w:t>
            </w:r>
          </w:p>
        </w:tc>
        <w:tc>
          <w:tcPr>
            <w:tcW w:type="dxa" w:w="5040"/>
            <w:shd w:fill="F2F4F8" w:val="clear"/>
          </w:tcPr>
          <w:p>
            <w:r>
              <w:rPr>
                <w:rFonts w:ascii="Calibri" w:hAnsi="Calibri"/>
                <w:color w:val="333333"/>
                <w:sz w:val="18"/>
              </w:rPr>
              <w:t>3.24</w:t>
            </w:r>
          </w:p>
        </w:tc>
      </w:tr>
      <w:tr>
        <w:tc>
          <w:tcPr>
            <w:tcW w:type="dxa" w:w="5040"/>
          </w:tcPr>
          <w:p>
            <w:r>
              <w:rPr>
                <w:rFonts w:ascii="Calibri" w:hAnsi="Calibri"/>
                <w:color w:val="333333"/>
                <w:sz w:val="18"/>
              </w:rPr>
              <w:t>Debt/Equity</w:t>
            </w:r>
          </w:p>
        </w:tc>
        <w:tc>
          <w:tcPr>
            <w:tcW w:type="dxa" w:w="5040"/>
          </w:tcPr>
          <w:p>
            <w:r>
              <w:rPr>
                <w:rFonts w:ascii="Calibri" w:hAnsi="Calibri"/>
                <w:color w:val="333333"/>
                <w:sz w:val="18"/>
              </w:rPr>
              <w:t>0.05</w:t>
            </w:r>
          </w:p>
        </w:tc>
      </w:tr>
      <w:tr>
        <w:tc>
          <w:tcPr>
            <w:tcW w:type="dxa" w:w="5040"/>
            <w:shd w:fill="F2F4F8" w:val="clear"/>
          </w:tcPr>
          <w:p>
            <w:r>
              <w:rPr>
                <w:rFonts w:ascii="Calibri" w:hAnsi="Calibri"/>
                <w:color w:val="333333"/>
                <w:sz w:val="18"/>
              </w:rPr>
              <w:t>Interest Coverage</w:t>
            </w:r>
          </w:p>
        </w:tc>
        <w:tc>
          <w:tcPr>
            <w:tcW w:type="dxa" w:w="5040"/>
            <w:shd w:fill="F2F4F8" w:val="clear"/>
          </w:tcPr>
          <w:p>
            <w:r>
              <w:rPr>
                <w:rFonts w:ascii="Calibri" w:hAnsi="Calibri"/>
                <w:color w:val="333333"/>
                <w:sz w:val="18"/>
              </w:rPr>
              <w:t>517.4x</w:t>
            </w:r>
          </w:p>
        </w:tc>
      </w:tr>
    </w:tbl>
    <w:p>
      <w:pPr>
        <w:pStyle w:val="DOHeading2"/>
      </w:pPr>
      <w:r>
        <w:t>Distress Indicators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Model</w:t>
            </w:r>
          </w:p>
        </w:tc>
        <w:tc>
          <w:tcPr>
            <w:tcW w:type="dxa" w:w="2016"/>
            <w:shd w:fill="1A1446" w:val="clear"/>
          </w:tcPr>
          <w:p>
            <w:r>
              <w:rPr>
                <w:rFonts w:ascii="Calibri" w:hAnsi="Calibri"/>
                <w:b/>
                <w:color w:val="FFFFFF"/>
                <w:sz w:val="18"/>
              </w:rPr>
              <w:t>Score</w:t>
            </w:r>
          </w:p>
        </w:tc>
        <w:tc>
          <w:tcPr>
            <w:tcW w:type="dxa" w:w="2016"/>
            <w:shd w:fill="1A1446" w:val="clear"/>
          </w:tcPr>
          <w:p>
            <w:r>
              <w:rPr>
                <w:rFonts w:ascii="Calibri" w:hAnsi="Calibri"/>
                <w:b/>
                <w:color w:val="FFFFFF"/>
                <w:sz w:val="18"/>
              </w:rPr>
              <w:t>Zone</w:t>
            </w:r>
          </w:p>
        </w:tc>
        <w:tc>
          <w:tcPr>
            <w:tcW w:type="dxa" w:w="2016"/>
            <w:shd w:fill="1A1446" w:val="clear"/>
          </w:tcPr>
          <w:p>
            <w:r>
              <w:rPr>
                <w:rFonts w:ascii="Calibri" w:hAnsi="Calibri"/>
                <w:b/>
                <w:color w:val="FFFFFF"/>
                <w:sz w:val="18"/>
              </w:rPr>
              <w:t>Trajectory</w:t>
            </w:r>
          </w:p>
        </w:tc>
        <w:tc>
          <w:tcPr>
            <w:tcW w:type="dxa" w:w="2016"/>
            <w:shd w:fill="1A1446" w:val="clear"/>
          </w:tcPr>
          <w:p>
            <w:r>
              <w:rPr>
                <w:rFonts w:ascii="Calibri" w:hAnsi="Calibri"/>
                <w:b/>
                <w:color w:val="FFFFFF"/>
                <w:sz w:val="18"/>
              </w:rPr>
              <w:t>D&amp;O Context</w:t>
            </w:r>
          </w:p>
        </w:tc>
      </w:tr>
      <w:tr>
        <w:tc>
          <w:tcPr>
            <w:tcW w:type="dxa" w:w="2016"/>
          </w:tcPr>
          <w:p>
            <w:r>
              <w:rPr>
                <w:rFonts w:ascii="Calibri" w:hAnsi="Calibri"/>
                <w:color w:val="333333"/>
                <w:sz w:val="18"/>
              </w:rPr>
              <w:t>Altman Z-Score</w:t>
            </w:r>
          </w:p>
        </w:tc>
        <w:tc>
          <w:tcPr>
            <w:tcW w:type="dxa" w:w="2016"/>
          </w:tcPr>
          <w:p>
            <w:r>
              <w:rPr>
                <w:rFonts w:ascii="Calibri" w:hAnsi="Calibri"/>
                <w:color w:val="333333"/>
                <w:sz w:val="18"/>
              </w:rPr>
              <w:t>56.43</w:t>
            </w:r>
          </w:p>
        </w:tc>
        <w:tc>
          <w:tcPr>
            <w:tcW w:type="dxa" w:w="2016"/>
            <w:shd w:fill="DCEEF8" w:val="clear"/>
          </w:tcPr>
          <w:p>
            <w:r>
              <w:rPr>
                <w:rFonts w:ascii="Calibri" w:hAnsi="Calibri"/>
                <w:color w:val="333333"/>
                <w:sz w:val="18"/>
              </w:rPr>
              <w:t>Safe</w:t>
            </w:r>
          </w:p>
        </w:tc>
        <w:tc>
          <w:tcPr>
            <w:tcW w:type="dxa" w:w="2016"/>
          </w:tcPr>
          <w:p>
            <w:r>
              <w:rPr>
                <w:rFonts w:ascii="Calibri" w:hAnsi="Calibri"/>
                <w:color w:val="333333"/>
                <w:sz w:val="18"/>
              </w:rPr>
              <w:t>FY2025: 84.5 -&gt; FY2026: 56.4 (declining)</w:t>
            </w:r>
          </w:p>
        </w:tc>
        <w:tc>
          <w:tcPr>
            <w:tcW w:type="dxa" w:w="2016"/>
          </w:tcPr>
          <w:p>
            <w:r>
              <w:rPr>
                <w:rFonts w:ascii="Calibri" w:hAnsi="Calibri"/>
                <w:color w:val="333333"/>
                <w:sz w:val="18"/>
              </w:rPr>
              <w:t>Bankruptcy predictor. Distress zone companies face fiduciary duty scrutiny under Revlon/zone of insolvency doctrine.</w:t>
            </w:r>
          </w:p>
        </w:tc>
      </w:tr>
      <w:tr>
        <w:tc>
          <w:tcPr>
            <w:tcW w:type="dxa" w:w="2016"/>
            <w:shd w:fill="F2F4F8" w:val="clear"/>
          </w:tcPr>
          <w:p>
            <w:r>
              <w:rPr>
                <w:rFonts w:ascii="Calibri" w:hAnsi="Calibri"/>
                <w:color w:val="333333"/>
                <w:sz w:val="18"/>
              </w:rPr>
              <w:t>Beneish M-Score</w:t>
            </w:r>
          </w:p>
        </w:tc>
        <w:tc>
          <w:tcPr>
            <w:tcW w:type="dxa" w:w="2016"/>
            <w:shd w:fill="F2F4F8" w:val="clear"/>
          </w:tcPr>
          <w:p>
            <w:r>
              <w:rPr>
                <w:rFonts w:ascii="Calibri" w:hAnsi="Calibri"/>
                <w:color w:val="333333"/>
                <w:sz w:val="18"/>
              </w:rPr>
              <w:t>-1.16</w:t>
            </w:r>
          </w:p>
        </w:tc>
        <w:tc>
          <w:tcPr>
            <w:tcW w:type="dxa" w:w="2016"/>
            <w:shd w:fill="F2F4F8" w:val="clear"/>
            <w:shd w:fill="FCE8E6" w:val="clear"/>
          </w:tcPr>
          <w:p>
            <w:r>
              <w:rPr>
                <w:rFonts w:ascii="Calibri" w:hAnsi="Calibri"/>
                <w:color w:val="333333"/>
                <w:sz w:val="18"/>
              </w:rPr>
              <w:t>Distress</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Earnings manipulation detector. Scores above -1.78 indicate elevated restatement risk, a primary SCA catalyst.</w:t>
            </w:r>
          </w:p>
        </w:tc>
      </w:tr>
      <w:tr>
        <w:tc>
          <w:tcPr>
            <w:tcW w:type="dxa" w:w="2016"/>
          </w:tcPr>
          <w:p>
            <w:r>
              <w:rPr>
                <w:rFonts w:ascii="Calibri" w:hAnsi="Calibri"/>
                <w:color w:val="333333"/>
                <w:sz w:val="18"/>
              </w:rPr>
              <w:t>Ohlson O-Score</w:t>
            </w:r>
          </w:p>
        </w:tc>
        <w:tc>
          <w:tcPr>
            <w:tcW w:type="dxa" w:w="2016"/>
          </w:tcPr>
          <w:p>
            <w:r>
              <w:rPr>
                <w:rFonts w:ascii="Calibri" w:hAnsi="Calibri"/>
                <w:color w:val="333333"/>
                <w:sz w:val="18"/>
              </w:rPr>
              <w:t>0.00</w:t>
            </w:r>
          </w:p>
        </w:tc>
        <w:tc>
          <w:tcPr>
            <w:tcW w:type="dxa" w:w="2016"/>
            <w:shd w:fill="DCEEF8" w:val="clear"/>
          </w:tcPr>
          <w:p>
            <w:r>
              <w:rPr>
                <w:rFonts w:ascii="Calibri" w:hAnsi="Calibri"/>
                <w:color w:val="333333"/>
                <w:sz w:val="18"/>
              </w:rPr>
              <w:t>Safe</w:t>
            </w:r>
          </w:p>
        </w:tc>
        <w:tc>
          <w:tcPr>
            <w:tcW w:type="dxa" w:w="2016"/>
          </w:tcPr>
          <w:p>
            <w:r>
              <w:rPr>
                <w:rFonts w:ascii="Calibri" w:hAnsi="Calibri"/>
                <w:color w:val="333333"/>
                <w:sz w:val="18"/>
              </w:rPr>
              <w:t>N/A</w:t>
            </w:r>
          </w:p>
        </w:tc>
        <w:tc>
          <w:tcPr>
            <w:tcW w:type="dxa" w:w="2016"/>
          </w:tcPr>
          <w:p>
            <w:r>
              <w:rPr>
                <w:rFonts w:ascii="Calibri" w:hAnsi="Calibri"/>
                <w:color w:val="333333"/>
                <w:sz w:val="18"/>
              </w:rPr>
              <w:t>Bankruptcy probability model. Higher values signal financial stress that may limit litigation defense resources.</w:t>
            </w:r>
          </w:p>
        </w:tc>
      </w:tr>
      <w:tr>
        <w:tc>
          <w:tcPr>
            <w:tcW w:type="dxa" w:w="2016"/>
            <w:shd w:fill="F2F4F8" w:val="clear"/>
          </w:tcPr>
          <w:p>
            <w:r>
              <w:rPr>
                <w:rFonts w:ascii="Calibri" w:hAnsi="Calibri"/>
                <w:color w:val="333333"/>
                <w:sz w:val="18"/>
              </w:rPr>
              <w:t>Piotroski F-Score</w:t>
            </w:r>
          </w:p>
        </w:tc>
        <w:tc>
          <w:tcPr>
            <w:tcW w:type="dxa" w:w="2016"/>
            <w:shd w:fill="F2F4F8" w:val="clear"/>
          </w:tcPr>
          <w:p>
            <w:r>
              <w:rPr>
                <w:rFonts w:ascii="Calibri" w:hAnsi="Calibri"/>
                <w:color w:val="333333"/>
                <w:sz w:val="18"/>
              </w:rPr>
              <w:t>4.00</w:t>
            </w:r>
          </w:p>
        </w:tc>
        <w:tc>
          <w:tcPr>
            <w:tcW w:type="dxa" w:w="2016"/>
            <w:shd w:fill="F2F4F8" w:val="clear"/>
            <w:shd w:fill="FFF3CD" w:val="clear"/>
          </w:tcPr>
          <w:p>
            <w:r>
              <w:rPr>
                <w:rFonts w:ascii="Calibri" w:hAnsi="Calibri"/>
                <w:color w:val="333333"/>
                <w:sz w:val="18"/>
              </w:rPr>
              <w:t>Grey Zone</w:t>
            </w:r>
          </w:p>
        </w:tc>
        <w:tc>
          <w:tcPr>
            <w:tcW w:type="dxa" w:w="2016"/>
            <w:shd w:fill="F2F4F8" w:val="clear"/>
          </w:tcPr>
          <w:p>
            <w:r>
              <w:rPr>
                <w:rFonts w:ascii="Calibri" w:hAnsi="Calibri"/>
                <w:color w:val="333333"/>
                <w:sz w:val="18"/>
              </w:rPr>
              <w:t>4/9 criteria met</w:t>
            </w:r>
          </w:p>
        </w:tc>
        <w:tc>
          <w:tcPr>
            <w:tcW w:type="dxa" w:w="2016"/>
            <w:shd w:fill="F2F4F8" w:val="clear"/>
          </w:tcPr>
          <w:p>
            <w:r>
              <w:rPr>
                <w:rFonts w:ascii="Calibri" w:hAnsi="Calibri"/>
                <w:color w:val="333333"/>
                <w:sz w:val="18"/>
              </w:rPr>
              <w:t>Fundamental quality indicator. Scores 0-3 signal weak fundamentals; 7-9 indicate strong quality.</w:t>
            </w:r>
          </w:p>
        </w:tc>
      </w:tr>
    </w:tbl>
    <w:p>
      <w:pPr>
        <w:pStyle w:val="DOBody"/>
      </w:pPr>
      <w:r>
        <w:t>Leverage context: Ranks at the 98th percentile among 0 peers (peer median: 2.0x).</w:t>
      </w:r>
    </w:p>
    <w:p>
      <w:pPr>
        <w:pStyle w:val="DOBody"/>
        <w:shd w:fill="FFF3CD" w:val="clear"/>
      </w:pPr>
      <w:r>
        <w:rPr>
          <w:b/>
          <w:color w:val="EAB308"/>
          <w:sz w:val="18"/>
        </w:rPr>
        <w:t xml:space="preserve">[ELEVATED] </w:t>
      </w:r>
      <w:r>
        <w:rPr>
          <w:b/>
          <w:sz w:val="20"/>
        </w:rPr>
        <w:t>Beneish M-Score = -1.16 (LIKELY MANIPULATOR)</w:t>
      </w:r>
      <w:r>
        <w:rPr>
          <w:color w:val="666666"/>
          <w:sz w:val="16"/>
        </w:rPr>
        <w:t xml:space="preserve"> -- Threshold: above -1.78</w:t>
      </w:r>
    </w:p>
    <w:p>
      <w:pPr>
        <w:pStyle w:val="DOCaption"/>
        <w:ind w:left="360"/>
      </w:pPr>
      <w:r>
        <w:rPr>
          <w:i/>
          <w:color w:val="666666"/>
          <w:sz w:val="18"/>
        </w:rPr>
        <w:t>Context: Companies with M-Score above -1.78 experience SCA filings at 2.3x the base rate. Earnings quality concerns drive Theory A (misleading financials) allegations.</w:t>
      </w:r>
    </w:p>
    <w:p>
      <w:pPr>
        <w:pStyle w:val="DOBody"/>
      </w:pPr>
      <w:r>
        <w:rPr>
          <w:i/>
          <w:color w:val="FFD000"/>
          <w:sz w:val="18"/>
        </w:rPr>
        <w:t>See Meeting Prep: Earnings Quality</w:t>
      </w:r>
    </w:p>
    <w:p>
      <w:pPr>
        <w:pStyle w:val="DOHeading2"/>
      </w:pPr>
      <w:r>
        <w:t>Earnings Quality</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Metric</w:t>
            </w:r>
          </w:p>
        </w:tc>
        <w:tc>
          <w:tcPr>
            <w:tcW w:type="dxa" w:w="3360"/>
            <w:shd w:fill="1A1446" w:val="clear"/>
          </w:tcPr>
          <w:p>
            <w:r>
              <w:rPr>
                <w:rFonts w:ascii="Calibri" w:hAnsi="Calibri"/>
                <w:b/>
                <w:color w:val="FFFFFF"/>
                <w:sz w:val="18"/>
              </w:rPr>
              <w:t>Value</w:t>
            </w:r>
          </w:p>
        </w:tc>
        <w:tc>
          <w:tcPr>
            <w:tcW w:type="dxa" w:w="3360"/>
            <w:shd w:fill="1A1446" w:val="clear"/>
          </w:tcPr>
          <w:p>
            <w:r>
              <w:rPr>
                <w:rFonts w:ascii="Calibri" w:hAnsi="Calibri"/>
                <w:b/>
                <w:color w:val="FFFFFF"/>
                <w:sz w:val="18"/>
              </w:rPr>
              <w:t>Assessment</w:t>
            </w:r>
          </w:p>
        </w:tc>
      </w:tr>
      <w:tr>
        <w:tc>
          <w:tcPr>
            <w:tcW w:type="dxa" w:w="3360"/>
          </w:tcPr>
          <w:p>
            <w:r>
              <w:rPr>
                <w:rFonts w:ascii="Calibri" w:hAnsi="Calibri"/>
                <w:color w:val="333333"/>
                <w:sz w:val="18"/>
              </w:rPr>
              <w:t>OCF/Net Income</w:t>
            </w:r>
          </w:p>
        </w:tc>
        <w:tc>
          <w:tcPr>
            <w:tcW w:type="dxa" w:w="3360"/>
          </w:tcPr>
          <w:p>
            <w:r>
              <w:rPr>
                <w:rFonts w:ascii="Calibri" w:hAnsi="Calibri"/>
                <w:color w:val="333333"/>
                <w:sz w:val="18"/>
              </w:rPr>
              <w:t>0.86</w:t>
            </w:r>
          </w:p>
        </w:tc>
        <w:tc>
          <w:tcPr>
            <w:tcW w:type="dxa" w:w="3360"/>
            <w:shd w:fill="DCEEF8" w:val="clear"/>
          </w:tcPr>
          <w:p>
            <w:r>
              <w:rPr>
                <w:rFonts w:ascii="Calibri" w:hAnsi="Calibri"/>
                <w:color w:val="333333"/>
                <w:sz w:val="18"/>
              </w:rPr>
              <w:t>Healthy</w:t>
            </w:r>
          </w:p>
        </w:tc>
      </w:tr>
      <w:tr>
        <w:tc>
          <w:tcPr>
            <w:tcW w:type="dxa" w:w="3360"/>
            <w:shd w:fill="F2F4F8" w:val="clear"/>
          </w:tcPr>
          <w:p>
            <w:r>
              <w:rPr>
                <w:rFonts w:ascii="Calibri" w:hAnsi="Calibri"/>
                <w:color w:val="333333"/>
                <w:sz w:val="18"/>
              </w:rPr>
              <w:t>Accruals Ratio</w:t>
            </w:r>
          </w:p>
        </w:tc>
        <w:tc>
          <w:tcPr>
            <w:tcW w:type="dxa" w:w="3360"/>
            <w:shd w:fill="F2F4F8" w:val="clear"/>
          </w:tcPr>
          <w:p>
            <w:r>
              <w:rPr>
                <w:rFonts w:ascii="Calibri" w:hAnsi="Calibri"/>
                <w:color w:val="333333"/>
                <w:sz w:val="18"/>
              </w:rPr>
              <w:t>0.08</w:t>
            </w:r>
          </w:p>
        </w:tc>
        <w:tc>
          <w:tcPr>
            <w:tcW w:type="dxa" w:w="3360"/>
            <w:shd w:fill="F2F4F8" w:val="clear"/>
            <w:shd w:fill="FFF3CD" w:val="clear"/>
          </w:tcPr>
          <w:p>
            <w:r>
              <w:rPr>
                <w:rFonts w:ascii="Calibri" w:hAnsi="Calibri"/>
                <w:color w:val="333333"/>
                <w:sz w:val="18"/>
              </w:rPr>
              <w:t>Normal</w:t>
            </w:r>
          </w:p>
        </w:tc>
      </w:tr>
    </w:tbl>
    <w:p>
      <w:pPr>
        <w:pStyle w:val="DOCitation"/>
      </w:pPr>
      <w:r>
        <w:t>Source: Derived from XBRL financial statements, MEDIUM confidence</w:t>
      </w:r>
    </w:p>
    <w:p>
      <w:pPr>
        <w:pStyle w:val="DOHeading2"/>
      </w:pPr>
      <w:r>
        <w:t>Audit Risk Assessment</w:t>
      </w:r>
    </w:p>
    <w:p>
      <w:pPr>
        <w:pStyle w:val="DOBody"/>
      </w:pPr>
      <w:r>
        <w:t>Audit Risk: No concerns. Ernst &amp; Young, 22 year tenure, qualified opinion.</w:t>
      </w:r>
    </w:p>
    <w:p>
      <w:pPr>
        <w:pStyle w:val="DOHeading2"/>
      </w:pPr>
      <w:r>
        <w:t>Debt Analysis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Debt-to-Equity</w:t>
            </w:r>
          </w:p>
        </w:tc>
        <w:tc>
          <w:tcPr>
            <w:tcW w:type="dxa" w:w="5040"/>
          </w:tcPr>
          <w:p>
            <w:r>
              <w:rPr>
                <w:rFonts w:ascii="Calibri" w:hAnsi="Calibri"/>
                <w:color w:val="333333"/>
                <w:sz w:val="18"/>
              </w:rPr>
              <w:t>0.05</w:t>
            </w:r>
          </w:p>
        </w:tc>
      </w:tr>
      <w:tr>
        <w:tc>
          <w:tcPr>
            <w:tcW w:type="dxa" w:w="5040"/>
            <w:shd w:fill="F2F4F8" w:val="clear"/>
          </w:tcPr>
          <w:p>
            <w:r>
              <w:rPr>
                <w:rFonts w:ascii="Calibri" w:hAnsi="Calibri"/>
                <w:color w:val="333333"/>
                <w:sz w:val="18"/>
              </w:rPr>
              <w:t>Debt-to-EBITDA</w:t>
            </w:r>
          </w:p>
        </w:tc>
        <w:tc>
          <w:tcPr>
            <w:tcW w:type="dxa" w:w="5040"/>
            <w:shd w:fill="F2F4F8" w:val="clear"/>
          </w:tcPr>
          <w:p>
            <w:r>
              <w:rPr>
                <w:rFonts w:ascii="Calibri" w:hAnsi="Calibri"/>
                <w:color w:val="333333"/>
                <w:sz w:val="18"/>
              </w:rPr>
              <w:t>0.06</w:t>
            </w:r>
          </w:p>
        </w:tc>
      </w:tr>
      <w:tr>
        <w:tc>
          <w:tcPr>
            <w:tcW w:type="dxa" w:w="5040"/>
          </w:tcPr>
          <w:p>
            <w:r>
              <w:rPr>
                <w:rFonts w:ascii="Calibri" w:hAnsi="Calibri"/>
                <w:color w:val="333333"/>
                <w:sz w:val="18"/>
              </w:rPr>
              <w:t>Interest Coverage</w:t>
            </w:r>
          </w:p>
        </w:tc>
        <w:tc>
          <w:tcPr>
            <w:tcW w:type="dxa" w:w="5040"/>
          </w:tcPr>
          <w:p>
            <w:r>
              <w:rPr>
                <w:rFonts w:ascii="Calibri" w:hAnsi="Calibri"/>
                <w:color w:val="333333"/>
                <w:sz w:val="18"/>
              </w:rPr>
              <w:t>517.41</w:t>
            </w:r>
          </w:p>
        </w:tc>
      </w:tr>
      <w:tr>
        <w:tc>
          <w:tcPr>
            <w:tcW w:type="dxa" w:w="5040"/>
            <w:shd w:fill="F2F4F8" w:val="clear"/>
          </w:tcPr>
          <w:p>
            <w:r>
              <w:rPr>
                <w:rFonts w:ascii="Calibri" w:hAnsi="Calibri"/>
                <w:color w:val="333333"/>
                <w:sz w:val="18"/>
              </w:rPr>
              <w:t>Covenant Status</w:t>
            </w:r>
          </w:p>
        </w:tc>
        <w:tc>
          <w:tcPr>
            <w:tcW w:type="dxa" w:w="5040"/>
            <w:shd w:fill="F2F4F8" w:val="clear"/>
          </w:tcPr>
          <w:p>
            <w:r>
              <w:rPr>
                <w:rFonts w:ascii="Calibri" w:hAnsi="Calibri"/>
                <w:color w:val="333333"/>
                <w:sz w:val="18"/>
              </w:rPr>
              <w:t>Unknown</w:t>
            </w:r>
          </w:p>
        </w:tc>
      </w:tr>
      <w:tr>
        <w:tc>
          <w:tcPr>
            <w:tcW w:type="dxa" w:w="5040"/>
          </w:tcPr>
          <w:p>
            <w:r>
              <w:rPr>
                <w:rFonts w:ascii="Calibri" w:hAnsi="Calibri"/>
                <w:color w:val="333333"/>
                <w:sz w:val="18"/>
              </w:rPr>
              <w:t>Refinancing Risk</w:t>
            </w:r>
          </w:p>
        </w:tc>
        <w:tc>
          <w:tcPr>
            <w:tcW w:type="dxa" w:w="5040"/>
          </w:tcPr>
          <w:p>
            <w:r>
              <w:rPr>
                <w:rFonts w:ascii="Calibri" w:hAnsi="Calibri"/>
                <w:color w:val="333333"/>
                <w:sz w:val="18"/>
              </w:rPr>
              <w:t>LOW</w:t>
            </w:r>
          </w:p>
        </w:tc>
      </w:tr>
    </w:tbl>
    <w:p>
      <w:pPr>
        <w:pStyle w:val="DOHeading3"/>
      </w:pPr>
      <w:r>
        <w:t>Critical Accounting Estimates</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Estimate</w:t>
            </w:r>
          </w:p>
        </w:tc>
        <w:tc>
          <w:tcPr>
            <w:tcW w:type="dxa" w:w="3360"/>
            <w:shd w:fill="1A1446" w:val="clear"/>
          </w:tcPr>
          <w:p>
            <w:r>
              <w:rPr>
                <w:rFonts w:ascii="Calibri" w:hAnsi="Calibri"/>
                <w:b/>
                <w:color w:val="FFFFFF"/>
                <w:sz w:val="18"/>
              </w:rPr>
              <w:t>Value</w:t>
            </w:r>
          </w:p>
        </w:tc>
        <w:tc>
          <w:tcPr>
            <w:tcW w:type="dxa" w:w="3360"/>
            <w:shd w:fill="1A1446" w:val="clear"/>
          </w:tcPr>
          <w:p>
            <w:r>
              <w:rPr>
                <w:rFonts w:ascii="Calibri" w:hAnsi="Calibri"/>
                <w:b/>
                <w:color w:val="FFFFFF"/>
                <w:sz w:val="18"/>
              </w:rPr>
              <w:t>Assessment</w:t>
            </w:r>
          </w:p>
        </w:tc>
      </w:tr>
      <w:tr>
        <w:tc>
          <w:tcPr>
            <w:tcW w:type="dxa" w:w="3360"/>
          </w:tcPr>
          <w:p>
            <w:r>
              <w:rPr>
                <w:rFonts w:ascii="Calibri" w:hAnsi="Calibri"/>
                <w:color w:val="333333"/>
                <w:sz w:val="18"/>
              </w:rPr>
              <w:t>Effective Tax Rate</w:t>
            </w:r>
          </w:p>
        </w:tc>
        <w:tc>
          <w:tcPr>
            <w:tcW w:type="dxa" w:w="3360"/>
          </w:tcPr>
          <w:p>
            <w:r>
              <w:rPr>
                <w:rFonts w:ascii="Calibri" w:hAnsi="Calibri"/>
                <w:color w:val="333333"/>
                <w:sz w:val="18"/>
              </w:rPr>
              <w:t>15.1%</w:t>
            </w:r>
          </w:p>
        </w:tc>
        <w:tc>
          <w:tcPr>
            <w:tcW w:type="dxa" w:w="3360"/>
          </w:tcPr>
          <w:p>
            <w:r>
              <w:rPr>
                <w:rFonts w:ascii="Calibri" w:hAnsi="Calibri"/>
                <w:color w:val="333333"/>
                <w:sz w:val="18"/>
              </w:rPr>
              <w:t>Normal range</w:t>
            </w:r>
          </w:p>
        </w:tc>
      </w:tr>
    </w:tbl>
    <w:p>
      <w:pPr>
        <w:pStyle w:val="DOHeading2"/>
      </w:pPr>
      <w:r>
        <w:t>Peer Group Comparison</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Ticker</w:t>
            </w:r>
          </w:p>
        </w:tc>
        <w:tc>
          <w:tcPr>
            <w:tcW w:type="dxa" w:w="2016"/>
            <w:shd w:fill="1A1446" w:val="clear"/>
          </w:tcPr>
          <w:p>
            <w:r>
              <w:rPr>
                <w:rFonts w:ascii="Calibri" w:hAnsi="Calibri"/>
                <w:b/>
                <w:color w:val="FFFFFF"/>
                <w:sz w:val="18"/>
              </w:rPr>
              <w:t>Name</w:t>
            </w:r>
          </w:p>
        </w:tc>
        <w:tc>
          <w:tcPr>
            <w:tcW w:type="dxa" w:w="2016"/>
            <w:shd w:fill="1A1446" w:val="clear"/>
          </w:tcPr>
          <w:p>
            <w:r>
              <w:rPr>
                <w:rFonts w:ascii="Calibri" w:hAnsi="Calibri"/>
                <w:b/>
                <w:color w:val="FFFFFF"/>
                <w:sz w:val="18"/>
              </w:rPr>
              <w:t>Market Cap</w:t>
            </w:r>
          </w:p>
        </w:tc>
        <w:tc>
          <w:tcPr>
            <w:tcW w:type="dxa" w:w="2016"/>
            <w:shd w:fill="1A1446" w:val="clear"/>
          </w:tcPr>
          <w:p>
            <w:r>
              <w:rPr>
                <w:rFonts w:ascii="Calibri" w:hAnsi="Calibri"/>
                <w:b/>
                <w:color w:val="FFFFFF"/>
                <w:sz w:val="18"/>
              </w:rPr>
              <w:t>Revenue</w:t>
            </w:r>
          </w:p>
        </w:tc>
        <w:tc>
          <w:tcPr>
            <w:tcW w:type="dxa" w:w="2016"/>
            <w:shd w:fill="1A1446" w:val="clear"/>
          </w:tcPr>
          <w:p>
            <w:r>
              <w:rPr>
                <w:rFonts w:ascii="Calibri" w:hAnsi="Calibri"/>
                <w:b/>
                <w:color w:val="FFFFFF"/>
                <w:sz w:val="18"/>
              </w:rPr>
              <w:t>Score</w:t>
            </w:r>
          </w:p>
        </w:tc>
      </w:tr>
      <w:tr>
        <w:tc>
          <w:tcPr>
            <w:tcW w:type="dxa" w:w="2016"/>
          </w:tcPr>
          <w:p>
            <w:r>
              <w:rPr>
                <w:rFonts w:ascii="Calibri" w:hAnsi="Calibri"/>
                <w:color w:val="333333"/>
                <w:sz w:val="18"/>
              </w:rPr>
              <w:t>MSFT</w:t>
            </w:r>
          </w:p>
        </w:tc>
        <w:tc>
          <w:tcPr>
            <w:tcW w:type="dxa" w:w="2016"/>
          </w:tcPr>
          <w:p>
            <w:r>
              <w:rPr>
                <w:rFonts w:ascii="Calibri" w:hAnsi="Calibri"/>
                <w:color w:val="333333"/>
                <w:sz w:val="18"/>
              </w:rPr>
              <w:t>Microsoft Corporation</w:t>
            </w:r>
          </w:p>
        </w:tc>
        <w:tc>
          <w:tcPr>
            <w:tcW w:type="dxa" w:w="2016"/>
          </w:tcPr>
          <w:p>
            <w:r>
              <w:rPr>
                <w:rFonts w:ascii="Calibri" w:hAnsi="Calibri"/>
                <w:color w:val="333333"/>
                <w:sz w:val="18"/>
              </w:rPr>
              <w:t>$2.8T</w:t>
            </w:r>
          </w:p>
        </w:tc>
        <w:tc>
          <w:tcPr>
            <w:tcW w:type="dxa" w:w="2016"/>
          </w:tcPr>
          <w:p>
            <w:r>
              <w:rPr>
                <w:rFonts w:ascii="Calibri" w:hAnsi="Calibri"/>
                <w:color w:val="333333"/>
                <w:sz w:val="18"/>
              </w:rPr>
              <w:t>$305.5B</w:t>
            </w:r>
          </w:p>
        </w:tc>
        <w:tc>
          <w:tcPr>
            <w:tcW w:type="dxa" w:w="2016"/>
          </w:tcPr>
          <w:p>
            <w:r>
              <w:rPr>
                <w:rFonts w:ascii="Calibri" w:hAnsi="Calibri"/>
                <w:color w:val="333333"/>
                <w:sz w:val="18"/>
              </w:rPr>
              <w:t>30</w:t>
            </w:r>
          </w:p>
        </w:tc>
      </w:tr>
      <w:tr>
        <w:tc>
          <w:tcPr>
            <w:tcW w:type="dxa" w:w="2016"/>
            <w:shd w:fill="F2F4F8" w:val="clear"/>
          </w:tcPr>
          <w:p>
            <w:r>
              <w:rPr>
                <w:rFonts w:ascii="Calibri" w:hAnsi="Calibri"/>
                <w:color w:val="333333"/>
                <w:sz w:val="18"/>
              </w:rPr>
              <w:t>GOOGL</w:t>
            </w:r>
          </w:p>
        </w:tc>
        <w:tc>
          <w:tcPr>
            <w:tcW w:type="dxa" w:w="2016"/>
            <w:shd w:fill="F2F4F8" w:val="clear"/>
          </w:tcPr>
          <w:p>
            <w:r>
              <w:rPr>
                <w:rFonts w:ascii="Calibri" w:hAnsi="Calibri"/>
                <w:color w:val="333333"/>
                <w:sz w:val="18"/>
              </w:rPr>
              <w:t>Alphabet Inc.</w:t>
            </w:r>
          </w:p>
        </w:tc>
        <w:tc>
          <w:tcPr>
            <w:tcW w:type="dxa" w:w="2016"/>
            <w:shd w:fill="F2F4F8" w:val="clear"/>
          </w:tcPr>
          <w:p>
            <w:r>
              <w:rPr>
                <w:rFonts w:ascii="Calibri" w:hAnsi="Calibri"/>
                <w:color w:val="333333"/>
                <w:sz w:val="18"/>
              </w:rPr>
              <w:t>$3.6T</w:t>
            </w:r>
          </w:p>
        </w:tc>
        <w:tc>
          <w:tcPr>
            <w:tcW w:type="dxa" w:w="2016"/>
            <w:shd w:fill="F2F4F8" w:val="clear"/>
          </w:tcPr>
          <w:p>
            <w:r>
              <w:rPr>
                <w:rFonts w:ascii="Calibri" w:hAnsi="Calibri"/>
                <w:color w:val="333333"/>
                <w:sz w:val="18"/>
              </w:rPr>
              <w:t>$402.8B</w:t>
            </w:r>
          </w:p>
        </w:tc>
        <w:tc>
          <w:tcPr>
            <w:tcW w:type="dxa" w:w="2016"/>
            <w:shd w:fill="F2F4F8" w:val="clear"/>
          </w:tcPr>
          <w:p>
            <w:r>
              <w:rPr>
                <w:rFonts w:ascii="Calibri" w:hAnsi="Calibri"/>
                <w:color w:val="333333"/>
                <w:sz w:val="18"/>
              </w:rPr>
              <w:t>27</w:t>
            </w:r>
          </w:p>
        </w:tc>
      </w:tr>
      <w:tr>
        <w:tc>
          <w:tcPr>
            <w:tcW w:type="dxa" w:w="2016"/>
          </w:tcPr>
          <w:p>
            <w:r>
              <w:rPr>
                <w:rFonts w:ascii="Calibri" w:hAnsi="Calibri"/>
                <w:color w:val="333333"/>
                <w:sz w:val="18"/>
              </w:rPr>
              <w:t>AMZN</w:t>
            </w:r>
          </w:p>
        </w:tc>
        <w:tc>
          <w:tcPr>
            <w:tcW w:type="dxa" w:w="2016"/>
          </w:tcPr>
          <w:p>
            <w:r>
              <w:rPr>
                <w:rFonts w:ascii="Calibri" w:hAnsi="Calibri"/>
                <w:color w:val="333333"/>
                <w:sz w:val="18"/>
              </w:rPr>
              <w:t>Amazon.com, Inc.</w:t>
            </w:r>
          </w:p>
        </w:tc>
        <w:tc>
          <w:tcPr>
            <w:tcW w:type="dxa" w:w="2016"/>
          </w:tcPr>
          <w:p>
            <w:r>
              <w:rPr>
                <w:rFonts w:ascii="Calibri" w:hAnsi="Calibri"/>
                <w:color w:val="333333"/>
                <w:sz w:val="18"/>
              </w:rPr>
              <w:t>$2.3T</w:t>
            </w:r>
          </w:p>
        </w:tc>
        <w:tc>
          <w:tcPr>
            <w:tcW w:type="dxa" w:w="2016"/>
          </w:tcPr>
          <w:p>
            <w:r>
              <w:rPr>
                <w:rFonts w:ascii="Calibri" w:hAnsi="Calibri"/>
                <w:color w:val="333333"/>
                <w:sz w:val="18"/>
              </w:rPr>
              <w:t>$716.9B</w:t>
            </w:r>
          </w:p>
        </w:tc>
        <w:tc>
          <w:tcPr>
            <w:tcW w:type="dxa" w:w="2016"/>
          </w:tcPr>
          <w:p>
            <w:r>
              <w:rPr>
                <w:rFonts w:ascii="Calibri" w:hAnsi="Calibri"/>
                <w:color w:val="333333"/>
                <w:sz w:val="18"/>
              </w:rPr>
              <w:t>7</w:t>
            </w:r>
          </w:p>
        </w:tc>
      </w:tr>
      <w:tr>
        <w:tc>
          <w:tcPr>
            <w:tcW w:type="dxa" w:w="2016"/>
            <w:shd w:fill="F2F4F8" w:val="clear"/>
          </w:tcPr>
          <w:p>
            <w:r>
              <w:rPr>
                <w:rFonts w:ascii="Calibri" w:hAnsi="Calibri"/>
                <w:color w:val="333333"/>
                <w:sz w:val="18"/>
              </w:rPr>
              <w:t>META</w:t>
            </w:r>
          </w:p>
        </w:tc>
        <w:tc>
          <w:tcPr>
            <w:tcW w:type="dxa" w:w="2016"/>
            <w:shd w:fill="F2F4F8" w:val="clear"/>
          </w:tcPr>
          <w:p>
            <w:r>
              <w:rPr>
                <w:rFonts w:ascii="Calibri" w:hAnsi="Calibri"/>
                <w:color w:val="333333"/>
                <w:sz w:val="18"/>
              </w:rPr>
              <w:t>Meta Platforms, Inc.</w:t>
            </w:r>
          </w:p>
        </w:tc>
        <w:tc>
          <w:tcPr>
            <w:tcW w:type="dxa" w:w="2016"/>
            <w:shd w:fill="F2F4F8" w:val="clear"/>
          </w:tcPr>
          <w:p>
            <w:r>
              <w:rPr>
                <w:rFonts w:ascii="Calibri" w:hAnsi="Calibri"/>
                <w:color w:val="333333"/>
                <w:sz w:val="18"/>
              </w:rPr>
              <w:t>$1.5T</w:t>
            </w:r>
          </w:p>
        </w:tc>
        <w:tc>
          <w:tcPr>
            <w:tcW w:type="dxa" w:w="2016"/>
            <w:shd w:fill="F2F4F8" w:val="clear"/>
          </w:tcPr>
          <w:p>
            <w:r>
              <w:rPr>
                <w:rFonts w:ascii="Calibri" w:hAnsi="Calibri"/>
                <w:color w:val="333333"/>
                <w:sz w:val="18"/>
              </w:rPr>
              <w:t>$201.0B</w:t>
            </w:r>
          </w:p>
        </w:tc>
        <w:tc>
          <w:tcPr>
            <w:tcW w:type="dxa" w:w="2016"/>
            <w:shd w:fill="F2F4F8" w:val="clear"/>
          </w:tcPr>
          <w:p>
            <w:r>
              <w:rPr>
                <w:rFonts w:ascii="Calibri" w:hAnsi="Calibri"/>
                <w:color w:val="333333"/>
                <w:sz w:val="18"/>
              </w:rPr>
              <w:t>15</w:t>
            </w:r>
          </w:p>
        </w:tc>
      </w:tr>
      <w:tr>
        <w:tc>
          <w:tcPr>
            <w:tcW w:type="dxa" w:w="2016"/>
          </w:tcPr>
          <w:p>
            <w:r>
              <w:rPr>
                <w:rFonts w:ascii="Calibri" w:hAnsi="Calibri"/>
                <w:color w:val="333333"/>
                <w:sz w:val="18"/>
              </w:rPr>
              <w:t>CRM</w:t>
            </w:r>
          </w:p>
        </w:tc>
        <w:tc>
          <w:tcPr>
            <w:tcW w:type="dxa" w:w="2016"/>
          </w:tcPr>
          <w:p>
            <w:r>
              <w:rPr>
                <w:rFonts w:ascii="Calibri" w:hAnsi="Calibri"/>
                <w:color w:val="333333"/>
                <w:sz w:val="18"/>
              </w:rPr>
              <w:t>Salesforce, Inc.</w:t>
            </w:r>
          </w:p>
        </w:tc>
        <w:tc>
          <w:tcPr>
            <w:tcW w:type="dxa" w:w="2016"/>
          </w:tcPr>
          <w:p>
            <w:r>
              <w:rPr>
                <w:rFonts w:ascii="Calibri" w:hAnsi="Calibri"/>
                <w:color w:val="333333"/>
                <w:sz w:val="18"/>
              </w:rPr>
              <w:t>$175.4B</w:t>
            </w:r>
          </w:p>
        </w:tc>
        <w:tc>
          <w:tcPr>
            <w:tcW w:type="dxa" w:w="2016"/>
          </w:tcPr>
          <w:p>
            <w:r>
              <w:rPr>
                <w:rFonts w:ascii="Calibri" w:hAnsi="Calibri"/>
                <w:color w:val="333333"/>
                <w:sz w:val="18"/>
              </w:rPr>
              <w:t>$41.5B</w:t>
            </w:r>
          </w:p>
        </w:tc>
        <w:tc>
          <w:tcPr>
            <w:tcW w:type="dxa" w:w="2016"/>
          </w:tcPr>
          <w:p>
            <w:r>
              <w:rPr>
                <w:rFonts w:ascii="Calibri" w:hAnsi="Calibri"/>
                <w:color w:val="333333"/>
                <w:sz w:val="18"/>
              </w:rPr>
              <w:t>14</w:t>
            </w:r>
          </w:p>
        </w:tc>
      </w:tr>
      <w:tr>
        <w:tc>
          <w:tcPr>
            <w:tcW w:type="dxa" w:w="2016"/>
            <w:shd w:fill="F2F4F8" w:val="clear"/>
          </w:tcPr>
          <w:p>
            <w:r>
              <w:rPr>
                <w:rFonts w:ascii="Calibri" w:hAnsi="Calibri"/>
                <w:color w:val="333333"/>
                <w:sz w:val="18"/>
              </w:rPr>
              <w:t>ADBE</w:t>
            </w:r>
          </w:p>
        </w:tc>
        <w:tc>
          <w:tcPr>
            <w:tcW w:type="dxa" w:w="2016"/>
            <w:shd w:fill="F2F4F8" w:val="clear"/>
          </w:tcPr>
          <w:p>
            <w:r>
              <w:rPr>
                <w:rFonts w:ascii="Calibri" w:hAnsi="Calibri"/>
                <w:color w:val="333333"/>
                <w:sz w:val="18"/>
              </w:rPr>
              <w:t>Adobe Inc.</w:t>
            </w:r>
          </w:p>
        </w:tc>
        <w:tc>
          <w:tcPr>
            <w:tcW w:type="dxa" w:w="2016"/>
            <w:shd w:fill="F2F4F8" w:val="clear"/>
          </w:tcPr>
          <w:p>
            <w:r>
              <w:rPr>
                <w:rFonts w:ascii="Calibri" w:hAnsi="Calibri"/>
                <w:color w:val="333333"/>
                <w:sz w:val="18"/>
              </w:rPr>
              <w:t>$99.0B</w:t>
            </w:r>
          </w:p>
        </w:tc>
        <w:tc>
          <w:tcPr>
            <w:tcW w:type="dxa" w:w="2016"/>
            <w:shd w:fill="F2F4F8" w:val="clear"/>
          </w:tcPr>
          <w:p>
            <w:r>
              <w:rPr>
                <w:rFonts w:ascii="Calibri" w:hAnsi="Calibri"/>
                <w:color w:val="333333"/>
                <w:sz w:val="18"/>
              </w:rPr>
              <w:t>$24.5B</w:t>
            </w:r>
          </w:p>
        </w:tc>
        <w:tc>
          <w:tcPr>
            <w:tcW w:type="dxa" w:w="2016"/>
            <w:shd w:fill="F2F4F8" w:val="clear"/>
          </w:tcPr>
          <w:p>
            <w:r>
              <w:rPr>
                <w:rFonts w:ascii="Calibri" w:hAnsi="Calibri"/>
                <w:color w:val="333333"/>
                <w:sz w:val="18"/>
              </w:rPr>
              <w:t>13</w:t>
            </w:r>
          </w:p>
        </w:tc>
      </w:tr>
      <w:tr>
        <w:tc>
          <w:tcPr>
            <w:tcW w:type="dxa" w:w="2016"/>
          </w:tcPr>
          <w:p>
            <w:r>
              <w:rPr>
                <w:rFonts w:ascii="Calibri" w:hAnsi="Calibri"/>
                <w:color w:val="333333"/>
                <w:sz w:val="18"/>
              </w:rPr>
              <w:t>ORCL</w:t>
            </w:r>
          </w:p>
        </w:tc>
        <w:tc>
          <w:tcPr>
            <w:tcW w:type="dxa" w:w="2016"/>
          </w:tcPr>
          <w:p>
            <w:r>
              <w:rPr>
                <w:rFonts w:ascii="Calibri" w:hAnsi="Calibri"/>
                <w:color w:val="333333"/>
                <w:sz w:val="18"/>
              </w:rPr>
              <w:t>Oracle Corporation</w:t>
            </w:r>
          </w:p>
        </w:tc>
        <w:tc>
          <w:tcPr>
            <w:tcW w:type="dxa" w:w="2016"/>
          </w:tcPr>
          <w:p>
            <w:r>
              <w:rPr>
                <w:rFonts w:ascii="Calibri" w:hAnsi="Calibri"/>
                <w:color w:val="333333"/>
                <w:sz w:val="18"/>
              </w:rPr>
              <w:t>$421.0B</w:t>
            </w:r>
          </w:p>
        </w:tc>
        <w:tc>
          <w:tcPr>
            <w:tcW w:type="dxa" w:w="2016"/>
          </w:tcPr>
          <w:p>
            <w:r>
              <w:rPr>
                <w:rFonts w:ascii="Calibri" w:hAnsi="Calibri"/>
                <w:color w:val="333333"/>
                <w:sz w:val="18"/>
              </w:rPr>
              <w:t>$64.1B</w:t>
            </w:r>
          </w:p>
        </w:tc>
        <w:tc>
          <w:tcPr>
            <w:tcW w:type="dxa" w:w="2016"/>
          </w:tcPr>
          <w:p>
            <w:r>
              <w:rPr>
                <w:rFonts w:ascii="Calibri" w:hAnsi="Calibri"/>
                <w:color w:val="333333"/>
                <w:sz w:val="18"/>
              </w:rPr>
              <w:t>16</w:t>
            </w:r>
          </w:p>
        </w:tc>
      </w:tr>
      <w:tr>
        <w:tc>
          <w:tcPr>
            <w:tcW w:type="dxa" w:w="2016"/>
            <w:shd w:fill="F2F4F8" w:val="clear"/>
          </w:tcPr>
          <w:p>
            <w:r>
              <w:rPr>
                <w:rFonts w:ascii="Calibri" w:hAnsi="Calibri"/>
                <w:color w:val="333333"/>
                <w:sz w:val="18"/>
              </w:rPr>
              <w:t>CSCO</w:t>
            </w:r>
          </w:p>
        </w:tc>
        <w:tc>
          <w:tcPr>
            <w:tcW w:type="dxa" w:w="2016"/>
            <w:shd w:fill="F2F4F8" w:val="clear"/>
          </w:tcPr>
          <w:p>
            <w:r>
              <w:rPr>
                <w:rFonts w:ascii="Calibri" w:hAnsi="Calibri"/>
                <w:color w:val="333333"/>
                <w:sz w:val="18"/>
              </w:rPr>
              <w:t>Cisco Systems, Inc.</w:t>
            </w:r>
          </w:p>
        </w:tc>
        <w:tc>
          <w:tcPr>
            <w:tcW w:type="dxa" w:w="2016"/>
            <w:shd w:fill="F2F4F8" w:val="clear"/>
          </w:tcPr>
          <w:p>
            <w:r>
              <w:rPr>
                <w:rFonts w:ascii="Calibri" w:hAnsi="Calibri"/>
                <w:color w:val="333333"/>
                <w:sz w:val="18"/>
              </w:rPr>
              <w:t>$312.2B</w:t>
            </w:r>
          </w:p>
        </w:tc>
        <w:tc>
          <w:tcPr>
            <w:tcW w:type="dxa" w:w="2016"/>
            <w:shd w:fill="F2F4F8" w:val="clear"/>
          </w:tcPr>
          <w:p>
            <w:r>
              <w:rPr>
                <w:rFonts w:ascii="Calibri" w:hAnsi="Calibri"/>
                <w:color w:val="333333"/>
                <w:sz w:val="18"/>
              </w:rPr>
              <w:t>$59.1B</w:t>
            </w:r>
          </w:p>
        </w:tc>
        <w:tc>
          <w:tcPr>
            <w:tcW w:type="dxa" w:w="2016"/>
            <w:shd w:fill="F2F4F8" w:val="clear"/>
          </w:tcPr>
          <w:p>
            <w:r>
              <w:rPr>
                <w:rFonts w:ascii="Calibri" w:hAnsi="Calibri"/>
                <w:color w:val="333333"/>
                <w:sz w:val="18"/>
              </w:rPr>
              <w:t>16</w:t>
            </w:r>
          </w:p>
        </w:tc>
      </w:tr>
      <w:tr>
        <w:tc>
          <w:tcPr>
            <w:tcW w:type="dxa" w:w="2016"/>
          </w:tcPr>
          <w:p>
            <w:r>
              <w:rPr>
                <w:rFonts w:ascii="Calibri" w:hAnsi="Calibri"/>
                <w:color w:val="333333"/>
                <w:sz w:val="18"/>
              </w:rPr>
              <w:t>INTC</w:t>
            </w:r>
          </w:p>
        </w:tc>
        <w:tc>
          <w:tcPr>
            <w:tcW w:type="dxa" w:w="2016"/>
          </w:tcPr>
          <w:p>
            <w:r>
              <w:rPr>
                <w:rFonts w:ascii="Calibri" w:hAnsi="Calibri"/>
                <w:color w:val="333333"/>
                <w:sz w:val="18"/>
              </w:rPr>
              <w:t>Intel Corporation</w:t>
            </w:r>
          </w:p>
        </w:tc>
        <w:tc>
          <w:tcPr>
            <w:tcW w:type="dxa" w:w="2016"/>
          </w:tcPr>
          <w:p>
            <w:r>
              <w:rPr>
                <w:rFonts w:ascii="Calibri" w:hAnsi="Calibri"/>
                <w:color w:val="333333"/>
                <w:sz w:val="18"/>
              </w:rPr>
              <w:t>$253.0B</w:t>
            </w:r>
          </w:p>
        </w:tc>
        <w:tc>
          <w:tcPr>
            <w:tcW w:type="dxa" w:w="2016"/>
          </w:tcPr>
          <w:p>
            <w:r>
              <w:rPr>
                <w:rFonts w:ascii="Calibri" w:hAnsi="Calibri"/>
                <w:color w:val="333333"/>
                <w:sz w:val="18"/>
              </w:rPr>
              <w:t>$52.9B</w:t>
            </w:r>
          </w:p>
        </w:tc>
        <w:tc>
          <w:tcPr>
            <w:tcW w:type="dxa" w:w="2016"/>
          </w:tcPr>
          <w:p>
            <w:r>
              <w:rPr>
                <w:rFonts w:ascii="Calibri" w:hAnsi="Calibri"/>
                <w:color w:val="333333"/>
                <w:sz w:val="18"/>
              </w:rPr>
              <w:t>27</w:t>
            </w:r>
          </w:p>
        </w:tc>
      </w:tr>
    </w:tbl>
    <w:p>
      <w:pPr>
        <w:pStyle w:val="DOBody"/>
      </w:pPr>
      <w:r>
        <w:t>Revenue: Ranks at the 56th percentile among 9 peers. Leverage: Ranks at the 98th percentile among 0 peers (peer median: 2.0x).</w:t>
      </w:r>
    </w:p>
    <w:p>
      <w:pPr>
        <w:pStyle w:val="DOCaption"/>
      </w:pPr>
      <w:r>
        <w:t>Method: Multi-signal composite: SIC 25%, industry 20%, market cap 25%, revenue 15%, description 15%</w:t>
      </w:r>
    </w:p>
    <w:p>
      <w:pPr>
        <w:spacing w:before="120" w:after="40"/>
        <w:pBdr>
          <w:bottom w:val="single" w:sz="6" w:space="1" w:color="FFD000"/>
        </w:pBdr>
      </w:pPr>
    </w:p>
    <w:p>
      <w:pPr>
        <w:pStyle w:val="DOBody"/>
        <w:spacing w:before="40" w:after="80"/>
      </w:pPr>
      <w:r>
        <w:rPr>
          <w:b/>
          <w:color w:val="CC0000"/>
          <w:sz w:val="20"/>
        </w:rPr>
        <w:t>CRITICAL RISK</w:t>
      </w:r>
    </w:p>
    <w:p>
      <w:pPr>
        <w:pStyle w:val="DOBody"/>
        <w:spacing w:before="40" w:after="120"/>
      </w:pPr>
      <w:r>
        <w:rPr>
          <w:color w:val="333333"/>
          <w:sz w:val="20"/>
        </w:rPr>
        <w:t>The board's structural opacity, with only 1 director disclosed and no independence ratio, nullifies conventional governance analysis for a $3T market cap company. Jensen Huang's entrenched CEO-Chair duality, coupled with his 6-year tenure in that combined role, centralizes strategic control while 8 of 90 governance checks were triggered, indicating heightened scrutiny. His $49.9 million compensation package attracts intense shareholder scrutiny and fuels say-on-pay litigation risk, magnified by a compensation score deduction of 1.52 out of 8 points. This lack of visible board checks creates a profound Caremark oversight exposure, with a governance score of 39.6 highlighting vulnerability to derivative claims over risk monitoring failures. This governance vacuum makes proxy statement disclosures the primary litigation battlefield, where any omission in risk oversight narrative could trigger a potent duty of candor claim. Underwriting this requires pricing for a derivative suit originating from board-level failure to monitor, given the 100% signal coverage in our analysis points to identifiable control gaps.</w:t>
      </w:r>
    </w:p>
    <w:p>
      <w:pPr>
        <w:pStyle w:val="DOHeading1"/>
      </w:pPr>
      <w:r>
        <w:t>Section 5: Governance &amp; Leadership</w:t>
      </w:r>
    </w:p>
    <w:p>
      <w:pPr>
        <w:pStyle w:val="DOBody"/>
      </w:pPr>
      <w:r>
        <w:rPr>
          <w:rFonts w:ascii="Calibri" w:hAnsi="Calibri"/>
          <w:color w:val="333333"/>
          <w:sz w:val="20"/>
        </w:rPr>
        <w:t>Leadership stability raises 1 red flag(s) with 2 departure(s) in 18 months. Board governance is weak (40/100), raising oversight concerns.</w:t>
      </w:r>
      <w:r>
        <w:rPr>
          <w:rFonts w:ascii="Consolas" w:hAnsi="Consolas"/>
          <w:color w:val="666666"/>
          <w:sz w:val="16"/>
        </w:rPr>
        <w:t xml:space="preserve">  [Rule-based synthesis of governance extraction results, 2026-04-02, LOW]</w:t>
      </w:r>
    </w:p>
    <w:p>
      <w:pPr>
        <w:pStyle w:val="DOBody"/>
      </w:pPr>
      <w:r>
        <w:rPr>
          <w:rFonts w:ascii="Calibri" w:hAnsi="Calibri"/>
          <w:color w:val="333333"/>
          <w:sz w:val="20"/>
        </w:rPr>
        <w:t>Governance Quality Score: 39.6/10</w:t>
      </w:r>
      <w:r>
        <w:rPr>
          <w:rFonts w:ascii="Consolas" w:hAnsi="Consolas"/>
          <w:color w:val="666666"/>
          <w:sz w:val="16"/>
        </w:rPr>
        <w:t xml:space="preserve">  [Computed from governance dimensions, 2026-04-02, LOW]</w:t>
      </w:r>
    </w:p>
    <w:p>
      <w:pPr>
        <w:pStyle w:val="DOHeading2"/>
      </w:pPr>
      <w:r>
        <w:t>Leadership Stability</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A1446" w:val="clear"/>
          </w:tcPr>
          <w:p>
            <w:r>
              <w:rPr>
                <w:rFonts w:ascii="Calibri" w:hAnsi="Calibri"/>
                <w:b/>
                <w:color w:val="FFFFFF"/>
                <w:sz w:val="18"/>
              </w:rPr>
              <w:t>Name</w:t>
            </w:r>
          </w:p>
        </w:tc>
        <w:tc>
          <w:tcPr>
            <w:tcW w:type="dxa" w:w="1680"/>
            <w:shd w:fill="1A1446" w:val="clear"/>
          </w:tcPr>
          <w:p>
            <w:r>
              <w:rPr>
                <w:rFonts w:ascii="Calibri" w:hAnsi="Calibri"/>
                <w:b/>
                <w:color w:val="FFFFFF"/>
                <w:sz w:val="18"/>
              </w:rPr>
              <w:t>Title</w:t>
            </w:r>
          </w:p>
        </w:tc>
        <w:tc>
          <w:tcPr>
            <w:tcW w:type="dxa" w:w="1680"/>
            <w:shd w:fill="1A1446" w:val="clear"/>
          </w:tcPr>
          <w:p>
            <w:r>
              <w:rPr>
                <w:rFonts w:ascii="Calibri" w:hAnsi="Calibri"/>
                <w:b/>
                <w:color w:val="FFFFFF"/>
                <w:sz w:val="18"/>
              </w:rPr>
              <w:t>Tenure (Yrs)</w:t>
            </w:r>
          </w:p>
        </w:tc>
        <w:tc>
          <w:tcPr>
            <w:tcW w:type="dxa" w:w="1680"/>
            <w:shd w:fill="1A1446" w:val="clear"/>
          </w:tcPr>
          <w:p>
            <w:r>
              <w:rPr>
                <w:rFonts w:ascii="Calibri" w:hAnsi="Calibri"/>
                <w:b/>
                <w:color w:val="FFFFFF"/>
                <w:sz w:val="18"/>
              </w:rPr>
              <w:t>Status</w:t>
            </w:r>
          </w:p>
        </w:tc>
        <w:tc>
          <w:tcPr>
            <w:tcW w:type="dxa" w:w="1680"/>
            <w:shd w:fill="1A1446" w:val="clear"/>
          </w:tcPr>
          <w:p>
            <w:r>
              <w:rPr>
                <w:rFonts w:ascii="Calibri" w:hAnsi="Calibri"/>
                <w:b/>
                <w:color w:val="FFFFFF"/>
                <w:sz w:val="18"/>
              </w:rPr>
              <w:t>Prior Lit.</w:t>
            </w:r>
          </w:p>
        </w:tc>
        <w:tc>
          <w:tcPr>
            <w:tcW w:type="dxa" w:w="1680"/>
            <w:shd w:fill="1A1446" w:val="clear"/>
          </w:tcPr>
          <w:p>
            <w:r>
              <w:rPr>
                <w:rFonts w:ascii="Calibri" w:hAnsi="Calibri"/>
                <w:b/>
                <w:color w:val="FFFFFF"/>
                <w:sz w:val="18"/>
              </w:rPr>
              <w:t>Flags</w:t>
            </w:r>
          </w:p>
        </w:tc>
      </w:tr>
      <w:tr>
        <w:tc>
          <w:tcPr>
            <w:tcW w:type="dxa" w:w="1680"/>
          </w:tcPr>
          <w:p>
            <w:r>
              <w:rPr>
                <w:rFonts w:ascii="Calibri" w:hAnsi="Calibri"/>
                <w:color w:val="333333"/>
                <w:sz w:val="18"/>
              </w:rPr>
              <w:t>Exchange Act</w:t>
            </w:r>
          </w:p>
        </w:tc>
        <w:tc>
          <w:tcPr>
            <w:tcW w:type="dxa" w:w="1680"/>
          </w:tcPr>
          <w:p>
            <w:r>
              <w:rPr>
                <w:rFonts w:ascii="Calibri" w:hAnsi="Calibri"/>
                <w:color w:val="333333"/>
                <w:sz w:val="18"/>
              </w:rPr>
              <w:t>President</w:t>
            </w:r>
          </w:p>
        </w:tc>
        <w:tc>
          <w:tcPr>
            <w:tcW w:type="dxa" w:w="1680"/>
          </w:tcPr>
          <w:p>
            <w:r>
              <w:rPr>
                <w:rFonts w:ascii="Calibri" w:hAnsi="Calibri"/>
                <w:color w:val="333333"/>
                <w:sz w:val="18"/>
              </w:rPr>
              <w:t>6.0</w:t>
            </w:r>
          </w:p>
        </w:tc>
        <w:tc>
          <w:tcPr>
            <w:tcW w:type="dxa" w:w="1680"/>
          </w:tcPr>
          <w:p>
            <w:r>
              <w:rPr>
                <w:rFonts w:ascii="Calibri" w:hAnsi="Calibri"/>
                <w:color w:val="333333"/>
                <w:sz w:val="18"/>
              </w:rPr>
              <w:t>ACTIVE</w:t>
            </w:r>
          </w:p>
        </w:tc>
        <w:tc>
          <w:tcPr>
            <w:tcW w:type="dxa" w:w="1680"/>
          </w:tcPr>
          <w:p>
            <w:r>
              <w:rPr>
                <w:rFonts w:ascii="Calibri" w:hAnsi="Calibri"/>
                <w:color w:val="333333"/>
                <w:sz w:val="18"/>
              </w:rPr>
              <w:t>100</w:t>
            </w:r>
          </w:p>
        </w:tc>
        <w:tc>
          <w:tcPr>
            <w:tcW w:type="dxa" w:w="1680"/>
          </w:tcPr>
          <w:p>
            <w:r>
              <w:rPr>
                <w:rFonts w:ascii="Calibri" w:hAnsi="Calibri"/>
                <w:color w:val="333333"/>
                <w:sz w:val="18"/>
              </w:rPr>
              <w:t>None</w:t>
            </w:r>
          </w:p>
        </w:tc>
      </w:tr>
    </w:tbl>
    <w:p>
      <w:pPr>
        <w:pStyle w:val="DOBody"/>
      </w:pPr>
      <w:r>
        <w:rPr>
          <w:i/>
          <w:sz w:val="16"/>
        </w:rPr>
        <w:t>D&amp;O Context (Exchange Act, 100 prior case(s)):  triggered Any Officer With Prior Litigation at Previous Company (F9) — this host risk (company-level characteristics that attract or deter D&amp;O claims) indicates SEC Enforcement / Regulatory Compliance. Evidence: Boolean check: True condition met.</w:t>
      </w:r>
      <w:r>
        <w:rPr>
          <w:b/>
          <w:color w:val="EAB308"/>
          <w:sz w:val="18"/>
        </w:rPr>
        <w:t xml:space="preserve"> [ELEVATED]</w:t>
      </w:r>
    </w:p>
    <w:p>
      <w:pPr>
        <w:pStyle w:val="DOBody"/>
      </w:pPr>
      <w:r>
        <w:rPr>
          <w:rFonts w:ascii="Calibri" w:hAnsi="Calibri"/>
          <w:color w:val="333333"/>
          <w:sz w:val="20"/>
        </w:rPr>
        <w:t>Leadership Stability Score: 75/100</w:t>
      </w:r>
      <w:r>
        <w:rPr>
          <w:rFonts w:ascii="Consolas" w:hAnsi="Consolas"/>
          <w:color w:val="666666"/>
          <w:sz w:val="16"/>
        </w:rPr>
        <w:t xml:space="preserve">  [leadership_profiles extractor, 2026-04-02, MEDIUM]</w:t>
      </w:r>
    </w:p>
    <w:p>
      <w:pPr>
        <w:pStyle w:val="DOHeading2"/>
      </w:pPr>
      <w:r>
        <w:t>Board Composition</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A1446" w:val="clear"/>
          </w:tcPr>
          <w:p>
            <w:r>
              <w:rPr>
                <w:rFonts w:ascii="Calibri" w:hAnsi="Calibri"/>
                <w:b/>
                <w:color w:val="FFFFFF"/>
                <w:sz w:val="18"/>
              </w:rPr>
              <w:t>Name</w:t>
            </w:r>
          </w:p>
        </w:tc>
        <w:tc>
          <w:tcPr>
            <w:tcW w:type="dxa" w:w="1680"/>
            <w:shd w:fill="1A1446" w:val="clear"/>
          </w:tcPr>
          <w:p>
            <w:r>
              <w:rPr>
                <w:rFonts w:ascii="Calibri" w:hAnsi="Calibri"/>
                <w:b/>
                <w:color w:val="FFFFFF"/>
                <w:sz w:val="18"/>
              </w:rPr>
              <w:t>Tenure</w:t>
            </w:r>
          </w:p>
        </w:tc>
        <w:tc>
          <w:tcPr>
            <w:tcW w:type="dxa" w:w="1680"/>
            <w:shd w:fill="1A1446" w:val="clear"/>
          </w:tcPr>
          <w:p>
            <w:r>
              <w:rPr>
                <w:rFonts w:ascii="Calibri" w:hAnsi="Calibri"/>
                <w:b/>
                <w:color w:val="FFFFFF"/>
                <w:sz w:val="18"/>
              </w:rPr>
              <w:t>Independent</w:t>
            </w:r>
          </w:p>
        </w:tc>
        <w:tc>
          <w:tcPr>
            <w:tcW w:type="dxa" w:w="1680"/>
            <w:shd w:fill="1A1446" w:val="clear"/>
          </w:tcPr>
          <w:p>
            <w:r>
              <w:rPr>
                <w:rFonts w:ascii="Calibri" w:hAnsi="Calibri"/>
                <w:b/>
                <w:color w:val="FFFFFF"/>
                <w:sz w:val="18"/>
              </w:rPr>
              <w:t>Committees</w:t>
            </w:r>
          </w:p>
        </w:tc>
        <w:tc>
          <w:tcPr>
            <w:tcW w:type="dxa" w:w="1680"/>
            <w:shd w:fill="1A1446" w:val="clear"/>
          </w:tcPr>
          <w:p>
            <w:r>
              <w:rPr>
                <w:rFonts w:ascii="Calibri" w:hAnsi="Calibri"/>
                <w:b/>
                <w:color w:val="FFFFFF"/>
                <w:sz w:val="18"/>
              </w:rPr>
              <w:t>Other Boards</w:t>
            </w:r>
          </w:p>
        </w:tc>
        <w:tc>
          <w:tcPr>
            <w:tcW w:type="dxa" w:w="1680"/>
            <w:shd w:fill="1A1446" w:val="clear"/>
          </w:tcPr>
          <w:p>
            <w:r>
              <w:rPr>
                <w:rFonts w:ascii="Calibri" w:hAnsi="Calibri"/>
                <w:b/>
                <w:color w:val="FFFFFF"/>
                <w:sz w:val="18"/>
              </w:rPr>
              <w:t>Overboarded</w:t>
            </w:r>
          </w:p>
        </w:tc>
      </w:tr>
      <w:tr>
        <w:tc>
          <w:tcPr>
            <w:tcW w:type="dxa" w:w="1680"/>
          </w:tcPr>
          <w:p>
            <w:r>
              <w:rPr>
                <w:rFonts w:ascii="Calibri" w:hAnsi="Calibri"/>
                <w:color w:val="333333"/>
                <w:sz w:val="18"/>
              </w:rPr>
              <w:t>Information About</w:t>
            </w:r>
          </w:p>
        </w:tc>
        <w:tc>
          <w:tcPr>
            <w:tcW w:type="dxa" w:w="1680"/>
          </w:tcPr>
          <w:p>
            <w:r>
              <w:rPr>
                <w:rFonts w:ascii="Calibri" w:hAnsi="Calibri"/>
                <w:color w:val="333333"/>
                <w:sz w:val="18"/>
              </w:rPr>
              <w:t>N/A</w:t>
            </w:r>
          </w:p>
        </w:tc>
        <w:tc>
          <w:tcPr>
            <w:tcW w:type="dxa" w:w="1680"/>
          </w:tcPr>
          <w:p>
            <w:r>
              <w:rPr>
                <w:rFonts w:ascii="Calibri" w:hAnsi="Calibri"/>
                <w:color w:val="333333"/>
                <w:sz w:val="18"/>
              </w:rPr>
              <w:t>N/A</w:t>
            </w:r>
          </w:p>
        </w:tc>
        <w:tc>
          <w:tcPr>
            <w:tcW w:type="dxa" w:w="1680"/>
          </w:tcPr>
          <w:p>
            <w:r>
              <w:rPr>
                <w:rFonts w:ascii="Calibri" w:hAnsi="Calibri"/>
                <w:color w:val="333333"/>
                <w:sz w:val="18"/>
              </w:rPr>
              <w:t>N/A</w:t>
            </w:r>
          </w:p>
        </w:tc>
        <w:tc>
          <w:tcPr>
            <w:tcW w:type="dxa" w:w="1680"/>
          </w:tcPr>
          <w:p>
            <w:r>
              <w:rPr>
                <w:rFonts w:ascii="Calibri" w:hAnsi="Calibri"/>
                <w:color w:val="333333"/>
                <w:sz w:val="18"/>
              </w:rPr>
              <w:t>0</w:t>
            </w:r>
          </w:p>
        </w:tc>
        <w:tc>
          <w:tcPr>
            <w:tcW w:type="dxa" w:w="1680"/>
          </w:tcPr>
          <w:p>
            <w:r>
              <w:rPr>
                <w:rFonts w:ascii="Calibri" w:hAnsi="Calibri"/>
                <w:color w:val="333333"/>
                <w:sz w:val="18"/>
              </w:rPr>
              <w:t>No</w:t>
            </w:r>
          </w:p>
        </w:tc>
      </w:tr>
    </w:tbl>
    <w:p>
      <w:pPr>
        <w:pStyle w:val="DOBody"/>
        <w:shd w:fill="FFF3CD" w:val="clear"/>
      </w:pPr>
      <w:r>
        <w:rPr>
          <w:b/>
          <w:color w:val="EAB308"/>
          <w:sz w:val="18"/>
        </w:rPr>
        <w:t xml:space="preserve">[ELEVATED] </w:t>
      </w:r>
      <w:r>
        <w:rPr>
          <w:b/>
          <w:sz w:val="20"/>
        </w:rPr>
        <w:t>CEO/Chair Duality</w:t>
      </w:r>
      <w:r>
        <w:rPr>
          <w:color w:val="666666"/>
          <w:sz w:val="16"/>
        </w:rPr>
        <w:t xml:space="preserve"> -- Single individual holds both CEO and Board Chair roles</w:t>
      </w:r>
    </w:p>
    <w:p>
      <w:pPr>
        <w:pStyle w:val="DOCaption"/>
        <w:ind w:left="360"/>
      </w:pPr>
      <w:r>
        <w:rPr>
          <w:i/>
          <w:color w:val="666666"/>
          <w:sz w:val="18"/>
        </w:rPr>
        <w:t>Context: Companies with CEO/Chair duality face 1.8x higher derivative suit filing rates due to governance concentration.</w:t>
      </w:r>
    </w:p>
    <w:p>
      <w:pPr>
        <w:pStyle w:val="DOBody"/>
      </w:pPr>
      <w:r>
        <w:rPr>
          <w:i/>
          <w:color w:val="FFD000"/>
          <w:sz w:val="18"/>
        </w:rPr>
        <w:t>See Meeting Prep: Governance Structure</w:t>
      </w:r>
    </w:p>
    <w:p>
      <w:pPr>
        <w:pStyle w:val="DOHeading3"/>
      </w:pPr>
      <w:r>
        <w:t>Board Quality Metrics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Board Size</w:t>
            </w:r>
          </w:p>
        </w:tc>
        <w:tc>
          <w:tcPr>
            <w:tcW w:type="dxa" w:w="5040"/>
          </w:tcPr>
          <w:p>
            <w:r>
              <w:rPr>
                <w:rFonts w:ascii="Calibri" w:hAnsi="Calibri"/>
                <w:color w:val="333333"/>
                <w:sz w:val="18"/>
              </w:rPr>
              <w:t>N/A</w:t>
            </w:r>
          </w:p>
        </w:tc>
      </w:tr>
      <w:tr>
        <w:tc>
          <w:tcPr>
            <w:tcW w:type="dxa" w:w="5040"/>
            <w:shd w:fill="F2F4F8" w:val="clear"/>
          </w:tcPr>
          <w:p>
            <w:r>
              <w:rPr>
                <w:rFonts w:ascii="Calibri" w:hAnsi="Calibri"/>
                <w:color w:val="333333"/>
                <w:sz w:val="18"/>
              </w:rPr>
              <w:t>Independence Ratio</w:t>
            </w:r>
          </w:p>
        </w:tc>
        <w:tc>
          <w:tcPr>
            <w:tcW w:type="dxa" w:w="5040"/>
            <w:shd w:fill="F2F4F8" w:val="clear"/>
          </w:tcPr>
          <w:p>
            <w:r>
              <w:rPr>
                <w:rFonts w:ascii="Calibri" w:hAnsi="Calibri"/>
                <w:color w:val="333333"/>
                <w:sz w:val="18"/>
              </w:rPr>
              <w:t>N/A</w:t>
            </w:r>
          </w:p>
        </w:tc>
      </w:tr>
      <w:tr>
        <w:tc>
          <w:tcPr>
            <w:tcW w:type="dxa" w:w="5040"/>
          </w:tcPr>
          <w:p>
            <w:r>
              <w:rPr>
                <w:rFonts w:ascii="Calibri" w:hAnsi="Calibri"/>
                <w:color w:val="333333"/>
                <w:sz w:val="18"/>
              </w:rPr>
              <w:t>CEO/Chair Duality</w:t>
            </w:r>
          </w:p>
        </w:tc>
        <w:tc>
          <w:tcPr>
            <w:tcW w:type="dxa" w:w="5040"/>
          </w:tcPr>
          <w:p>
            <w:r>
              <w:rPr>
                <w:rFonts w:ascii="Calibri" w:hAnsi="Calibri"/>
                <w:color w:val="333333"/>
                <w:sz w:val="18"/>
              </w:rPr>
              <w:t>Yes</w:t>
            </w:r>
          </w:p>
        </w:tc>
      </w:tr>
      <w:tr>
        <w:tc>
          <w:tcPr>
            <w:tcW w:type="dxa" w:w="5040"/>
            <w:shd w:fill="F2F4F8" w:val="clear"/>
          </w:tcPr>
          <w:p>
            <w:r>
              <w:rPr>
                <w:rFonts w:ascii="Calibri" w:hAnsi="Calibri"/>
                <w:color w:val="333333"/>
                <w:sz w:val="18"/>
              </w:rPr>
              <w:t>Classified Board</w:t>
            </w:r>
          </w:p>
        </w:tc>
        <w:tc>
          <w:tcPr>
            <w:tcW w:type="dxa" w:w="5040"/>
            <w:shd w:fill="F2F4F8" w:val="clear"/>
          </w:tcPr>
          <w:p>
            <w:r>
              <w:rPr>
                <w:rFonts w:ascii="Calibri" w:hAnsi="Calibri"/>
                <w:color w:val="333333"/>
                <w:sz w:val="18"/>
              </w:rPr>
              <w:t>N/A</w:t>
            </w:r>
          </w:p>
        </w:tc>
      </w:tr>
      <w:tr>
        <w:tc>
          <w:tcPr>
            <w:tcW w:type="dxa" w:w="5040"/>
          </w:tcPr>
          <w:p>
            <w:r>
              <w:rPr>
                <w:rFonts w:ascii="Calibri" w:hAnsi="Calibri"/>
                <w:color w:val="333333"/>
                <w:sz w:val="18"/>
              </w:rPr>
              <w:t>Overboarded Directors</w:t>
            </w:r>
          </w:p>
        </w:tc>
        <w:tc>
          <w:tcPr>
            <w:tcW w:type="dxa" w:w="5040"/>
          </w:tcPr>
          <w:p>
            <w:r>
              <w:rPr>
                <w:rFonts w:ascii="Calibri" w:hAnsi="Calibri"/>
                <w:color w:val="333333"/>
                <w:sz w:val="18"/>
              </w:rPr>
              <w:t>N/A</w:t>
            </w:r>
          </w:p>
        </w:tc>
      </w:tr>
      <w:tr>
        <w:tc>
          <w:tcPr>
            <w:tcW w:type="dxa" w:w="5040"/>
            <w:shd w:fill="F2F4F8" w:val="clear"/>
          </w:tcPr>
          <w:p>
            <w:r>
              <w:rPr>
                <w:rFonts w:ascii="Calibri" w:hAnsi="Calibri"/>
                <w:color w:val="333333"/>
                <w:sz w:val="18"/>
              </w:rPr>
              <w:t>Dual-Class Structure</w:t>
            </w:r>
          </w:p>
        </w:tc>
        <w:tc>
          <w:tcPr>
            <w:tcW w:type="dxa" w:w="5040"/>
            <w:shd w:fill="F2F4F8" w:val="clear"/>
          </w:tcPr>
          <w:p>
            <w:r>
              <w:rPr>
                <w:rFonts w:ascii="Calibri" w:hAnsi="Calibri"/>
                <w:color w:val="333333"/>
                <w:sz w:val="18"/>
              </w:rPr>
              <w:t>N/A</w:t>
            </w:r>
          </w:p>
        </w:tc>
      </w:tr>
    </w:tbl>
    <w:p>
      <w:pPr>
        <w:pStyle w:val="DOBody"/>
      </w:pPr>
      <w:r>
        <w:rPr>
          <w:i/>
          <w:sz w:val="16"/>
        </w:rPr>
        <w:t>D&amp;O Context: CEO/Chair duality reduces board independence in oversight of management, increasing derivative suit risk.</w:t>
      </w:r>
      <w:r>
        <w:rPr>
          <w:b/>
          <w:color w:val="EAB308"/>
          <w:sz w:val="18"/>
        </w:rPr>
        <w:t xml:space="preserve"> [ELEVATED]</w:t>
      </w:r>
    </w:p>
    <w:p>
      <w:pPr>
        <w:pStyle w:val="DOHeading2"/>
      </w:pPr>
      <w:r>
        <w:t>Compensation Analysis</w:t>
      </w:r>
    </w:p>
    <w:p>
      <w:pPr>
        <w:pStyle w:val="DOHeading3"/>
      </w:pPr>
      <w:r>
        <w:t>Summary Compensation Table</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Component</w:t>
            </w:r>
          </w:p>
        </w:tc>
        <w:tc>
          <w:tcPr>
            <w:tcW w:type="dxa" w:w="5040"/>
            <w:shd w:fill="1A1446" w:val="clear"/>
          </w:tcPr>
          <w:p>
            <w:r>
              <w:rPr>
                <w:rFonts w:ascii="Calibri" w:hAnsi="Calibri"/>
                <w:b/>
                <w:color w:val="FFFFFF"/>
                <w:sz w:val="18"/>
              </w:rPr>
              <w:t>Amount</w:t>
            </w:r>
          </w:p>
        </w:tc>
      </w:tr>
      <w:tr>
        <w:tc>
          <w:tcPr>
            <w:tcW w:type="dxa" w:w="5040"/>
          </w:tcPr>
          <w:p>
            <w:r>
              <w:rPr>
                <w:rFonts w:ascii="Calibri" w:hAnsi="Calibri"/>
                <w:color w:val="333333"/>
                <w:sz w:val="18"/>
              </w:rPr>
              <w:t>Total CEO Compensation</w:t>
            </w:r>
          </w:p>
        </w:tc>
        <w:tc>
          <w:tcPr>
            <w:tcW w:type="dxa" w:w="5040"/>
          </w:tcPr>
          <w:p>
            <w:r>
              <w:rPr>
                <w:rFonts w:ascii="Calibri" w:hAnsi="Calibri"/>
                <w:color w:val="333333"/>
                <w:sz w:val="18"/>
              </w:rPr>
              <w:t>$49.9M</w:t>
            </w:r>
          </w:p>
        </w:tc>
      </w:tr>
    </w:tbl>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CEO Pay Ratio</w:t>
            </w:r>
          </w:p>
        </w:tc>
        <w:tc>
          <w:tcPr>
            <w:tcW w:type="dxa" w:w="5040"/>
          </w:tcPr>
          <w:p>
            <w:r>
              <w:rPr>
                <w:rFonts w:ascii="Calibri" w:hAnsi="Calibri"/>
                <w:color w:val="333333"/>
                <w:sz w:val="18"/>
              </w:rPr>
              <w:t>166:1</w:t>
            </w:r>
          </w:p>
        </w:tc>
      </w:tr>
    </w:tbl>
    <w:p>
      <w:pPr>
        <w:pStyle w:val="DOHeading3"/>
      </w:pPr>
      <w:r>
        <w:t>Compensation Structure</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Component</w:t>
            </w:r>
          </w:p>
        </w:tc>
        <w:tc>
          <w:tcPr>
            <w:tcW w:type="dxa" w:w="5040"/>
            <w:shd w:fill="1A1446" w:val="clear"/>
          </w:tcPr>
          <w:p>
            <w:r>
              <w:rPr>
                <w:rFonts w:ascii="Calibri" w:hAnsi="Calibri"/>
                <w:b/>
                <w:color w:val="FFFFFF"/>
                <w:sz w:val="18"/>
              </w:rPr>
              <w:t>Detail</w:t>
            </w:r>
          </w:p>
        </w:tc>
      </w:tr>
      <w:tr>
        <w:tc>
          <w:tcPr>
            <w:tcW w:type="dxa" w:w="5040"/>
          </w:tcPr>
          <w:p>
            <w:r>
              <w:rPr>
                <w:rFonts w:ascii="Calibri" w:hAnsi="Calibri"/>
                <w:color w:val="333333"/>
                <w:sz w:val="18"/>
              </w:rPr>
              <w:t>Clawback Policy</w:t>
            </w:r>
          </w:p>
        </w:tc>
        <w:tc>
          <w:tcPr>
            <w:tcW w:type="dxa" w:w="5040"/>
          </w:tcPr>
          <w:p>
            <w:r>
              <w:rPr>
                <w:rFonts w:ascii="Calibri" w:hAnsi="Calibri"/>
                <w:color w:val="333333"/>
                <w:sz w:val="18"/>
              </w:rPr>
              <w:t>Yes</w:t>
            </w:r>
          </w:p>
        </w:tc>
      </w:tr>
      <w:tr>
        <w:tc>
          <w:tcPr>
            <w:tcW w:type="dxa" w:w="5040"/>
            <w:shd w:fill="F2F4F8" w:val="clear"/>
          </w:tcPr>
          <w:p>
            <w:r>
              <w:rPr>
                <w:rFonts w:ascii="Calibri" w:hAnsi="Calibri"/>
                <w:color w:val="333333"/>
                <w:sz w:val="18"/>
              </w:rPr>
              <w:t>Clawback Scope</w:t>
            </w:r>
          </w:p>
        </w:tc>
        <w:tc>
          <w:tcPr>
            <w:tcW w:type="dxa" w:w="5040"/>
            <w:shd w:fill="F2F4F8" w:val="clear"/>
          </w:tcPr>
          <w:p>
            <w:r>
              <w:rPr>
                <w:rFonts w:ascii="Calibri" w:hAnsi="Calibri"/>
                <w:color w:val="333333"/>
                <w:sz w:val="18"/>
              </w:rPr>
              <w:t>BROADER</w:t>
            </w:r>
          </w:p>
        </w:tc>
      </w:tr>
    </w:tbl>
    <w:p>
      <w:pPr>
        <w:pStyle w:val="DOHeading3"/>
      </w:pPr>
      <w:r>
        <w:t>Compensation Red Flags</w:t>
      </w:r>
    </w:p>
    <w:p>
      <w:pPr>
        <w:pStyle w:val="DOBody"/>
      </w:pPr>
      <w:r>
        <w:t>Notable Perquisites: Our executive compensation program adheres to the following practices: What We Do What We Don't Do ü Emphasize at-risk, performance-based compensation, with simple, objective performance goals X Enter into agreements with NEOs providing for specific terms of employment or severance benefits ü Use an: Above-peer perquisites draw proxy advisory negative recommendations.</w:t>
      </w:r>
      <w:r>
        <w:rPr>
          <w:b/>
          <w:color w:val="EAB308"/>
          <w:sz w:val="18"/>
        </w:rPr>
        <w:t xml:space="preserve"> [ELEVATED]</w:t>
      </w:r>
    </w:p>
    <w:p>
      <w:pPr>
        <w:pStyle w:val="DOHeading2"/>
      </w:pPr>
      <w:r>
        <w:t>Ownership Structure</w:t>
      </w:r>
    </w:p>
    <w:p>
      <w:r>
        <w:drawing>
          <wp:inline xmlns:a="http://schemas.openxmlformats.org/drawingml/2006/main" xmlns:pic="http://schemas.openxmlformats.org/drawingml/2006/picture">
            <wp:extent cx="5943600" cy="5430893"/>
            <wp:docPr id="12" name="Picture 1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943600" cy="5430893"/>
                    </a:xfrm>
                    <a:prstGeom prst="rect"/>
                  </pic:spPr>
                </pic:pic>
              </a:graphicData>
            </a:graphic>
          </wp:inline>
        </w:drawing>
      </w:r>
    </w:p>
    <w:p>
      <w:pPr>
        <w:pStyle w:val="DOCaption"/>
      </w:pPr>
      <w:r>
        <w:t>Figure: Ownership breakdown -- institutional, insider, retail float</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Category</w:t>
            </w:r>
          </w:p>
        </w:tc>
        <w:tc>
          <w:tcPr>
            <w:tcW w:type="dxa" w:w="5040"/>
            <w:shd w:fill="1A1446" w:val="clear"/>
          </w:tcPr>
          <w:p>
            <w:r>
              <w:rPr>
                <w:rFonts w:ascii="Calibri" w:hAnsi="Calibri"/>
                <w:b/>
                <w:color w:val="FFFFFF"/>
                <w:sz w:val="18"/>
              </w:rPr>
              <w:t>Percentage</w:t>
            </w:r>
          </w:p>
        </w:tc>
      </w:tr>
      <w:tr>
        <w:tc>
          <w:tcPr>
            <w:tcW w:type="dxa" w:w="5040"/>
          </w:tcPr>
          <w:p>
            <w:r>
              <w:rPr>
                <w:rFonts w:ascii="Calibri" w:hAnsi="Calibri"/>
                <w:color w:val="333333"/>
                <w:sz w:val="18"/>
              </w:rPr>
              <w:t>Institutional Ownership</w:t>
            </w:r>
          </w:p>
        </w:tc>
        <w:tc>
          <w:tcPr>
            <w:tcW w:type="dxa" w:w="5040"/>
          </w:tcPr>
          <w:p>
            <w:r>
              <w:rPr>
                <w:rFonts w:ascii="Calibri" w:hAnsi="Calibri"/>
                <w:color w:val="333333"/>
                <w:sz w:val="18"/>
              </w:rPr>
              <w:t>69.7%</w:t>
            </w:r>
          </w:p>
        </w:tc>
      </w:tr>
      <w:tr>
        <w:tc>
          <w:tcPr>
            <w:tcW w:type="dxa" w:w="5040"/>
            <w:shd w:fill="F2F4F8" w:val="clear"/>
          </w:tcPr>
          <w:p>
            <w:r>
              <w:rPr>
                <w:rFonts w:ascii="Calibri" w:hAnsi="Calibri"/>
                <w:color w:val="333333"/>
                <w:sz w:val="18"/>
              </w:rPr>
              <w:t>Insider Ownership</w:t>
            </w:r>
          </w:p>
        </w:tc>
        <w:tc>
          <w:tcPr>
            <w:tcW w:type="dxa" w:w="5040"/>
            <w:shd w:fill="F2F4F8" w:val="clear"/>
          </w:tcPr>
          <w:p>
            <w:r>
              <w:rPr>
                <w:rFonts w:ascii="Calibri" w:hAnsi="Calibri"/>
                <w:color w:val="333333"/>
                <w:sz w:val="18"/>
              </w:rPr>
              <w:t>4.2%</w:t>
            </w:r>
          </w:p>
        </w:tc>
      </w:tr>
      <w:tr>
        <w:tc>
          <w:tcPr>
            <w:tcW w:type="dxa" w:w="5040"/>
          </w:tcPr>
          <w:p>
            <w:r>
              <w:rPr>
                <w:rFonts w:ascii="Calibri" w:hAnsi="Calibri"/>
                <w:color w:val="333333"/>
                <w:sz w:val="18"/>
              </w:rPr>
              <w:t>Retail Float</w:t>
            </w:r>
          </w:p>
        </w:tc>
        <w:tc>
          <w:tcPr>
            <w:tcW w:type="dxa" w:w="5040"/>
          </w:tcPr>
          <w:p>
            <w:r>
              <w:rPr>
                <w:rFonts w:ascii="Calibri" w:hAnsi="Calibri"/>
                <w:color w:val="333333"/>
                <w:sz w:val="18"/>
              </w:rPr>
              <w:t>26.1%</w:t>
            </w:r>
          </w:p>
        </w:tc>
      </w:tr>
    </w:tbl>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Top Holder</w:t>
            </w:r>
          </w:p>
        </w:tc>
        <w:tc>
          <w:tcPr>
            <w:tcW w:type="dxa" w:w="5040"/>
            <w:shd w:fill="1A1446" w:val="clear"/>
          </w:tcPr>
          <w:p>
            <w:r>
              <w:rPr>
                <w:rFonts w:ascii="Calibri" w:hAnsi="Calibri"/>
                <w:b/>
                <w:color w:val="FFFFFF"/>
                <w:sz w:val="18"/>
              </w:rPr>
              <w:t>Ownership %</w:t>
            </w:r>
          </w:p>
        </w:tc>
      </w:tr>
      <w:tr>
        <w:tc>
          <w:tcPr>
            <w:tcW w:type="dxa" w:w="5040"/>
          </w:tcPr>
          <w:p>
            <w:r>
              <w:rPr>
                <w:rFonts w:ascii="Calibri" w:hAnsi="Calibri"/>
                <w:color w:val="333333"/>
                <w:sz w:val="18"/>
              </w:rPr>
              <w:t>Vanguard Group Inc</w:t>
            </w:r>
          </w:p>
        </w:tc>
        <w:tc>
          <w:tcPr>
            <w:tcW w:type="dxa" w:w="5040"/>
          </w:tcPr>
          <w:p>
            <w:r>
              <w:rPr>
                <w:rFonts w:ascii="Calibri" w:hAnsi="Calibri"/>
                <w:color w:val="333333"/>
                <w:sz w:val="18"/>
              </w:rPr>
              <w:t>0.1%</w:t>
            </w:r>
          </w:p>
        </w:tc>
      </w:tr>
      <w:tr>
        <w:tc>
          <w:tcPr>
            <w:tcW w:type="dxa" w:w="5040"/>
            <w:shd w:fill="F2F4F8" w:val="clear"/>
          </w:tcPr>
          <w:p>
            <w:r>
              <w:rPr>
                <w:rFonts w:ascii="Calibri" w:hAnsi="Calibri"/>
                <w:color w:val="333333"/>
                <w:sz w:val="18"/>
              </w:rPr>
              <w:t>Blackrock Inc.</w:t>
            </w:r>
          </w:p>
        </w:tc>
        <w:tc>
          <w:tcPr>
            <w:tcW w:type="dxa" w:w="5040"/>
            <w:shd w:fill="F2F4F8" w:val="clear"/>
          </w:tcPr>
          <w:p>
            <w:r>
              <w:rPr>
                <w:rFonts w:ascii="Calibri" w:hAnsi="Calibri"/>
                <w:color w:val="333333"/>
                <w:sz w:val="18"/>
              </w:rPr>
              <w:t>0.1%</w:t>
            </w:r>
          </w:p>
        </w:tc>
      </w:tr>
      <w:tr>
        <w:tc>
          <w:tcPr>
            <w:tcW w:type="dxa" w:w="5040"/>
          </w:tcPr>
          <w:p>
            <w:r>
              <w:rPr>
                <w:rFonts w:ascii="Calibri" w:hAnsi="Calibri"/>
                <w:color w:val="333333"/>
                <w:sz w:val="18"/>
              </w:rPr>
              <w:t>State Street Corporation</w:t>
            </w:r>
          </w:p>
        </w:tc>
        <w:tc>
          <w:tcPr>
            <w:tcW w:type="dxa" w:w="5040"/>
          </w:tcPr>
          <w:p>
            <w:r>
              <w:rPr>
                <w:rFonts w:ascii="Calibri" w:hAnsi="Calibri"/>
                <w:color w:val="333333"/>
                <w:sz w:val="18"/>
              </w:rPr>
              <w:t>0.0%</w:t>
            </w:r>
          </w:p>
        </w:tc>
      </w:tr>
      <w:tr>
        <w:tc>
          <w:tcPr>
            <w:tcW w:type="dxa" w:w="5040"/>
            <w:shd w:fill="F2F4F8" w:val="clear"/>
          </w:tcPr>
          <w:p>
            <w:r>
              <w:rPr>
                <w:rFonts w:ascii="Calibri" w:hAnsi="Calibri"/>
                <w:color w:val="333333"/>
                <w:sz w:val="18"/>
              </w:rPr>
              <w:t>FMR, LLC</w:t>
            </w:r>
          </w:p>
        </w:tc>
        <w:tc>
          <w:tcPr>
            <w:tcW w:type="dxa" w:w="5040"/>
            <w:shd w:fill="F2F4F8" w:val="clear"/>
          </w:tcPr>
          <w:p>
            <w:r>
              <w:rPr>
                <w:rFonts w:ascii="Calibri" w:hAnsi="Calibri"/>
                <w:color w:val="333333"/>
                <w:sz w:val="18"/>
              </w:rPr>
              <w:t>0.0%</w:t>
            </w:r>
          </w:p>
        </w:tc>
      </w:tr>
      <w:tr>
        <w:tc>
          <w:tcPr>
            <w:tcW w:type="dxa" w:w="5040"/>
          </w:tcPr>
          <w:p>
            <w:r>
              <w:rPr>
                <w:rFonts w:ascii="Calibri" w:hAnsi="Calibri"/>
                <w:color w:val="333333"/>
                <w:sz w:val="18"/>
              </w:rPr>
              <w:t>Geode Capital Management, LLC</w:t>
            </w:r>
          </w:p>
        </w:tc>
        <w:tc>
          <w:tcPr>
            <w:tcW w:type="dxa" w:w="5040"/>
          </w:tcPr>
          <w:p>
            <w:r>
              <w:rPr>
                <w:rFonts w:ascii="Calibri" w:hAnsi="Calibri"/>
                <w:color w:val="333333"/>
                <w:sz w:val="18"/>
              </w:rPr>
              <w:t>0.0%</w:t>
            </w:r>
          </w:p>
        </w:tc>
      </w:tr>
    </w:tbl>
    <w:p>
      <w:pPr>
        <w:pStyle w:val="DOHeading2"/>
      </w:pPr>
      <w:r>
        <w:t>Sentiment &amp; Narrative Coherence</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Signal</w:t>
            </w:r>
          </w:p>
        </w:tc>
        <w:tc>
          <w:tcPr>
            <w:tcW w:type="dxa" w:w="5040"/>
            <w:shd w:fill="1A1446" w:val="clear"/>
          </w:tcPr>
          <w:p>
            <w:r>
              <w:rPr>
                <w:rFonts w:ascii="Calibri" w:hAnsi="Calibri"/>
                <w:b/>
                <w:color w:val="FFFFFF"/>
                <w:sz w:val="18"/>
              </w:rPr>
              <w:t>Assessment</w:t>
            </w:r>
          </w:p>
        </w:tc>
      </w:tr>
      <w:tr>
        <w:tc>
          <w:tcPr>
            <w:tcW w:type="dxa" w:w="5040"/>
          </w:tcPr>
          <w:p>
            <w:r>
              <w:rPr>
                <w:rFonts w:ascii="Calibri" w:hAnsi="Calibri"/>
                <w:color w:val="333333"/>
                <w:sz w:val="18"/>
              </w:rPr>
              <w:t>Narrative Coherence</w:t>
            </w:r>
          </w:p>
        </w:tc>
        <w:tc>
          <w:tcPr>
            <w:tcW w:type="dxa" w:w="5040"/>
          </w:tcPr>
          <w:p>
            <w:r>
              <w:rPr>
                <w:rFonts w:ascii="Calibri" w:hAnsi="Calibri"/>
                <w:color w:val="333333"/>
                <w:sz w:val="18"/>
              </w:rPr>
              <w:t>COHERENT</w:t>
            </w:r>
          </w:p>
        </w:tc>
      </w:tr>
    </w:tbl>
    <w:p>
      <w:pPr>
        <w:pStyle w:val="DOHeading2"/>
      </w:pPr>
      <w:r>
        <w:t>Anti-Takeover Provisions</w:t>
      </w:r>
    </w:p>
    <w:p>
      <w:pPr>
        <w:pStyle w:val="DOBody"/>
      </w:pPr>
      <w:r>
        <w:t>Anti-takeover provision data not available. Review DEF 14A and charter documents for complete analysis.</w:t>
      </w:r>
    </w:p>
    <w:p>
      <w:pPr>
        <w:spacing w:before="120" w:after="40"/>
        <w:pBdr>
          <w:bottom w:val="single" w:sz="6" w:space="1" w:color="FFD000"/>
        </w:pBdr>
      </w:pPr>
    </w:p>
    <w:p>
      <w:pPr>
        <w:pStyle w:val="DOBody"/>
        <w:spacing w:before="40" w:after="80"/>
      </w:pPr>
      <w:r>
        <w:rPr>
          <w:b/>
          <w:color w:val="FFB800"/>
          <w:sz w:val="20"/>
        </w:rPr>
        <w:t>ELEVATED CONCERN</w:t>
      </w:r>
    </w:p>
    <w:p>
      <w:pPr>
        <w:pStyle w:val="DOBody"/>
        <w:spacing w:before="40" w:after="120"/>
      </w:pPr>
      <w:r>
        <w:rPr>
          <w:color w:val="333333"/>
          <w:sz w:val="20"/>
        </w:rPr>
        <w:t>NVIDIA currently faces three derivative suits, a known precursor to a future securities class action (SCA), and the SEC's COMMENT_LETTER stage indicates active regulatory scrutiny that could catalyze one. The sector's 5.0% SCA filing rate is higher than NVIDIA's company-adjusted rate of 3.59%, but that gap is threatened by the three derivative actions. With six open solicitation letters and a MODERATE defense strength, the pre-litigation posture is already incurring defense costs, which impacts D&amp;O loss ratios. The primary risk is the industry pattern of revenue recognition allegations, which intersects with the company's growth and is reflected in the scoring model's deduction of 3.24 points out of 20 for financial reporting risk (F1). I'd benchmark any eventual SCA settlement against peer semiconductor firms, where product safety and IP infringement claims have driven nine-figure resolutions. Given this pipeline, I'd price for a 40-50% claim probability over the next 18 months, noting the model also deducted points for governance (F5) and stock volatility (F9) risks.</w:t>
      </w:r>
    </w:p>
    <w:p>
      <w:pPr>
        <w:pStyle w:val="DOHeading1"/>
      </w:pPr>
      <w:r>
        <w:t>Section 6: Litigation &amp; Regulatory Exposure</w:t>
      </w:r>
    </w:p>
    <w:p>
      <w:pPr>
        <w:pStyle w:val="DOBody"/>
      </w:pPr>
      <w:r>
        <w:rPr>
          <w:rFonts w:ascii="Calibri" w:hAnsi="Calibri"/>
          <w:color w:val="333333"/>
          <w:sz w:val="20"/>
        </w:rPr>
        <w:t>SEC enforcement pipeline position: COMMENT_LETTER. 3 derivative action(s) pending, alleging breach of fiduciary duty by directors and officers. Industry claim exposure: revenue_recognition, product_safety, ip_infringement. 6 statute of limitations window(s) remain open, meaning new claims can still be filed for past events. Under claims-made D&amp;O policy, coverage is triggered when a claim is reported during the policy period. Defense quality assessment: MODERATE.</w:t>
      </w:r>
    </w:p>
    <w:p>
      <w:pPr>
        <w:pStyle w:val="DOBody"/>
      </w:pPr>
      <w:r>
        <w:rPr>
          <w:sz w:val="20"/>
        </w:rPr>
        <w:t>Litigation Overview: 0 active matter(s), 2 historical matter(s)</w:t>
      </w:r>
    </w:p>
    <w:p>
      <w:pPr>
        <w:pStyle w:val="DOHeading3"/>
      </w:pPr>
      <w:r>
        <w:t>Litigation Timeline</w:t>
      </w:r>
    </w:p>
    <w:p>
      <w:r>
        <w:drawing>
          <wp:inline xmlns:a="http://schemas.openxmlformats.org/drawingml/2006/main" xmlns:pic="http://schemas.openxmlformats.org/drawingml/2006/picture">
            <wp:extent cx="5943600" cy="2930421"/>
            <wp:docPr id="13" name="Picture 13"/>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943600" cy="2930421"/>
                    </a:xfrm>
                    <a:prstGeom prst="rect"/>
                  </pic:spPr>
                </pic:pic>
              </a:graphicData>
            </a:graphic>
          </wp:inline>
        </w:drawing>
      </w:r>
    </w:p>
    <w:p>
      <w:pPr>
        <w:pStyle w:val="DOCaption"/>
      </w:pPr>
      <w:r>
        <w:t>Figure: Chronological litigation and regulatory events overlaid with corporate events for pattern recognition</w:t>
      </w:r>
    </w:p>
    <w:p>
      <w:pPr>
        <w:pStyle w:val="DOHeading3"/>
      </w:pPr>
      <w:r>
        <w:t>Securities Class Actions</w:t>
      </w:r>
    </w:p>
    <w:tbl>
      <w:tblPr>
        <w:tblStyle w:val="TableGrid"/>
        <w:tblW w:type="auto" w:w="0"/>
        <w:tblLook w:firstColumn="1" w:firstRow="1" w:lastColumn="0" w:lastRow="0" w:noHBand="0" w:noVBand="1" w:val="04A0"/>
      </w:tblPr>
      <w:tblGrid>
        <w:gridCol w:w="1008"/>
        <w:gridCol w:w="1008"/>
        <w:gridCol w:w="1008"/>
        <w:gridCol w:w="1008"/>
        <w:gridCol w:w="1008"/>
        <w:gridCol w:w="1008"/>
        <w:gridCol w:w="1008"/>
        <w:gridCol w:w="1008"/>
        <w:gridCol w:w="1008"/>
        <w:gridCol w:w="1008"/>
      </w:tblGrid>
      <w:tr>
        <w:tc>
          <w:tcPr>
            <w:tcW w:type="dxa" w:w="1008"/>
            <w:shd w:fill="1A1446" w:val="clear"/>
          </w:tcPr>
          <w:p>
            <w:r>
              <w:rPr>
                <w:rFonts w:ascii="Calibri" w:hAnsi="Calibri"/>
                <w:b/>
                <w:color w:val="FFFFFF"/>
                <w:sz w:val="18"/>
              </w:rPr>
              <w:t>Case Name</w:t>
            </w:r>
          </w:p>
        </w:tc>
        <w:tc>
          <w:tcPr>
            <w:tcW w:type="dxa" w:w="1008"/>
            <w:shd w:fill="1A1446" w:val="clear"/>
          </w:tcPr>
          <w:p>
            <w:r>
              <w:rPr>
                <w:rFonts w:ascii="Calibri" w:hAnsi="Calibri"/>
                <w:b/>
                <w:color w:val="FFFFFF"/>
                <w:sz w:val="18"/>
              </w:rPr>
              <w:t>Legal Theory</w:t>
            </w:r>
          </w:p>
        </w:tc>
        <w:tc>
          <w:tcPr>
            <w:tcW w:type="dxa" w:w="1008"/>
            <w:shd w:fill="1A1446" w:val="clear"/>
          </w:tcPr>
          <w:p>
            <w:r>
              <w:rPr>
                <w:rFonts w:ascii="Calibri" w:hAnsi="Calibri"/>
                <w:b/>
                <w:color w:val="FFFFFF"/>
                <w:sz w:val="18"/>
              </w:rPr>
              <w:t>Coverage</w:t>
            </w:r>
          </w:p>
        </w:tc>
        <w:tc>
          <w:tcPr>
            <w:tcW w:type="dxa" w:w="1008"/>
            <w:shd w:fill="1A1446" w:val="clear"/>
          </w:tcPr>
          <w:p>
            <w:r>
              <w:rPr>
                <w:rFonts w:ascii="Calibri" w:hAnsi="Calibri"/>
                <w:b/>
                <w:color w:val="FFFFFF"/>
                <w:sz w:val="18"/>
              </w:rPr>
              <w:t>Court</w:t>
            </w:r>
          </w:p>
        </w:tc>
        <w:tc>
          <w:tcPr>
            <w:tcW w:type="dxa" w:w="1008"/>
            <w:shd w:fill="1A1446" w:val="clear"/>
          </w:tcPr>
          <w:p>
            <w:r>
              <w:rPr>
                <w:rFonts w:ascii="Calibri" w:hAnsi="Calibri"/>
                <w:b/>
                <w:color w:val="FFFFFF"/>
                <w:sz w:val="18"/>
              </w:rPr>
              <w:t>Filing Date</w:t>
            </w:r>
          </w:p>
        </w:tc>
        <w:tc>
          <w:tcPr>
            <w:tcW w:type="dxa" w:w="1008"/>
            <w:shd w:fill="1A1446" w:val="clear"/>
          </w:tcPr>
          <w:p>
            <w:r>
              <w:rPr>
                <w:rFonts w:ascii="Calibri" w:hAnsi="Calibri"/>
                <w:b/>
                <w:color w:val="FFFFFF"/>
                <w:sz w:val="18"/>
              </w:rPr>
              <w:t>Status</w:t>
            </w:r>
          </w:p>
        </w:tc>
        <w:tc>
          <w:tcPr>
            <w:tcW w:type="dxa" w:w="1008"/>
            <w:shd w:fill="1A1446" w:val="clear"/>
          </w:tcPr>
          <w:p>
            <w:r>
              <w:rPr>
                <w:rFonts w:ascii="Calibri" w:hAnsi="Calibri"/>
                <w:b/>
                <w:color w:val="FFFFFF"/>
                <w:sz w:val="18"/>
              </w:rPr>
              <w:t>Class Period</w:t>
            </w:r>
          </w:p>
        </w:tc>
        <w:tc>
          <w:tcPr>
            <w:tcW w:type="dxa" w:w="1008"/>
            <w:shd w:fill="1A1446" w:val="clear"/>
          </w:tcPr>
          <w:p>
            <w:r>
              <w:rPr>
                <w:rFonts w:ascii="Calibri" w:hAnsi="Calibri"/>
                <w:b/>
                <w:color w:val="FFFFFF"/>
                <w:sz w:val="18"/>
              </w:rPr>
              <w:t>Lead Counsel</w:t>
            </w:r>
          </w:p>
        </w:tc>
        <w:tc>
          <w:tcPr>
            <w:tcW w:type="dxa" w:w="1008"/>
            <w:shd w:fill="1A1446" w:val="clear"/>
          </w:tcPr>
          <w:p>
            <w:r>
              <w:rPr>
                <w:rFonts w:ascii="Calibri" w:hAnsi="Calibri"/>
                <w:b/>
                <w:color w:val="FFFFFF"/>
                <w:sz w:val="18"/>
              </w:rPr>
              <w:t>Settlement</w:t>
            </w:r>
          </w:p>
        </w:tc>
        <w:tc>
          <w:tcPr>
            <w:tcW w:type="dxa" w:w="1008"/>
            <w:shd w:fill="1A1446" w:val="clear"/>
          </w:tcPr>
          <w:p>
            <w:r>
              <w:rPr>
                <w:rFonts w:ascii="Calibri" w:hAnsi="Calibri"/>
                <w:b/>
                <w:color w:val="FFFFFF"/>
                <w:sz w:val="18"/>
              </w:rPr>
              <w:t>Source</w:t>
            </w:r>
          </w:p>
        </w:tc>
      </w:tr>
      <w:tr>
        <w:tc>
          <w:tcPr>
            <w:tcW w:type="dxa" w:w="1008"/>
          </w:tcPr>
          <w:p>
            <w:r>
              <w:rPr>
                <w:rFonts w:ascii="Calibri" w:hAnsi="Calibri"/>
                <w:color w:val="333333"/>
                <w:sz w:val="18"/>
              </w:rPr>
              <w:t>In re NVIDIA Corporation Securities Litigation (2018)</w:t>
            </w:r>
          </w:p>
        </w:tc>
        <w:tc>
          <w:tcPr>
            <w:tcW w:type="dxa" w:w="1008"/>
          </w:tcPr>
          <w:p>
            <w:r>
              <w:rPr>
                <w:rFonts w:ascii="Calibri" w:hAnsi="Calibri"/>
                <w:color w:val="333333"/>
                <w:sz w:val="18"/>
              </w:rPr>
              <w:t>Rule 10b-5</w:t>
            </w:r>
          </w:p>
        </w:tc>
        <w:tc>
          <w:tcPr>
            <w:tcW w:type="dxa" w:w="1008"/>
          </w:tcPr>
          <w:p>
            <w:r>
              <w:rPr>
                <w:rFonts w:ascii="Calibri" w:hAnsi="Calibri"/>
                <w:color w:val="333333"/>
                <w:sz w:val="18"/>
              </w:rPr>
              <w:t>Side C (Entity)</w:t>
            </w:r>
          </w:p>
        </w:tc>
        <w:tc>
          <w:tcPr>
            <w:tcW w:type="dxa" w:w="1008"/>
          </w:tcPr>
          <w:p>
            <w:r>
              <w:rPr>
                <w:rFonts w:ascii="Calibri" w:hAnsi="Calibri"/>
                <w:color w:val="333333"/>
                <w:sz w:val="18"/>
              </w:rPr>
              <w:t>N/A</w:t>
            </w:r>
          </w:p>
        </w:tc>
        <w:tc>
          <w:tcPr>
            <w:tcW w:type="dxa" w:w="1008"/>
          </w:tcPr>
          <w:p>
            <w:r>
              <w:rPr>
                <w:rFonts w:ascii="Calibri" w:hAnsi="Calibri"/>
                <w:color w:val="333333"/>
                <w:sz w:val="18"/>
              </w:rPr>
              <w:t>2018-12-21</w:t>
            </w:r>
          </w:p>
        </w:tc>
        <w:tc>
          <w:tcPr>
            <w:tcW w:type="dxa" w:w="1008"/>
          </w:tcPr>
          <w:p>
            <w:r>
              <w:rPr>
                <w:rFonts w:ascii="Calibri" w:hAnsi="Calibri"/>
                <w:color w:val="333333"/>
                <w:sz w:val="18"/>
              </w:rPr>
              <w:t>DISMISSED</w:t>
            </w:r>
          </w:p>
        </w:tc>
        <w:tc>
          <w:tcPr>
            <w:tcW w:type="dxa" w:w="1008"/>
          </w:tcPr>
          <w:p>
            <w:r>
              <w:rPr>
                <w:rFonts w:ascii="Calibri" w:hAnsi="Calibri"/>
                <w:color w:val="333333"/>
                <w:sz w:val="18"/>
              </w:rPr>
              <w:t>N/A</w:t>
            </w:r>
          </w:p>
        </w:tc>
        <w:tc>
          <w:tcPr>
            <w:tcW w:type="dxa" w:w="1008"/>
          </w:tcPr>
          <w:p>
            <w:r>
              <w:rPr>
                <w:rFonts w:ascii="Calibri" w:hAnsi="Calibri"/>
                <w:color w:val="333333"/>
                <w:sz w:val="18"/>
              </w:rPr>
              <w:t>N/A</w:t>
            </w:r>
          </w:p>
        </w:tc>
        <w:tc>
          <w:tcPr>
            <w:tcW w:type="dxa" w:w="1008"/>
          </w:tcPr>
          <w:p>
            <w:r>
              <w:rPr>
                <w:rFonts w:ascii="Calibri" w:hAnsi="Calibri"/>
                <w:color w:val="333333"/>
                <w:sz w:val="18"/>
              </w:rPr>
              <w:t>N/A</w:t>
            </w:r>
          </w:p>
        </w:tc>
        <w:tc>
          <w:tcPr>
            <w:tcW w:type="dxa" w:w="1008"/>
          </w:tcPr>
          <w:p>
            <w:r>
              <w:rPr>
                <w:rFonts w:ascii="Calibri" w:hAnsi="Calibri"/>
                <w:color w:val="333333"/>
                <w:sz w:val="18"/>
              </w:rPr>
              <w:t>[Supabase SCA database, 2026-04-02, MEDIUM]</w:t>
            </w:r>
          </w:p>
        </w:tc>
      </w:tr>
      <w:tr>
        <w:tc>
          <w:tcPr>
            <w:tcW w:type="dxa" w:w="1008"/>
            <w:shd w:fill="F2F4F8" w:val="clear"/>
          </w:tcPr>
          <w:p>
            <w:r>
              <w:rPr>
                <w:rFonts w:ascii="Calibri" w:hAnsi="Calibri"/>
                <w:color w:val="333333"/>
                <w:sz w:val="18"/>
              </w:rPr>
              <w:t>In re NVIDIA Corporation Consolidated Derivative Litigation (2019)</w:t>
            </w:r>
          </w:p>
        </w:tc>
        <w:tc>
          <w:tcPr>
            <w:tcW w:type="dxa" w:w="1008"/>
            <w:shd w:fill="F2F4F8" w:val="clear"/>
          </w:tcPr>
          <w:p>
            <w:r>
              <w:rPr>
                <w:rFonts w:ascii="Calibri" w:hAnsi="Calibri"/>
                <w:color w:val="333333"/>
                <w:sz w:val="18"/>
              </w:rPr>
              <w:t>Rule 10b-5, Derivative / Fiduciary Duty, Section 14(A), Section 20(A), Section 14(a)</w:t>
            </w:r>
          </w:p>
        </w:tc>
        <w:tc>
          <w:tcPr>
            <w:tcW w:type="dxa" w:w="1008"/>
            <w:shd w:fill="F2F4F8" w:val="clear"/>
          </w:tcPr>
          <w:p>
            <w:r>
              <w:rPr>
                <w:rFonts w:ascii="Calibri" w:hAnsi="Calibri"/>
                <w:color w:val="333333"/>
                <w:sz w:val="18"/>
              </w:rPr>
              <w:t>Side C (Entity)</w:t>
            </w:r>
          </w:p>
        </w:tc>
        <w:tc>
          <w:tcPr>
            <w:tcW w:type="dxa" w:w="1008"/>
            <w:shd w:fill="F2F4F8" w:val="clear"/>
          </w:tcPr>
          <w:p>
            <w:r>
              <w:rPr>
                <w:rFonts w:ascii="Calibri" w:hAnsi="Calibri"/>
                <w:color w:val="333333"/>
                <w:sz w:val="18"/>
              </w:rPr>
              <w:t>United States District Court for the Northern District of California</w:t>
            </w:r>
          </w:p>
        </w:tc>
        <w:tc>
          <w:tcPr>
            <w:tcW w:type="dxa" w:w="1008"/>
            <w:shd w:fill="F2F4F8" w:val="clear"/>
          </w:tcPr>
          <w:p>
            <w:r>
              <w:rPr>
                <w:rFonts w:ascii="Calibri" w:hAnsi="Calibri"/>
                <w:color w:val="333333"/>
                <w:sz w:val="18"/>
              </w:rPr>
              <w:t>2019-01-18</w:t>
            </w:r>
          </w:p>
        </w:tc>
        <w:tc>
          <w:tcPr>
            <w:tcW w:type="dxa" w:w="1008"/>
            <w:shd w:fill="F2F4F8" w:val="clear"/>
          </w:tcPr>
          <w:p>
            <w:r>
              <w:rPr>
                <w:rFonts w:ascii="Calibri" w:hAnsi="Calibri"/>
                <w:color w:val="333333"/>
                <w:sz w:val="18"/>
              </w:rPr>
              <w:t>STAYED</w:t>
            </w:r>
          </w:p>
        </w:tc>
        <w:tc>
          <w:tcPr>
            <w:tcW w:type="dxa" w:w="1008"/>
            <w:shd w:fill="F2F4F8" w:val="clear"/>
          </w:tcPr>
          <w:p>
            <w:r>
              <w:rPr>
                <w:rFonts w:ascii="Calibri" w:hAnsi="Calibri"/>
                <w:color w:val="333333"/>
                <w:sz w:val="18"/>
              </w:rPr>
              <w:t>N/A</w:t>
            </w:r>
          </w:p>
        </w:tc>
        <w:tc>
          <w:tcPr>
            <w:tcW w:type="dxa" w:w="1008"/>
            <w:shd w:fill="F2F4F8" w:val="clear"/>
          </w:tcPr>
          <w:p>
            <w:r>
              <w:rPr>
                <w:rFonts w:ascii="Calibri" w:hAnsi="Calibri"/>
                <w:color w:val="333333"/>
                <w:sz w:val="18"/>
              </w:rPr>
              <w:t>N/A</w:t>
            </w:r>
          </w:p>
        </w:tc>
        <w:tc>
          <w:tcPr>
            <w:tcW w:type="dxa" w:w="1008"/>
            <w:shd w:fill="F2F4F8" w:val="clear"/>
          </w:tcPr>
          <w:p>
            <w:r>
              <w:rPr>
                <w:rFonts w:ascii="Calibri" w:hAnsi="Calibri"/>
                <w:color w:val="333333"/>
                <w:sz w:val="18"/>
              </w:rPr>
              <w:t>N/A</w:t>
            </w:r>
          </w:p>
        </w:tc>
        <w:tc>
          <w:tcPr>
            <w:tcW w:type="dxa" w:w="1008"/>
            <w:shd w:fill="F2F4F8" w:val="clear"/>
          </w:tcPr>
          <w:p>
            <w:r>
              <w:rPr>
                <w:rFonts w:ascii="Calibri" w:hAnsi="Calibri"/>
                <w:color w:val="333333"/>
                <w:sz w:val="18"/>
              </w:rPr>
              <w:t>[10-K (LLM), 2026-04-02, HIGH]</w:t>
            </w:r>
          </w:p>
        </w:tc>
      </w:tr>
      <w:tr>
        <w:tc>
          <w:tcPr>
            <w:tcW w:type="dxa" w:w="1008"/>
          </w:tcPr>
          <w:p>
            <w:r>
              <w:rPr>
                <w:rFonts w:ascii="Calibri" w:hAnsi="Calibri"/>
                <w:color w:val="333333"/>
                <w:sz w:val="18"/>
              </w:rPr>
              <w:t>Lipchitz v. Huang, et al. (2019)</w:t>
            </w:r>
          </w:p>
        </w:tc>
        <w:tc>
          <w:tcPr>
            <w:tcW w:type="dxa" w:w="1008"/>
          </w:tcPr>
          <w:p>
            <w:r>
              <w:rPr>
                <w:rFonts w:ascii="Calibri" w:hAnsi="Calibri"/>
                <w:color w:val="333333"/>
                <w:sz w:val="18"/>
              </w:rPr>
              <w:t>Rule 10b-5, Derivative / Fiduciary Duty, Section 14(A), Section 20(A), Section 14(a)</w:t>
            </w:r>
          </w:p>
        </w:tc>
        <w:tc>
          <w:tcPr>
            <w:tcW w:type="dxa" w:w="1008"/>
          </w:tcPr>
          <w:p>
            <w:r>
              <w:rPr>
                <w:rFonts w:ascii="Calibri" w:hAnsi="Calibri"/>
                <w:color w:val="333333"/>
                <w:sz w:val="18"/>
              </w:rPr>
              <w:t>Side C (Entity)</w:t>
            </w:r>
          </w:p>
        </w:tc>
        <w:tc>
          <w:tcPr>
            <w:tcW w:type="dxa" w:w="1008"/>
          </w:tcPr>
          <w:p>
            <w:r>
              <w:rPr>
                <w:rFonts w:ascii="Calibri" w:hAnsi="Calibri"/>
                <w:color w:val="333333"/>
                <w:sz w:val="18"/>
              </w:rPr>
              <w:t>United States District Court for the District of Delaware</w:t>
            </w:r>
          </w:p>
        </w:tc>
        <w:tc>
          <w:tcPr>
            <w:tcW w:type="dxa" w:w="1008"/>
          </w:tcPr>
          <w:p>
            <w:r>
              <w:rPr>
                <w:rFonts w:ascii="Calibri" w:hAnsi="Calibri"/>
                <w:color w:val="333333"/>
                <w:sz w:val="18"/>
              </w:rPr>
              <w:t>2019-09-24</w:t>
            </w:r>
          </w:p>
        </w:tc>
        <w:tc>
          <w:tcPr>
            <w:tcW w:type="dxa" w:w="1008"/>
          </w:tcPr>
          <w:p>
            <w:r>
              <w:rPr>
                <w:rFonts w:ascii="Calibri" w:hAnsi="Calibri"/>
                <w:color w:val="333333"/>
                <w:sz w:val="18"/>
              </w:rPr>
              <w:t>STAYED</w:t>
            </w:r>
          </w:p>
        </w:tc>
        <w:tc>
          <w:tcPr>
            <w:tcW w:type="dxa" w:w="1008"/>
          </w:tcPr>
          <w:p>
            <w:r>
              <w:rPr>
                <w:rFonts w:ascii="Calibri" w:hAnsi="Calibri"/>
                <w:color w:val="333333"/>
                <w:sz w:val="18"/>
              </w:rPr>
              <w:t>N/A</w:t>
            </w:r>
          </w:p>
        </w:tc>
        <w:tc>
          <w:tcPr>
            <w:tcW w:type="dxa" w:w="1008"/>
          </w:tcPr>
          <w:p>
            <w:r>
              <w:rPr>
                <w:rFonts w:ascii="Calibri" w:hAnsi="Calibri"/>
                <w:color w:val="333333"/>
                <w:sz w:val="18"/>
              </w:rPr>
              <w:t>N/A</w:t>
            </w:r>
          </w:p>
        </w:tc>
        <w:tc>
          <w:tcPr>
            <w:tcW w:type="dxa" w:w="1008"/>
          </w:tcPr>
          <w:p>
            <w:r>
              <w:rPr>
                <w:rFonts w:ascii="Calibri" w:hAnsi="Calibri"/>
                <w:color w:val="333333"/>
                <w:sz w:val="18"/>
              </w:rPr>
              <w:t>N/A</w:t>
            </w:r>
          </w:p>
        </w:tc>
        <w:tc>
          <w:tcPr>
            <w:tcW w:type="dxa" w:w="1008"/>
          </w:tcPr>
          <w:p>
            <w:r>
              <w:rPr>
                <w:rFonts w:ascii="Calibri" w:hAnsi="Calibri"/>
                <w:color w:val="333333"/>
                <w:sz w:val="18"/>
              </w:rPr>
              <w:t>[10-K (LLM) (unvalidated), 2026-04-02, LOW]</w:t>
            </w:r>
          </w:p>
        </w:tc>
      </w:tr>
      <w:tr>
        <w:tc>
          <w:tcPr>
            <w:tcW w:type="dxa" w:w="1008"/>
            <w:shd w:fill="F2F4F8" w:val="clear"/>
          </w:tcPr>
          <w:p>
            <w:r>
              <w:rPr>
                <w:rFonts w:ascii="Calibri" w:hAnsi="Calibri"/>
                <w:color w:val="333333"/>
                <w:sz w:val="18"/>
              </w:rPr>
              <w:t>Horanic v. Huang, et al. (2023)</w:t>
            </w:r>
          </w:p>
        </w:tc>
        <w:tc>
          <w:tcPr>
            <w:tcW w:type="dxa" w:w="1008"/>
            <w:shd w:fill="F2F4F8" w:val="clear"/>
          </w:tcPr>
          <w:p>
            <w:r>
              <w:rPr>
                <w:rFonts w:ascii="Calibri" w:hAnsi="Calibri"/>
                <w:color w:val="333333"/>
                <w:sz w:val="18"/>
              </w:rPr>
              <w:t>Derivative / Fiduciary Duty</w:t>
            </w:r>
          </w:p>
        </w:tc>
        <w:tc>
          <w:tcPr>
            <w:tcW w:type="dxa" w:w="1008"/>
            <w:shd w:fill="F2F4F8" w:val="clear"/>
          </w:tcPr>
          <w:p>
            <w:r>
              <w:rPr>
                <w:rFonts w:ascii="Calibri" w:hAnsi="Calibri"/>
                <w:color w:val="333333"/>
                <w:sz w:val="18"/>
              </w:rPr>
              <w:t>Derivative</w:t>
            </w:r>
          </w:p>
        </w:tc>
        <w:tc>
          <w:tcPr>
            <w:tcW w:type="dxa" w:w="1008"/>
            <w:shd w:fill="F2F4F8" w:val="clear"/>
          </w:tcPr>
          <w:p>
            <w:r>
              <w:rPr>
                <w:rFonts w:ascii="Calibri" w:hAnsi="Calibri"/>
                <w:color w:val="333333"/>
                <w:sz w:val="18"/>
              </w:rPr>
              <w:t>Court of Chancery of the State of Delaware</w:t>
            </w:r>
          </w:p>
        </w:tc>
        <w:tc>
          <w:tcPr>
            <w:tcW w:type="dxa" w:w="1008"/>
            <w:shd w:fill="F2F4F8" w:val="clear"/>
          </w:tcPr>
          <w:p>
            <w:r>
              <w:rPr>
                <w:rFonts w:ascii="Calibri" w:hAnsi="Calibri"/>
                <w:color w:val="333333"/>
                <w:sz w:val="18"/>
              </w:rPr>
              <w:t>2023-10-30</w:t>
            </w:r>
          </w:p>
        </w:tc>
        <w:tc>
          <w:tcPr>
            <w:tcW w:type="dxa" w:w="1008"/>
            <w:shd w:fill="F2F4F8" w:val="clear"/>
          </w:tcPr>
          <w:p>
            <w:r>
              <w:rPr>
                <w:rFonts w:ascii="Calibri" w:hAnsi="Calibri"/>
                <w:color w:val="333333"/>
                <w:sz w:val="18"/>
              </w:rPr>
              <w:t>STAYED</w:t>
            </w:r>
          </w:p>
        </w:tc>
        <w:tc>
          <w:tcPr>
            <w:tcW w:type="dxa" w:w="1008"/>
            <w:shd w:fill="F2F4F8" w:val="clear"/>
          </w:tcPr>
          <w:p>
            <w:r>
              <w:rPr>
                <w:rFonts w:ascii="Calibri" w:hAnsi="Calibri"/>
                <w:color w:val="333333"/>
                <w:sz w:val="18"/>
              </w:rPr>
              <w:t>N/A</w:t>
            </w:r>
          </w:p>
        </w:tc>
        <w:tc>
          <w:tcPr>
            <w:tcW w:type="dxa" w:w="1008"/>
            <w:shd w:fill="F2F4F8" w:val="clear"/>
          </w:tcPr>
          <w:p>
            <w:r>
              <w:rPr>
                <w:rFonts w:ascii="Calibri" w:hAnsi="Calibri"/>
                <w:color w:val="333333"/>
                <w:sz w:val="18"/>
              </w:rPr>
              <w:t>N/A</w:t>
            </w:r>
          </w:p>
        </w:tc>
        <w:tc>
          <w:tcPr>
            <w:tcW w:type="dxa" w:w="1008"/>
            <w:shd w:fill="F2F4F8" w:val="clear"/>
          </w:tcPr>
          <w:p>
            <w:r>
              <w:rPr>
                <w:rFonts w:ascii="Calibri" w:hAnsi="Calibri"/>
                <w:color w:val="333333"/>
                <w:sz w:val="18"/>
              </w:rPr>
              <w:t>N/A</w:t>
            </w:r>
          </w:p>
        </w:tc>
        <w:tc>
          <w:tcPr>
            <w:tcW w:type="dxa" w:w="1008"/>
            <w:shd w:fill="F2F4F8" w:val="clear"/>
          </w:tcPr>
          <w:p>
            <w:r>
              <w:rPr>
                <w:rFonts w:ascii="Calibri" w:hAnsi="Calibri"/>
                <w:color w:val="333333"/>
                <w:sz w:val="18"/>
              </w:rPr>
              <w:t>[10-K (LLM) (unvalidated), 2026-04-02, LOW]</w:t>
            </w:r>
          </w:p>
        </w:tc>
      </w:tr>
    </w:tbl>
    <w:p>
      <w:pPr>
        <w:pStyle w:val="DOHeading3"/>
      </w:pPr>
      <w:r>
        <w:t>SEC Enforcement Pipeline</w:t>
      </w:r>
    </w:p>
    <w:p>
      <w:pPr>
        <w:pStyle w:val="DOBody"/>
      </w:pPr>
      <w:r>
        <w:rPr>
          <w:sz w:val="20"/>
        </w:rPr>
        <w:t>Pipeline: [Comment Letters] -&gt; (Informal Inquiry) -&gt; (Formal Investigation) -&gt; (Wells Notice) -&gt; (Enforcement Action)</w:t>
      </w:r>
    </w:p>
    <w:p>
      <w:pPr>
        <w:pStyle w:val="DOBody"/>
      </w:pPr>
      <w:r>
        <w:rPr>
          <w:b/>
        </w:rPr>
        <w:t>Current Position: Comment Letters</w:t>
      </w:r>
      <w:r>
        <w:rPr>
          <w:b/>
          <w:color w:val="2563EB"/>
          <w:sz w:val="18"/>
        </w:rPr>
        <w:t xml:space="preserve"> [MODERATE]</w:t>
      </w:r>
    </w:p>
    <w:p>
      <w:pPr>
        <w:pStyle w:val="DOBody"/>
      </w:pPr>
      <w:r>
        <w:rPr>
          <w:rFonts w:ascii="Calibri" w:hAnsi="Calibri"/>
          <w:color w:val="333333"/>
          <w:sz w:val="20"/>
        </w:rPr>
        <w:t>Company is at COMMENT_LETTER stage in the SEC enforcement pipeline, with 1 supporting signal(s) identified.</w:t>
      </w:r>
      <w:r>
        <w:rPr>
          <w:rFonts w:ascii="Consolas" w:hAnsi="Consolas"/>
          <w:color w:val="666666"/>
          <w:sz w:val="16"/>
        </w:rPr>
        <w:t xml:space="preserve">  [10-K Item 3 + Item 1A + 8-K + EFTS, 2026-04-02, LOW]</w:t>
      </w:r>
    </w:p>
    <w:p>
      <w:pPr>
        <w:pStyle w:val="DOHeading3"/>
      </w:pPr>
      <w:r>
        <w:t>Derivative Suits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Case Name</w:t>
            </w:r>
          </w:p>
        </w:tc>
        <w:tc>
          <w:tcPr>
            <w:tcW w:type="dxa" w:w="2016"/>
            <w:shd w:fill="1A1446" w:val="clear"/>
          </w:tcPr>
          <w:p>
            <w:r>
              <w:rPr>
                <w:rFonts w:ascii="Calibri" w:hAnsi="Calibri"/>
                <w:b/>
                <w:color w:val="FFFFFF"/>
                <w:sz w:val="18"/>
              </w:rPr>
              <w:t>Filing Date</w:t>
            </w:r>
          </w:p>
        </w:tc>
        <w:tc>
          <w:tcPr>
            <w:tcW w:type="dxa" w:w="2016"/>
            <w:shd w:fill="1A1446" w:val="clear"/>
          </w:tcPr>
          <w:p>
            <w:r>
              <w:rPr>
                <w:rFonts w:ascii="Calibri" w:hAnsi="Calibri"/>
                <w:b/>
                <w:color w:val="FFFFFF"/>
                <w:sz w:val="18"/>
              </w:rPr>
              <w:t>Status</w:t>
            </w:r>
          </w:p>
        </w:tc>
        <w:tc>
          <w:tcPr>
            <w:tcW w:type="dxa" w:w="2016"/>
            <w:shd w:fill="1A1446" w:val="clear"/>
          </w:tcPr>
          <w:p>
            <w:r>
              <w:rPr>
                <w:rFonts w:ascii="Calibri" w:hAnsi="Calibri"/>
                <w:b/>
                <w:color w:val="FFFFFF"/>
                <w:sz w:val="18"/>
              </w:rPr>
              <w:t>Court</w:t>
            </w:r>
          </w:p>
        </w:tc>
        <w:tc>
          <w:tcPr>
            <w:tcW w:type="dxa" w:w="2016"/>
            <w:shd w:fill="1A1446" w:val="clear"/>
          </w:tcPr>
          <w:p>
            <w:r>
              <w:rPr>
                <w:rFonts w:ascii="Calibri" w:hAnsi="Calibri"/>
                <w:b/>
                <w:color w:val="FFFFFF"/>
                <w:sz w:val="18"/>
              </w:rPr>
              <w:t>Settlement</w:t>
            </w:r>
          </w:p>
        </w:tc>
      </w:tr>
      <w:tr>
        <w:tc>
          <w:tcPr>
            <w:tcW w:type="dxa" w:w="2016"/>
          </w:tcPr>
          <w:p>
            <w:r>
              <w:rPr>
                <w:rFonts w:ascii="Calibri" w:hAnsi="Calibri"/>
                <w:color w:val="333333"/>
                <w:sz w:val="18"/>
              </w:rPr>
              <w:t>N/A</w:t>
            </w:r>
          </w:p>
        </w:tc>
        <w:tc>
          <w:tcPr>
            <w:tcW w:type="dxa" w:w="2016"/>
          </w:tcPr>
          <w:p>
            <w:r>
              <w:rPr>
                <w:rFonts w:ascii="Calibri" w:hAnsi="Calibri"/>
                <w:color w:val="333333"/>
                <w:sz w:val="18"/>
              </w:rPr>
              <w:t>N/A</w:t>
            </w:r>
          </w:p>
        </w:tc>
        <w:tc>
          <w:tcPr>
            <w:tcW w:type="dxa" w:w="2016"/>
          </w:tcPr>
          <w:p>
            <w:r>
              <w:rPr>
                <w:rFonts w:ascii="Calibri" w:hAnsi="Calibri"/>
                <w:color w:val="333333"/>
                <w:sz w:val="18"/>
              </w:rPr>
              <w:t>SETTLED</w:t>
            </w:r>
          </w:p>
        </w:tc>
        <w:tc>
          <w:tcPr>
            <w:tcW w:type="dxa" w:w="2016"/>
          </w:tcPr>
          <w:p>
            <w:r>
              <w:rPr>
                <w:rFonts w:ascii="Calibri" w:hAnsi="Calibri"/>
                <w:color w:val="333333"/>
                <w:sz w:val="18"/>
              </w:rPr>
              <w:t>N/A</w:t>
            </w:r>
          </w:p>
        </w:tc>
        <w:tc>
          <w:tcPr>
            <w:tcW w:type="dxa" w:w="2016"/>
          </w:tcPr>
          <w:p>
            <w:r>
              <w:rPr>
                <w:rFonts w:ascii="Calibri" w:hAnsi="Calibri"/>
                <w:color w:val="333333"/>
                <w:sz w:val="18"/>
              </w:rPr>
              <w:t>N/A</w:t>
            </w:r>
          </w:p>
        </w:tc>
      </w:tr>
      <w:tr>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UNKNOWN</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N/A</w:t>
            </w:r>
          </w:p>
        </w:tc>
      </w:tr>
      <w:tr>
        <w:tc>
          <w:tcPr>
            <w:tcW w:type="dxa" w:w="2016"/>
          </w:tcPr>
          <w:p>
            <w:r>
              <w:rPr>
                <w:rFonts w:ascii="Calibri" w:hAnsi="Calibri"/>
                <w:color w:val="333333"/>
                <w:sz w:val="18"/>
              </w:rPr>
              <w:t>N/A</w:t>
            </w:r>
          </w:p>
        </w:tc>
        <w:tc>
          <w:tcPr>
            <w:tcW w:type="dxa" w:w="2016"/>
          </w:tcPr>
          <w:p>
            <w:r>
              <w:rPr>
                <w:rFonts w:ascii="Calibri" w:hAnsi="Calibri"/>
                <w:color w:val="333333"/>
                <w:sz w:val="18"/>
              </w:rPr>
              <w:t>N/A</w:t>
            </w:r>
          </w:p>
        </w:tc>
        <w:tc>
          <w:tcPr>
            <w:tcW w:type="dxa" w:w="2016"/>
          </w:tcPr>
          <w:p>
            <w:r>
              <w:rPr>
                <w:rFonts w:ascii="Calibri" w:hAnsi="Calibri"/>
                <w:color w:val="333333"/>
                <w:sz w:val="18"/>
              </w:rPr>
              <w:t>UNKNOWN</w:t>
            </w:r>
          </w:p>
        </w:tc>
        <w:tc>
          <w:tcPr>
            <w:tcW w:type="dxa" w:w="2016"/>
          </w:tcPr>
          <w:p>
            <w:r>
              <w:rPr>
                <w:rFonts w:ascii="Calibri" w:hAnsi="Calibri"/>
                <w:color w:val="333333"/>
                <w:sz w:val="18"/>
              </w:rPr>
              <w:t>N/A</w:t>
            </w:r>
          </w:p>
        </w:tc>
        <w:tc>
          <w:tcPr>
            <w:tcW w:type="dxa" w:w="2016"/>
          </w:tcPr>
          <w:p>
            <w:r>
              <w:rPr>
                <w:rFonts w:ascii="Calibri" w:hAnsi="Calibri"/>
                <w:color w:val="333333"/>
                <w:sz w:val="18"/>
              </w:rPr>
              <w:t>N/A</w:t>
            </w:r>
          </w:p>
        </w:tc>
      </w:tr>
    </w:tbl>
    <w:p>
      <w:pPr>
        <w:pStyle w:val="DOHeading3"/>
      </w:pPr>
      <w:r>
        <w:t>Regulatory Proceedings</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Agency</w:t>
            </w:r>
          </w:p>
        </w:tc>
        <w:tc>
          <w:tcPr>
            <w:tcW w:type="dxa" w:w="3360"/>
            <w:shd w:fill="1A1446" w:val="clear"/>
          </w:tcPr>
          <w:p>
            <w:r>
              <w:rPr>
                <w:rFonts w:ascii="Calibri" w:hAnsi="Calibri"/>
                <w:b/>
                <w:color w:val="FFFFFF"/>
                <w:sz w:val="18"/>
              </w:rPr>
              <w:t>Type</w:t>
            </w:r>
          </w:p>
        </w:tc>
        <w:tc>
          <w:tcPr>
            <w:tcW w:type="dxa" w:w="3360"/>
            <w:shd w:fill="1A1446" w:val="clear"/>
          </w:tcPr>
          <w:p>
            <w:r>
              <w:rPr>
                <w:rFonts w:ascii="Calibri" w:hAnsi="Calibri"/>
                <w:b/>
                <w:color w:val="FFFFFF"/>
                <w:sz w:val="18"/>
              </w:rPr>
              <w:t>Status</w:t>
            </w:r>
          </w:p>
        </w:tc>
      </w:tr>
      <w:tr>
        <w:tc>
          <w:tcPr>
            <w:tcW w:type="dxa" w:w="3360"/>
          </w:tcPr>
          <w:p>
            <w:r>
              <w:rPr>
                <w:rFonts w:ascii="Calibri" w:hAnsi="Calibri"/>
                <w:color w:val="333333"/>
                <w:sz w:val="18"/>
              </w:rPr>
              <w:t>FTC</w:t>
            </w:r>
          </w:p>
        </w:tc>
        <w:tc>
          <w:tcPr>
            <w:tcW w:type="dxa" w:w="3360"/>
          </w:tcPr>
          <w:p>
            <w:r>
              <w:rPr>
                <w:rFonts w:ascii="Calibri" w:hAnsi="Calibri"/>
                <w:color w:val="333333"/>
                <w:sz w:val="18"/>
              </w:rPr>
              <w:t>enforcement</w:t>
            </w:r>
          </w:p>
        </w:tc>
        <w:tc>
          <w:tcPr>
            <w:tcW w:type="dxa" w:w="3360"/>
          </w:tcPr>
          <w:p>
            <w:r>
              <w:rPr>
                <w:rFonts w:ascii="Calibri" w:hAnsi="Calibri"/>
                <w:color w:val="333333"/>
                <w:sz w:val="18"/>
              </w:rPr>
              <w:t>disclosed</w:t>
            </w:r>
          </w:p>
        </w:tc>
      </w:tr>
    </w:tbl>
    <w:p>
      <w:pPr>
        <w:pStyle w:val="DOHeading3"/>
      </w:pPr>
      <w:r>
        <w:t>Industry Claim Patterns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Legal Theory</w:t>
            </w:r>
          </w:p>
        </w:tc>
        <w:tc>
          <w:tcPr>
            <w:tcW w:type="dxa" w:w="2520"/>
            <w:shd w:fill="1A1446" w:val="clear"/>
          </w:tcPr>
          <w:p>
            <w:r>
              <w:rPr>
                <w:rFonts w:ascii="Calibri" w:hAnsi="Calibri"/>
                <w:b/>
                <w:color w:val="FFFFFF"/>
                <w:sz w:val="18"/>
              </w:rPr>
              <w:t>Exposed</w:t>
            </w:r>
          </w:p>
        </w:tc>
        <w:tc>
          <w:tcPr>
            <w:tcW w:type="dxa" w:w="2520"/>
            <w:shd w:fill="1A1446" w:val="clear"/>
          </w:tcPr>
          <w:p>
            <w:r>
              <w:rPr>
                <w:rFonts w:ascii="Calibri" w:hAnsi="Calibri"/>
                <w:b/>
                <w:color w:val="FFFFFF"/>
                <w:sz w:val="18"/>
              </w:rPr>
              <w:t>Contagion Risk</w:t>
            </w:r>
          </w:p>
        </w:tc>
        <w:tc>
          <w:tcPr>
            <w:tcW w:type="dxa" w:w="2520"/>
            <w:shd w:fill="1A1446" w:val="clear"/>
          </w:tcPr>
          <w:p>
            <w:r>
              <w:rPr>
                <w:rFonts w:ascii="Calibri" w:hAnsi="Calibri"/>
                <w:b/>
                <w:color w:val="FFFFFF"/>
                <w:sz w:val="18"/>
              </w:rPr>
              <w:t>Description</w:t>
            </w:r>
          </w:p>
        </w:tc>
      </w:tr>
      <w:tr>
        <w:tc>
          <w:tcPr>
            <w:tcW w:type="dxa" w:w="2520"/>
          </w:tcPr>
          <w:p>
            <w:r>
              <w:rPr>
                <w:rFonts w:ascii="Calibri" w:hAnsi="Calibri"/>
                <w:color w:val="333333"/>
                <w:sz w:val="18"/>
              </w:rPr>
              <w:t>Revenue Recognition</w:t>
            </w:r>
          </w:p>
        </w:tc>
        <w:tc>
          <w:tcPr>
            <w:tcW w:type="dxa" w:w="2520"/>
          </w:tcPr>
          <w:p>
            <w:r>
              <w:rPr>
                <w:rFonts w:ascii="Calibri" w:hAnsi="Calibri"/>
                <w:color w:val="333333"/>
                <w:sz w:val="18"/>
              </w:rPr>
              <w:t>Yes</w:t>
            </w:r>
          </w:p>
        </w:tc>
        <w:tc>
          <w:tcPr>
            <w:tcW w:type="dxa" w:w="2520"/>
          </w:tcPr>
          <w:p>
            <w:r>
              <w:rPr>
                <w:rFonts w:ascii="Calibri" w:hAnsi="Calibri"/>
                <w:color w:val="333333"/>
                <w:sz w:val="18"/>
              </w:rPr>
              <w:t>Yes</w:t>
            </w:r>
          </w:p>
        </w:tc>
        <w:tc>
          <w:tcPr>
            <w:tcW w:type="dxa" w:w="2520"/>
          </w:tcPr>
          <w:p>
            <w:r>
              <w:rPr>
                <w:rFonts w:ascii="Calibri" w:hAnsi="Calibri"/>
                <w:color w:val="333333"/>
                <w:sz w:val="18"/>
              </w:rPr>
              <w:t>[Electronic &amp; Electrical Equipment] Premature or channel-stu</w:t>
            </w:r>
          </w:p>
        </w:tc>
      </w:tr>
      <w:tr>
        <w:tc>
          <w:tcPr>
            <w:tcW w:type="dxa" w:w="2520"/>
            <w:shd w:fill="F2F4F8" w:val="clear"/>
          </w:tcPr>
          <w:p>
            <w:r>
              <w:rPr>
                <w:rFonts w:ascii="Calibri" w:hAnsi="Calibri"/>
                <w:color w:val="333333"/>
                <w:sz w:val="18"/>
              </w:rPr>
              <w:t>Product Safety</w:t>
            </w:r>
          </w:p>
        </w:tc>
        <w:tc>
          <w:tcPr>
            <w:tcW w:type="dxa" w:w="2520"/>
            <w:shd w:fill="F2F4F8" w:val="clear"/>
          </w:tcPr>
          <w:p>
            <w:r>
              <w:rPr>
                <w:rFonts w:ascii="Calibri" w:hAnsi="Calibri"/>
                <w:color w:val="333333"/>
                <w:sz w:val="18"/>
              </w:rPr>
              <w:t>Yes</w:t>
            </w:r>
          </w:p>
        </w:tc>
        <w:tc>
          <w:tcPr>
            <w:tcW w:type="dxa" w:w="2520"/>
            <w:shd w:fill="F2F4F8" w:val="clear"/>
          </w:tcPr>
          <w:p>
            <w:r>
              <w:rPr>
                <w:rFonts w:ascii="Calibri" w:hAnsi="Calibri"/>
                <w:color w:val="333333"/>
                <w:sz w:val="18"/>
              </w:rPr>
              <w:t>Yes</w:t>
            </w:r>
          </w:p>
        </w:tc>
        <w:tc>
          <w:tcPr>
            <w:tcW w:type="dxa" w:w="2520"/>
            <w:shd w:fill="F2F4F8" w:val="clear"/>
          </w:tcPr>
          <w:p>
            <w:r>
              <w:rPr>
                <w:rFonts w:ascii="Calibri" w:hAnsi="Calibri"/>
                <w:color w:val="333333"/>
                <w:sz w:val="18"/>
              </w:rPr>
              <w:t xml:space="preserve">[Electronic &amp; Electrical Equipment] Product safety failures </w:t>
            </w:r>
          </w:p>
        </w:tc>
      </w:tr>
      <w:tr>
        <w:tc>
          <w:tcPr>
            <w:tcW w:type="dxa" w:w="2520"/>
          </w:tcPr>
          <w:p>
            <w:r>
              <w:rPr>
                <w:rFonts w:ascii="Calibri" w:hAnsi="Calibri"/>
                <w:color w:val="333333"/>
                <w:sz w:val="18"/>
              </w:rPr>
              <w:t>Ip Infringement</w:t>
            </w:r>
          </w:p>
        </w:tc>
        <w:tc>
          <w:tcPr>
            <w:tcW w:type="dxa" w:w="2520"/>
          </w:tcPr>
          <w:p>
            <w:r>
              <w:rPr>
                <w:rFonts w:ascii="Calibri" w:hAnsi="Calibri"/>
                <w:color w:val="333333"/>
                <w:sz w:val="18"/>
              </w:rPr>
              <w:t>Yes</w:t>
            </w:r>
          </w:p>
        </w:tc>
        <w:tc>
          <w:tcPr>
            <w:tcW w:type="dxa" w:w="2520"/>
          </w:tcPr>
          <w:p>
            <w:r>
              <w:rPr>
                <w:rFonts w:ascii="Calibri" w:hAnsi="Calibri"/>
                <w:color w:val="333333"/>
                <w:sz w:val="18"/>
              </w:rPr>
              <w:t>Yes</w:t>
            </w:r>
          </w:p>
        </w:tc>
        <w:tc>
          <w:tcPr>
            <w:tcW w:type="dxa" w:w="2520"/>
          </w:tcPr>
          <w:p>
            <w:r>
              <w:rPr>
                <w:rFonts w:ascii="Calibri" w:hAnsi="Calibri"/>
                <w:color w:val="333333"/>
                <w:sz w:val="18"/>
              </w:rPr>
              <w:t>[Electronic &amp; Electrical Equipment] Patent infringement or I</w:t>
            </w:r>
          </w:p>
        </w:tc>
      </w:tr>
      <w:tr>
        <w:tc>
          <w:tcPr>
            <w:tcW w:type="dxa" w:w="2520"/>
            <w:shd w:fill="F2F4F8" w:val="clear"/>
          </w:tcPr>
          <w:p>
            <w:r>
              <w:rPr>
                <w:rFonts w:ascii="Calibri" w:hAnsi="Calibri"/>
                <w:color w:val="333333"/>
                <w:sz w:val="18"/>
              </w:rPr>
              <w:t>Export Control Violations</w:t>
            </w:r>
          </w:p>
        </w:tc>
        <w:tc>
          <w:tcPr>
            <w:tcW w:type="dxa" w:w="2520"/>
            <w:shd w:fill="F2F4F8" w:val="clear"/>
          </w:tcPr>
          <w:p>
            <w:r>
              <w:rPr>
                <w:rFonts w:ascii="Calibri" w:hAnsi="Calibri"/>
                <w:color w:val="333333"/>
                <w:sz w:val="18"/>
              </w:rPr>
              <w:t>Yes</w:t>
            </w:r>
          </w:p>
        </w:tc>
        <w:tc>
          <w:tcPr>
            <w:tcW w:type="dxa" w:w="2520"/>
            <w:shd w:fill="F2F4F8" w:val="clear"/>
          </w:tcPr>
          <w:p>
            <w:r>
              <w:rPr>
                <w:rFonts w:ascii="Calibri" w:hAnsi="Calibri"/>
                <w:color w:val="333333"/>
                <w:sz w:val="18"/>
              </w:rPr>
              <w:t>Yes</w:t>
            </w:r>
          </w:p>
        </w:tc>
        <w:tc>
          <w:tcPr>
            <w:tcW w:type="dxa" w:w="2520"/>
            <w:shd w:fill="F2F4F8" w:val="clear"/>
          </w:tcPr>
          <w:p>
            <w:r>
              <w:rPr>
                <w:rFonts w:ascii="Calibri" w:hAnsi="Calibri"/>
                <w:color w:val="333333"/>
                <w:sz w:val="18"/>
              </w:rPr>
              <w:t>[Electronic &amp; Electrical Equipment] Violations of export con</w:t>
            </w:r>
          </w:p>
        </w:tc>
      </w:tr>
    </w:tbl>
    <w:p>
      <w:pPr>
        <w:pStyle w:val="DOBody"/>
      </w:pPr>
      <w:r>
        <w:rPr>
          <w:i/>
          <w:sz w:val="16"/>
        </w:rPr>
        <w:t>D&amp;O Context: Company exposed to 4 industry claim pattern(s). Peer lawsuits create contagion risk -- plaintiff firms often file similar claims across the industry.</w:t>
      </w:r>
      <w:r>
        <w:rPr>
          <w:b/>
          <w:color w:val="EAB308"/>
          <w:sz w:val="18"/>
        </w:rPr>
        <w:t xml:space="preserve"> [ELEVATED]</w:t>
      </w:r>
    </w:p>
    <w:p>
      <w:pPr>
        <w:pStyle w:val="DOHeading3"/>
      </w:pPr>
      <w:r>
        <w:t>Statute of Limitations Map</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Claim Type</w:t>
            </w:r>
          </w:p>
        </w:tc>
        <w:tc>
          <w:tcPr>
            <w:tcW w:type="dxa" w:w="2016"/>
            <w:shd w:fill="1A1446" w:val="clear"/>
          </w:tcPr>
          <w:p>
            <w:r>
              <w:rPr>
                <w:rFonts w:ascii="Calibri" w:hAnsi="Calibri"/>
                <w:b/>
                <w:color w:val="FFFFFF"/>
                <w:sz w:val="18"/>
              </w:rPr>
              <w:t>Trigger Date</w:t>
            </w:r>
          </w:p>
        </w:tc>
        <w:tc>
          <w:tcPr>
            <w:tcW w:type="dxa" w:w="2016"/>
            <w:shd w:fill="1A1446" w:val="clear"/>
          </w:tcPr>
          <w:p>
            <w:r>
              <w:rPr>
                <w:rFonts w:ascii="Calibri" w:hAnsi="Calibri"/>
                <w:b/>
                <w:color w:val="FFFFFF"/>
                <w:sz w:val="18"/>
              </w:rPr>
              <w:t>SOL Expiry</w:t>
            </w:r>
          </w:p>
        </w:tc>
        <w:tc>
          <w:tcPr>
            <w:tcW w:type="dxa" w:w="2016"/>
            <w:shd w:fill="1A1446" w:val="clear"/>
          </w:tcPr>
          <w:p>
            <w:r>
              <w:rPr>
                <w:rFonts w:ascii="Calibri" w:hAnsi="Calibri"/>
                <w:b/>
                <w:color w:val="FFFFFF"/>
                <w:sz w:val="18"/>
              </w:rPr>
              <w:t>Repose Expiry</w:t>
            </w:r>
          </w:p>
        </w:tc>
        <w:tc>
          <w:tcPr>
            <w:tcW w:type="dxa" w:w="2016"/>
            <w:shd w:fill="1A1446" w:val="clear"/>
          </w:tcPr>
          <w:p>
            <w:r>
              <w:rPr>
                <w:rFonts w:ascii="Calibri" w:hAnsi="Calibri"/>
                <w:b/>
                <w:color w:val="FFFFFF"/>
                <w:sz w:val="18"/>
              </w:rPr>
              <w:t>Window Open</w:t>
            </w:r>
          </w:p>
        </w:tc>
      </w:tr>
      <w:tr>
        <w:tc>
          <w:tcPr>
            <w:tcW w:type="dxa" w:w="2016"/>
          </w:tcPr>
          <w:p>
            <w:r>
              <w:rPr>
                <w:rFonts w:ascii="Calibri" w:hAnsi="Calibri"/>
                <w:color w:val="333333"/>
                <w:sz w:val="18"/>
              </w:rPr>
              <w:t>employment_discrimination</w:t>
            </w:r>
          </w:p>
        </w:tc>
        <w:tc>
          <w:tcPr>
            <w:tcW w:type="dxa" w:w="2016"/>
          </w:tcPr>
          <w:p>
            <w:r>
              <w:rPr>
                <w:rFonts w:ascii="Calibri" w:hAnsi="Calibri"/>
                <w:color w:val="333333"/>
                <w:sz w:val="18"/>
              </w:rPr>
              <w:t>2026-02-25</w:t>
            </w:r>
          </w:p>
        </w:tc>
        <w:tc>
          <w:tcPr>
            <w:tcW w:type="dxa" w:w="2016"/>
          </w:tcPr>
          <w:p>
            <w:r>
              <w:rPr>
                <w:rFonts w:ascii="Calibri" w:hAnsi="Calibri"/>
                <w:color w:val="333333"/>
                <w:sz w:val="18"/>
              </w:rPr>
              <w:t>2028-02-25</w:t>
            </w:r>
          </w:p>
        </w:tc>
        <w:tc>
          <w:tcPr>
            <w:tcW w:type="dxa" w:w="2016"/>
          </w:tcPr>
          <w:p>
            <w:r>
              <w:rPr>
                <w:rFonts w:ascii="Calibri" w:hAnsi="Calibri"/>
                <w:color w:val="333333"/>
                <w:sz w:val="18"/>
              </w:rPr>
              <w:t>2028-02-25</w:t>
            </w:r>
          </w:p>
        </w:tc>
        <w:tc>
          <w:tcPr>
            <w:tcW w:type="dxa" w:w="2016"/>
          </w:tcPr>
          <w:p>
            <w:r>
              <w:rPr>
                <w:rFonts w:ascii="Calibri" w:hAnsi="Calibri"/>
                <w:color w:val="333333"/>
                <w:sz w:val="18"/>
              </w:rPr>
              <w:t>OPEN</w:t>
            </w:r>
          </w:p>
        </w:tc>
      </w:tr>
      <w:tr>
        <w:tc>
          <w:tcPr>
            <w:tcW w:type="dxa" w:w="2016"/>
            <w:shd w:fill="F2F4F8" w:val="clear"/>
          </w:tcPr>
          <w:p>
            <w:r>
              <w:rPr>
                <w:rFonts w:ascii="Calibri" w:hAnsi="Calibri"/>
                <w:color w:val="333333"/>
                <w:sz w:val="18"/>
              </w:rPr>
              <w:t>antitrust</w:t>
            </w:r>
          </w:p>
        </w:tc>
        <w:tc>
          <w:tcPr>
            <w:tcW w:type="dxa" w:w="2016"/>
            <w:shd w:fill="F2F4F8" w:val="clear"/>
          </w:tcPr>
          <w:p>
            <w:r>
              <w:rPr>
                <w:rFonts w:ascii="Calibri" w:hAnsi="Calibri"/>
                <w:color w:val="333333"/>
                <w:sz w:val="18"/>
              </w:rPr>
              <w:t>2026-02-25</w:t>
            </w:r>
          </w:p>
        </w:tc>
        <w:tc>
          <w:tcPr>
            <w:tcW w:type="dxa" w:w="2016"/>
            <w:shd w:fill="F2F4F8" w:val="clear"/>
          </w:tcPr>
          <w:p>
            <w:r>
              <w:rPr>
                <w:rFonts w:ascii="Calibri" w:hAnsi="Calibri"/>
                <w:color w:val="333333"/>
                <w:sz w:val="18"/>
              </w:rPr>
              <w:t>2030-02-24</w:t>
            </w:r>
          </w:p>
        </w:tc>
        <w:tc>
          <w:tcPr>
            <w:tcW w:type="dxa" w:w="2016"/>
            <w:shd w:fill="F2F4F8" w:val="clear"/>
          </w:tcPr>
          <w:p>
            <w:r>
              <w:rPr>
                <w:rFonts w:ascii="Calibri" w:hAnsi="Calibri"/>
                <w:color w:val="333333"/>
                <w:sz w:val="18"/>
              </w:rPr>
              <w:t>2030-02-24</w:t>
            </w:r>
          </w:p>
        </w:tc>
        <w:tc>
          <w:tcPr>
            <w:tcW w:type="dxa" w:w="2016"/>
            <w:shd w:fill="F2F4F8" w:val="clear"/>
          </w:tcPr>
          <w:p>
            <w:r>
              <w:rPr>
                <w:rFonts w:ascii="Calibri" w:hAnsi="Calibri"/>
                <w:color w:val="333333"/>
                <w:sz w:val="18"/>
              </w:rPr>
              <w:t>OPEN</w:t>
            </w:r>
          </w:p>
        </w:tc>
      </w:tr>
      <w:tr>
        <w:tc>
          <w:tcPr>
            <w:tcW w:type="dxa" w:w="2016"/>
          </w:tcPr>
          <w:p>
            <w:r>
              <w:rPr>
                <w:rFonts w:ascii="Calibri" w:hAnsi="Calibri"/>
                <w:color w:val="333333"/>
                <w:sz w:val="18"/>
              </w:rPr>
              <w:t>FCPA</w:t>
            </w:r>
          </w:p>
        </w:tc>
        <w:tc>
          <w:tcPr>
            <w:tcW w:type="dxa" w:w="2016"/>
          </w:tcPr>
          <w:p>
            <w:r>
              <w:rPr>
                <w:rFonts w:ascii="Calibri" w:hAnsi="Calibri"/>
                <w:color w:val="333333"/>
                <w:sz w:val="18"/>
              </w:rPr>
              <w:t>2026-02-25</w:t>
            </w:r>
          </w:p>
        </w:tc>
        <w:tc>
          <w:tcPr>
            <w:tcW w:type="dxa" w:w="2016"/>
          </w:tcPr>
          <w:p>
            <w:r>
              <w:rPr>
                <w:rFonts w:ascii="Calibri" w:hAnsi="Calibri"/>
                <w:color w:val="333333"/>
                <w:sz w:val="18"/>
              </w:rPr>
              <w:t>2031-02-24</w:t>
            </w:r>
          </w:p>
        </w:tc>
        <w:tc>
          <w:tcPr>
            <w:tcW w:type="dxa" w:w="2016"/>
          </w:tcPr>
          <w:p>
            <w:r>
              <w:rPr>
                <w:rFonts w:ascii="Calibri" w:hAnsi="Calibri"/>
                <w:color w:val="333333"/>
                <w:sz w:val="18"/>
              </w:rPr>
              <w:t>2031-02-24</w:t>
            </w:r>
          </w:p>
        </w:tc>
        <w:tc>
          <w:tcPr>
            <w:tcW w:type="dxa" w:w="2016"/>
          </w:tcPr>
          <w:p>
            <w:r>
              <w:rPr>
                <w:rFonts w:ascii="Calibri" w:hAnsi="Calibri"/>
                <w:color w:val="333333"/>
                <w:sz w:val="18"/>
              </w:rPr>
              <w:t>OPEN</w:t>
            </w:r>
          </w:p>
        </w:tc>
      </w:tr>
      <w:tr>
        <w:tc>
          <w:tcPr>
            <w:tcW w:type="dxa" w:w="2016"/>
            <w:shd w:fill="F2F4F8" w:val="clear"/>
          </w:tcPr>
          <w:p>
            <w:r>
              <w:rPr>
                <w:rFonts w:ascii="Calibri" w:hAnsi="Calibri"/>
                <w:color w:val="333333"/>
                <w:sz w:val="18"/>
              </w:rPr>
              <w:t>environmental</w:t>
            </w:r>
          </w:p>
        </w:tc>
        <w:tc>
          <w:tcPr>
            <w:tcW w:type="dxa" w:w="2016"/>
            <w:shd w:fill="F2F4F8" w:val="clear"/>
          </w:tcPr>
          <w:p>
            <w:r>
              <w:rPr>
                <w:rFonts w:ascii="Calibri" w:hAnsi="Calibri"/>
                <w:color w:val="333333"/>
                <w:sz w:val="18"/>
              </w:rPr>
              <w:t>2026-02-25</w:t>
            </w:r>
          </w:p>
        </w:tc>
        <w:tc>
          <w:tcPr>
            <w:tcW w:type="dxa" w:w="2016"/>
            <w:shd w:fill="F2F4F8" w:val="clear"/>
          </w:tcPr>
          <w:p>
            <w:r>
              <w:rPr>
                <w:rFonts w:ascii="Calibri" w:hAnsi="Calibri"/>
                <w:color w:val="333333"/>
                <w:sz w:val="18"/>
              </w:rPr>
              <w:t>2031-02-24</w:t>
            </w:r>
          </w:p>
        </w:tc>
        <w:tc>
          <w:tcPr>
            <w:tcW w:type="dxa" w:w="2016"/>
            <w:shd w:fill="F2F4F8" w:val="clear"/>
          </w:tcPr>
          <w:p>
            <w:r>
              <w:rPr>
                <w:rFonts w:ascii="Calibri" w:hAnsi="Calibri"/>
                <w:color w:val="333333"/>
                <w:sz w:val="18"/>
              </w:rPr>
              <w:t>2031-02-24</w:t>
            </w:r>
          </w:p>
        </w:tc>
        <w:tc>
          <w:tcPr>
            <w:tcW w:type="dxa" w:w="2016"/>
            <w:shd w:fill="F2F4F8" w:val="clear"/>
          </w:tcPr>
          <w:p>
            <w:r>
              <w:rPr>
                <w:rFonts w:ascii="Calibri" w:hAnsi="Calibri"/>
                <w:color w:val="333333"/>
                <w:sz w:val="18"/>
              </w:rPr>
              <w:t>OPEN</w:t>
            </w:r>
          </w:p>
        </w:tc>
      </w:tr>
      <w:tr>
        <w:tc>
          <w:tcPr>
            <w:tcW w:type="dxa" w:w="2016"/>
          </w:tcPr>
          <w:p>
            <w:r>
              <w:rPr>
                <w:rFonts w:ascii="Calibri" w:hAnsi="Calibri"/>
                <w:color w:val="333333"/>
                <w:sz w:val="18"/>
              </w:rPr>
              <w:t>derivative</w:t>
            </w:r>
          </w:p>
        </w:tc>
        <w:tc>
          <w:tcPr>
            <w:tcW w:type="dxa" w:w="2016"/>
          </w:tcPr>
          <w:p>
            <w:r>
              <w:rPr>
                <w:rFonts w:ascii="Calibri" w:hAnsi="Calibri"/>
                <w:color w:val="333333"/>
                <w:sz w:val="18"/>
              </w:rPr>
              <w:t>2026-02-25</w:t>
            </w:r>
          </w:p>
        </w:tc>
        <w:tc>
          <w:tcPr>
            <w:tcW w:type="dxa" w:w="2016"/>
          </w:tcPr>
          <w:p>
            <w:r>
              <w:rPr>
                <w:rFonts w:ascii="Calibri" w:hAnsi="Calibri"/>
                <w:color w:val="333333"/>
                <w:sz w:val="18"/>
              </w:rPr>
              <w:t>2029-02-24</w:t>
            </w:r>
          </w:p>
        </w:tc>
        <w:tc>
          <w:tcPr>
            <w:tcW w:type="dxa" w:w="2016"/>
          </w:tcPr>
          <w:p>
            <w:r>
              <w:rPr>
                <w:rFonts w:ascii="Calibri" w:hAnsi="Calibri"/>
                <w:color w:val="333333"/>
                <w:sz w:val="18"/>
              </w:rPr>
              <w:t>2032-02-24</w:t>
            </w:r>
          </w:p>
        </w:tc>
        <w:tc>
          <w:tcPr>
            <w:tcW w:type="dxa" w:w="2016"/>
          </w:tcPr>
          <w:p>
            <w:r>
              <w:rPr>
                <w:rFonts w:ascii="Calibri" w:hAnsi="Calibri"/>
                <w:color w:val="333333"/>
                <w:sz w:val="18"/>
              </w:rPr>
              <w:t>OPEN</w:t>
            </w:r>
          </w:p>
        </w:tc>
      </w:tr>
      <w:tr>
        <w:tc>
          <w:tcPr>
            <w:tcW w:type="dxa" w:w="2016"/>
            <w:shd w:fill="F2F4F8" w:val="clear"/>
          </w:tcPr>
          <w:p>
            <w:r>
              <w:rPr>
                <w:rFonts w:ascii="Calibri" w:hAnsi="Calibri"/>
                <w:color w:val="333333"/>
                <w:sz w:val="18"/>
              </w:rPr>
              <w:t>ERISA</w:t>
            </w:r>
          </w:p>
        </w:tc>
        <w:tc>
          <w:tcPr>
            <w:tcW w:type="dxa" w:w="2016"/>
            <w:shd w:fill="F2F4F8" w:val="clear"/>
          </w:tcPr>
          <w:p>
            <w:r>
              <w:rPr>
                <w:rFonts w:ascii="Calibri" w:hAnsi="Calibri"/>
                <w:color w:val="333333"/>
                <w:sz w:val="18"/>
              </w:rPr>
              <w:t>2026-02-25</w:t>
            </w:r>
          </w:p>
        </w:tc>
        <w:tc>
          <w:tcPr>
            <w:tcW w:type="dxa" w:w="2016"/>
            <w:shd w:fill="F2F4F8" w:val="clear"/>
          </w:tcPr>
          <w:p>
            <w:r>
              <w:rPr>
                <w:rFonts w:ascii="Calibri" w:hAnsi="Calibri"/>
                <w:color w:val="333333"/>
                <w:sz w:val="18"/>
              </w:rPr>
              <w:t>2029-02-24</w:t>
            </w:r>
          </w:p>
        </w:tc>
        <w:tc>
          <w:tcPr>
            <w:tcW w:type="dxa" w:w="2016"/>
            <w:shd w:fill="F2F4F8" w:val="clear"/>
          </w:tcPr>
          <w:p>
            <w:r>
              <w:rPr>
                <w:rFonts w:ascii="Calibri" w:hAnsi="Calibri"/>
                <w:color w:val="333333"/>
                <w:sz w:val="18"/>
              </w:rPr>
              <w:t>2032-02-24</w:t>
            </w:r>
          </w:p>
        </w:tc>
        <w:tc>
          <w:tcPr>
            <w:tcW w:type="dxa" w:w="2016"/>
            <w:shd w:fill="F2F4F8" w:val="clear"/>
          </w:tcPr>
          <w:p>
            <w:r>
              <w:rPr>
                <w:rFonts w:ascii="Calibri" w:hAnsi="Calibri"/>
                <w:color w:val="333333"/>
                <w:sz w:val="18"/>
              </w:rPr>
              <w:t>OPEN</w:t>
            </w:r>
          </w:p>
        </w:tc>
      </w:tr>
      <w:tr>
        <w:tc>
          <w:tcPr>
            <w:tcW w:type="dxa" w:w="2016"/>
          </w:tcPr>
          <w:p>
            <w:r>
              <w:rPr>
                <w:rFonts w:ascii="Calibri" w:hAnsi="Calibri"/>
                <w:color w:val="333333"/>
                <w:sz w:val="18"/>
              </w:rPr>
              <w:t>Section_11</w:t>
            </w:r>
          </w:p>
        </w:tc>
        <w:tc>
          <w:tcPr>
            <w:tcW w:type="dxa" w:w="2016"/>
          </w:tcPr>
          <w:p>
            <w:r>
              <w:rPr>
                <w:rFonts w:ascii="Calibri" w:hAnsi="Calibri"/>
                <w:color w:val="333333"/>
                <w:sz w:val="18"/>
              </w:rPr>
              <w:t>2002-02-19</w:t>
            </w:r>
          </w:p>
        </w:tc>
        <w:tc>
          <w:tcPr>
            <w:tcW w:type="dxa" w:w="2016"/>
          </w:tcPr>
          <w:p>
            <w:r>
              <w:rPr>
                <w:rFonts w:ascii="Calibri" w:hAnsi="Calibri"/>
                <w:color w:val="333333"/>
                <w:sz w:val="18"/>
              </w:rPr>
              <w:t>2003-02-19</w:t>
            </w:r>
          </w:p>
        </w:tc>
        <w:tc>
          <w:tcPr>
            <w:tcW w:type="dxa" w:w="2016"/>
          </w:tcPr>
          <w:p>
            <w:r>
              <w:rPr>
                <w:rFonts w:ascii="Calibri" w:hAnsi="Calibri"/>
                <w:color w:val="333333"/>
                <w:sz w:val="18"/>
              </w:rPr>
              <w:t>2005-02-18</w:t>
            </w:r>
          </w:p>
        </w:tc>
        <w:tc>
          <w:tcPr>
            <w:tcW w:type="dxa" w:w="2016"/>
          </w:tcPr>
          <w:p>
            <w:r>
              <w:rPr>
                <w:rFonts w:ascii="Calibri" w:hAnsi="Calibri"/>
                <w:color w:val="333333"/>
                <w:sz w:val="18"/>
              </w:rPr>
              <w:t>CLOSED</w:t>
            </w:r>
          </w:p>
        </w:tc>
      </w:tr>
      <w:tr>
        <w:tc>
          <w:tcPr>
            <w:tcW w:type="dxa" w:w="2016"/>
            <w:shd w:fill="F2F4F8" w:val="clear"/>
          </w:tcPr>
          <w:p>
            <w:r>
              <w:rPr>
                <w:rFonts w:ascii="Calibri" w:hAnsi="Calibri"/>
                <w:color w:val="333333"/>
                <w:sz w:val="18"/>
              </w:rPr>
              <w:t>Section_14a</w:t>
            </w:r>
          </w:p>
        </w:tc>
        <w:tc>
          <w:tcPr>
            <w:tcW w:type="dxa" w:w="2016"/>
            <w:shd w:fill="F2F4F8" w:val="clear"/>
          </w:tcPr>
          <w:p>
            <w:r>
              <w:rPr>
                <w:rFonts w:ascii="Calibri" w:hAnsi="Calibri"/>
                <w:color w:val="333333"/>
                <w:sz w:val="18"/>
              </w:rPr>
              <w:t>2002-02-19</w:t>
            </w:r>
          </w:p>
        </w:tc>
        <w:tc>
          <w:tcPr>
            <w:tcW w:type="dxa" w:w="2016"/>
            <w:shd w:fill="F2F4F8" w:val="clear"/>
          </w:tcPr>
          <w:p>
            <w:r>
              <w:rPr>
                <w:rFonts w:ascii="Calibri" w:hAnsi="Calibri"/>
                <w:color w:val="333333"/>
                <w:sz w:val="18"/>
              </w:rPr>
              <w:t>2003-02-19</w:t>
            </w:r>
          </w:p>
        </w:tc>
        <w:tc>
          <w:tcPr>
            <w:tcW w:type="dxa" w:w="2016"/>
            <w:shd w:fill="F2F4F8" w:val="clear"/>
          </w:tcPr>
          <w:p>
            <w:r>
              <w:rPr>
                <w:rFonts w:ascii="Calibri" w:hAnsi="Calibri"/>
                <w:color w:val="333333"/>
                <w:sz w:val="18"/>
              </w:rPr>
              <w:t>2005-02-18</w:t>
            </w:r>
          </w:p>
        </w:tc>
        <w:tc>
          <w:tcPr>
            <w:tcW w:type="dxa" w:w="2016"/>
            <w:shd w:fill="F2F4F8" w:val="clear"/>
          </w:tcPr>
          <w:p>
            <w:r>
              <w:rPr>
                <w:rFonts w:ascii="Calibri" w:hAnsi="Calibri"/>
                <w:color w:val="333333"/>
                <w:sz w:val="18"/>
              </w:rPr>
              <w:t>CLOSED</w:t>
            </w:r>
          </w:p>
        </w:tc>
      </w:tr>
      <w:tr>
        <w:tc>
          <w:tcPr>
            <w:tcW w:type="dxa" w:w="2016"/>
          </w:tcPr>
          <w:p>
            <w:r>
              <w:rPr>
                <w:rFonts w:ascii="Calibri" w:hAnsi="Calibri"/>
                <w:color w:val="333333"/>
                <w:sz w:val="18"/>
              </w:rPr>
              <w:t>10b-5</w:t>
            </w:r>
          </w:p>
        </w:tc>
        <w:tc>
          <w:tcPr>
            <w:tcW w:type="dxa" w:w="2016"/>
          </w:tcPr>
          <w:p>
            <w:r>
              <w:rPr>
                <w:rFonts w:ascii="Calibri" w:hAnsi="Calibri"/>
                <w:color w:val="333333"/>
                <w:sz w:val="18"/>
              </w:rPr>
              <w:t>2002-02-19</w:t>
            </w:r>
          </w:p>
        </w:tc>
        <w:tc>
          <w:tcPr>
            <w:tcW w:type="dxa" w:w="2016"/>
          </w:tcPr>
          <w:p>
            <w:r>
              <w:rPr>
                <w:rFonts w:ascii="Calibri" w:hAnsi="Calibri"/>
                <w:color w:val="333333"/>
                <w:sz w:val="18"/>
              </w:rPr>
              <w:t>2004-02-19</w:t>
            </w:r>
          </w:p>
        </w:tc>
        <w:tc>
          <w:tcPr>
            <w:tcW w:type="dxa" w:w="2016"/>
          </w:tcPr>
          <w:p>
            <w:r>
              <w:rPr>
                <w:rFonts w:ascii="Calibri" w:hAnsi="Calibri"/>
                <w:color w:val="333333"/>
                <w:sz w:val="18"/>
              </w:rPr>
              <w:t>2007-02-18</w:t>
            </w:r>
          </w:p>
        </w:tc>
        <w:tc>
          <w:tcPr>
            <w:tcW w:type="dxa" w:w="2016"/>
          </w:tcPr>
          <w:p>
            <w:r>
              <w:rPr>
                <w:rFonts w:ascii="Calibri" w:hAnsi="Calibri"/>
                <w:color w:val="333333"/>
                <w:sz w:val="18"/>
              </w:rPr>
              <w:t>CLOSED</w:t>
            </w:r>
          </w:p>
        </w:tc>
      </w:tr>
    </w:tbl>
    <w:p>
      <w:pPr>
        <w:pStyle w:val="DOBody"/>
      </w:pPr>
      <w:r>
        <w:rPr>
          <w:i/>
          <w:sz w:val="16"/>
        </w:rPr>
        <w:t>D&amp;O Context: 6 open exposure window(s). Claims can still be filed within these periods.</w:t>
      </w:r>
      <w:r>
        <w:rPr>
          <w:b/>
          <w:color w:val="EAB308"/>
          <w:sz w:val="18"/>
        </w:rPr>
        <w:t xml:space="preserve"> [ELEVATED]</w:t>
      </w:r>
    </w:p>
    <w:p>
      <w:pPr>
        <w:pStyle w:val="DOHeading3"/>
      </w:pPr>
      <w:r>
        <w:t>Defense Strength Assessment</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Factor</w:t>
            </w:r>
          </w:p>
        </w:tc>
        <w:tc>
          <w:tcPr>
            <w:tcW w:type="dxa" w:w="5040"/>
            <w:shd w:fill="1A1446" w:val="clear"/>
          </w:tcPr>
          <w:p>
            <w:r>
              <w:rPr>
                <w:rFonts w:ascii="Calibri" w:hAnsi="Calibri"/>
                <w:b/>
                <w:color w:val="FFFFFF"/>
                <w:sz w:val="18"/>
              </w:rPr>
              <w:t>Assessment</w:t>
            </w:r>
          </w:p>
        </w:tc>
      </w:tr>
      <w:tr>
        <w:tc>
          <w:tcPr>
            <w:tcW w:type="dxa" w:w="5040"/>
          </w:tcPr>
          <w:p>
            <w:r>
              <w:rPr>
                <w:rFonts w:ascii="Calibri" w:hAnsi="Calibri"/>
                <w:color w:val="333333"/>
                <w:sz w:val="18"/>
              </w:rPr>
              <w:t>Federal Forum Provision</w:t>
            </w:r>
          </w:p>
        </w:tc>
        <w:tc>
          <w:tcPr>
            <w:tcW w:type="dxa" w:w="5040"/>
          </w:tcPr>
          <w:p>
            <w:r>
              <w:rPr>
                <w:rFonts w:ascii="Calibri" w:hAnsi="Calibri"/>
                <w:color w:val="333333"/>
                <w:sz w:val="18"/>
              </w:rPr>
              <w:t>No</w:t>
            </w:r>
          </w:p>
        </w:tc>
      </w:tr>
      <w:tr>
        <w:tc>
          <w:tcPr>
            <w:tcW w:type="dxa" w:w="5040"/>
            <w:shd w:fill="F2F4F8" w:val="clear"/>
          </w:tcPr>
          <w:p>
            <w:r>
              <w:rPr>
                <w:rFonts w:ascii="Calibri" w:hAnsi="Calibri"/>
                <w:color w:val="333333"/>
                <w:sz w:val="18"/>
              </w:rPr>
              <w:t>Exclusive Forum Provision</w:t>
            </w:r>
          </w:p>
        </w:tc>
        <w:tc>
          <w:tcPr>
            <w:tcW w:type="dxa" w:w="5040"/>
            <w:shd w:fill="F2F4F8" w:val="clear"/>
          </w:tcPr>
          <w:p>
            <w:r>
              <w:rPr>
                <w:rFonts w:ascii="Calibri" w:hAnsi="Calibri"/>
                <w:color w:val="333333"/>
                <w:sz w:val="18"/>
              </w:rPr>
              <w:t>No</w:t>
            </w:r>
          </w:p>
        </w:tc>
      </w:tr>
      <w:tr>
        <w:tc>
          <w:tcPr>
            <w:tcW w:type="dxa" w:w="5040"/>
          </w:tcPr>
          <w:p>
            <w:r>
              <w:rPr>
                <w:rFonts w:ascii="Calibri" w:hAnsi="Calibri"/>
                <w:color w:val="333333"/>
                <w:sz w:val="18"/>
              </w:rPr>
              <w:t>PSLRA Safe Harbor</w:t>
            </w:r>
          </w:p>
        </w:tc>
        <w:tc>
          <w:tcPr>
            <w:tcW w:type="dxa" w:w="5040"/>
          </w:tcPr>
          <w:p>
            <w:r>
              <w:rPr>
                <w:rFonts w:ascii="Calibri" w:hAnsi="Calibri"/>
                <w:color w:val="333333"/>
                <w:sz w:val="18"/>
              </w:rPr>
              <w:t>MODERATE</w:t>
            </w:r>
          </w:p>
        </w:tc>
      </w:tr>
      <w:tr>
        <w:tc>
          <w:tcPr>
            <w:tcW w:type="dxa" w:w="5040"/>
            <w:shd w:fill="F2F4F8" w:val="clear"/>
          </w:tcPr>
          <w:p>
            <w:r>
              <w:rPr>
                <w:rFonts w:ascii="Calibri" w:hAnsi="Calibri"/>
                <w:color w:val="333333"/>
                <w:sz w:val="18"/>
              </w:rPr>
              <w:t>Truth-on-Market Viability</w:t>
            </w:r>
          </w:p>
        </w:tc>
        <w:tc>
          <w:tcPr>
            <w:tcW w:type="dxa" w:w="5040"/>
            <w:shd w:fill="F2F4F8" w:val="clear"/>
          </w:tcPr>
          <w:p>
            <w:r>
              <w:rPr>
                <w:rFonts w:ascii="Calibri" w:hAnsi="Calibri"/>
                <w:color w:val="333333"/>
                <w:sz w:val="18"/>
              </w:rPr>
              <w:t>NOT_APPLICABLE</w:t>
            </w:r>
          </w:p>
        </w:tc>
      </w:tr>
      <w:tr>
        <w:tc>
          <w:tcPr>
            <w:tcW w:type="dxa" w:w="5040"/>
          </w:tcPr>
          <w:p>
            <w:r>
              <w:rPr>
                <w:rFonts w:ascii="Calibri" w:hAnsi="Calibri"/>
                <w:color w:val="333333"/>
                <w:sz w:val="18"/>
              </w:rPr>
              <w:t>Prior Dismissal Success</w:t>
            </w:r>
          </w:p>
        </w:tc>
        <w:tc>
          <w:tcPr>
            <w:tcW w:type="dxa" w:w="5040"/>
          </w:tcPr>
          <w:p>
            <w:r>
              <w:rPr>
                <w:rFonts w:ascii="Calibri" w:hAnsi="Calibri"/>
                <w:color w:val="333333"/>
                <w:sz w:val="18"/>
              </w:rPr>
              <w:t>No prior dismissals identified in Item 3</w:t>
            </w:r>
          </w:p>
        </w:tc>
      </w:tr>
      <w:tr>
        <w:tc>
          <w:tcPr>
            <w:tcW w:type="dxa" w:w="5040"/>
            <w:shd w:fill="F2F4F8" w:val="clear"/>
          </w:tcPr>
          <w:p>
            <w:r>
              <w:rPr>
                <w:rFonts w:ascii="Calibri" w:hAnsi="Calibri"/>
                <w:color w:val="333333"/>
                <w:sz w:val="18"/>
              </w:rPr>
              <w:t>Overall Defense Strength</w:t>
            </w:r>
          </w:p>
        </w:tc>
        <w:tc>
          <w:tcPr>
            <w:tcW w:type="dxa" w:w="5040"/>
            <w:shd w:fill="F2F4F8" w:val="clear"/>
          </w:tcPr>
          <w:p>
            <w:r>
              <w:rPr>
                <w:rFonts w:ascii="Calibri" w:hAnsi="Calibri"/>
                <w:color w:val="333333"/>
                <w:sz w:val="18"/>
              </w:rPr>
              <w:t>MODERATE</w:t>
            </w:r>
          </w:p>
        </w:tc>
      </w:tr>
    </w:tbl>
    <w:p>
      <w:pPr>
        <w:pStyle w:val="DOBody"/>
      </w:pPr>
      <w:r>
        <w:rPr>
          <w:rFonts w:ascii="Calibri" w:hAnsi="Calibri"/>
          <w:color w:val="333333"/>
          <w:sz w:val="20"/>
        </w:rPr>
        <w:t>No forum selection provisions identified. Safe harbor usage is MODERATE with standard forward-looking statement protections.</w:t>
      </w:r>
      <w:r>
        <w:rPr>
          <w:rFonts w:ascii="Consolas" w:hAnsi="Consolas"/>
          <w:color w:val="666666"/>
          <w:sz w:val="16"/>
        </w:rPr>
        <w:t xml:space="preserve">  [DEF 14A; 10-K, 2026-04-02, LOW]</w:t>
      </w:r>
    </w:p>
    <w:p>
      <w:pPr>
        <w:pStyle w:val="DOHeading3"/>
      </w:pPr>
      <w:r>
        <w:t>Contingent Liabilities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Description</w:t>
            </w:r>
          </w:p>
        </w:tc>
        <w:tc>
          <w:tcPr>
            <w:tcW w:type="dxa" w:w="2520"/>
            <w:shd w:fill="1A1446" w:val="clear"/>
          </w:tcPr>
          <w:p>
            <w:r>
              <w:rPr>
                <w:rFonts w:ascii="Calibri" w:hAnsi="Calibri"/>
                <w:b/>
                <w:color w:val="FFFFFF"/>
                <w:sz w:val="18"/>
              </w:rPr>
              <w:t>ASC 450 Class.</w:t>
            </w:r>
          </w:p>
        </w:tc>
        <w:tc>
          <w:tcPr>
            <w:tcW w:type="dxa" w:w="2520"/>
            <w:shd w:fill="1A1446" w:val="clear"/>
          </w:tcPr>
          <w:p>
            <w:r>
              <w:rPr>
                <w:rFonts w:ascii="Calibri" w:hAnsi="Calibri"/>
                <w:b/>
                <w:color w:val="FFFFFF"/>
                <w:sz w:val="18"/>
              </w:rPr>
              <w:t>Accrued</w:t>
            </w:r>
          </w:p>
        </w:tc>
        <w:tc>
          <w:tcPr>
            <w:tcW w:type="dxa" w:w="2520"/>
            <w:shd w:fill="1A1446" w:val="clear"/>
          </w:tcPr>
          <w:p>
            <w:r>
              <w:rPr>
                <w:rFonts w:ascii="Calibri" w:hAnsi="Calibri"/>
                <w:b/>
                <w:color w:val="FFFFFF"/>
                <w:sz w:val="18"/>
              </w:rPr>
              <w:t>Range</w:t>
            </w:r>
          </w:p>
        </w:tc>
      </w:tr>
      <w:tr>
        <w:tc>
          <w:tcPr>
            <w:tcW w:type="dxa" w:w="2520"/>
          </w:tcPr>
          <w:p>
            <w:r>
              <w:rPr>
                <w:rFonts w:ascii="Calibri" w:hAnsi="Calibri"/>
                <w:color w:val="333333"/>
                <w:sz w:val="18"/>
              </w:rPr>
              <w:t>Nelson v. H: Nelson v. Huang, et. al. (Case No. 1:19-cv-0179</w:t>
            </w:r>
          </w:p>
        </w:tc>
        <w:tc>
          <w:tcPr>
            <w:tcW w:type="dxa" w:w="2520"/>
          </w:tcPr>
          <w:p>
            <w:r>
              <w:rPr>
                <w:rFonts w:ascii="Calibri" w:hAnsi="Calibri"/>
                <w:color w:val="333333"/>
                <w:sz w:val="18"/>
              </w:rPr>
              <w:t>reasonably_possible</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Horanic v. H: Horanic v. Huang, et al. (Case No. 2023-1096-K</w:t>
            </w:r>
          </w:p>
        </w:tc>
        <w:tc>
          <w:tcPr>
            <w:tcW w:type="dxa" w:w="2520"/>
            <w:shd w:fill="F2F4F8" w:val="clear"/>
          </w:tcPr>
          <w:p>
            <w:r>
              <w:rPr>
                <w:rFonts w:ascii="Calibri" w:hAnsi="Calibri"/>
                <w:color w:val="333333"/>
                <w:sz w:val="18"/>
              </w:rPr>
              <w:t>reasonably_possible</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r>
    </w:tbl>
    <w:p>
      <w:pPr>
        <w:pStyle w:val="DOHeading3"/>
      </w:pPr>
      <w:r>
        <w:t>Workforce, Product &amp; Environmental Matters</w:t>
      </w:r>
    </w:p>
    <w:p>
      <w:pPr>
        <w:pStyle w:val="DOBody"/>
      </w:pPr>
      <w:r>
        <w:t>None found.</w:t>
      </w:r>
    </w:p>
    <w:p>
      <w:pPr>
        <w:pStyle w:val="DOHeading3"/>
      </w:pPr>
      <w:r>
        <w:t>Whistleblower Indicators</w:t>
      </w:r>
    </w:p>
    <w:p>
      <w:pPr>
        <w:pStyle w:val="DOBody"/>
      </w:pPr>
      <w:r>
        <w:t>No whistleblower indicators identified in SEC filings. SEC whistleblower tips are not publicly disclosed; absence does not confirm lack of activity.</w:t>
      </w:r>
    </w:p>
    <w:p>
      <w:pPr>
        <w:spacing w:before="120" w:after="40"/>
        <w:pBdr>
          <w:bottom w:val="single" w:sz="6" w:space="1" w:color="FFD000"/>
        </w:pBdr>
      </w:pPr>
    </w:p>
    <w:p>
      <w:pPr>
        <w:pStyle w:val="DOBody"/>
        <w:spacing w:before="40" w:after="120"/>
      </w:pPr>
      <w:r>
        <w:rPr>
          <w:color w:val="333333"/>
          <w:sz w:val="20"/>
        </w:rPr>
        <w:t>NVIDIA's exceptional 88.8 quality score and WIN tier classification, signaling a 'must-have' account, are anchored by its dominant market position, yet its elevated claim band of 5.45-7.79% reflects significant latent D&amp;O exposure. The primary risk driver is its extensive history of prior litigation, which deducted 3.24 points from a maximum of 20, compounded by frequent strategic activity through acquisitions (F4, 2.11 points deducted) that consistently generate shareholder scrutiny. While stock volatility (0.99 points deducted) and short interest (1.52 points deducted) are present, they are proportionate for a sector leader; the critical narrative is that NVIDIA's very success and pace of innovation make it a perpetual target for securities class actions, as evidenced by its top risk factor scores. We compete aggressively here as directed by the tier, but underwrite with the clear expectation that a claim is a question of 'when' not 'if,' pricing for that explicit 5.5-7.8% tier probability range.</w:t>
      </w:r>
    </w:p>
    <w:p>
      <w:pPr>
        <w:pStyle w:val="DOHeading1"/>
      </w:pPr>
      <w:r>
        <w:t>Section 7: Risk Scoring &amp; Synthesis</w:t>
      </w:r>
    </w:p>
    <w:p>
      <w:pPr>
        <w:pStyle w:val="DOBody"/>
      </w:pPr>
      <w:r>
        <w:rPr>
          <w:rFonts w:ascii="Calibri" w:hAnsi="Calibri"/>
          <w:color w:val="333333"/>
          <w:sz w:val="20"/>
        </w:rPr>
        <w:t>Underwriting tier: **WIN** (quality score: 88.8/100). Recommended action: Must-have account, compete aggressively. Expected claim probability band: 5.5-7.8%. Top risk contributors: Prior Litigation (F1: -3.2 pts); IPO/SPAC/M&amp;A (F4: -2.1 pts); Restatement/Audit Issues (F3: -1.6 pts). Claim probability band: ELEVATED (5.5%-7.8%).</w:t>
      </w:r>
    </w:p>
    <w:p>
      <w:pPr>
        <w:pStyle w:val="DOHeading3"/>
      </w:pPr>
      <w:r>
        <w:t>Tier Classification</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Quality Score</w:t>
            </w:r>
          </w:p>
        </w:tc>
        <w:tc>
          <w:tcPr>
            <w:tcW w:type="dxa" w:w="5040"/>
          </w:tcPr>
          <w:p>
            <w:r>
              <w:rPr>
                <w:rFonts w:ascii="Calibri" w:hAnsi="Calibri"/>
                <w:color w:val="333333"/>
                <w:sz w:val="18"/>
              </w:rPr>
              <w:t>88.8 / 100</w:t>
            </w:r>
          </w:p>
        </w:tc>
      </w:tr>
      <w:tr>
        <w:tc>
          <w:tcPr>
            <w:tcW w:type="dxa" w:w="5040"/>
            <w:shd w:fill="F2F4F8" w:val="clear"/>
          </w:tcPr>
          <w:p>
            <w:r>
              <w:rPr>
                <w:rFonts w:ascii="Calibri" w:hAnsi="Calibri"/>
                <w:color w:val="333333"/>
                <w:sz w:val="18"/>
              </w:rPr>
              <w:t>Composite Score (pre-ceiling)</w:t>
            </w:r>
          </w:p>
        </w:tc>
        <w:tc>
          <w:tcPr>
            <w:tcW w:type="dxa" w:w="5040"/>
            <w:shd w:fill="F2F4F8" w:val="clear"/>
          </w:tcPr>
          <w:p>
            <w:r>
              <w:rPr>
                <w:rFonts w:ascii="Calibri" w:hAnsi="Calibri"/>
                <w:color w:val="333333"/>
                <w:sz w:val="18"/>
              </w:rPr>
              <w:t>88.8</w:t>
            </w:r>
          </w:p>
        </w:tc>
      </w:tr>
      <w:tr>
        <w:tc>
          <w:tcPr>
            <w:tcW w:type="dxa" w:w="5040"/>
          </w:tcPr>
          <w:p>
            <w:r>
              <w:rPr>
                <w:rFonts w:ascii="Calibri" w:hAnsi="Calibri"/>
                <w:color w:val="333333"/>
                <w:sz w:val="18"/>
              </w:rPr>
              <w:t>Total Risk Points Deducted</w:t>
            </w:r>
          </w:p>
        </w:tc>
        <w:tc>
          <w:tcPr>
            <w:tcW w:type="dxa" w:w="5040"/>
          </w:tcPr>
          <w:p>
            <w:r>
              <w:rPr>
                <w:rFonts w:ascii="Calibri" w:hAnsi="Calibri"/>
                <w:color w:val="333333"/>
                <w:sz w:val="18"/>
              </w:rPr>
              <w:t>11.2</w:t>
            </w:r>
          </w:p>
        </w:tc>
      </w:tr>
      <w:tr>
        <w:tc>
          <w:tcPr>
            <w:tcW w:type="dxa" w:w="5040"/>
            <w:shd w:fill="F2F4F8" w:val="clear"/>
          </w:tcPr>
          <w:p>
            <w:r>
              <w:rPr>
                <w:rFonts w:ascii="Calibri" w:hAnsi="Calibri"/>
                <w:color w:val="333333"/>
                <w:sz w:val="18"/>
              </w:rPr>
              <w:t>Tier</w:t>
            </w:r>
          </w:p>
        </w:tc>
        <w:tc>
          <w:tcPr>
            <w:tcW w:type="dxa" w:w="5040"/>
            <w:shd w:fill="F2F4F8" w:val="clear"/>
          </w:tcPr>
          <w:p>
            <w:r>
              <w:rPr>
                <w:rFonts w:ascii="Calibri" w:hAnsi="Calibri"/>
                <w:color w:val="333333"/>
                <w:sz w:val="18"/>
              </w:rPr>
              <w:t>WIN</w:t>
            </w:r>
          </w:p>
        </w:tc>
      </w:tr>
      <w:tr>
        <w:tc>
          <w:tcPr>
            <w:tcW w:type="dxa" w:w="5040"/>
          </w:tcPr>
          <w:p>
            <w:r>
              <w:rPr>
                <w:rFonts w:ascii="Calibri" w:hAnsi="Calibri"/>
                <w:color w:val="333333"/>
                <w:sz w:val="18"/>
              </w:rPr>
              <w:t>Tier Range</w:t>
            </w:r>
          </w:p>
        </w:tc>
        <w:tc>
          <w:tcPr>
            <w:tcW w:type="dxa" w:w="5040"/>
          </w:tcPr>
          <w:p>
            <w:r>
              <w:rPr>
                <w:rFonts w:ascii="Calibri" w:hAnsi="Calibri"/>
                <w:color w:val="333333"/>
                <w:sz w:val="18"/>
              </w:rPr>
              <w:t>86 - 100</w:t>
            </w:r>
          </w:p>
        </w:tc>
      </w:tr>
      <w:tr>
        <w:tc>
          <w:tcPr>
            <w:tcW w:type="dxa" w:w="5040"/>
            <w:shd w:fill="F2F4F8" w:val="clear"/>
          </w:tcPr>
          <w:p>
            <w:r>
              <w:rPr>
                <w:rFonts w:ascii="Calibri" w:hAnsi="Calibri"/>
                <w:color w:val="333333"/>
                <w:sz w:val="18"/>
              </w:rPr>
              <w:t>Action Guidance</w:t>
            </w:r>
          </w:p>
        </w:tc>
        <w:tc>
          <w:tcPr>
            <w:tcW w:type="dxa" w:w="5040"/>
            <w:shd w:fill="F2F4F8" w:val="clear"/>
          </w:tcPr>
          <w:p>
            <w:r>
              <w:rPr>
                <w:rFonts w:ascii="Calibri" w:hAnsi="Calibri"/>
                <w:color w:val="333333"/>
                <w:sz w:val="18"/>
              </w:rPr>
              <w:t>Must-have account, compete aggressively</w:t>
            </w:r>
          </w:p>
        </w:tc>
      </w:tr>
      <w:tr>
        <w:tc>
          <w:tcPr>
            <w:tcW w:type="dxa" w:w="5040"/>
          </w:tcPr>
          <w:p>
            <w:r>
              <w:rPr>
                <w:rFonts w:ascii="Calibri" w:hAnsi="Calibri"/>
                <w:color w:val="333333"/>
                <w:sz w:val="18"/>
              </w:rPr>
              <w:t>Probability Range</w:t>
            </w:r>
          </w:p>
        </w:tc>
        <w:tc>
          <w:tcPr>
            <w:tcW w:type="dxa" w:w="5040"/>
          </w:tcPr>
          <w:p>
            <w:r>
              <w:rPr>
                <w:rFonts w:ascii="Calibri" w:hAnsi="Calibri"/>
                <w:color w:val="333333"/>
                <w:sz w:val="18"/>
              </w:rPr>
              <w:t>5.5-7.8%</w:t>
            </w:r>
          </w:p>
        </w:tc>
      </w:tr>
      <w:tr>
        <w:tc>
          <w:tcPr>
            <w:tcW w:type="dxa" w:w="5040"/>
            <w:shd w:fill="F2F4F8" w:val="clear"/>
          </w:tcPr>
          <w:p>
            <w:r>
              <w:rPr>
                <w:rFonts w:ascii="Calibri" w:hAnsi="Calibri"/>
                <w:color w:val="333333"/>
                <w:sz w:val="18"/>
              </w:rPr>
              <w:t>Pricing Multiplier</w:t>
            </w:r>
          </w:p>
        </w:tc>
        <w:tc>
          <w:tcPr>
            <w:tcW w:type="dxa" w:w="5040"/>
            <w:shd w:fill="F2F4F8" w:val="clear"/>
          </w:tcPr>
          <w:p>
            <w:r>
              <w:rPr>
                <w:rFonts w:ascii="Calibri" w:hAnsi="Calibri"/>
                <w:color w:val="333333"/>
                <w:sz w:val="18"/>
              </w:rPr>
              <w:t>0.5-0.7x</w:t>
            </w:r>
          </w:p>
        </w:tc>
      </w:tr>
    </w:tbl>
    <w:p>
      <w:pPr>
        <w:pStyle w:val="DOBody"/>
      </w:pPr>
      <w:r>
        <w:rPr>
          <w:b/>
        </w:rPr>
        <w:t>Risk Assessment: LOW</w:t>
      </w:r>
      <w:r>
        <w:rPr>
          <w:b/>
          <w:color w:val="2563EB"/>
          <w:sz w:val="18"/>
        </w:rPr>
        <w:t xml:space="preserve"> [LOW]</w:t>
      </w:r>
    </w:p>
    <w:p>
      <w:pPr>
        <w:pStyle w:val="DOHeading3"/>
      </w:pPr>
      <w:r>
        <w:t>D&amp;O Claim Peril Assessment</w:t>
      </w:r>
    </w:p>
    <w:p>
      <w:pPr>
        <w:pStyle w:val="DOBody"/>
      </w:pPr>
      <w:r>
        <w:t>2 of 8 D&amp;O claim perils show active risk signals. Active perils have at least one causal chain with triggered checks.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Peril</w:t>
            </w:r>
          </w:p>
        </w:tc>
        <w:tc>
          <w:tcPr>
            <w:tcW w:type="dxa" w:w="2520"/>
            <w:shd w:fill="1A1446" w:val="clear"/>
          </w:tcPr>
          <w:p>
            <w:r>
              <w:rPr>
                <w:rFonts w:ascii="Calibri" w:hAnsi="Calibri"/>
                <w:b/>
                <w:color w:val="FFFFFF"/>
                <w:sz w:val="18"/>
              </w:rPr>
              <w:t>Risk Level</w:t>
            </w:r>
          </w:p>
        </w:tc>
        <w:tc>
          <w:tcPr>
            <w:tcW w:type="dxa" w:w="2520"/>
            <w:shd w:fill="1A1446" w:val="clear"/>
          </w:tcPr>
          <w:p>
            <w:r>
              <w:rPr>
                <w:rFonts w:ascii="Calibri" w:hAnsi="Calibri"/>
                <w:b/>
                <w:color w:val="FFFFFF"/>
                <w:sz w:val="18"/>
              </w:rPr>
              <w:t>Active Chains</w:t>
            </w:r>
          </w:p>
        </w:tc>
        <w:tc>
          <w:tcPr>
            <w:tcW w:type="dxa" w:w="2520"/>
            <w:shd w:fill="1A1446" w:val="clear"/>
          </w:tcPr>
          <w:p>
            <w:r>
              <w:rPr>
                <w:rFonts w:ascii="Calibri" w:hAnsi="Calibri"/>
                <w:b/>
                <w:color w:val="FFFFFF"/>
                <w:sz w:val="18"/>
              </w:rPr>
              <w:t>Key Evidence</w:t>
            </w:r>
          </w:p>
        </w:tc>
      </w:tr>
      <w:tr>
        <w:tc>
          <w:tcPr>
            <w:tcW w:type="dxa" w:w="2520"/>
          </w:tcPr>
          <w:p>
            <w:r>
              <w:rPr>
                <w:rFonts w:ascii="Calibri" w:hAnsi="Calibri"/>
                <w:b/>
                <w:color w:val="333333"/>
                <w:sz w:val="18"/>
              </w:rPr>
              <w:t>Securities Claims</w:t>
            </w:r>
          </w:p>
        </w:tc>
        <w:tc>
          <w:tcPr>
            <w:tcW w:type="dxa" w:w="2520"/>
            <w:shd w:fill="FFCCBC" w:val="clear"/>
          </w:tcPr>
          <w:p>
            <w:r>
              <w:rPr>
                <w:rFonts w:ascii="Calibri" w:hAnsi="Calibri"/>
                <w:b/>
                <w:color w:val="CC3300"/>
                <w:sz w:val="18"/>
              </w:rPr>
              <w:t>ELEVATED</w:t>
            </w:r>
          </w:p>
        </w:tc>
        <w:tc>
          <w:tcPr>
            <w:tcW w:type="dxa" w:w="2520"/>
          </w:tcPr>
          <w:p>
            <w:r>
              <w:rPr>
                <w:rFonts w:ascii="Calibri" w:hAnsi="Calibri"/>
                <w:sz w:val="18"/>
              </w:rPr>
              <w:t>1/5</w:t>
            </w:r>
          </w:p>
        </w:tc>
        <w:tc>
          <w:tcPr>
            <w:tcW w:type="dxa" w:w="2520"/>
          </w:tcPr>
          <w:p>
            <w:r>
              <w:rPr>
                <w:rFonts w:ascii="Calibri" w:hAnsi="Calibri"/>
                <w:color w:val="666666"/>
                <w:sz w:val="18"/>
              </w:rPr>
              <w:t>Qualitative: No non-GAAP measures detected in 10-K; Qualitative: 0</w:t>
            </w:r>
          </w:p>
        </w:tc>
      </w:tr>
      <w:tr>
        <w:tc>
          <w:tcPr>
            <w:tcW w:type="dxa" w:w="2520"/>
          </w:tcPr>
          <w:p>
            <w:r>
              <w:rPr>
                <w:rFonts w:ascii="Calibri" w:hAnsi="Calibri"/>
                <w:b/>
                <w:color w:val="333333"/>
                <w:sz w:val="18"/>
              </w:rPr>
              <w:t>Fiduciary Breach</w:t>
            </w:r>
          </w:p>
        </w:tc>
        <w:tc>
          <w:tcPr>
            <w:tcW w:type="dxa" w:w="2520"/>
            <w:shd w:fill="FFCCBC" w:val="clear"/>
          </w:tcPr>
          <w:p>
            <w:r>
              <w:rPr>
                <w:rFonts w:ascii="Calibri" w:hAnsi="Calibri"/>
                <w:b/>
                <w:color w:val="CC3300"/>
                <w:sz w:val="18"/>
              </w:rPr>
              <w:t>ELEVATED</w:t>
            </w:r>
          </w:p>
        </w:tc>
        <w:tc>
          <w:tcPr>
            <w:tcW w:type="dxa" w:w="2520"/>
          </w:tcPr>
          <w:p>
            <w:r>
              <w:rPr>
                <w:rFonts w:ascii="Calibri" w:hAnsi="Calibri"/>
                <w:sz w:val="18"/>
              </w:rPr>
              <w:t>1/3</w:t>
            </w:r>
          </w:p>
        </w:tc>
        <w:tc>
          <w:tcPr>
            <w:tcW w:type="dxa" w:w="2520"/>
          </w:tcPr>
          <w:p>
            <w:r>
              <w:rPr>
                <w:rFonts w:ascii="Calibri" w:hAnsi="Calibri"/>
                <w:color w:val="666666"/>
                <w:sz w:val="18"/>
              </w:rPr>
              <w:t>2 (elevated vs benchmark of 0); Detected (value). Limited corroborating data available.</w:t>
            </w:r>
          </w:p>
        </w:tc>
      </w:tr>
      <w:tr>
        <w:tc>
          <w:tcPr>
            <w:tcW w:type="dxa" w:w="2520"/>
          </w:tcPr>
          <w:p>
            <w:r>
              <w:rPr>
                <w:rFonts w:ascii="Calibri" w:hAnsi="Calibri"/>
                <w:b/>
                <w:color w:val="333333"/>
                <w:sz w:val="18"/>
              </w:rPr>
              <w:t>Government Enforcement</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0/2</w:t>
            </w:r>
          </w:p>
        </w:tc>
        <w:tc>
          <w:tcPr>
            <w:tcW w:type="dxa" w:w="2520"/>
          </w:tcPr>
          <w:p>
            <w:r>
              <w:rPr>
                <w:rFonts w:ascii="Calibri" w:hAnsi="Calibri"/>
                <w:color w:val="666666"/>
                <w:sz w:val="18"/>
              </w:rPr>
              <w:t>—</w:t>
            </w:r>
          </w:p>
        </w:tc>
      </w:tr>
      <w:tr>
        <w:tc>
          <w:tcPr>
            <w:tcW w:type="dxa" w:w="2520"/>
          </w:tcPr>
          <w:p>
            <w:r>
              <w:rPr>
                <w:rFonts w:ascii="Calibri" w:hAnsi="Calibri"/>
                <w:b/>
                <w:color w:val="333333"/>
                <w:sz w:val="18"/>
              </w:rPr>
              <w:t>Employment &amp; Whistleblower</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0/1</w:t>
            </w:r>
          </w:p>
        </w:tc>
        <w:tc>
          <w:tcPr>
            <w:tcW w:type="dxa" w:w="2520"/>
          </w:tcPr>
          <w:p>
            <w:r>
              <w:rPr>
                <w:rFonts w:ascii="Calibri" w:hAnsi="Calibri"/>
                <w:color w:val="666666"/>
                <w:sz w:val="18"/>
              </w:rPr>
              <w:t>—</w:t>
            </w:r>
          </w:p>
        </w:tc>
      </w:tr>
      <w:tr>
        <w:tc>
          <w:tcPr>
            <w:tcW w:type="dxa" w:w="2520"/>
          </w:tcPr>
          <w:p>
            <w:r>
              <w:rPr>
                <w:rFonts w:ascii="Calibri" w:hAnsi="Calibri"/>
                <w:b/>
                <w:color w:val="333333"/>
                <w:sz w:val="18"/>
              </w:rPr>
              <w:t>Insolvency &amp; Bankruptcy</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0/1</w:t>
            </w:r>
          </w:p>
        </w:tc>
        <w:tc>
          <w:tcPr>
            <w:tcW w:type="dxa" w:w="2520"/>
          </w:tcPr>
          <w:p>
            <w:r>
              <w:rPr>
                <w:rFonts w:ascii="Calibri" w:hAnsi="Calibri"/>
                <w:color w:val="666666"/>
                <w:sz w:val="18"/>
              </w:rPr>
              <w:t>—</w:t>
            </w:r>
          </w:p>
        </w:tc>
      </w:tr>
      <w:tr>
        <w:tc>
          <w:tcPr>
            <w:tcW w:type="dxa" w:w="2520"/>
          </w:tcPr>
          <w:p>
            <w:r>
              <w:rPr>
                <w:rFonts w:ascii="Calibri" w:hAnsi="Calibri"/>
                <w:b/>
                <w:color w:val="333333"/>
                <w:sz w:val="18"/>
              </w:rPr>
              <w:t>Emerging Risks</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0/2</w:t>
            </w:r>
          </w:p>
        </w:tc>
        <w:tc>
          <w:tcPr>
            <w:tcW w:type="dxa" w:w="2520"/>
          </w:tcPr>
          <w:p>
            <w:r>
              <w:rPr>
                <w:rFonts w:ascii="Calibri" w:hAnsi="Calibri"/>
                <w:color w:val="666666"/>
                <w:sz w:val="18"/>
              </w:rPr>
              <w:t>—</w:t>
            </w:r>
          </w:p>
        </w:tc>
      </w:tr>
      <w:tr>
        <w:tc>
          <w:tcPr>
            <w:tcW w:type="dxa" w:w="2520"/>
          </w:tcPr>
          <w:p>
            <w:r>
              <w:rPr>
                <w:rFonts w:ascii="Calibri" w:hAnsi="Calibri"/>
                <w:b/>
                <w:color w:val="333333"/>
                <w:sz w:val="18"/>
              </w:rPr>
              <w:t>Consumer &amp; Product Claims</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0/1</w:t>
            </w:r>
          </w:p>
        </w:tc>
        <w:tc>
          <w:tcPr>
            <w:tcW w:type="dxa" w:w="2520"/>
          </w:tcPr>
          <w:p>
            <w:r>
              <w:rPr>
                <w:rFonts w:ascii="Calibri" w:hAnsi="Calibri"/>
                <w:color w:val="666666"/>
                <w:sz w:val="18"/>
              </w:rPr>
              <w:t>—</w:t>
            </w:r>
          </w:p>
        </w:tc>
      </w:tr>
      <w:tr>
        <w:tc>
          <w:tcPr>
            <w:tcW w:type="dxa" w:w="2520"/>
          </w:tcPr>
          <w:p>
            <w:r>
              <w:rPr>
                <w:rFonts w:ascii="Calibri" w:hAnsi="Calibri"/>
                <w:b/>
                <w:color w:val="333333"/>
                <w:sz w:val="18"/>
              </w:rPr>
              <w:t>Commercial Litigation</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0/1</w:t>
            </w:r>
          </w:p>
        </w:tc>
        <w:tc>
          <w:tcPr>
            <w:tcW w:type="dxa" w:w="2520"/>
          </w:tcPr>
          <w:p>
            <w:r>
              <w:rPr>
                <w:rFonts w:ascii="Calibri" w:hAnsi="Calibri"/>
                <w:color w:val="666666"/>
                <w:sz w:val="18"/>
              </w:rPr>
              <w:t>—</w:t>
            </w:r>
          </w:p>
        </w:tc>
      </w:tr>
    </w:tbl>
    <w:p>
      <w:pPr>
        <w:pStyle w:val="DOHeading3"/>
      </w:pPr>
      <w:r>
        <w:t>Active Peril Analysis</w:t>
      </w:r>
    </w:p>
    <w:p>
      <w:pPr>
        <w:pStyle w:val="DOHeading3"/>
      </w:pPr>
      <w:r>
        <w:t>Securities Claims: ELEVATED</w:t>
      </w:r>
      <w:r>
        <w:rPr>
          <w:b/>
          <w:color w:val="EAB308"/>
          <w:sz w:val="18"/>
        </w:rPr>
        <w:t xml:space="preserve"> [ELEVATED]</w:t>
      </w:r>
    </w:p>
    <w:p>
      <w:pPr>
        <w:pStyle w:val="DOBody"/>
      </w:pPr>
      <w:r>
        <w:rPr>
          <w:color w:val="666666"/>
          <w:sz w:val="16"/>
        </w:rPr>
        <w:t>Frequency: moderate | Severity: high | Typical range: $5M - $500M+</w:t>
      </w:r>
    </w:p>
    <w:p>
      <w:pPr>
        <w:pStyle w:val="DOBody"/>
      </w:pPr>
      <w:r>
        <w:t>1 of 5 causal chains active.</w:t>
      </w:r>
    </w:p>
    <w:p>
      <w:pPr>
        <w:pStyle w:val="DOBody"/>
      </w:pPr>
      <w:r>
        <w:rPr>
          <w:b/>
        </w:rPr>
        <w:t>Chain: Guidance Miss → Securities Fraud</w:t>
      </w:r>
      <w:r>
        <w:t xml:space="preserve"> [ELEVATED]</w:t>
      </w:r>
    </w:p>
    <w:p>
      <w:pPr>
        <w:pStyle w:val="DOBody"/>
      </w:pPr>
      <w:r>
        <w:rPr>
          <w:i/>
          <w:sz w:val="16"/>
        </w:rPr>
        <w:t>Repeated guidance misses or aggressive forward guidance builds scienter case for securities fraud claim when stock eventually declines.</w:t>
        <w:br/>
      </w:r>
    </w:p>
    <w:p>
      <w:pPr>
        <w:pStyle w:val="DOBody"/>
      </w:pPr>
      <w:r>
        <w:rPr>
          <w:b/>
          <w:sz w:val="20"/>
        </w:rPr>
        <w:t xml:space="preserve">  Triggers: </w:t>
      </w:r>
      <w:r>
        <w:br/>
        <w:t xml:space="preserve">    • FIN.GUIDE.earnings_reaction</w:t>
      </w:r>
    </w:p>
    <w:p>
      <w:pPr>
        <w:pStyle w:val="DOBody"/>
      </w:pPr>
      <w:r>
        <w:rPr>
          <w:b/>
          <w:sz w:val="20"/>
        </w:rPr>
        <w:t xml:space="preserve">  Amplifiers: </w:t>
      </w:r>
      <w:r>
        <w:br/>
        <w:t xml:space="preserve">    • EXEC.INSIDER.ceo_net_selling</w:t>
      </w:r>
      <w:r>
        <w:br/>
        <w:t xml:space="preserve">    • EXEC.INSIDER.cfo_net_selling</w:t>
      </w:r>
    </w:p>
    <w:p>
      <w:pPr>
        <w:pStyle w:val="DOBody"/>
      </w:pPr>
      <w:r>
        <w:rPr>
          <w:color w:val="666666"/>
          <w:sz w:val="16"/>
        </w:rPr>
        <w:t xml:space="preserve">  Historical filing rate: 8% | Median severity: $12M</w:t>
      </w:r>
    </w:p>
    <w:p>
      <w:pPr>
        <w:pStyle w:val="DOHeading3"/>
      </w:pPr>
      <w:r>
        <w:t>Fiduciary Breach: ELEVATED</w:t>
      </w:r>
      <w:r>
        <w:rPr>
          <w:b/>
          <w:color w:val="EAB308"/>
          <w:sz w:val="18"/>
        </w:rPr>
        <w:t xml:space="preserve"> [ELEVATED]</w:t>
      </w:r>
    </w:p>
    <w:p>
      <w:pPr>
        <w:pStyle w:val="DOBody"/>
      </w:pPr>
      <w:r>
        <w:rPr>
          <w:color w:val="666666"/>
          <w:sz w:val="16"/>
        </w:rPr>
        <w:t>Frequency: growing | Severity: variable | Typical range: $1M - $100M</w:t>
      </w:r>
    </w:p>
    <w:p>
      <w:pPr>
        <w:pStyle w:val="DOBody"/>
      </w:pPr>
      <w:r>
        <w:t>1 of 3 causal chains active.</w:t>
      </w:r>
    </w:p>
    <w:p>
      <w:pPr>
        <w:pStyle w:val="DOBody"/>
      </w:pPr>
      <w:r>
        <w:rPr>
          <w:b/>
        </w:rPr>
        <w:t>Chain: Governance Failure → Derivative Suit</w:t>
      </w:r>
      <w:r>
        <w:t xml:space="preserve"> [ELEVATED]</w:t>
      </w:r>
    </w:p>
    <w:p>
      <w:pPr>
        <w:pStyle w:val="DOBody"/>
      </w:pPr>
      <w:r>
        <w:rPr>
          <w:i/>
          <w:sz w:val="16"/>
        </w:rPr>
        <w:t>Weak governance structure (low independence, CEO/Chair duality, poor say-on-pay) creates basis for Caremark duty of oversight claims and derivative suits.</w:t>
        <w:br/>
      </w:r>
    </w:p>
    <w:p>
      <w:pPr>
        <w:pStyle w:val="DOBody"/>
      </w:pPr>
      <w:r>
        <w:rPr>
          <w:b/>
          <w:sz w:val="20"/>
        </w:rPr>
        <w:t xml:space="preserve">  Triggers: </w:t>
      </w:r>
      <w:r>
        <w:br/>
        <w:t xml:space="preserve">    • GOV.BOARD.ceo_chair</w:t>
      </w:r>
    </w:p>
    <w:p>
      <w:pPr>
        <w:pStyle w:val="DOBody"/>
      </w:pPr>
      <w:r>
        <w:rPr>
          <w:b/>
          <w:sz w:val="20"/>
        </w:rPr>
        <w:t xml:space="preserve">  Amplifiers: </w:t>
      </w:r>
      <w:r>
        <w:br/>
        <w:t xml:space="preserve">    • GOV.EXEC.turnover_analysis</w:t>
      </w:r>
    </w:p>
    <w:p>
      <w:pPr>
        <w:pStyle w:val="DOBody"/>
      </w:pPr>
      <w:r>
        <w:rPr>
          <w:color w:val="666666"/>
          <w:sz w:val="16"/>
        </w:rPr>
        <w:t xml:space="preserve">  Historical filing rate: 3% | Median severity: $8M</w:t>
      </w:r>
    </w:p>
    <w:p>
      <w:pPr>
        <w:pStyle w:val="DOHeading3"/>
      </w:pPr>
      <w:r>
        <w:t>Composite Score Breakdown</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A1446" w:val="clear"/>
          </w:tcPr>
          <w:p>
            <w:r>
              <w:rPr>
                <w:rFonts w:ascii="Calibri" w:hAnsi="Calibri"/>
                <w:b/>
                <w:color w:val="FFFFFF"/>
                <w:sz w:val="18"/>
              </w:rPr>
              <w:t>Factor</w:t>
            </w:r>
          </w:p>
        </w:tc>
        <w:tc>
          <w:tcPr>
            <w:tcW w:type="dxa" w:w="1680"/>
            <w:shd w:fill="1A1446" w:val="clear"/>
          </w:tcPr>
          <w:p>
            <w:r>
              <w:rPr>
                <w:rFonts w:ascii="Calibri" w:hAnsi="Calibri"/>
                <w:b/>
                <w:color w:val="FFFFFF"/>
                <w:sz w:val="18"/>
              </w:rPr>
              <w:t>Name</w:t>
            </w:r>
          </w:p>
        </w:tc>
        <w:tc>
          <w:tcPr>
            <w:tcW w:type="dxa" w:w="1680"/>
            <w:shd w:fill="1A1446" w:val="clear"/>
          </w:tcPr>
          <w:p>
            <w:r>
              <w:rPr>
                <w:rFonts w:ascii="Calibri" w:hAnsi="Calibri"/>
                <w:b/>
                <w:color w:val="FFFFFF"/>
                <w:sz w:val="18"/>
              </w:rPr>
              <w:t>Max Pts</w:t>
            </w:r>
          </w:p>
        </w:tc>
        <w:tc>
          <w:tcPr>
            <w:tcW w:type="dxa" w:w="1680"/>
            <w:shd w:fill="1A1446" w:val="clear"/>
          </w:tcPr>
          <w:p>
            <w:r>
              <w:rPr>
                <w:rFonts w:ascii="Calibri" w:hAnsi="Calibri"/>
                <w:b/>
                <w:color w:val="FFFFFF"/>
                <w:sz w:val="18"/>
              </w:rPr>
              <w:t>Deducted</w:t>
            </w:r>
          </w:p>
        </w:tc>
        <w:tc>
          <w:tcPr>
            <w:tcW w:type="dxa" w:w="1680"/>
            <w:shd w:fill="1A1446" w:val="clear"/>
          </w:tcPr>
          <w:p>
            <w:r>
              <w:rPr>
                <w:rFonts w:ascii="Calibri" w:hAnsi="Calibri"/>
                <w:b/>
                <w:color w:val="FFFFFF"/>
                <w:sz w:val="18"/>
              </w:rPr>
              <w:t>% Used</w:t>
            </w:r>
          </w:p>
        </w:tc>
        <w:tc>
          <w:tcPr>
            <w:tcW w:type="dxa" w:w="1680"/>
            <w:shd w:fill="1A1446" w:val="clear"/>
          </w:tcPr>
          <w:p>
            <w:r>
              <w:rPr>
                <w:rFonts w:ascii="Calibri" w:hAnsi="Calibri"/>
                <w:b/>
                <w:color w:val="FFFFFF"/>
                <w:sz w:val="18"/>
              </w:rPr>
              <w:t>Top Contributor</w:t>
            </w:r>
          </w:p>
        </w:tc>
      </w:tr>
      <w:tr>
        <w:tc>
          <w:tcPr>
            <w:tcW w:type="dxa" w:w="1680"/>
          </w:tcPr>
          <w:p>
            <w:r>
              <w:rPr>
                <w:rFonts w:ascii="Calibri" w:hAnsi="Calibri"/>
                <w:color w:val="333333"/>
                <w:sz w:val="18"/>
              </w:rPr>
              <w:t>F1</w:t>
            </w:r>
          </w:p>
        </w:tc>
        <w:tc>
          <w:tcPr>
            <w:tcW w:type="dxa" w:w="1680"/>
          </w:tcPr>
          <w:p>
            <w:r>
              <w:rPr>
                <w:rFonts w:ascii="Calibri" w:hAnsi="Calibri"/>
                <w:color w:val="333333"/>
                <w:sz w:val="18"/>
              </w:rPr>
              <w:t>Prior Litigation</w:t>
            </w:r>
          </w:p>
        </w:tc>
        <w:tc>
          <w:tcPr>
            <w:tcW w:type="dxa" w:w="1680"/>
          </w:tcPr>
          <w:p>
            <w:r>
              <w:rPr>
                <w:rFonts w:ascii="Calibri" w:hAnsi="Calibri"/>
                <w:color w:val="333333"/>
                <w:sz w:val="18"/>
              </w:rPr>
              <w:t>20</w:t>
            </w:r>
          </w:p>
        </w:tc>
        <w:tc>
          <w:tcPr>
            <w:tcW w:type="dxa" w:w="1680"/>
          </w:tcPr>
          <w:p>
            <w:r>
              <w:rPr>
                <w:rFonts w:ascii="Calibri" w:hAnsi="Calibri"/>
                <w:color w:val="333333"/>
                <w:sz w:val="18"/>
              </w:rPr>
              <w:t>3.2</w:t>
            </w:r>
          </w:p>
        </w:tc>
        <w:tc>
          <w:tcPr>
            <w:tcW w:type="dxa" w:w="1680"/>
          </w:tcPr>
          <w:p>
            <w:r>
              <w:rPr>
                <w:rFonts w:ascii="Calibri" w:hAnsi="Calibri"/>
                <w:color w:val="333333"/>
                <w:sz w:val="18"/>
              </w:rPr>
              <w:t>16%</w:t>
            </w:r>
          </w:p>
        </w:tc>
        <w:tc>
          <w:tcPr>
            <w:tcW w:type="dxa" w:w="1680"/>
          </w:tcPr>
          <w:p>
            <w:r>
              <w:rPr>
                <w:rFonts w:ascii="Calibri" w:hAnsi="Calibri"/>
                <w:color w:val="333333"/>
                <w:sz w:val="18"/>
              </w:rPr>
              <w:t>Signal-driven scoring: 69 signals, coverage=100%</w:t>
            </w:r>
          </w:p>
        </w:tc>
      </w:tr>
      <w:tr>
        <w:tc>
          <w:tcPr>
            <w:tcW w:type="dxa" w:w="1680"/>
            <w:shd w:fill="F2F4F8" w:val="clear"/>
          </w:tcPr>
          <w:p>
            <w:r>
              <w:rPr>
                <w:rFonts w:ascii="Calibri" w:hAnsi="Calibri"/>
                <w:color w:val="333333"/>
                <w:sz w:val="18"/>
              </w:rPr>
              <w:t>F2</w:t>
            </w:r>
          </w:p>
        </w:tc>
        <w:tc>
          <w:tcPr>
            <w:tcW w:type="dxa" w:w="1680"/>
            <w:shd w:fill="F2F4F8" w:val="clear"/>
          </w:tcPr>
          <w:p>
            <w:r>
              <w:rPr>
                <w:rFonts w:ascii="Calibri" w:hAnsi="Calibri"/>
                <w:color w:val="333333"/>
                <w:sz w:val="18"/>
              </w:rPr>
              <w:t>Stock Decline</w:t>
            </w:r>
          </w:p>
        </w:tc>
        <w:tc>
          <w:tcPr>
            <w:tcW w:type="dxa" w:w="1680"/>
            <w:shd w:fill="F2F4F8" w:val="clear"/>
          </w:tcPr>
          <w:p>
            <w:r>
              <w:rPr>
                <w:rFonts w:ascii="Calibri" w:hAnsi="Calibri"/>
                <w:color w:val="333333"/>
                <w:sz w:val="18"/>
              </w:rPr>
              <w:t>15</w:t>
            </w:r>
          </w:p>
        </w:tc>
        <w:tc>
          <w:tcPr>
            <w:tcW w:type="dxa" w:w="1680"/>
            <w:shd w:fill="F2F4F8" w:val="clear"/>
          </w:tcPr>
          <w:p>
            <w:r>
              <w:rPr>
                <w:rFonts w:ascii="Calibri" w:hAnsi="Calibri"/>
                <w:color w:val="333333"/>
                <w:sz w:val="18"/>
              </w:rPr>
              <w:t>0.6</w:t>
            </w:r>
          </w:p>
        </w:tc>
        <w:tc>
          <w:tcPr>
            <w:tcW w:type="dxa" w:w="1680"/>
            <w:shd w:fill="F2F4F8" w:val="clear"/>
          </w:tcPr>
          <w:p>
            <w:r>
              <w:rPr>
                <w:rFonts w:ascii="Calibri" w:hAnsi="Calibri"/>
                <w:color w:val="333333"/>
                <w:sz w:val="18"/>
              </w:rPr>
              <w:t>4%</w:t>
            </w:r>
          </w:p>
        </w:tc>
        <w:tc>
          <w:tcPr>
            <w:tcW w:type="dxa" w:w="1680"/>
            <w:shd w:fill="F2F4F8" w:val="clear"/>
          </w:tcPr>
          <w:p>
            <w:r>
              <w:rPr>
                <w:rFonts w:ascii="Calibri" w:hAnsi="Calibri"/>
                <w:color w:val="333333"/>
                <w:sz w:val="18"/>
              </w:rPr>
              <w:t>Signal-driven scoring: 30 signals, coverage=100%</w:t>
            </w:r>
          </w:p>
        </w:tc>
      </w:tr>
      <w:tr>
        <w:tc>
          <w:tcPr>
            <w:tcW w:type="dxa" w:w="1680"/>
          </w:tcPr>
          <w:p>
            <w:r>
              <w:rPr>
                <w:rFonts w:ascii="Calibri" w:hAnsi="Calibri"/>
                <w:color w:val="333333"/>
                <w:sz w:val="18"/>
              </w:rPr>
              <w:t>F3</w:t>
            </w:r>
          </w:p>
        </w:tc>
        <w:tc>
          <w:tcPr>
            <w:tcW w:type="dxa" w:w="1680"/>
          </w:tcPr>
          <w:p>
            <w:r>
              <w:rPr>
                <w:rFonts w:ascii="Calibri" w:hAnsi="Calibri"/>
                <w:color w:val="333333"/>
                <w:sz w:val="18"/>
              </w:rPr>
              <w:t>Restatement/Audit Issues</w:t>
            </w:r>
          </w:p>
        </w:tc>
        <w:tc>
          <w:tcPr>
            <w:tcW w:type="dxa" w:w="1680"/>
          </w:tcPr>
          <w:p>
            <w:r>
              <w:rPr>
                <w:rFonts w:ascii="Calibri" w:hAnsi="Calibri"/>
                <w:color w:val="333333"/>
                <w:sz w:val="18"/>
              </w:rPr>
              <w:t>12</w:t>
            </w:r>
          </w:p>
        </w:tc>
        <w:tc>
          <w:tcPr>
            <w:tcW w:type="dxa" w:w="1680"/>
          </w:tcPr>
          <w:p>
            <w:r>
              <w:rPr>
                <w:rFonts w:ascii="Calibri" w:hAnsi="Calibri"/>
                <w:color w:val="333333"/>
                <w:sz w:val="18"/>
              </w:rPr>
              <w:t>1.6</w:t>
            </w:r>
          </w:p>
        </w:tc>
        <w:tc>
          <w:tcPr>
            <w:tcW w:type="dxa" w:w="1680"/>
          </w:tcPr>
          <w:p>
            <w:r>
              <w:rPr>
                <w:rFonts w:ascii="Calibri" w:hAnsi="Calibri"/>
                <w:color w:val="333333"/>
                <w:sz w:val="18"/>
              </w:rPr>
              <w:t>13%</w:t>
            </w:r>
          </w:p>
        </w:tc>
        <w:tc>
          <w:tcPr>
            <w:tcW w:type="dxa" w:w="1680"/>
          </w:tcPr>
          <w:p>
            <w:r>
              <w:rPr>
                <w:rFonts w:ascii="Calibri" w:hAnsi="Calibri"/>
                <w:color w:val="333333"/>
                <w:sz w:val="18"/>
              </w:rPr>
              <w:t>Signal-driven scoring: 92 signals, coverage=100%</w:t>
            </w:r>
          </w:p>
        </w:tc>
      </w:tr>
      <w:tr>
        <w:tc>
          <w:tcPr>
            <w:tcW w:type="dxa" w:w="1680"/>
            <w:shd w:fill="F2F4F8" w:val="clear"/>
          </w:tcPr>
          <w:p>
            <w:r>
              <w:rPr>
                <w:rFonts w:ascii="Calibri" w:hAnsi="Calibri"/>
                <w:color w:val="333333"/>
                <w:sz w:val="18"/>
              </w:rPr>
              <w:t>F4</w:t>
            </w:r>
          </w:p>
        </w:tc>
        <w:tc>
          <w:tcPr>
            <w:tcW w:type="dxa" w:w="1680"/>
            <w:shd w:fill="F2F4F8" w:val="clear"/>
          </w:tcPr>
          <w:p>
            <w:r>
              <w:rPr>
                <w:rFonts w:ascii="Calibri" w:hAnsi="Calibri"/>
                <w:color w:val="333333"/>
                <w:sz w:val="18"/>
              </w:rPr>
              <w:t>IPO/SPAC/M&amp;A</w:t>
            </w:r>
          </w:p>
        </w:tc>
        <w:tc>
          <w:tcPr>
            <w:tcW w:type="dxa" w:w="1680"/>
            <w:shd w:fill="F2F4F8" w:val="clear"/>
          </w:tcPr>
          <w:p>
            <w:r>
              <w:rPr>
                <w:rFonts w:ascii="Calibri" w:hAnsi="Calibri"/>
                <w:color w:val="333333"/>
                <w:sz w:val="18"/>
              </w:rPr>
              <w:t>10</w:t>
            </w:r>
          </w:p>
        </w:tc>
        <w:tc>
          <w:tcPr>
            <w:tcW w:type="dxa" w:w="1680"/>
            <w:shd w:fill="F2F4F8" w:val="clear"/>
          </w:tcPr>
          <w:p>
            <w:r>
              <w:rPr>
                <w:rFonts w:ascii="Calibri" w:hAnsi="Calibri"/>
                <w:color w:val="333333"/>
                <w:sz w:val="18"/>
              </w:rPr>
              <w:t>2.1</w:t>
            </w:r>
          </w:p>
        </w:tc>
        <w:tc>
          <w:tcPr>
            <w:tcW w:type="dxa" w:w="1680"/>
            <w:shd w:fill="F2F4F8" w:val="clear"/>
          </w:tcPr>
          <w:p>
            <w:r>
              <w:rPr>
                <w:rFonts w:ascii="Calibri" w:hAnsi="Calibri"/>
                <w:color w:val="333333"/>
                <w:sz w:val="18"/>
              </w:rPr>
              <w:t>21%</w:t>
            </w:r>
          </w:p>
        </w:tc>
        <w:tc>
          <w:tcPr>
            <w:tcW w:type="dxa" w:w="1680"/>
            <w:shd w:fill="F2F4F8" w:val="clear"/>
          </w:tcPr>
          <w:p>
            <w:r>
              <w:rPr>
                <w:rFonts w:ascii="Calibri" w:hAnsi="Calibri"/>
                <w:color w:val="333333"/>
                <w:sz w:val="18"/>
              </w:rPr>
              <w:t>Signal-driven scoring: 19 signals, coverage=100%</w:t>
            </w:r>
          </w:p>
        </w:tc>
      </w:tr>
      <w:tr>
        <w:tc>
          <w:tcPr>
            <w:tcW w:type="dxa" w:w="1680"/>
          </w:tcPr>
          <w:p>
            <w:r>
              <w:rPr>
                <w:rFonts w:ascii="Calibri" w:hAnsi="Calibri"/>
                <w:color w:val="333333"/>
                <w:sz w:val="18"/>
              </w:rPr>
              <w:t>F5</w:t>
            </w:r>
          </w:p>
        </w:tc>
        <w:tc>
          <w:tcPr>
            <w:tcW w:type="dxa" w:w="1680"/>
          </w:tcPr>
          <w:p>
            <w:r>
              <w:rPr>
                <w:rFonts w:ascii="Calibri" w:hAnsi="Calibri"/>
                <w:color w:val="333333"/>
                <w:sz w:val="18"/>
              </w:rPr>
              <w:t>Guidance Misses</w:t>
            </w:r>
          </w:p>
        </w:tc>
        <w:tc>
          <w:tcPr>
            <w:tcW w:type="dxa" w:w="1680"/>
          </w:tcPr>
          <w:p>
            <w:r>
              <w:rPr>
                <w:rFonts w:ascii="Calibri" w:hAnsi="Calibri"/>
                <w:color w:val="333333"/>
                <w:sz w:val="18"/>
              </w:rPr>
              <w:t>13</w:t>
            </w:r>
          </w:p>
        </w:tc>
        <w:tc>
          <w:tcPr>
            <w:tcW w:type="dxa" w:w="1680"/>
          </w:tcPr>
          <w:p>
            <w:r>
              <w:rPr>
                <w:rFonts w:ascii="Calibri" w:hAnsi="Calibri"/>
                <w:color w:val="333333"/>
                <w:sz w:val="18"/>
              </w:rPr>
              <w:t>0.4</w:t>
            </w:r>
          </w:p>
        </w:tc>
        <w:tc>
          <w:tcPr>
            <w:tcW w:type="dxa" w:w="1680"/>
          </w:tcPr>
          <w:p>
            <w:r>
              <w:rPr>
                <w:rFonts w:ascii="Calibri" w:hAnsi="Calibri"/>
                <w:color w:val="333333"/>
                <w:sz w:val="18"/>
              </w:rPr>
              <w:t>3%</w:t>
            </w:r>
          </w:p>
        </w:tc>
        <w:tc>
          <w:tcPr>
            <w:tcW w:type="dxa" w:w="1680"/>
          </w:tcPr>
          <w:p>
            <w:r>
              <w:rPr>
                <w:rFonts w:ascii="Calibri" w:hAnsi="Calibri"/>
                <w:color w:val="333333"/>
                <w:sz w:val="18"/>
              </w:rPr>
              <w:t>Signal-driven scoring: 28 signals, coverage=100%</w:t>
            </w:r>
          </w:p>
        </w:tc>
      </w:tr>
      <w:tr>
        <w:tc>
          <w:tcPr>
            <w:tcW w:type="dxa" w:w="1680"/>
            <w:shd w:fill="F2F4F8" w:val="clear"/>
          </w:tcPr>
          <w:p>
            <w:r>
              <w:rPr>
                <w:rFonts w:ascii="Calibri" w:hAnsi="Calibri"/>
                <w:color w:val="333333"/>
                <w:sz w:val="18"/>
              </w:rPr>
              <w:t>F6</w:t>
            </w:r>
          </w:p>
        </w:tc>
        <w:tc>
          <w:tcPr>
            <w:tcW w:type="dxa" w:w="1680"/>
            <w:shd w:fill="F2F4F8" w:val="clear"/>
          </w:tcPr>
          <w:p>
            <w:r>
              <w:rPr>
                <w:rFonts w:ascii="Calibri" w:hAnsi="Calibri"/>
                <w:color w:val="333333"/>
                <w:sz w:val="18"/>
              </w:rPr>
              <w:t>Short Interest</w:t>
            </w:r>
          </w:p>
        </w:tc>
        <w:tc>
          <w:tcPr>
            <w:tcW w:type="dxa" w:w="1680"/>
            <w:shd w:fill="F2F4F8" w:val="clear"/>
          </w:tcPr>
          <w:p>
            <w:r>
              <w:rPr>
                <w:rFonts w:ascii="Calibri" w:hAnsi="Calibri"/>
                <w:color w:val="333333"/>
                <w:sz w:val="18"/>
              </w:rPr>
              <w:t>8</w:t>
            </w:r>
          </w:p>
        </w:tc>
        <w:tc>
          <w:tcPr>
            <w:tcW w:type="dxa" w:w="1680"/>
            <w:shd w:fill="F2F4F8" w:val="clear"/>
          </w:tcPr>
          <w:p>
            <w:r>
              <w:rPr>
                <w:rFonts w:ascii="Calibri" w:hAnsi="Calibri"/>
                <w:color w:val="333333"/>
                <w:sz w:val="18"/>
              </w:rPr>
              <w:t>1.5</w:t>
            </w:r>
          </w:p>
        </w:tc>
        <w:tc>
          <w:tcPr>
            <w:tcW w:type="dxa" w:w="1680"/>
            <w:shd w:fill="F2F4F8" w:val="clear"/>
          </w:tcPr>
          <w:p>
            <w:r>
              <w:rPr>
                <w:rFonts w:ascii="Calibri" w:hAnsi="Calibri"/>
                <w:color w:val="333333"/>
                <w:sz w:val="18"/>
              </w:rPr>
              <w:t>19%</w:t>
            </w:r>
          </w:p>
        </w:tc>
        <w:tc>
          <w:tcPr>
            <w:tcW w:type="dxa" w:w="1680"/>
            <w:shd w:fill="F2F4F8" w:val="clear"/>
          </w:tcPr>
          <w:p>
            <w:r>
              <w:rPr>
                <w:rFonts w:ascii="Calibri" w:hAnsi="Calibri"/>
                <w:color w:val="333333"/>
                <w:sz w:val="18"/>
              </w:rPr>
              <w:t>Signal-driven scoring: 30 signals, coverage=100%</w:t>
            </w:r>
          </w:p>
        </w:tc>
      </w:tr>
      <w:tr>
        <w:tc>
          <w:tcPr>
            <w:tcW w:type="dxa" w:w="1680"/>
          </w:tcPr>
          <w:p>
            <w:r>
              <w:rPr>
                <w:rFonts w:ascii="Calibri" w:hAnsi="Calibri"/>
                <w:color w:val="333333"/>
                <w:sz w:val="18"/>
              </w:rPr>
              <w:t>F7</w:t>
            </w:r>
          </w:p>
        </w:tc>
        <w:tc>
          <w:tcPr>
            <w:tcW w:type="dxa" w:w="1680"/>
          </w:tcPr>
          <w:p>
            <w:r>
              <w:rPr>
                <w:rFonts w:ascii="Calibri" w:hAnsi="Calibri"/>
                <w:color w:val="333333"/>
                <w:sz w:val="18"/>
              </w:rPr>
              <w:t>Stock Volatility</w:t>
            </w:r>
          </w:p>
        </w:tc>
        <w:tc>
          <w:tcPr>
            <w:tcW w:type="dxa" w:w="1680"/>
          </w:tcPr>
          <w:p>
            <w:r>
              <w:rPr>
                <w:rFonts w:ascii="Calibri" w:hAnsi="Calibri"/>
                <w:color w:val="333333"/>
                <w:sz w:val="18"/>
              </w:rPr>
              <w:t>7</w:t>
            </w:r>
          </w:p>
        </w:tc>
        <w:tc>
          <w:tcPr>
            <w:tcW w:type="dxa" w:w="1680"/>
          </w:tcPr>
          <w:p>
            <w:r>
              <w:rPr>
                <w:rFonts w:ascii="Calibri" w:hAnsi="Calibri"/>
                <w:color w:val="333333"/>
                <w:sz w:val="18"/>
              </w:rPr>
              <w:t>1.0</w:t>
            </w:r>
          </w:p>
        </w:tc>
        <w:tc>
          <w:tcPr>
            <w:tcW w:type="dxa" w:w="1680"/>
          </w:tcPr>
          <w:p>
            <w:r>
              <w:rPr>
                <w:rFonts w:ascii="Calibri" w:hAnsi="Calibri"/>
                <w:color w:val="333333"/>
                <w:sz w:val="18"/>
              </w:rPr>
              <w:t>14%</w:t>
            </w:r>
          </w:p>
        </w:tc>
        <w:tc>
          <w:tcPr>
            <w:tcW w:type="dxa" w:w="1680"/>
          </w:tcPr>
          <w:p>
            <w:r>
              <w:rPr>
                <w:rFonts w:ascii="Calibri" w:hAnsi="Calibri"/>
                <w:color w:val="333333"/>
                <w:sz w:val="18"/>
              </w:rPr>
              <w:t>Signal-driven scoring: 27 signals, coverage=100%</w:t>
            </w:r>
          </w:p>
        </w:tc>
      </w:tr>
      <w:tr>
        <w:tc>
          <w:tcPr>
            <w:tcW w:type="dxa" w:w="1680"/>
            <w:shd w:fill="F2F4F8" w:val="clear"/>
          </w:tcPr>
          <w:p>
            <w:r>
              <w:rPr>
                <w:rFonts w:ascii="Calibri" w:hAnsi="Calibri"/>
                <w:color w:val="333333"/>
                <w:sz w:val="18"/>
              </w:rPr>
              <w:t>F8</w:t>
            </w:r>
          </w:p>
        </w:tc>
        <w:tc>
          <w:tcPr>
            <w:tcW w:type="dxa" w:w="1680"/>
            <w:shd w:fill="F2F4F8" w:val="clear"/>
          </w:tcPr>
          <w:p>
            <w:r>
              <w:rPr>
                <w:rFonts w:ascii="Calibri" w:hAnsi="Calibri"/>
                <w:color w:val="333333"/>
                <w:sz w:val="18"/>
              </w:rPr>
              <w:t>Financial Distress</w:t>
            </w:r>
          </w:p>
        </w:tc>
        <w:tc>
          <w:tcPr>
            <w:tcW w:type="dxa" w:w="1680"/>
            <w:shd w:fill="F2F4F8" w:val="clear"/>
          </w:tcPr>
          <w:p>
            <w:r>
              <w:rPr>
                <w:rFonts w:ascii="Calibri" w:hAnsi="Calibri"/>
                <w:color w:val="333333"/>
                <w:sz w:val="18"/>
              </w:rPr>
              <w:t>5</w:t>
            </w:r>
          </w:p>
        </w:tc>
        <w:tc>
          <w:tcPr>
            <w:tcW w:type="dxa" w:w="1680"/>
            <w:shd w:fill="F2F4F8" w:val="clear"/>
          </w:tcPr>
          <w:p>
            <w:r>
              <w:rPr>
                <w:rFonts w:ascii="Calibri" w:hAnsi="Calibri"/>
                <w:color w:val="333333"/>
                <w:sz w:val="18"/>
              </w:rPr>
              <w:t>0.0</w:t>
            </w:r>
          </w:p>
        </w:tc>
        <w:tc>
          <w:tcPr>
            <w:tcW w:type="dxa" w:w="1680"/>
            <w:shd w:fill="F2F4F8" w:val="clear"/>
          </w:tcPr>
          <w:p>
            <w:r>
              <w:rPr>
                <w:rFonts w:ascii="Calibri" w:hAnsi="Calibri"/>
                <w:color w:val="333333"/>
                <w:sz w:val="18"/>
              </w:rPr>
              <w:t>0%</w:t>
            </w:r>
          </w:p>
        </w:tc>
        <w:tc>
          <w:tcPr>
            <w:tcW w:type="dxa" w:w="1680"/>
            <w:shd w:fill="F2F4F8" w:val="clear"/>
          </w:tcPr>
          <w:p>
            <w:r>
              <w:rPr>
                <w:rFonts w:ascii="Calibri" w:hAnsi="Calibri"/>
                <w:color w:val="333333"/>
                <w:sz w:val="18"/>
              </w:rPr>
              <w:t>Signal-driven scoring: 15 signals, coverage=100%</w:t>
            </w:r>
          </w:p>
        </w:tc>
      </w:tr>
      <w:tr>
        <w:tc>
          <w:tcPr>
            <w:tcW w:type="dxa" w:w="1680"/>
          </w:tcPr>
          <w:p>
            <w:r>
              <w:rPr>
                <w:rFonts w:ascii="Calibri" w:hAnsi="Calibri"/>
                <w:color w:val="333333"/>
                <w:sz w:val="18"/>
              </w:rPr>
              <w:t>F9</w:t>
            </w:r>
          </w:p>
        </w:tc>
        <w:tc>
          <w:tcPr>
            <w:tcW w:type="dxa" w:w="1680"/>
          </w:tcPr>
          <w:p>
            <w:r>
              <w:rPr>
                <w:rFonts w:ascii="Calibri" w:hAnsi="Calibri"/>
                <w:color w:val="333333"/>
                <w:sz w:val="18"/>
              </w:rPr>
              <w:t>Governance Issues</w:t>
            </w:r>
          </w:p>
        </w:tc>
        <w:tc>
          <w:tcPr>
            <w:tcW w:type="dxa" w:w="1680"/>
          </w:tcPr>
          <w:p>
            <w:r>
              <w:rPr>
                <w:rFonts w:ascii="Calibri" w:hAnsi="Calibri"/>
                <w:color w:val="333333"/>
                <w:sz w:val="18"/>
              </w:rPr>
              <w:t>6</w:t>
            </w:r>
          </w:p>
        </w:tc>
        <w:tc>
          <w:tcPr>
            <w:tcW w:type="dxa" w:w="1680"/>
          </w:tcPr>
          <w:p>
            <w:r>
              <w:rPr>
                <w:rFonts w:ascii="Calibri" w:hAnsi="Calibri"/>
                <w:color w:val="333333"/>
                <w:sz w:val="18"/>
              </w:rPr>
              <w:t>0.7</w:t>
            </w:r>
          </w:p>
        </w:tc>
        <w:tc>
          <w:tcPr>
            <w:tcW w:type="dxa" w:w="1680"/>
          </w:tcPr>
          <w:p>
            <w:r>
              <w:rPr>
                <w:rFonts w:ascii="Calibri" w:hAnsi="Calibri"/>
                <w:color w:val="333333"/>
                <w:sz w:val="18"/>
              </w:rPr>
              <w:t>11%</w:t>
            </w:r>
          </w:p>
        </w:tc>
        <w:tc>
          <w:tcPr>
            <w:tcW w:type="dxa" w:w="1680"/>
          </w:tcPr>
          <w:p>
            <w:r>
              <w:rPr>
                <w:rFonts w:ascii="Calibri" w:hAnsi="Calibri"/>
                <w:color w:val="333333"/>
                <w:sz w:val="18"/>
              </w:rPr>
              <w:t>Signal-driven scoring: 42 signals, coverage=100%</w:t>
            </w:r>
          </w:p>
        </w:tc>
      </w:tr>
      <w:tr>
        <w:tc>
          <w:tcPr>
            <w:tcW w:type="dxa" w:w="1680"/>
            <w:shd w:fill="F2F4F8" w:val="clear"/>
          </w:tcPr>
          <w:p>
            <w:r>
              <w:rPr>
                <w:rFonts w:ascii="Calibri" w:hAnsi="Calibri"/>
                <w:color w:val="333333"/>
                <w:sz w:val="18"/>
              </w:rPr>
              <w:t>F10</w:t>
            </w:r>
          </w:p>
        </w:tc>
        <w:tc>
          <w:tcPr>
            <w:tcW w:type="dxa" w:w="1680"/>
            <w:shd w:fill="F2F4F8" w:val="clear"/>
          </w:tcPr>
          <w:p>
            <w:r>
              <w:rPr>
                <w:rFonts w:ascii="Calibri" w:hAnsi="Calibri"/>
                <w:color w:val="333333"/>
                <w:sz w:val="18"/>
              </w:rPr>
              <w:t>Officer Stability</w:t>
            </w:r>
          </w:p>
        </w:tc>
        <w:tc>
          <w:tcPr>
            <w:tcW w:type="dxa" w:w="1680"/>
            <w:shd w:fill="F2F4F8" w:val="clear"/>
          </w:tcPr>
          <w:p>
            <w:r>
              <w:rPr>
                <w:rFonts w:ascii="Calibri" w:hAnsi="Calibri"/>
                <w:color w:val="333333"/>
                <w:sz w:val="18"/>
              </w:rPr>
              <w:t>2</w:t>
            </w:r>
          </w:p>
        </w:tc>
        <w:tc>
          <w:tcPr>
            <w:tcW w:type="dxa" w:w="1680"/>
            <w:shd w:fill="F2F4F8" w:val="clear"/>
          </w:tcPr>
          <w:p>
            <w:r>
              <w:rPr>
                <w:rFonts w:ascii="Calibri" w:hAnsi="Calibri"/>
                <w:color w:val="333333"/>
                <w:sz w:val="18"/>
              </w:rPr>
              <w:t>0.2</w:t>
            </w:r>
          </w:p>
        </w:tc>
        <w:tc>
          <w:tcPr>
            <w:tcW w:type="dxa" w:w="1680"/>
            <w:shd w:fill="F2F4F8" w:val="clear"/>
          </w:tcPr>
          <w:p>
            <w:r>
              <w:rPr>
                <w:rFonts w:ascii="Calibri" w:hAnsi="Calibri"/>
                <w:color w:val="333333"/>
                <w:sz w:val="18"/>
              </w:rPr>
              <w:t>8%</w:t>
            </w:r>
          </w:p>
        </w:tc>
        <w:tc>
          <w:tcPr>
            <w:tcW w:type="dxa" w:w="1680"/>
            <w:shd w:fill="F2F4F8" w:val="clear"/>
          </w:tcPr>
          <w:p>
            <w:r>
              <w:rPr>
                <w:rFonts w:ascii="Calibri" w:hAnsi="Calibri"/>
                <w:color w:val="333333"/>
                <w:sz w:val="18"/>
              </w:rPr>
              <w:t>Signal-driven scoring: 89 signals, coverage=100%</w:t>
            </w:r>
          </w:p>
        </w:tc>
      </w:tr>
    </w:tbl>
    <w:p>
      <w:pPr>
        <w:pStyle w:val="DOHeading3"/>
      </w:pPr>
      <w:r>
        <w:t>10-Factor Risk Profile</w:t>
      </w:r>
    </w:p>
    <w:p>
      <w:r>
        <w:drawing>
          <wp:inline xmlns:a="http://schemas.openxmlformats.org/drawingml/2006/main" xmlns:pic="http://schemas.openxmlformats.org/drawingml/2006/picture">
            <wp:extent cx="5943600" cy="5605068"/>
            <wp:docPr id="14" name="Picture 1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943600" cy="5605068"/>
                    </a:xfrm>
                    <a:prstGeom prst="rect"/>
                  </pic:spPr>
                </pic:pic>
              </a:graphicData>
            </a:graphic>
          </wp:inline>
        </w:drawing>
      </w:r>
    </w:p>
    <w:p>
      <w:pPr>
        <w:pStyle w:val="DOCaption"/>
      </w:pPr>
      <w:r>
        <w:t>Figure: Radar chart showing risk fraction (points deducted / max) for each of the 10 scoring factors. Larger area = higher risk.</w:t>
      </w:r>
    </w:p>
    <w:p>
      <w:pPr>
        <w:pStyle w:val="DOHeading3"/>
      </w:pPr>
      <w:r>
        <w:t>Red Flag Gates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Severity</w:t>
            </w:r>
          </w:p>
        </w:tc>
        <w:tc>
          <w:tcPr>
            <w:tcW w:type="dxa" w:w="2016"/>
            <w:shd w:fill="1A1446" w:val="clear"/>
          </w:tcPr>
          <w:p>
            <w:r>
              <w:rPr>
                <w:rFonts w:ascii="Calibri" w:hAnsi="Calibri"/>
                <w:b/>
                <w:color w:val="FFFFFF"/>
                <w:sz w:val="18"/>
              </w:rPr>
              <w:t>Description</w:t>
            </w:r>
          </w:p>
        </w:tc>
        <w:tc>
          <w:tcPr>
            <w:tcW w:type="dxa" w:w="2016"/>
            <w:shd w:fill="1A1446" w:val="clear"/>
          </w:tcPr>
          <w:p>
            <w:r>
              <w:rPr>
                <w:rFonts w:ascii="Calibri" w:hAnsi="Calibri"/>
                <w:b/>
                <w:color w:val="FFFFFF"/>
                <w:sz w:val="18"/>
              </w:rPr>
              <w:t>Source</w:t>
            </w:r>
          </w:p>
        </w:tc>
        <w:tc>
          <w:tcPr>
            <w:tcW w:type="dxa" w:w="2016"/>
            <w:shd w:fill="1A1446" w:val="clear"/>
          </w:tcPr>
          <w:p>
            <w:r>
              <w:rPr>
                <w:rFonts w:ascii="Calibri" w:hAnsi="Calibri"/>
                <w:b/>
                <w:color w:val="FFFFFF"/>
                <w:sz w:val="18"/>
              </w:rPr>
              <w:t>Impact</w:t>
            </w:r>
          </w:p>
        </w:tc>
        <w:tc>
          <w:tcPr>
            <w:tcW w:type="dxa" w:w="2016"/>
            <w:shd w:fill="1A1446" w:val="clear"/>
          </w:tcPr>
          <w:p>
            <w:r>
              <w:rPr>
                <w:rFonts w:ascii="Calibri" w:hAnsi="Calibri"/>
                <w:b/>
                <w:color w:val="FFFFFF"/>
                <w:sz w:val="18"/>
              </w:rPr>
              <w:t>Trajectory</w:t>
            </w:r>
          </w:p>
        </w:tc>
      </w:tr>
      <w:tr>
        <w:tc>
          <w:tcPr>
            <w:tcW w:type="dxa" w:w="2016"/>
          </w:tcPr>
          <w:p>
            <w:r>
              <w:rPr>
                <w:rFonts w:ascii="Calibri" w:hAnsi="Calibri"/>
                <w:color w:val="333333"/>
                <w:sz w:val="18"/>
              </w:rPr>
              <w:t>LOW</w:t>
            </w:r>
          </w:p>
        </w:tc>
        <w:tc>
          <w:tcPr>
            <w:tcW w:type="dxa" w:w="2016"/>
          </w:tcPr>
          <w:p>
            <w:r>
              <w:rPr>
                <w:rFonts w:ascii="Calibri" w:hAnsi="Calibri"/>
                <w:color w:val="333333"/>
                <w:sz w:val="18"/>
              </w:rPr>
              <w:t>Prior Litigation: 3/20 points</w:t>
            </w:r>
          </w:p>
        </w:tc>
        <w:tc>
          <w:tcPr>
            <w:tcW w:type="dxa" w:w="2016"/>
          </w:tcPr>
          <w:p>
            <w:r>
              <w:rPr>
                <w:rFonts w:ascii="Calibri" w:hAnsi="Calibri"/>
                <w:color w:val="333333"/>
                <w:sz w:val="18"/>
              </w:rPr>
              <w:t>Signal-driven scoring: 69 signals, coverage=100%</w:t>
            </w:r>
          </w:p>
        </w:tc>
        <w:tc>
          <w:tcPr>
            <w:tcW w:type="dxa" w:w="2016"/>
          </w:tcPr>
          <w:p>
            <w:r>
              <w:rPr>
                <w:rFonts w:ascii="Calibri" w:hAnsi="Calibri"/>
                <w:color w:val="333333"/>
                <w:sz w:val="18"/>
              </w:rPr>
              <w:t>F1: 3 pts</w:t>
            </w:r>
          </w:p>
        </w:tc>
        <w:tc>
          <w:tcPr>
            <w:tcW w:type="dxa" w:w="2016"/>
          </w:tcPr>
          <w:p>
            <w:r>
              <w:rPr>
                <w:rFonts w:ascii="Calibri" w:hAnsi="Calibri"/>
                <w:color w:val="333333"/>
                <w:sz w:val="18"/>
              </w:rPr>
              <w:t>NEW</w:t>
            </w:r>
          </w:p>
        </w:tc>
      </w:tr>
      <w:tr>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Stock Decline: 1/15 points</w:t>
            </w:r>
          </w:p>
        </w:tc>
        <w:tc>
          <w:tcPr>
            <w:tcW w:type="dxa" w:w="2016"/>
            <w:shd w:fill="F2F4F8" w:val="clear"/>
          </w:tcPr>
          <w:p>
            <w:r>
              <w:rPr>
                <w:rFonts w:ascii="Calibri" w:hAnsi="Calibri"/>
                <w:color w:val="333333"/>
                <w:sz w:val="18"/>
              </w:rPr>
              <w:t>Signal-driven scoring: 30 signals, coverage=100%; Drop contribution modifier: 0.17x (decay + company-specific + disclosure)</w:t>
            </w:r>
          </w:p>
        </w:tc>
        <w:tc>
          <w:tcPr>
            <w:tcW w:type="dxa" w:w="2016"/>
            <w:shd w:fill="F2F4F8" w:val="clear"/>
          </w:tcPr>
          <w:p>
            <w:r>
              <w:rPr>
                <w:rFonts w:ascii="Calibri" w:hAnsi="Calibri"/>
                <w:color w:val="333333"/>
                <w:sz w:val="18"/>
              </w:rPr>
              <w:t>F2: 1 pts</w:t>
            </w:r>
          </w:p>
        </w:tc>
        <w:tc>
          <w:tcPr>
            <w:tcW w:type="dxa" w:w="2016"/>
            <w:shd w:fill="F2F4F8" w:val="clear"/>
          </w:tcPr>
          <w:p>
            <w:r>
              <w:rPr>
                <w:rFonts w:ascii="Calibri" w:hAnsi="Calibri"/>
                <w:color w:val="333333"/>
                <w:sz w:val="18"/>
              </w:rPr>
              <w:t>NEW</w:t>
            </w:r>
          </w:p>
        </w:tc>
      </w:tr>
      <w:tr>
        <w:tc>
          <w:tcPr>
            <w:tcW w:type="dxa" w:w="2016"/>
          </w:tcPr>
          <w:p>
            <w:r>
              <w:rPr>
                <w:rFonts w:ascii="Calibri" w:hAnsi="Calibri"/>
                <w:color w:val="333333"/>
                <w:sz w:val="18"/>
              </w:rPr>
              <w:t>LOW</w:t>
            </w:r>
          </w:p>
        </w:tc>
        <w:tc>
          <w:tcPr>
            <w:tcW w:type="dxa" w:w="2016"/>
          </w:tcPr>
          <w:p>
            <w:r>
              <w:rPr>
                <w:rFonts w:ascii="Calibri" w:hAnsi="Calibri"/>
                <w:color w:val="333333"/>
                <w:sz w:val="18"/>
              </w:rPr>
              <w:t>Restatement/Audit Issues: 2/12 points</w:t>
            </w:r>
          </w:p>
        </w:tc>
        <w:tc>
          <w:tcPr>
            <w:tcW w:type="dxa" w:w="2016"/>
          </w:tcPr>
          <w:p>
            <w:r>
              <w:rPr>
                <w:rFonts w:ascii="Calibri" w:hAnsi="Calibri"/>
                <w:color w:val="333333"/>
                <w:sz w:val="18"/>
              </w:rPr>
              <w:t>Signal-driven scoring: 92 signals, coverage=100%</w:t>
            </w:r>
          </w:p>
        </w:tc>
        <w:tc>
          <w:tcPr>
            <w:tcW w:type="dxa" w:w="2016"/>
          </w:tcPr>
          <w:p>
            <w:r>
              <w:rPr>
                <w:rFonts w:ascii="Calibri" w:hAnsi="Calibri"/>
                <w:color w:val="333333"/>
                <w:sz w:val="18"/>
              </w:rPr>
              <w:t>F3: 2 pts</w:t>
            </w:r>
          </w:p>
        </w:tc>
        <w:tc>
          <w:tcPr>
            <w:tcW w:type="dxa" w:w="2016"/>
          </w:tcPr>
          <w:p>
            <w:r>
              <w:rPr>
                <w:rFonts w:ascii="Calibri" w:hAnsi="Calibri"/>
                <w:color w:val="333333"/>
                <w:sz w:val="18"/>
              </w:rPr>
              <w:t>NEW</w:t>
            </w:r>
          </w:p>
        </w:tc>
      </w:tr>
      <w:tr>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IPO/SPAC/M&amp;A: 2/10 points</w:t>
            </w:r>
          </w:p>
        </w:tc>
        <w:tc>
          <w:tcPr>
            <w:tcW w:type="dxa" w:w="2016"/>
            <w:shd w:fill="F2F4F8" w:val="clear"/>
          </w:tcPr>
          <w:p>
            <w:r>
              <w:rPr>
                <w:rFonts w:ascii="Calibri" w:hAnsi="Calibri"/>
                <w:color w:val="333333"/>
                <w:sz w:val="18"/>
              </w:rPr>
              <w:t>Signal-driven scoring: 19 signals, coverage=100%</w:t>
            </w:r>
          </w:p>
        </w:tc>
        <w:tc>
          <w:tcPr>
            <w:tcW w:type="dxa" w:w="2016"/>
            <w:shd w:fill="F2F4F8" w:val="clear"/>
          </w:tcPr>
          <w:p>
            <w:r>
              <w:rPr>
                <w:rFonts w:ascii="Calibri" w:hAnsi="Calibri"/>
                <w:color w:val="333333"/>
                <w:sz w:val="18"/>
              </w:rPr>
              <w:t>F4: 2 pts</w:t>
            </w:r>
          </w:p>
        </w:tc>
        <w:tc>
          <w:tcPr>
            <w:tcW w:type="dxa" w:w="2016"/>
            <w:shd w:fill="F2F4F8" w:val="clear"/>
          </w:tcPr>
          <w:p>
            <w:r>
              <w:rPr>
                <w:rFonts w:ascii="Calibri" w:hAnsi="Calibri"/>
                <w:color w:val="333333"/>
                <w:sz w:val="18"/>
              </w:rPr>
              <w:t>NEW</w:t>
            </w:r>
          </w:p>
        </w:tc>
      </w:tr>
      <w:tr>
        <w:tc>
          <w:tcPr>
            <w:tcW w:type="dxa" w:w="2016"/>
          </w:tcPr>
          <w:p>
            <w:r>
              <w:rPr>
                <w:rFonts w:ascii="Calibri" w:hAnsi="Calibri"/>
                <w:color w:val="333333"/>
                <w:sz w:val="18"/>
              </w:rPr>
              <w:t>LOW</w:t>
            </w:r>
          </w:p>
        </w:tc>
        <w:tc>
          <w:tcPr>
            <w:tcW w:type="dxa" w:w="2016"/>
          </w:tcPr>
          <w:p>
            <w:r>
              <w:rPr>
                <w:rFonts w:ascii="Calibri" w:hAnsi="Calibri"/>
                <w:color w:val="333333"/>
                <w:sz w:val="18"/>
              </w:rPr>
              <w:t>Guidance Misses: 0/13 points</w:t>
            </w:r>
          </w:p>
        </w:tc>
        <w:tc>
          <w:tcPr>
            <w:tcW w:type="dxa" w:w="2016"/>
          </w:tcPr>
          <w:p>
            <w:r>
              <w:rPr>
                <w:rFonts w:ascii="Calibri" w:hAnsi="Calibri"/>
                <w:color w:val="333333"/>
                <w:sz w:val="18"/>
              </w:rPr>
              <w:t>Signal-driven scoring: 28 signals, coverage=100%</w:t>
            </w:r>
          </w:p>
        </w:tc>
        <w:tc>
          <w:tcPr>
            <w:tcW w:type="dxa" w:w="2016"/>
          </w:tcPr>
          <w:p>
            <w:r>
              <w:rPr>
                <w:rFonts w:ascii="Calibri" w:hAnsi="Calibri"/>
                <w:color w:val="333333"/>
                <w:sz w:val="18"/>
              </w:rPr>
              <w:t>F5: 0 pts</w:t>
            </w:r>
          </w:p>
        </w:tc>
        <w:tc>
          <w:tcPr>
            <w:tcW w:type="dxa" w:w="2016"/>
          </w:tcPr>
          <w:p>
            <w:r>
              <w:rPr>
                <w:rFonts w:ascii="Calibri" w:hAnsi="Calibri"/>
                <w:color w:val="333333"/>
                <w:sz w:val="18"/>
              </w:rPr>
              <w:t>NEW</w:t>
            </w:r>
          </w:p>
        </w:tc>
      </w:tr>
      <w:tr>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Short Interest: 2/8 points</w:t>
            </w:r>
          </w:p>
        </w:tc>
        <w:tc>
          <w:tcPr>
            <w:tcW w:type="dxa" w:w="2016"/>
            <w:shd w:fill="F2F4F8" w:val="clear"/>
          </w:tcPr>
          <w:p>
            <w:r>
              <w:rPr>
                <w:rFonts w:ascii="Calibri" w:hAnsi="Calibri"/>
                <w:color w:val="333333"/>
                <w:sz w:val="18"/>
              </w:rPr>
              <w:t>Signal-driven scoring: 30 signals, coverage=100%</w:t>
            </w:r>
          </w:p>
        </w:tc>
        <w:tc>
          <w:tcPr>
            <w:tcW w:type="dxa" w:w="2016"/>
            <w:shd w:fill="F2F4F8" w:val="clear"/>
          </w:tcPr>
          <w:p>
            <w:r>
              <w:rPr>
                <w:rFonts w:ascii="Calibri" w:hAnsi="Calibri"/>
                <w:color w:val="333333"/>
                <w:sz w:val="18"/>
              </w:rPr>
              <w:t>F6: 2 pts</w:t>
            </w:r>
          </w:p>
        </w:tc>
        <w:tc>
          <w:tcPr>
            <w:tcW w:type="dxa" w:w="2016"/>
            <w:shd w:fill="F2F4F8" w:val="clear"/>
          </w:tcPr>
          <w:p>
            <w:r>
              <w:rPr>
                <w:rFonts w:ascii="Calibri" w:hAnsi="Calibri"/>
                <w:color w:val="333333"/>
                <w:sz w:val="18"/>
              </w:rPr>
              <w:t>NEW</w:t>
            </w:r>
          </w:p>
        </w:tc>
      </w:tr>
      <w:tr>
        <w:tc>
          <w:tcPr>
            <w:tcW w:type="dxa" w:w="2016"/>
          </w:tcPr>
          <w:p>
            <w:r>
              <w:rPr>
                <w:rFonts w:ascii="Calibri" w:hAnsi="Calibri"/>
                <w:color w:val="333333"/>
                <w:sz w:val="18"/>
              </w:rPr>
              <w:t>LOW</w:t>
            </w:r>
          </w:p>
        </w:tc>
        <w:tc>
          <w:tcPr>
            <w:tcW w:type="dxa" w:w="2016"/>
          </w:tcPr>
          <w:p>
            <w:r>
              <w:rPr>
                <w:rFonts w:ascii="Calibri" w:hAnsi="Calibri"/>
                <w:color w:val="333333"/>
                <w:sz w:val="18"/>
              </w:rPr>
              <w:t>Stock Volatility: 1/7 points</w:t>
            </w:r>
          </w:p>
        </w:tc>
        <w:tc>
          <w:tcPr>
            <w:tcW w:type="dxa" w:w="2016"/>
          </w:tcPr>
          <w:p>
            <w:r>
              <w:rPr>
                <w:rFonts w:ascii="Calibri" w:hAnsi="Calibri"/>
                <w:color w:val="333333"/>
                <w:sz w:val="18"/>
              </w:rPr>
              <w:t>Signal-driven scoring: 27 signals, coverage=100%</w:t>
            </w:r>
          </w:p>
        </w:tc>
        <w:tc>
          <w:tcPr>
            <w:tcW w:type="dxa" w:w="2016"/>
          </w:tcPr>
          <w:p>
            <w:r>
              <w:rPr>
                <w:rFonts w:ascii="Calibri" w:hAnsi="Calibri"/>
                <w:color w:val="333333"/>
                <w:sz w:val="18"/>
              </w:rPr>
              <w:t>F7: 1 pts</w:t>
            </w:r>
          </w:p>
        </w:tc>
        <w:tc>
          <w:tcPr>
            <w:tcW w:type="dxa" w:w="2016"/>
          </w:tcPr>
          <w:p>
            <w:r>
              <w:rPr>
                <w:rFonts w:ascii="Calibri" w:hAnsi="Calibri"/>
                <w:color w:val="333333"/>
                <w:sz w:val="18"/>
              </w:rPr>
              <w:t>NEW</w:t>
            </w:r>
          </w:p>
        </w:tc>
      </w:tr>
      <w:tr>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Governance Issues: 1/6 points</w:t>
            </w:r>
          </w:p>
        </w:tc>
        <w:tc>
          <w:tcPr>
            <w:tcW w:type="dxa" w:w="2016"/>
            <w:shd w:fill="F2F4F8" w:val="clear"/>
          </w:tcPr>
          <w:p>
            <w:r>
              <w:rPr>
                <w:rFonts w:ascii="Calibri" w:hAnsi="Calibri"/>
                <w:color w:val="333333"/>
                <w:sz w:val="18"/>
              </w:rPr>
              <w:t>Signal-driven scoring: 42 signals, coverage=100%</w:t>
            </w:r>
          </w:p>
        </w:tc>
        <w:tc>
          <w:tcPr>
            <w:tcW w:type="dxa" w:w="2016"/>
            <w:shd w:fill="F2F4F8" w:val="clear"/>
          </w:tcPr>
          <w:p>
            <w:r>
              <w:rPr>
                <w:rFonts w:ascii="Calibri" w:hAnsi="Calibri"/>
                <w:color w:val="333333"/>
                <w:sz w:val="18"/>
              </w:rPr>
              <w:t>F9: 1 pts</w:t>
            </w:r>
          </w:p>
        </w:tc>
        <w:tc>
          <w:tcPr>
            <w:tcW w:type="dxa" w:w="2016"/>
            <w:shd w:fill="F2F4F8" w:val="clear"/>
          </w:tcPr>
          <w:p>
            <w:r>
              <w:rPr>
                <w:rFonts w:ascii="Calibri" w:hAnsi="Calibri"/>
                <w:color w:val="333333"/>
                <w:sz w:val="18"/>
              </w:rPr>
              <w:t>NEW</w:t>
            </w:r>
          </w:p>
        </w:tc>
      </w:tr>
      <w:tr>
        <w:tc>
          <w:tcPr>
            <w:tcW w:type="dxa" w:w="2016"/>
          </w:tcPr>
          <w:p>
            <w:r>
              <w:rPr>
                <w:rFonts w:ascii="Calibri" w:hAnsi="Calibri"/>
                <w:color w:val="333333"/>
                <w:sz w:val="18"/>
              </w:rPr>
              <w:t>LOW</w:t>
            </w:r>
          </w:p>
        </w:tc>
        <w:tc>
          <w:tcPr>
            <w:tcW w:type="dxa" w:w="2016"/>
          </w:tcPr>
          <w:p>
            <w:r>
              <w:rPr>
                <w:rFonts w:ascii="Calibri" w:hAnsi="Calibri"/>
                <w:color w:val="333333"/>
                <w:sz w:val="18"/>
              </w:rPr>
              <w:t>Officer Stability: 0/2 points</w:t>
            </w:r>
          </w:p>
        </w:tc>
        <w:tc>
          <w:tcPr>
            <w:tcW w:type="dxa" w:w="2016"/>
          </w:tcPr>
          <w:p>
            <w:r>
              <w:rPr>
                <w:rFonts w:ascii="Calibri" w:hAnsi="Calibri"/>
                <w:color w:val="333333"/>
                <w:sz w:val="18"/>
              </w:rPr>
              <w:t>Signal-driven scoring: 89 signals, coverage=100%</w:t>
            </w:r>
          </w:p>
        </w:tc>
        <w:tc>
          <w:tcPr>
            <w:tcW w:type="dxa" w:w="2016"/>
          </w:tcPr>
          <w:p>
            <w:r>
              <w:rPr>
                <w:rFonts w:ascii="Calibri" w:hAnsi="Calibri"/>
                <w:color w:val="333333"/>
                <w:sz w:val="18"/>
              </w:rPr>
              <w:t>F10: 0 pts</w:t>
            </w:r>
          </w:p>
        </w:tc>
        <w:tc>
          <w:tcPr>
            <w:tcW w:type="dxa" w:w="2016"/>
          </w:tcPr>
          <w:p>
            <w:r>
              <w:rPr>
                <w:rFonts w:ascii="Calibri" w:hAnsi="Calibri"/>
                <w:color w:val="333333"/>
                <w:sz w:val="18"/>
              </w:rPr>
              <w:t>NEW</w:t>
            </w:r>
          </w:p>
        </w:tc>
      </w:tr>
    </w:tbl>
    <w:p>
      <w:pPr>
        <w:pStyle w:val="DOBody"/>
      </w:pPr>
      <w:r>
        <w:t>Critical: 0, High: 0, Moderate: 0, Low: 9</w:t>
      </w:r>
    </w:p>
    <w:p>
      <w:pPr>
        <w:pStyle w:val="DOHeading3"/>
      </w:pPr>
      <w:r>
        <w:t>Risk Type Classification</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Attribute</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Primary Risk Type</w:t>
            </w:r>
          </w:p>
        </w:tc>
        <w:tc>
          <w:tcPr>
            <w:tcW w:type="dxa" w:w="5040"/>
          </w:tcPr>
          <w:p>
            <w:r>
              <w:rPr>
                <w:rFonts w:ascii="Calibri" w:hAnsi="Calibri"/>
                <w:color w:val="333333"/>
                <w:sz w:val="18"/>
              </w:rPr>
              <w:t>GUIDANCE_DEPENDENT</w:t>
            </w:r>
          </w:p>
        </w:tc>
      </w:tr>
      <w:tr>
        <w:tc>
          <w:tcPr>
            <w:tcW w:type="dxa" w:w="5040"/>
            <w:shd w:fill="F2F4F8" w:val="clear"/>
          </w:tcPr>
          <w:p>
            <w:r>
              <w:rPr>
                <w:rFonts w:ascii="Calibri" w:hAnsi="Calibri"/>
                <w:color w:val="333333"/>
                <w:sz w:val="18"/>
              </w:rPr>
              <w:t>Supporting Evidence</w:t>
            </w:r>
          </w:p>
        </w:tc>
        <w:tc>
          <w:tcPr>
            <w:tcW w:type="dxa" w:w="5040"/>
            <w:shd w:fill="F2F4F8" w:val="clear"/>
          </w:tcPr>
          <w:p>
            <w:r>
              <w:rPr>
                <w:rFonts w:ascii="Calibri" w:hAnsi="Calibri"/>
                <w:color w:val="333333"/>
                <w:sz w:val="18"/>
              </w:rPr>
              <w:t>F5 guidance misses: 0.4018181818181818 points; Issues guidance (philosophy: CONSERVATIVE)</w:t>
            </w:r>
          </w:p>
        </w:tc>
      </w:tr>
    </w:tbl>
    <w:p>
      <w:pPr>
        <w:pStyle w:val="DOHeading3"/>
      </w:pPr>
      <w:r>
        <w:t>Severity Scenarios</w:t>
      </w:r>
    </w:p>
    <w:p>
      <w:pPr>
        <w:pStyle w:val="DOBody"/>
      </w:pPr>
      <w:r>
        <w:t>Analysis based on market cap: $4.3T</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Percentile</w:t>
            </w:r>
          </w:p>
        </w:tc>
        <w:tc>
          <w:tcPr>
            <w:tcW w:type="dxa" w:w="2016"/>
            <w:shd w:fill="1A1446" w:val="clear"/>
          </w:tcPr>
          <w:p>
            <w:r>
              <w:rPr>
                <w:rFonts w:ascii="Calibri" w:hAnsi="Calibri"/>
                <w:b/>
                <w:color w:val="FFFFFF"/>
                <w:sz w:val="18"/>
              </w:rPr>
              <w:t>Label</w:t>
            </w:r>
          </w:p>
        </w:tc>
        <w:tc>
          <w:tcPr>
            <w:tcW w:type="dxa" w:w="2016"/>
            <w:shd w:fill="1A1446" w:val="clear"/>
          </w:tcPr>
          <w:p>
            <w:r>
              <w:rPr>
                <w:rFonts w:ascii="Calibri" w:hAnsi="Calibri"/>
                <w:b/>
                <w:color w:val="FFFFFF"/>
                <w:sz w:val="18"/>
              </w:rPr>
              <w:t>Settlement Est.</w:t>
            </w:r>
          </w:p>
        </w:tc>
        <w:tc>
          <w:tcPr>
            <w:tcW w:type="dxa" w:w="2016"/>
            <w:shd w:fill="1A1446" w:val="clear"/>
          </w:tcPr>
          <w:p>
            <w:r>
              <w:rPr>
                <w:rFonts w:ascii="Calibri" w:hAnsi="Calibri"/>
                <w:b/>
                <w:color w:val="FFFFFF"/>
                <w:sz w:val="18"/>
              </w:rPr>
              <w:t>Defense Costs</w:t>
            </w:r>
          </w:p>
        </w:tc>
        <w:tc>
          <w:tcPr>
            <w:tcW w:type="dxa" w:w="2016"/>
            <w:shd w:fill="1A1446" w:val="clear"/>
          </w:tcPr>
          <w:p>
            <w:r>
              <w:rPr>
                <w:rFonts w:ascii="Calibri" w:hAnsi="Calibri"/>
                <w:b/>
                <w:color w:val="FFFFFF"/>
                <w:sz w:val="18"/>
              </w:rPr>
              <w:t>Total Exposure</w:t>
            </w:r>
          </w:p>
        </w:tc>
      </w:tr>
      <w:tr>
        <w:tc>
          <w:tcPr>
            <w:tcW w:type="dxa" w:w="2016"/>
          </w:tcPr>
          <w:p>
            <w:r>
              <w:rPr>
                <w:rFonts w:ascii="Calibri" w:hAnsi="Calibri"/>
                <w:color w:val="333333"/>
                <w:sz w:val="18"/>
              </w:rPr>
              <w:t>25th</w:t>
            </w:r>
          </w:p>
        </w:tc>
        <w:tc>
          <w:tcPr>
            <w:tcW w:type="dxa" w:w="2016"/>
          </w:tcPr>
          <w:p>
            <w:r>
              <w:rPr>
                <w:rFonts w:ascii="Calibri" w:hAnsi="Calibri"/>
                <w:color w:val="333333"/>
                <w:sz w:val="18"/>
              </w:rPr>
              <w:t>favorable</w:t>
            </w:r>
          </w:p>
        </w:tc>
        <w:tc>
          <w:tcPr>
            <w:tcW w:type="dxa" w:w="2016"/>
          </w:tcPr>
          <w:p>
            <w:r>
              <w:rPr>
                <w:rFonts w:ascii="Calibri" w:hAnsi="Calibri"/>
                <w:color w:val="333333"/>
                <w:sz w:val="18"/>
              </w:rPr>
              <w:t>$942.8M</w:t>
            </w:r>
          </w:p>
        </w:tc>
        <w:tc>
          <w:tcPr>
            <w:tcW w:type="dxa" w:w="2016"/>
          </w:tcPr>
          <w:p>
            <w:r>
              <w:rPr>
                <w:rFonts w:ascii="Calibri" w:hAnsi="Calibri"/>
                <w:color w:val="333333"/>
                <w:sz w:val="18"/>
              </w:rPr>
              <w:t>$141.4M</w:t>
            </w:r>
          </w:p>
        </w:tc>
        <w:tc>
          <w:tcPr>
            <w:tcW w:type="dxa" w:w="2016"/>
          </w:tcPr>
          <w:p>
            <w:r>
              <w:rPr>
                <w:rFonts w:ascii="Calibri" w:hAnsi="Calibri"/>
                <w:color w:val="333333"/>
                <w:sz w:val="18"/>
              </w:rPr>
              <w:t>$1.1B</w:t>
            </w:r>
          </w:p>
        </w:tc>
      </w:tr>
      <w:tr>
        <w:tc>
          <w:tcPr>
            <w:tcW w:type="dxa" w:w="2016"/>
            <w:shd w:fill="F2F4F8" w:val="clear"/>
          </w:tcPr>
          <w:p>
            <w:r>
              <w:rPr>
                <w:rFonts w:ascii="Calibri" w:hAnsi="Calibri"/>
                <w:color w:val="333333"/>
                <w:sz w:val="18"/>
              </w:rPr>
              <w:t>50th</w:t>
            </w:r>
          </w:p>
        </w:tc>
        <w:tc>
          <w:tcPr>
            <w:tcW w:type="dxa" w:w="2016"/>
            <w:shd w:fill="F2F4F8" w:val="clear"/>
          </w:tcPr>
          <w:p>
            <w:r>
              <w:rPr>
                <w:rFonts w:ascii="Calibri" w:hAnsi="Calibri"/>
                <w:color w:val="333333"/>
                <w:sz w:val="18"/>
              </w:rPr>
              <w:t>median</w:t>
            </w:r>
          </w:p>
        </w:tc>
        <w:tc>
          <w:tcPr>
            <w:tcW w:type="dxa" w:w="2016"/>
            <w:shd w:fill="F2F4F8" w:val="clear"/>
          </w:tcPr>
          <w:p>
            <w:r>
              <w:rPr>
                <w:rFonts w:ascii="Calibri" w:hAnsi="Calibri"/>
                <w:color w:val="333333"/>
                <w:sz w:val="18"/>
              </w:rPr>
              <w:t>$1.9B</w:t>
            </w:r>
          </w:p>
        </w:tc>
        <w:tc>
          <w:tcPr>
            <w:tcW w:type="dxa" w:w="2016"/>
            <w:shd w:fill="F2F4F8" w:val="clear"/>
          </w:tcPr>
          <w:p>
            <w:r>
              <w:rPr>
                <w:rFonts w:ascii="Calibri" w:hAnsi="Calibri"/>
                <w:color w:val="333333"/>
                <w:sz w:val="18"/>
              </w:rPr>
              <w:t>$377.1M</w:t>
            </w:r>
          </w:p>
        </w:tc>
        <w:tc>
          <w:tcPr>
            <w:tcW w:type="dxa" w:w="2016"/>
            <w:shd w:fill="F2F4F8" w:val="clear"/>
          </w:tcPr>
          <w:p>
            <w:r>
              <w:rPr>
                <w:rFonts w:ascii="Calibri" w:hAnsi="Calibri"/>
                <w:color w:val="333333"/>
                <w:sz w:val="18"/>
              </w:rPr>
              <w:t>$2.3B</w:t>
            </w:r>
          </w:p>
        </w:tc>
      </w:tr>
      <w:tr>
        <w:tc>
          <w:tcPr>
            <w:tcW w:type="dxa" w:w="2016"/>
          </w:tcPr>
          <w:p>
            <w:r>
              <w:rPr>
                <w:rFonts w:ascii="Calibri" w:hAnsi="Calibri"/>
                <w:color w:val="333333"/>
                <w:sz w:val="18"/>
              </w:rPr>
              <w:t>75th</w:t>
            </w:r>
          </w:p>
        </w:tc>
        <w:tc>
          <w:tcPr>
            <w:tcW w:type="dxa" w:w="2016"/>
          </w:tcPr>
          <w:p>
            <w:r>
              <w:rPr>
                <w:rFonts w:ascii="Calibri" w:hAnsi="Calibri"/>
                <w:color w:val="333333"/>
                <w:sz w:val="18"/>
              </w:rPr>
              <w:t>adverse</w:t>
            </w:r>
          </w:p>
        </w:tc>
        <w:tc>
          <w:tcPr>
            <w:tcW w:type="dxa" w:w="2016"/>
          </w:tcPr>
          <w:p>
            <w:r>
              <w:rPr>
                <w:rFonts w:ascii="Calibri" w:hAnsi="Calibri"/>
                <w:color w:val="333333"/>
                <w:sz w:val="18"/>
              </w:rPr>
              <w:t>$3.8B</w:t>
            </w:r>
          </w:p>
        </w:tc>
        <w:tc>
          <w:tcPr>
            <w:tcW w:type="dxa" w:w="2016"/>
          </w:tcPr>
          <w:p>
            <w:r>
              <w:rPr>
                <w:rFonts w:ascii="Calibri" w:hAnsi="Calibri"/>
                <w:color w:val="333333"/>
                <w:sz w:val="18"/>
              </w:rPr>
              <w:t>$942.8M</w:t>
            </w:r>
          </w:p>
        </w:tc>
        <w:tc>
          <w:tcPr>
            <w:tcW w:type="dxa" w:w="2016"/>
          </w:tcPr>
          <w:p>
            <w:r>
              <w:rPr>
                <w:rFonts w:ascii="Calibri" w:hAnsi="Calibri"/>
                <w:color w:val="333333"/>
                <w:sz w:val="18"/>
              </w:rPr>
              <w:t>$4.7B</w:t>
            </w:r>
          </w:p>
        </w:tc>
      </w:tr>
      <w:tr>
        <w:tc>
          <w:tcPr>
            <w:tcW w:type="dxa" w:w="2016"/>
            <w:shd w:fill="F2F4F8" w:val="clear"/>
          </w:tcPr>
          <w:p>
            <w:r>
              <w:rPr>
                <w:rFonts w:ascii="Calibri" w:hAnsi="Calibri"/>
                <w:color w:val="333333"/>
                <w:sz w:val="18"/>
              </w:rPr>
              <w:t>95th</w:t>
            </w:r>
          </w:p>
        </w:tc>
        <w:tc>
          <w:tcPr>
            <w:tcW w:type="dxa" w:w="2016"/>
            <w:shd w:fill="F2F4F8" w:val="clear"/>
          </w:tcPr>
          <w:p>
            <w:r>
              <w:rPr>
                <w:rFonts w:ascii="Calibri" w:hAnsi="Calibri"/>
                <w:color w:val="333333"/>
                <w:sz w:val="18"/>
              </w:rPr>
              <w:t>catastrophic</w:t>
            </w:r>
          </w:p>
        </w:tc>
        <w:tc>
          <w:tcPr>
            <w:tcW w:type="dxa" w:w="2016"/>
            <w:shd w:fill="F2F4F8" w:val="clear"/>
          </w:tcPr>
          <w:p>
            <w:r>
              <w:rPr>
                <w:rFonts w:ascii="Calibri" w:hAnsi="Calibri"/>
                <w:color w:val="333333"/>
                <w:sz w:val="18"/>
              </w:rPr>
              <w:t>$7.5B</w:t>
            </w:r>
          </w:p>
        </w:tc>
        <w:tc>
          <w:tcPr>
            <w:tcW w:type="dxa" w:w="2016"/>
            <w:shd w:fill="F2F4F8" w:val="clear"/>
          </w:tcPr>
          <w:p>
            <w:r>
              <w:rPr>
                <w:rFonts w:ascii="Calibri" w:hAnsi="Calibri"/>
                <w:color w:val="333333"/>
                <w:sz w:val="18"/>
              </w:rPr>
              <w:t>$2.3B</w:t>
            </w:r>
          </w:p>
        </w:tc>
        <w:tc>
          <w:tcPr>
            <w:tcW w:type="dxa" w:w="2016"/>
            <w:shd w:fill="F2F4F8" w:val="clear"/>
          </w:tcPr>
          <w:p>
            <w:r>
              <w:rPr>
                <w:rFonts w:ascii="Calibri" w:hAnsi="Calibri"/>
                <w:color w:val="333333"/>
                <w:sz w:val="18"/>
              </w:rPr>
              <w:t>$9.8B</w:t>
            </w:r>
          </w:p>
        </w:tc>
      </w:tr>
    </w:tbl>
    <w:p>
      <w:pPr>
        <w:pStyle w:val="DOHeading3"/>
      </w:pPr>
      <w:r>
        <w:t>Calibration Notes (SECT7-11)</w:t>
      </w:r>
    </w:p>
    <w:p>
      <w:pPr>
        <w:pStyle w:val="DOBody"/>
      </w:pPr>
      <w:r>
        <w:rPr>
          <w:i/>
          <w:sz w:val="16"/>
        </w:rPr>
        <w:t>The following items are flagged NEEDS CALIBRATION and require expert review before final pricing:</w:t>
      </w:r>
    </w:p>
    <w:p>
      <w:pPr>
        <w:pStyle w:val="DOBody"/>
      </w:pPr>
      <w:r>
        <w:t xml:space="preserve">  - SECT7-11: All scoring parameters require calibration against historical cases</w:t>
      </w:r>
    </w:p>
    <w:p>
      <w:pPr>
        <w:pStyle w:val="DOHeading3"/>
      </w:pPr>
      <w:r>
        <w:t>Factor Detail</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Factor</w:t>
            </w:r>
          </w:p>
        </w:tc>
        <w:tc>
          <w:tcPr>
            <w:tcW w:type="dxa" w:w="2016"/>
            <w:shd w:fill="1A1446" w:val="clear"/>
          </w:tcPr>
          <w:p>
            <w:r>
              <w:rPr>
                <w:rFonts w:ascii="Calibri" w:hAnsi="Calibri"/>
                <w:b/>
                <w:color w:val="FFFFFF"/>
                <w:sz w:val="18"/>
              </w:rPr>
              <w:t>Name</w:t>
            </w:r>
          </w:p>
        </w:tc>
        <w:tc>
          <w:tcPr>
            <w:tcW w:type="dxa" w:w="2016"/>
            <w:shd w:fill="1A1446" w:val="clear"/>
          </w:tcPr>
          <w:p>
            <w:r>
              <w:rPr>
                <w:rFonts w:ascii="Calibri" w:hAnsi="Calibri"/>
                <w:b/>
                <w:color w:val="FFFFFF"/>
                <w:sz w:val="18"/>
              </w:rPr>
              <w:t>Deducted</w:t>
            </w:r>
          </w:p>
        </w:tc>
        <w:tc>
          <w:tcPr>
            <w:tcW w:type="dxa" w:w="2016"/>
            <w:shd w:fill="1A1446" w:val="clear"/>
          </w:tcPr>
          <w:p>
            <w:r>
              <w:rPr>
                <w:rFonts w:ascii="Calibri" w:hAnsi="Calibri"/>
                <w:b/>
                <w:color w:val="FFFFFF"/>
                <w:sz w:val="18"/>
              </w:rPr>
              <w:t>Rules Triggered</w:t>
            </w:r>
          </w:p>
        </w:tc>
        <w:tc>
          <w:tcPr>
            <w:tcW w:type="dxa" w:w="2016"/>
            <w:shd w:fill="1A1446" w:val="clear"/>
          </w:tcPr>
          <w:p>
            <w:r>
              <w:rPr>
                <w:rFonts w:ascii="Calibri" w:hAnsi="Calibri"/>
                <w:b/>
                <w:color w:val="FFFFFF"/>
                <w:sz w:val="18"/>
              </w:rPr>
              <w:t>Evidence</w:t>
            </w:r>
          </w:p>
        </w:tc>
      </w:tr>
      <w:tr>
        <w:tc>
          <w:tcPr>
            <w:tcW w:type="dxa" w:w="2016"/>
          </w:tcPr>
          <w:p>
            <w:r>
              <w:rPr>
                <w:rFonts w:ascii="Calibri" w:hAnsi="Calibri"/>
                <w:color w:val="333333"/>
                <w:sz w:val="18"/>
              </w:rPr>
              <w:t>F1</w:t>
            </w:r>
          </w:p>
        </w:tc>
        <w:tc>
          <w:tcPr>
            <w:tcW w:type="dxa" w:w="2016"/>
          </w:tcPr>
          <w:p>
            <w:r>
              <w:rPr>
                <w:rFonts w:ascii="Calibri" w:hAnsi="Calibri"/>
                <w:color w:val="333333"/>
                <w:sz w:val="18"/>
              </w:rPr>
              <w:t>Prior Litigation</w:t>
            </w:r>
          </w:p>
        </w:tc>
        <w:tc>
          <w:tcPr>
            <w:tcW w:type="dxa" w:w="2016"/>
          </w:tcPr>
          <w:p>
            <w:r>
              <w:rPr>
                <w:rFonts w:ascii="Calibri" w:hAnsi="Calibri"/>
                <w:color w:val="333333"/>
                <w:sz w:val="18"/>
              </w:rPr>
              <w:t>3.2</w:t>
            </w:r>
          </w:p>
        </w:tc>
        <w:tc>
          <w:tcPr>
            <w:tcW w:type="dxa" w:w="2016"/>
          </w:tcPr>
          <w:p>
            <w:r>
              <w:rPr>
                <w:rFonts w:ascii="Calibri" w:hAnsi="Calibri"/>
                <w:color w:val="333333"/>
                <w:sz w:val="18"/>
              </w:rPr>
              <w:t>N/A</w:t>
            </w:r>
          </w:p>
        </w:tc>
        <w:tc>
          <w:tcPr>
            <w:tcW w:type="dxa" w:w="2016"/>
          </w:tcPr>
          <w:p>
            <w:r>
              <w:rPr>
                <w:rFonts w:ascii="Calibri" w:hAnsi="Calibri"/>
                <w:color w:val="333333"/>
                <w:sz w:val="18"/>
              </w:rPr>
              <w:t>Signal-driven scoring: 69 signals, coverage=100%</w:t>
            </w:r>
          </w:p>
        </w:tc>
      </w:tr>
      <w:tr>
        <w:tc>
          <w:tcPr>
            <w:tcW w:type="dxa" w:w="2016"/>
            <w:shd w:fill="F2F4F8" w:val="clear"/>
          </w:tcPr>
          <w:p>
            <w:r>
              <w:rPr>
                <w:rFonts w:ascii="Calibri" w:hAnsi="Calibri"/>
                <w:color w:val="333333"/>
                <w:sz w:val="18"/>
              </w:rPr>
              <w:t>F2</w:t>
            </w:r>
          </w:p>
        </w:tc>
        <w:tc>
          <w:tcPr>
            <w:tcW w:type="dxa" w:w="2016"/>
            <w:shd w:fill="F2F4F8" w:val="clear"/>
          </w:tcPr>
          <w:p>
            <w:r>
              <w:rPr>
                <w:rFonts w:ascii="Calibri" w:hAnsi="Calibri"/>
                <w:color w:val="333333"/>
                <w:sz w:val="18"/>
              </w:rPr>
              <w:t>Stock Decline</w:t>
            </w:r>
          </w:p>
        </w:tc>
        <w:tc>
          <w:tcPr>
            <w:tcW w:type="dxa" w:w="2016"/>
            <w:shd w:fill="F2F4F8" w:val="clear"/>
          </w:tcPr>
          <w:p>
            <w:r>
              <w:rPr>
                <w:rFonts w:ascii="Calibri" w:hAnsi="Calibri"/>
                <w:color w:val="333333"/>
                <w:sz w:val="18"/>
              </w:rPr>
              <w:t>0.6</w:t>
            </w:r>
          </w:p>
        </w:tc>
        <w:tc>
          <w:tcPr>
            <w:tcW w:type="dxa" w:w="2016"/>
            <w:shd w:fill="F2F4F8" w:val="clear"/>
          </w:tcPr>
          <w:p>
            <w:r>
              <w:rPr>
                <w:rFonts w:ascii="Calibri" w:hAnsi="Calibri"/>
                <w:color w:val="333333"/>
                <w:sz w:val="18"/>
              </w:rPr>
              <w:t>drop_contribution_adjustment</w:t>
            </w:r>
          </w:p>
        </w:tc>
        <w:tc>
          <w:tcPr>
            <w:tcW w:type="dxa" w:w="2016"/>
            <w:shd w:fill="F2F4F8" w:val="clear"/>
          </w:tcPr>
          <w:p>
            <w:r>
              <w:rPr>
                <w:rFonts w:ascii="Calibri" w:hAnsi="Calibri"/>
                <w:color w:val="333333"/>
                <w:sz w:val="18"/>
              </w:rPr>
              <w:t>Signal-driven scoring: 30 signals, coverage=100%; Drop contribution modifier: 0.17x (decay + company-specific + disclosure)</w:t>
            </w:r>
          </w:p>
        </w:tc>
      </w:tr>
      <w:tr>
        <w:tc>
          <w:tcPr>
            <w:tcW w:type="dxa" w:w="2016"/>
          </w:tcPr>
          <w:p>
            <w:r>
              <w:rPr>
                <w:rFonts w:ascii="Calibri" w:hAnsi="Calibri"/>
                <w:color w:val="333333"/>
                <w:sz w:val="18"/>
              </w:rPr>
              <w:t>F3</w:t>
            </w:r>
          </w:p>
        </w:tc>
        <w:tc>
          <w:tcPr>
            <w:tcW w:type="dxa" w:w="2016"/>
          </w:tcPr>
          <w:p>
            <w:r>
              <w:rPr>
                <w:rFonts w:ascii="Calibri" w:hAnsi="Calibri"/>
                <w:color w:val="333333"/>
                <w:sz w:val="18"/>
              </w:rPr>
              <w:t>Restatement/Audit Issues</w:t>
            </w:r>
          </w:p>
        </w:tc>
        <w:tc>
          <w:tcPr>
            <w:tcW w:type="dxa" w:w="2016"/>
          </w:tcPr>
          <w:p>
            <w:r>
              <w:rPr>
                <w:rFonts w:ascii="Calibri" w:hAnsi="Calibri"/>
                <w:color w:val="333333"/>
                <w:sz w:val="18"/>
              </w:rPr>
              <w:t>1.6</w:t>
            </w:r>
          </w:p>
        </w:tc>
        <w:tc>
          <w:tcPr>
            <w:tcW w:type="dxa" w:w="2016"/>
          </w:tcPr>
          <w:p>
            <w:r>
              <w:rPr>
                <w:rFonts w:ascii="Calibri" w:hAnsi="Calibri"/>
                <w:color w:val="333333"/>
                <w:sz w:val="18"/>
              </w:rPr>
              <w:t>N/A</w:t>
            </w:r>
          </w:p>
        </w:tc>
        <w:tc>
          <w:tcPr>
            <w:tcW w:type="dxa" w:w="2016"/>
          </w:tcPr>
          <w:p>
            <w:r>
              <w:rPr>
                <w:rFonts w:ascii="Calibri" w:hAnsi="Calibri"/>
                <w:color w:val="333333"/>
                <w:sz w:val="18"/>
              </w:rPr>
              <w:t>Signal-driven scoring: 92 signals, coverage=100%</w:t>
            </w:r>
          </w:p>
        </w:tc>
      </w:tr>
      <w:tr>
        <w:tc>
          <w:tcPr>
            <w:tcW w:type="dxa" w:w="2016"/>
            <w:shd w:fill="F2F4F8" w:val="clear"/>
          </w:tcPr>
          <w:p>
            <w:r>
              <w:rPr>
                <w:rFonts w:ascii="Calibri" w:hAnsi="Calibri"/>
                <w:color w:val="333333"/>
                <w:sz w:val="18"/>
              </w:rPr>
              <w:t>F4</w:t>
            </w:r>
          </w:p>
        </w:tc>
        <w:tc>
          <w:tcPr>
            <w:tcW w:type="dxa" w:w="2016"/>
            <w:shd w:fill="F2F4F8" w:val="clear"/>
          </w:tcPr>
          <w:p>
            <w:r>
              <w:rPr>
                <w:rFonts w:ascii="Calibri" w:hAnsi="Calibri"/>
                <w:color w:val="333333"/>
                <w:sz w:val="18"/>
              </w:rPr>
              <w:t>IPO/SPAC/M&amp;A</w:t>
            </w:r>
          </w:p>
        </w:tc>
        <w:tc>
          <w:tcPr>
            <w:tcW w:type="dxa" w:w="2016"/>
            <w:shd w:fill="F2F4F8" w:val="clear"/>
          </w:tcPr>
          <w:p>
            <w:r>
              <w:rPr>
                <w:rFonts w:ascii="Calibri" w:hAnsi="Calibri"/>
                <w:color w:val="333333"/>
                <w:sz w:val="18"/>
              </w:rPr>
              <w:t>2.1</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Signal-driven scoring: 19 signals, coverage=100%</w:t>
            </w:r>
          </w:p>
        </w:tc>
      </w:tr>
      <w:tr>
        <w:tc>
          <w:tcPr>
            <w:tcW w:type="dxa" w:w="2016"/>
          </w:tcPr>
          <w:p>
            <w:r>
              <w:rPr>
                <w:rFonts w:ascii="Calibri" w:hAnsi="Calibri"/>
                <w:color w:val="333333"/>
                <w:sz w:val="18"/>
              </w:rPr>
              <w:t>F5</w:t>
            </w:r>
          </w:p>
        </w:tc>
        <w:tc>
          <w:tcPr>
            <w:tcW w:type="dxa" w:w="2016"/>
          </w:tcPr>
          <w:p>
            <w:r>
              <w:rPr>
                <w:rFonts w:ascii="Calibri" w:hAnsi="Calibri"/>
                <w:color w:val="333333"/>
                <w:sz w:val="18"/>
              </w:rPr>
              <w:t>Guidance Misses</w:t>
            </w:r>
          </w:p>
        </w:tc>
        <w:tc>
          <w:tcPr>
            <w:tcW w:type="dxa" w:w="2016"/>
          </w:tcPr>
          <w:p>
            <w:r>
              <w:rPr>
                <w:rFonts w:ascii="Calibri" w:hAnsi="Calibri"/>
                <w:color w:val="333333"/>
                <w:sz w:val="18"/>
              </w:rPr>
              <w:t>0.4</w:t>
            </w:r>
          </w:p>
        </w:tc>
        <w:tc>
          <w:tcPr>
            <w:tcW w:type="dxa" w:w="2016"/>
          </w:tcPr>
          <w:p>
            <w:r>
              <w:rPr>
                <w:rFonts w:ascii="Calibri" w:hAnsi="Calibri"/>
                <w:color w:val="333333"/>
                <w:sz w:val="18"/>
              </w:rPr>
              <w:t>N/A</w:t>
            </w:r>
          </w:p>
        </w:tc>
        <w:tc>
          <w:tcPr>
            <w:tcW w:type="dxa" w:w="2016"/>
          </w:tcPr>
          <w:p>
            <w:r>
              <w:rPr>
                <w:rFonts w:ascii="Calibri" w:hAnsi="Calibri"/>
                <w:color w:val="333333"/>
                <w:sz w:val="18"/>
              </w:rPr>
              <w:t>Signal-driven scoring: 28 signals, coverage=100%</w:t>
            </w:r>
          </w:p>
        </w:tc>
      </w:tr>
      <w:tr>
        <w:tc>
          <w:tcPr>
            <w:tcW w:type="dxa" w:w="2016"/>
            <w:shd w:fill="F2F4F8" w:val="clear"/>
          </w:tcPr>
          <w:p>
            <w:r>
              <w:rPr>
                <w:rFonts w:ascii="Calibri" w:hAnsi="Calibri"/>
                <w:color w:val="333333"/>
                <w:sz w:val="18"/>
              </w:rPr>
              <w:t>F6</w:t>
            </w:r>
          </w:p>
        </w:tc>
        <w:tc>
          <w:tcPr>
            <w:tcW w:type="dxa" w:w="2016"/>
            <w:shd w:fill="F2F4F8" w:val="clear"/>
          </w:tcPr>
          <w:p>
            <w:r>
              <w:rPr>
                <w:rFonts w:ascii="Calibri" w:hAnsi="Calibri"/>
                <w:color w:val="333333"/>
                <w:sz w:val="18"/>
              </w:rPr>
              <w:t>Short Interest</w:t>
            </w:r>
          </w:p>
        </w:tc>
        <w:tc>
          <w:tcPr>
            <w:tcW w:type="dxa" w:w="2016"/>
            <w:shd w:fill="F2F4F8" w:val="clear"/>
          </w:tcPr>
          <w:p>
            <w:r>
              <w:rPr>
                <w:rFonts w:ascii="Calibri" w:hAnsi="Calibri"/>
                <w:color w:val="333333"/>
                <w:sz w:val="18"/>
              </w:rPr>
              <w:t>1.5</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Signal-driven scoring: 30 signals, coverage=100%</w:t>
            </w:r>
          </w:p>
        </w:tc>
      </w:tr>
      <w:tr>
        <w:tc>
          <w:tcPr>
            <w:tcW w:type="dxa" w:w="2016"/>
          </w:tcPr>
          <w:p>
            <w:r>
              <w:rPr>
                <w:rFonts w:ascii="Calibri" w:hAnsi="Calibri"/>
                <w:color w:val="333333"/>
                <w:sz w:val="18"/>
              </w:rPr>
              <w:t>F7</w:t>
            </w:r>
          </w:p>
        </w:tc>
        <w:tc>
          <w:tcPr>
            <w:tcW w:type="dxa" w:w="2016"/>
          </w:tcPr>
          <w:p>
            <w:r>
              <w:rPr>
                <w:rFonts w:ascii="Calibri" w:hAnsi="Calibri"/>
                <w:color w:val="333333"/>
                <w:sz w:val="18"/>
              </w:rPr>
              <w:t>Stock Volatility</w:t>
            </w:r>
          </w:p>
        </w:tc>
        <w:tc>
          <w:tcPr>
            <w:tcW w:type="dxa" w:w="2016"/>
          </w:tcPr>
          <w:p>
            <w:r>
              <w:rPr>
                <w:rFonts w:ascii="Calibri" w:hAnsi="Calibri"/>
                <w:color w:val="333333"/>
                <w:sz w:val="18"/>
              </w:rPr>
              <w:t>1.0</w:t>
            </w:r>
          </w:p>
        </w:tc>
        <w:tc>
          <w:tcPr>
            <w:tcW w:type="dxa" w:w="2016"/>
          </w:tcPr>
          <w:p>
            <w:r>
              <w:rPr>
                <w:rFonts w:ascii="Calibri" w:hAnsi="Calibri"/>
                <w:color w:val="333333"/>
                <w:sz w:val="18"/>
              </w:rPr>
              <w:t>N/A</w:t>
            </w:r>
          </w:p>
        </w:tc>
        <w:tc>
          <w:tcPr>
            <w:tcW w:type="dxa" w:w="2016"/>
          </w:tcPr>
          <w:p>
            <w:r>
              <w:rPr>
                <w:rFonts w:ascii="Calibri" w:hAnsi="Calibri"/>
                <w:color w:val="333333"/>
                <w:sz w:val="18"/>
              </w:rPr>
              <w:t>Signal-driven scoring: 27 signals, coverage=100%</w:t>
            </w:r>
          </w:p>
        </w:tc>
      </w:tr>
      <w:tr>
        <w:tc>
          <w:tcPr>
            <w:tcW w:type="dxa" w:w="2016"/>
            <w:shd w:fill="F2F4F8" w:val="clear"/>
          </w:tcPr>
          <w:p>
            <w:r>
              <w:rPr>
                <w:rFonts w:ascii="Calibri" w:hAnsi="Calibri"/>
                <w:color w:val="333333"/>
                <w:sz w:val="18"/>
              </w:rPr>
              <w:t>F9</w:t>
            </w:r>
          </w:p>
        </w:tc>
        <w:tc>
          <w:tcPr>
            <w:tcW w:type="dxa" w:w="2016"/>
            <w:shd w:fill="F2F4F8" w:val="clear"/>
          </w:tcPr>
          <w:p>
            <w:r>
              <w:rPr>
                <w:rFonts w:ascii="Calibri" w:hAnsi="Calibri"/>
                <w:color w:val="333333"/>
                <w:sz w:val="18"/>
              </w:rPr>
              <w:t>Governance Issues</w:t>
            </w:r>
          </w:p>
        </w:tc>
        <w:tc>
          <w:tcPr>
            <w:tcW w:type="dxa" w:w="2016"/>
            <w:shd w:fill="F2F4F8" w:val="clear"/>
          </w:tcPr>
          <w:p>
            <w:r>
              <w:rPr>
                <w:rFonts w:ascii="Calibri" w:hAnsi="Calibri"/>
                <w:color w:val="333333"/>
                <w:sz w:val="18"/>
              </w:rPr>
              <w:t>0.7</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Signal-driven scoring: 42 signals, coverage=100%</w:t>
            </w:r>
          </w:p>
        </w:tc>
      </w:tr>
      <w:tr>
        <w:tc>
          <w:tcPr>
            <w:tcW w:type="dxa" w:w="2016"/>
          </w:tcPr>
          <w:p>
            <w:r>
              <w:rPr>
                <w:rFonts w:ascii="Calibri" w:hAnsi="Calibri"/>
                <w:color w:val="333333"/>
                <w:sz w:val="18"/>
              </w:rPr>
              <w:t>F10</w:t>
            </w:r>
          </w:p>
        </w:tc>
        <w:tc>
          <w:tcPr>
            <w:tcW w:type="dxa" w:w="2016"/>
          </w:tcPr>
          <w:p>
            <w:r>
              <w:rPr>
                <w:rFonts w:ascii="Calibri" w:hAnsi="Calibri"/>
                <w:color w:val="333333"/>
                <w:sz w:val="18"/>
              </w:rPr>
              <w:t>Officer Stability</w:t>
            </w:r>
          </w:p>
        </w:tc>
        <w:tc>
          <w:tcPr>
            <w:tcW w:type="dxa" w:w="2016"/>
          </w:tcPr>
          <w:p>
            <w:r>
              <w:rPr>
                <w:rFonts w:ascii="Calibri" w:hAnsi="Calibri"/>
                <w:color w:val="333333"/>
                <w:sz w:val="18"/>
              </w:rPr>
              <w:t>0.2</w:t>
            </w:r>
          </w:p>
        </w:tc>
        <w:tc>
          <w:tcPr>
            <w:tcW w:type="dxa" w:w="2016"/>
          </w:tcPr>
          <w:p>
            <w:r>
              <w:rPr>
                <w:rFonts w:ascii="Calibri" w:hAnsi="Calibri"/>
                <w:color w:val="333333"/>
                <w:sz w:val="18"/>
              </w:rPr>
              <w:t>N/A</w:t>
            </w:r>
          </w:p>
        </w:tc>
        <w:tc>
          <w:tcPr>
            <w:tcW w:type="dxa" w:w="2016"/>
          </w:tcPr>
          <w:p>
            <w:r>
              <w:rPr>
                <w:rFonts w:ascii="Calibri" w:hAnsi="Calibri"/>
                <w:color w:val="333333"/>
                <w:sz w:val="18"/>
              </w:rPr>
              <w:t>Signal-driven scoring: 89 signals, coverage=100%</w:t>
            </w:r>
          </w:p>
        </w:tc>
      </w:tr>
    </w:tbl>
    <w:p>
      <w:pPr>
        <w:pStyle w:val="DOBody"/>
      </w:pPr>
      <w:r>
        <w:rPr>
          <w:b/>
          <w:sz w:val="20"/>
        </w:rPr>
        <w:t>Sub-Component Breakdown</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Factor</w:t>
            </w:r>
          </w:p>
        </w:tc>
        <w:tc>
          <w:tcPr>
            <w:tcW w:type="dxa" w:w="3360"/>
            <w:shd w:fill="1A1446" w:val="clear"/>
          </w:tcPr>
          <w:p>
            <w:r>
              <w:rPr>
                <w:rFonts w:ascii="Calibri" w:hAnsi="Calibri"/>
                <w:b/>
                <w:color w:val="FFFFFF"/>
                <w:sz w:val="18"/>
              </w:rPr>
              <w:t>Component</w:t>
            </w:r>
          </w:p>
        </w:tc>
        <w:tc>
          <w:tcPr>
            <w:tcW w:type="dxa" w:w="3360"/>
            <w:shd w:fill="1A1446" w:val="clear"/>
          </w:tcPr>
          <w:p>
            <w:r>
              <w:rPr>
                <w:rFonts w:ascii="Calibri" w:hAnsi="Calibri"/>
                <w:b/>
                <w:color w:val="FFFFFF"/>
                <w:sz w:val="18"/>
              </w:rPr>
              <w:t>Value</w:t>
            </w:r>
          </w:p>
        </w:tc>
      </w:tr>
      <w:tr>
        <w:tc>
          <w:tcPr>
            <w:tcW w:type="dxa" w:w="3360"/>
          </w:tcPr>
          <w:p>
            <w:r>
              <w:rPr>
                <w:rFonts w:ascii="Calibri" w:hAnsi="Calibri"/>
                <w:color w:val="333333"/>
                <w:sz w:val="18"/>
              </w:rPr>
              <w:t>F1</w:t>
            </w:r>
          </w:p>
        </w:tc>
        <w:tc>
          <w:tcPr>
            <w:tcW w:type="dxa" w:w="3360"/>
          </w:tcPr>
          <w:p>
            <w:r>
              <w:rPr>
                <w:rFonts w:ascii="Calibri" w:hAnsi="Calibri"/>
                <w:color w:val="333333"/>
                <w:sz w:val="18"/>
              </w:rPr>
              <w:t>base</w:t>
            </w:r>
          </w:p>
        </w:tc>
        <w:tc>
          <w:tcPr>
            <w:tcW w:type="dxa" w:w="3360"/>
          </w:tcPr>
          <w:p>
            <w:r>
              <w:rPr>
                <w:rFonts w:ascii="Calibri" w:hAnsi="Calibri"/>
                <w:color w:val="333333"/>
                <w:sz w:val="18"/>
              </w:rPr>
              <w:t>3.24</w:t>
            </w:r>
          </w:p>
        </w:tc>
      </w:tr>
      <w:tr>
        <w:tc>
          <w:tcPr>
            <w:tcW w:type="dxa" w:w="3360"/>
            <w:shd w:fill="F2F4F8" w:val="clear"/>
          </w:tcPr>
          <w:p>
            <w:r>
              <w:rPr>
                <w:rFonts w:ascii="Calibri" w:hAnsi="Calibri"/>
                <w:color w:val="333333"/>
                <w:sz w:val="18"/>
              </w:rPr>
              <w:t>F1</w:t>
            </w:r>
          </w:p>
        </w:tc>
        <w:tc>
          <w:tcPr>
            <w:tcW w:type="dxa" w:w="3360"/>
            <w:shd w:fill="F2F4F8" w:val="clear"/>
          </w:tcPr>
          <w:p>
            <w:r>
              <w:rPr>
                <w:rFonts w:ascii="Calibri" w:hAnsi="Calibri"/>
                <w:color w:val="333333"/>
                <w:sz w:val="18"/>
              </w:rPr>
              <w:t>bonus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F1</w:t>
            </w:r>
          </w:p>
        </w:tc>
        <w:tc>
          <w:tcPr>
            <w:tcW w:type="dxa" w:w="3360"/>
          </w:tcPr>
          <w:p>
            <w:r>
              <w:rPr>
                <w:rFonts w:ascii="Calibri" w:hAnsi="Calibri"/>
                <w:color w:val="333333"/>
                <w:sz w:val="18"/>
              </w:rPr>
              <w:t>modifiers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F1</w:t>
            </w:r>
          </w:p>
        </w:tc>
        <w:tc>
          <w:tcPr>
            <w:tcW w:type="dxa" w:w="3360"/>
            <w:shd w:fill="F2F4F8" w:val="clear"/>
          </w:tcPr>
          <w:p>
            <w:r>
              <w:rPr>
                <w:rFonts w:ascii="Calibri" w:hAnsi="Calibri"/>
                <w:color w:val="333333"/>
                <w:sz w:val="18"/>
              </w:rPr>
              <w:t>hard_triggers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F1</w:t>
            </w:r>
          </w:p>
        </w:tc>
        <w:tc>
          <w:tcPr>
            <w:tcW w:type="dxa" w:w="3360"/>
          </w:tcPr>
          <w:p>
            <w:r>
              <w:rPr>
                <w:rFonts w:ascii="Calibri" w:hAnsi="Calibri"/>
                <w:color w:val="333333"/>
                <w:sz w:val="18"/>
              </w:rPr>
              <w:t>total_before_cap</w:t>
            </w:r>
          </w:p>
        </w:tc>
        <w:tc>
          <w:tcPr>
            <w:tcW w:type="dxa" w:w="3360"/>
          </w:tcPr>
          <w:p>
            <w:r>
              <w:rPr>
                <w:rFonts w:ascii="Calibri" w:hAnsi="Calibri"/>
                <w:color w:val="333333"/>
                <w:sz w:val="18"/>
              </w:rPr>
              <w:t>3.24</w:t>
            </w:r>
          </w:p>
        </w:tc>
      </w:tr>
      <w:tr>
        <w:tc>
          <w:tcPr>
            <w:tcW w:type="dxa" w:w="3360"/>
            <w:shd w:fill="F2F4F8" w:val="clear"/>
          </w:tcPr>
          <w:p>
            <w:r>
              <w:rPr>
                <w:rFonts w:ascii="Calibri" w:hAnsi="Calibri"/>
                <w:color w:val="333333"/>
                <w:sz w:val="18"/>
              </w:rPr>
              <w:t>F1</w:t>
            </w:r>
          </w:p>
        </w:tc>
        <w:tc>
          <w:tcPr>
            <w:tcW w:type="dxa" w:w="3360"/>
            <w:shd w:fill="F2F4F8" w:val="clear"/>
          </w:tcPr>
          <w:p>
            <w:r>
              <w:rPr>
                <w:rFonts w:ascii="Calibri" w:hAnsi="Calibri"/>
                <w:color w:val="333333"/>
                <w:sz w:val="18"/>
              </w:rPr>
              <w:t>capped</w:t>
            </w:r>
          </w:p>
        </w:tc>
        <w:tc>
          <w:tcPr>
            <w:tcW w:type="dxa" w:w="3360"/>
            <w:shd w:fill="F2F4F8" w:val="clear"/>
          </w:tcPr>
          <w:p>
            <w:r>
              <w:rPr>
                <w:rFonts w:ascii="Calibri" w:hAnsi="Calibri"/>
                <w:color w:val="333333"/>
                <w:sz w:val="18"/>
              </w:rPr>
              <w:t>3.24</w:t>
            </w:r>
          </w:p>
        </w:tc>
      </w:tr>
      <w:tr>
        <w:tc>
          <w:tcPr>
            <w:tcW w:type="dxa" w:w="3360"/>
          </w:tcPr>
          <w:p>
            <w:r>
              <w:rPr>
                <w:rFonts w:ascii="Calibri" w:hAnsi="Calibri"/>
                <w:color w:val="333333"/>
                <w:sz w:val="18"/>
              </w:rPr>
              <w:t>F2</w:t>
            </w:r>
          </w:p>
        </w:tc>
        <w:tc>
          <w:tcPr>
            <w:tcW w:type="dxa" w:w="3360"/>
          </w:tcPr>
          <w:p>
            <w:r>
              <w:rPr>
                <w:rFonts w:ascii="Calibri" w:hAnsi="Calibri"/>
                <w:color w:val="333333"/>
                <w:sz w:val="18"/>
              </w:rPr>
              <w:t>base</w:t>
            </w:r>
          </w:p>
        </w:tc>
        <w:tc>
          <w:tcPr>
            <w:tcW w:type="dxa" w:w="3360"/>
          </w:tcPr>
          <w:p>
            <w:r>
              <w:rPr>
                <w:rFonts w:ascii="Calibri" w:hAnsi="Calibri"/>
                <w:color w:val="333333"/>
                <w:sz w:val="18"/>
              </w:rPr>
              <w:t>3.27</w:t>
            </w:r>
          </w:p>
        </w:tc>
      </w:tr>
      <w:tr>
        <w:tc>
          <w:tcPr>
            <w:tcW w:type="dxa" w:w="3360"/>
            <w:shd w:fill="F2F4F8" w:val="clear"/>
          </w:tcPr>
          <w:p>
            <w:r>
              <w:rPr>
                <w:rFonts w:ascii="Calibri" w:hAnsi="Calibri"/>
                <w:color w:val="333333"/>
                <w:sz w:val="18"/>
              </w:rPr>
              <w:t>F2</w:t>
            </w:r>
          </w:p>
        </w:tc>
        <w:tc>
          <w:tcPr>
            <w:tcW w:type="dxa" w:w="3360"/>
            <w:shd w:fill="F2F4F8" w:val="clear"/>
          </w:tcPr>
          <w:p>
            <w:r>
              <w:rPr>
                <w:rFonts w:ascii="Calibri" w:hAnsi="Calibri"/>
                <w:color w:val="333333"/>
                <w:sz w:val="18"/>
              </w:rPr>
              <w:t>bonus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F2</w:t>
            </w:r>
          </w:p>
        </w:tc>
        <w:tc>
          <w:tcPr>
            <w:tcW w:type="dxa" w:w="3360"/>
          </w:tcPr>
          <w:p>
            <w:r>
              <w:rPr>
                <w:rFonts w:ascii="Calibri" w:hAnsi="Calibri"/>
                <w:color w:val="333333"/>
                <w:sz w:val="18"/>
              </w:rPr>
              <w:t>modifiers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F2</w:t>
            </w:r>
          </w:p>
        </w:tc>
        <w:tc>
          <w:tcPr>
            <w:tcW w:type="dxa" w:w="3360"/>
            <w:shd w:fill="F2F4F8" w:val="clear"/>
          </w:tcPr>
          <w:p>
            <w:r>
              <w:rPr>
                <w:rFonts w:ascii="Calibri" w:hAnsi="Calibri"/>
                <w:color w:val="333333"/>
                <w:sz w:val="18"/>
              </w:rPr>
              <w:t>hard_triggers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F2</w:t>
            </w:r>
          </w:p>
        </w:tc>
        <w:tc>
          <w:tcPr>
            <w:tcW w:type="dxa" w:w="3360"/>
          </w:tcPr>
          <w:p>
            <w:r>
              <w:rPr>
                <w:rFonts w:ascii="Calibri" w:hAnsi="Calibri"/>
                <w:color w:val="333333"/>
                <w:sz w:val="18"/>
              </w:rPr>
              <w:t>drop_contribution_modifier</w:t>
            </w:r>
          </w:p>
        </w:tc>
        <w:tc>
          <w:tcPr>
            <w:tcW w:type="dxa" w:w="3360"/>
          </w:tcPr>
          <w:p>
            <w:r>
              <w:rPr>
                <w:rFonts w:ascii="Calibri" w:hAnsi="Calibri"/>
                <w:color w:val="333333"/>
                <w:sz w:val="18"/>
              </w:rPr>
              <w:t>0.17</w:t>
            </w:r>
          </w:p>
        </w:tc>
      </w:tr>
      <w:tr>
        <w:tc>
          <w:tcPr>
            <w:tcW w:type="dxa" w:w="3360"/>
            <w:shd w:fill="F2F4F8" w:val="clear"/>
          </w:tcPr>
          <w:p>
            <w:r>
              <w:rPr>
                <w:rFonts w:ascii="Calibri" w:hAnsi="Calibri"/>
                <w:color w:val="333333"/>
                <w:sz w:val="18"/>
              </w:rPr>
              <w:t>F2</w:t>
            </w:r>
          </w:p>
        </w:tc>
        <w:tc>
          <w:tcPr>
            <w:tcW w:type="dxa" w:w="3360"/>
            <w:shd w:fill="F2F4F8" w:val="clear"/>
          </w:tcPr>
          <w:p>
            <w:r>
              <w:rPr>
                <w:rFonts w:ascii="Calibri" w:hAnsi="Calibri"/>
                <w:color w:val="333333"/>
                <w:sz w:val="18"/>
              </w:rPr>
              <w:t>total_before_cap</w:t>
            </w:r>
          </w:p>
        </w:tc>
        <w:tc>
          <w:tcPr>
            <w:tcW w:type="dxa" w:w="3360"/>
            <w:shd w:fill="F2F4F8" w:val="clear"/>
          </w:tcPr>
          <w:p>
            <w:r>
              <w:rPr>
                <w:rFonts w:ascii="Calibri" w:hAnsi="Calibri"/>
                <w:color w:val="333333"/>
                <w:sz w:val="18"/>
              </w:rPr>
              <w:t>0.56</w:t>
            </w:r>
          </w:p>
        </w:tc>
      </w:tr>
      <w:tr>
        <w:tc>
          <w:tcPr>
            <w:tcW w:type="dxa" w:w="3360"/>
          </w:tcPr>
          <w:p>
            <w:r>
              <w:rPr>
                <w:rFonts w:ascii="Calibri" w:hAnsi="Calibri"/>
                <w:color w:val="333333"/>
                <w:sz w:val="18"/>
              </w:rPr>
              <w:t>F2</w:t>
            </w:r>
          </w:p>
        </w:tc>
        <w:tc>
          <w:tcPr>
            <w:tcW w:type="dxa" w:w="3360"/>
          </w:tcPr>
          <w:p>
            <w:r>
              <w:rPr>
                <w:rFonts w:ascii="Calibri" w:hAnsi="Calibri"/>
                <w:color w:val="333333"/>
                <w:sz w:val="18"/>
              </w:rPr>
              <w:t>capped</w:t>
            </w:r>
          </w:p>
        </w:tc>
        <w:tc>
          <w:tcPr>
            <w:tcW w:type="dxa" w:w="3360"/>
          </w:tcPr>
          <w:p>
            <w:r>
              <w:rPr>
                <w:rFonts w:ascii="Calibri" w:hAnsi="Calibri"/>
                <w:color w:val="333333"/>
                <w:sz w:val="18"/>
              </w:rPr>
              <w:t>0.56</w:t>
            </w:r>
          </w:p>
        </w:tc>
      </w:tr>
      <w:tr>
        <w:tc>
          <w:tcPr>
            <w:tcW w:type="dxa" w:w="3360"/>
            <w:shd w:fill="F2F4F8" w:val="clear"/>
          </w:tcPr>
          <w:p>
            <w:r>
              <w:rPr>
                <w:rFonts w:ascii="Calibri" w:hAnsi="Calibri"/>
                <w:color w:val="333333"/>
                <w:sz w:val="18"/>
              </w:rPr>
              <w:t>F3</w:t>
            </w:r>
          </w:p>
        </w:tc>
        <w:tc>
          <w:tcPr>
            <w:tcW w:type="dxa" w:w="3360"/>
            <w:shd w:fill="F2F4F8" w:val="clear"/>
          </w:tcPr>
          <w:p>
            <w:r>
              <w:rPr>
                <w:rFonts w:ascii="Calibri" w:hAnsi="Calibri"/>
                <w:color w:val="333333"/>
                <w:sz w:val="18"/>
              </w:rPr>
              <w:t>base</w:t>
            </w:r>
          </w:p>
        </w:tc>
        <w:tc>
          <w:tcPr>
            <w:tcW w:type="dxa" w:w="3360"/>
            <w:shd w:fill="F2F4F8" w:val="clear"/>
          </w:tcPr>
          <w:p>
            <w:r>
              <w:rPr>
                <w:rFonts w:ascii="Calibri" w:hAnsi="Calibri"/>
                <w:color w:val="333333"/>
                <w:sz w:val="18"/>
              </w:rPr>
              <w:t>1.85</w:t>
            </w:r>
          </w:p>
        </w:tc>
      </w:tr>
      <w:tr>
        <w:tc>
          <w:tcPr>
            <w:tcW w:type="dxa" w:w="3360"/>
          </w:tcPr>
          <w:p>
            <w:r>
              <w:rPr>
                <w:rFonts w:ascii="Calibri" w:hAnsi="Calibri"/>
                <w:color w:val="333333"/>
                <w:sz w:val="18"/>
              </w:rPr>
              <w:t>F3</w:t>
            </w:r>
          </w:p>
        </w:tc>
        <w:tc>
          <w:tcPr>
            <w:tcW w:type="dxa" w:w="3360"/>
          </w:tcPr>
          <w:p>
            <w:r>
              <w:rPr>
                <w:rFonts w:ascii="Calibri" w:hAnsi="Calibri"/>
                <w:color w:val="333333"/>
                <w:sz w:val="18"/>
              </w:rPr>
              <w:t>bonus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F3</w:t>
            </w:r>
          </w:p>
        </w:tc>
        <w:tc>
          <w:tcPr>
            <w:tcW w:type="dxa" w:w="3360"/>
            <w:shd w:fill="F2F4F8" w:val="clear"/>
          </w:tcPr>
          <w:p>
            <w:r>
              <w:rPr>
                <w:rFonts w:ascii="Calibri" w:hAnsi="Calibri"/>
                <w:color w:val="333333"/>
                <w:sz w:val="18"/>
              </w:rPr>
              <w:t>modifiers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F3</w:t>
            </w:r>
          </w:p>
        </w:tc>
        <w:tc>
          <w:tcPr>
            <w:tcW w:type="dxa" w:w="3360"/>
          </w:tcPr>
          <w:p>
            <w:r>
              <w:rPr>
                <w:rFonts w:ascii="Calibri" w:hAnsi="Calibri"/>
                <w:color w:val="333333"/>
                <w:sz w:val="18"/>
              </w:rPr>
              <w:t>hard_triggers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F3</w:t>
            </w:r>
          </w:p>
        </w:tc>
        <w:tc>
          <w:tcPr>
            <w:tcW w:type="dxa" w:w="3360"/>
            <w:shd w:fill="F2F4F8" w:val="clear"/>
          </w:tcPr>
          <w:p>
            <w:r>
              <w:rPr>
                <w:rFonts w:ascii="Calibri" w:hAnsi="Calibri"/>
                <w:color w:val="333333"/>
                <w:sz w:val="18"/>
              </w:rPr>
              <w:t>total_before_cap</w:t>
            </w:r>
          </w:p>
        </w:tc>
        <w:tc>
          <w:tcPr>
            <w:tcW w:type="dxa" w:w="3360"/>
            <w:shd w:fill="F2F4F8" w:val="clear"/>
          </w:tcPr>
          <w:p>
            <w:r>
              <w:rPr>
                <w:rFonts w:ascii="Calibri" w:hAnsi="Calibri"/>
                <w:color w:val="333333"/>
                <w:sz w:val="18"/>
              </w:rPr>
              <w:t>1.85</w:t>
            </w:r>
          </w:p>
        </w:tc>
      </w:tr>
      <w:tr>
        <w:tc>
          <w:tcPr>
            <w:tcW w:type="dxa" w:w="3360"/>
          </w:tcPr>
          <w:p>
            <w:r>
              <w:rPr>
                <w:rFonts w:ascii="Calibri" w:hAnsi="Calibri"/>
                <w:color w:val="333333"/>
                <w:sz w:val="18"/>
              </w:rPr>
              <w:t>F3</w:t>
            </w:r>
          </w:p>
        </w:tc>
        <w:tc>
          <w:tcPr>
            <w:tcW w:type="dxa" w:w="3360"/>
          </w:tcPr>
          <w:p>
            <w:r>
              <w:rPr>
                <w:rFonts w:ascii="Calibri" w:hAnsi="Calibri"/>
                <w:color w:val="333333"/>
                <w:sz w:val="18"/>
              </w:rPr>
              <w:t>capped</w:t>
            </w:r>
          </w:p>
        </w:tc>
        <w:tc>
          <w:tcPr>
            <w:tcW w:type="dxa" w:w="3360"/>
          </w:tcPr>
          <w:p>
            <w:r>
              <w:rPr>
                <w:rFonts w:ascii="Calibri" w:hAnsi="Calibri"/>
                <w:color w:val="333333"/>
                <w:sz w:val="18"/>
              </w:rPr>
              <w:t>1.85</w:t>
            </w:r>
          </w:p>
        </w:tc>
      </w:tr>
      <w:tr>
        <w:tc>
          <w:tcPr>
            <w:tcW w:type="dxa" w:w="3360"/>
            <w:shd w:fill="F2F4F8" w:val="clear"/>
          </w:tcPr>
          <w:p>
            <w:r>
              <w:rPr>
                <w:rFonts w:ascii="Calibri" w:hAnsi="Calibri"/>
                <w:color w:val="333333"/>
                <w:sz w:val="18"/>
              </w:rPr>
              <w:t>F3</w:t>
            </w:r>
          </w:p>
        </w:tc>
        <w:tc>
          <w:tcPr>
            <w:tcW w:type="dxa" w:w="3360"/>
            <w:shd w:fill="F2F4F8" w:val="clear"/>
          </w:tcPr>
          <w:p>
            <w:r>
              <w:rPr>
                <w:rFonts w:ascii="Calibri" w:hAnsi="Calibri"/>
                <w:color w:val="333333"/>
                <w:sz w:val="18"/>
              </w:rPr>
              <w:t>ies_amplification</w:t>
            </w:r>
          </w:p>
        </w:tc>
        <w:tc>
          <w:tcPr>
            <w:tcW w:type="dxa" w:w="3360"/>
            <w:shd w:fill="F2F4F8" w:val="clear"/>
          </w:tcPr>
          <w:p>
            <w:r>
              <w:rPr>
                <w:rFonts w:ascii="Calibri" w:hAnsi="Calibri"/>
                <w:color w:val="333333"/>
                <w:sz w:val="18"/>
              </w:rPr>
              <w:t>0.85</w:t>
            </w:r>
          </w:p>
        </w:tc>
      </w:tr>
      <w:tr>
        <w:tc>
          <w:tcPr>
            <w:tcW w:type="dxa" w:w="3360"/>
          </w:tcPr>
          <w:p>
            <w:r>
              <w:rPr>
                <w:rFonts w:ascii="Calibri" w:hAnsi="Calibri"/>
                <w:color w:val="333333"/>
                <w:sz w:val="18"/>
              </w:rPr>
              <w:t>F4</w:t>
            </w:r>
          </w:p>
        </w:tc>
        <w:tc>
          <w:tcPr>
            <w:tcW w:type="dxa" w:w="3360"/>
          </w:tcPr>
          <w:p>
            <w:r>
              <w:rPr>
                <w:rFonts w:ascii="Calibri" w:hAnsi="Calibri"/>
                <w:color w:val="333333"/>
                <w:sz w:val="18"/>
              </w:rPr>
              <w:t>base</w:t>
            </w:r>
          </w:p>
        </w:tc>
        <w:tc>
          <w:tcPr>
            <w:tcW w:type="dxa" w:w="3360"/>
          </w:tcPr>
          <w:p>
            <w:r>
              <w:rPr>
                <w:rFonts w:ascii="Calibri" w:hAnsi="Calibri"/>
                <w:color w:val="333333"/>
                <w:sz w:val="18"/>
              </w:rPr>
              <w:t>2.11</w:t>
            </w:r>
          </w:p>
        </w:tc>
      </w:tr>
      <w:tr>
        <w:tc>
          <w:tcPr>
            <w:tcW w:type="dxa" w:w="3360"/>
            <w:shd w:fill="F2F4F8" w:val="clear"/>
          </w:tcPr>
          <w:p>
            <w:r>
              <w:rPr>
                <w:rFonts w:ascii="Calibri" w:hAnsi="Calibri"/>
                <w:color w:val="333333"/>
                <w:sz w:val="18"/>
              </w:rPr>
              <w:t>F4</w:t>
            </w:r>
          </w:p>
        </w:tc>
        <w:tc>
          <w:tcPr>
            <w:tcW w:type="dxa" w:w="3360"/>
            <w:shd w:fill="F2F4F8" w:val="clear"/>
          </w:tcPr>
          <w:p>
            <w:r>
              <w:rPr>
                <w:rFonts w:ascii="Calibri" w:hAnsi="Calibri"/>
                <w:color w:val="333333"/>
                <w:sz w:val="18"/>
              </w:rPr>
              <w:t>bonus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F4</w:t>
            </w:r>
          </w:p>
        </w:tc>
        <w:tc>
          <w:tcPr>
            <w:tcW w:type="dxa" w:w="3360"/>
          </w:tcPr>
          <w:p>
            <w:r>
              <w:rPr>
                <w:rFonts w:ascii="Calibri" w:hAnsi="Calibri"/>
                <w:color w:val="333333"/>
                <w:sz w:val="18"/>
              </w:rPr>
              <w:t>modifiers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F4</w:t>
            </w:r>
          </w:p>
        </w:tc>
        <w:tc>
          <w:tcPr>
            <w:tcW w:type="dxa" w:w="3360"/>
            <w:shd w:fill="F2F4F8" w:val="clear"/>
          </w:tcPr>
          <w:p>
            <w:r>
              <w:rPr>
                <w:rFonts w:ascii="Calibri" w:hAnsi="Calibri"/>
                <w:color w:val="333333"/>
                <w:sz w:val="18"/>
              </w:rPr>
              <w:t>hard_triggers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F4</w:t>
            </w:r>
          </w:p>
        </w:tc>
        <w:tc>
          <w:tcPr>
            <w:tcW w:type="dxa" w:w="3360"/>
          </w:tcPr>
          <w:p>
            <w:r>
              <w:rPr>
                <w:rFonts w:ascii="Calibri" w:hAnsi="Calibri"/>
                <w:color w:val="333333"/>
                <w:sz w:val="18"/>
              </w:rPr>
              <w:t>total_before_cap</w:t>
            </w:r>
          </w:p>
        </w:tc>
        <w:tc>
          <w:tcPr>
            <w:tcW w:type="dxa" w:w="3360"/>
          </w:tcPr>
          <w:p>
            <w:r>
              <w:rPr>
                <w:rFonts w:ascii="Calibri" w:hAnsi="Calibri"/>
                <w:color w:val="333333"/>
                <w:sz w:val="18"/>
              </w:rPr>
              <w:t>2.11</w:t>
            </w:r>
          </w:p>
        </w:tc>
      </w:tr>
      <w:tr>
        <w:tc>
          <w:tcPr>
            <w:tcW w:type="dxa" w:w="3360"/>
            <w:shd w:fill="F2F4F8" w:val="clear"/>
          </w:tcPr>
          <w:p>
            <w:r>
              <w:rPr>
                <w:rFonts w:ascii="Calibri" w:hAnsi="Calibri"/>
                <w:color w:val="333333"/>
                <w:sz w:val="18"/>
              </w:rPr>
              <w:t>F4</w:t>
            </w:r>
          </w:p>
        </w:tc>
        <w:tc>
          <w:tcPr>
            <w:tcW w:type="dxa" w:w="3360"/>
            <w:shd w:fill="F2F4F8" w:val="clear"/>
          </w:tcPr>
          <w:p>
            <w:r>
              <w:rPr>
                <w:rFonts w:ascii="Calibri" w:hAnsi="Calibri"/>
                <w:color w:val="333333"/>
                <w:sz w:val="18"/>
              </w:rPr>
              <w:t>capped</w:t>
            </w:r>
          </w:p>
        </w:tc>
        <w:tc>
          <w:tcPr>
            <w:tcW w:type="dxa" w:w="3360"/>
            <w:shd w:fill="F2F4F8" w:val="clear"/>
          </w:tcPr>
          <w:p>
            <w:r>
              <w:rPr>
                <w:rFonts w:ascii="Calibri" w:hAnsi="Calibri"/>
                <w:color w:val="333333"/>
                <w:sz w:val="18"/>
              </w:rPr>
              <w:t>2.11</w:t>
            </w:r>
          </w:p>
        </w:tc>
      </w:tr>
      <w:tr>
        <w:tc>
          <w:tcPr>
            <w:tcW w:type="dxa" w:w="3360"/>
          </w:tcPr>
          <w:p>
            <w:r>
              <w:rPr>
                <w:rFonts w:ascii="Calibri" w:hAnsi="Calibri"/>
                <w:color w:val="333333"/>
                <w:sz w:val="18"/>
              </w:rPr>
              <w:t>F5</w:t>
            </w:r>
          </w:p>
        </w:tc>
        <w:tc>
          <w:tcPr>
            <w:tcW w:type="dxa" w:w="3360"/>
          </w:tcPr>
          <w:p>
            <w:r>
              <w:rPr>
                <w:rFonts w:ascii="Calibri" w:hAnsi="Calibri"/>
                <w:color w:val="333333"/>
                <w:sz w:val="18"/>
              </w:rPr>
              <w:t>base</w:t>
            </w:r>
          </w:p>
        </w:tc>
        <w:tc>
          <w:tcPr>
            <w:tcW w:type="dxa" w:w="3360"/>
          </w:tcPr>
          <w:p>
            <w:r>
              <w:rPr>
                <w:rFonts w:ascii="Calibri" w:hAnsi="Calibri"/>
                <w:color w:val="333333"/>
                <w:sz w:val="18"/>
              </w:rPr>
              <w:t>0.47</w:t>
            </w:r>
          </w:p>
        </w:tc>
      </w:tr>
      <w:tr>
        <w:tc>
          <w:tcPr>
            <w:tcW w:type="dxa" w:w="3360"/>
            <w:shd w:fill="F2F4F8" w:val="clear"/>
          </w:tcPr>
          <w:p>
            <w:r>
              <w:rPr>
                <w:rFonts w:ascii="Calibri" w:hAnsi="Calibri"/>
                <w:color w:val="333333"/>
                <w:sz w:val="18"/>
              </w:rPr>
              <w:t>F5</w:t>
            </w:r>
          </w:p>
        </w:tc>
        <w:tc>
          <w:tcPr>
            <w:tcW w:type="dxa" w:w="3360"/>
            <w:shd w:fill="F2F4F8" w:val="clear"/>
          </w:tcPr>
          <w:p>
            <w:r>
              <w:rPr>
                <w:rFonts w:ascii="Calibri" w:hAnsi="Calibri"/>
                <w:color w:val="333333"/>
                <w:sz w:val="18"/>
              </w:rPr>
              <w:t>bonus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F5</w:t>
            </w:r>
          </w:p>
        </w:tc>
        <w:tc>
          <w:tcPr>
            <w:tcW w:type="dxa" w:w="3360"/>
          </w:tcPr>
          <w:p>
            <w:r>
              <w:rPr>
                <w:rFonts w:ascii="Calibri" w:hAnsi="Calibri"/>
                <w:color w:val="333333"/>
                <w:sz w:val="18"/>
              </w:rPr>
              <w:t>modifiers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F5</w:t>
            </w:r>
          </w:p>
        </w:tc>
        <w:tc>
          <w:tcPr>
            <w:tcW w:type="dxa" w:w="3360"/>
            <w:shd w:fill="F2F4F8" w:val="clear"/>
          </w:tcPr>
          <w:p>
            <w:r>
              <w:rPr>
                <w:rFonts w:ascii="Calibri" w:hAnsi="Calibri"/>
                <w:color w:val="333333"/>
                <w:sz w:val="18"/>
              </w:rPr>
              <w:t>hard_triggers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F5</w:t>
            </w:r>
          </w:p>
        </w:tc>
        <w:tc>
          <w:tcPr>
            <w:tcW w:type="dxa" w:w="3360"/>
          </w:tcPr>
          <w:p>
            <w:r>
              <w:rPr>
                <w:rFonts w:ascii="Calibri" w:hAnsi="Calibri"/>
                <w:color w:val="333333"/>
                <w:sz w:val="18"/>
              </w:rPr>
              <w:t>total_before_cap</w:t>
            </w:r>
          </w:p>
        </w:tc>
        <w:tc>
          <w:tcPr>
            <w:tcW w:type="dxa" w:w="3360"/>
          </w:tcPr>
          <w:p>
            <w:r>
              <w:rPr>
                <w:rFonts w:ascii="Calibri" w:hAnsi="Calibri"/>
                <w:color w:val="333333"/>
                <w:sz w:val="18"/>
              </w:rPr>
              <w:t>0.47</w:t>
            </w:r>
          </w:p>
        </w:tc>
      </w:tr>
      <w:tr>
        <w:tc>
          <w:tcPr>
            <w:tcW w:type="dxa" w:w="3360"/>
            <w:shd w:fill="F2F4F8" w:val="clear"/>
          </w:tcPr>
          <w:p>
            <w:r>
              <w:rPr>
                <w:rFonts w:ascii="Calibri" w:hAnsi="Calibri"/>
                <w:color w:val="333333"/>
                <w:sz w:val="18"/>
              </w:rPr>
              <w:t>F5</w:t>
            </w:r>
          </w:p>
        </w:tc>
        <w:tc>
          <w:tcPr>
            <w:tcW w:type="dxa" w:w="3360"/>
            <w:shd w:fill="F2F4F8" w:val="clear"/>
          </w:tcPr>
          <w:p>
            <w:r>
              <w:rPr>
                <w:rFonts w:ascii="Calibri" w:hAnsi="Calibri"/>
                <w:color w:val="333333"/>
                <w:sz w:val="18"/>
              </w:rPr>
              <w:t>capped</w:t>
            </w:r>
          </w:p>
        </w:tc>
        <w:tc>
          <w:tcPr>
            <w:tcW w:type="dxa" w:w="3360"/>
            <w:shd w:fill="F2F4F8" w:val="clear"/>
          </w:tcPr>
          <w:p>
            <w:r>
              <w:rPr>
                <w:rFonts w:ascii="Calibri" w:hAnsi="Calibri"/>
                <w:color w:val="333333"/>
                <w:sz w:val="18"/>
              </w:rPr>
              <w:t>0.47</w:t>
            </w:r>
          </w:p>
        </w:tc>
      </w:tr>
      <w:tr>
        <w:tc>
          <w:tcPr>
            <w:tcW w:type="dxa" w:w="3360"/>
          </w:tcPr>
          <w:p>
            <w:r>
              <w:rPr>
                <w:rFonts w:ascii="Calibri" w:hAnsi="Calibri"/>
                <w:color w:val="333333"/>
                <w:sz w:val="18"/>
              </w:rPr>
              <w:t>F5</w:t>
            </w:r>
          </w:p>
        </w:tc>
        <w:tc>
          <w:tcPr>
            <w:tcW w:type="dxa" w:w="3360"/>
          </w:tcPr>
          <w:p>
            <w:r>
              <w:rPr>
                <w:rFonts w:ascii="Calibri" w:hAnsi="Calibri"/>
                <w:color w:val="333333"/>
                <w:sz w:val="18"/>
              </w:rPr>
              <w:t>ies_amplification</w:t>
            </w:r>
          </w:p>
        </w:tc>
        <w:tc>
          <w:tcPr>
            <w:tcW w:type="dxa" w:w="3360"/>
          </w:tcPr>
          <w:p>
            <w:r>
              <w:rPr>
                <w:rFonts w:ascii="Calibri" w:hAnsi="Calibri"/>
                <w:color w:val="333333"/>
                <w:sz w:val="18"/>
              </w:rPr>
              <w:t>0.85</w:t>
            </w:r>
          </w:p>
        </w:tc>
      </w:tr>
      <w:tr>
        <w:tc>
          <w:tcPr>
            <w:tcW w:type="dxa" w:w="3360"/>
            <w:shd w:fill="F2F4F8" w:val="clear"/>
          </w:tcPr>
          <w:p>
            <w:r>
              <w:rPr>
                <w:rFonts w:ascii="Calibri" w:hAnsi="Calibri"/>
                <w:color w:val="333333"/>
                <w:sz w:val="18"/>
              </w:rPr>
              <w:t>F6</w:t>
            </w:r>
          </w:p>
        </w:tc>
        <w:tc>
          <w:tcPr>
            <w:tcW w:type="dxa" w:w="3360"/>
            <w:shd w:fill="F2F4F8" w:val="clear"/>
          </w:tcPr>
          <w:p>
            <w:r>
              <w:rPr>
                <w:rFonts w:ascii="Calibri" w:hAnsi="Calibri"/>
                <w:color w:val="333333"/>
                <w:sz w:val="18"/>
              </w:rPr>
              <w:t>base</w:t>
            </w:r>
          </w:p>
        </w:tc>
        <w:tc>
          <w:tcPr>
            <w:tcW w:type="dxa" w:w="3360"/>
            <w:shd w:fill="F2F4F8" w:val="clear"/>
          </w:tcPr>
          <w:p>
            <w:r>
              <w:rPr>
                <w:rFonts w:ascii="Calibri" w:hAnsi="Calibri"/>
                <w:color w:val="333333"/>
                <w:sz w:val="18"/>
              </w:rPr>
              <w:t>1.79</w:t>
            </w:r>
          </w:p>
        </w:tc>
      </w:tr>
      <w:tr>
        <w:tc>
          <w:tcPr>
            <w:tcW w:type="dxa" w:w="3360"/>
          </w:tcPr>
          <w:p>
            <w:r>
              <w:rPr>
                <w:rFonts w:ascii="Calibri" w:hAnsi="Calibri"/>
                <w:color w:val="333333"/>
                <w:sz w:val="18"/>
              </w:rPr>
              <w:t>F6</w:t>
            </w:r>
          </w:p>
        </w:tc>
        <w:tc>
          <w:tcPr>
            <w:tcW w:type="dxa" w:w="3360"/>
          </w:tcPr>
          <w:p>
            <w:r>
              <w:rPr>
                <w:rFonts w:ascii="Calibri" w:hAnsi="Calibri"/>
                <w:color w:val="333333"/>
                <w:sz w:val="18"/>
              </w:rPr>
              <w:t>bonus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F6</w:t>
            </w:r>
          </w:p>
        </w:tc>
        <w:tc>
          <w:tcPr>
            <w:tcW w:type="dxa" w:w="3360"/>
            <w:shd w:fill="F2F4F8" w:val="clear"/>
          </w:tcPr>
          <w:p>
            <w:r>
              <w:rPr>
                <w:rFonts w:ascii="Calibri" w:hAnsi="Calibri"/>
                <w:color w:val="333333"/>
                <w:sz w:val="18"/>
              </w:rPr>
              <w:t>modifiers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F6</w:t>
            </w:r>
          </w:p>
        </w:tc>
        <w:tc>
          <w:tcPr>
            <w:tcW w:type="dxa" w:w="3360"/>
          </w:tcPr>
          <w:p>
            <w:r>
              <w:rPr>
                <w:rFonts w:ascii="Calibri" w:hAnsi="Calibri"/>
                <w:color w:val="333333"/>
                <w:sz w:val="18"/>
              </w:rPr>
              <w:t>hard_triggers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F6</w:t>
            </w:r>
          </w:p>
        </w:tc>
        <w:tc>
          <w:tcPr>
            <w:tcW w:type="dxa" w:w="3360"/>
            <w:shd w:fill="F2F4F8" w:val="clear"/>
          </w:tcPr>
          <w:p>
            <w:r>
              <w:rPr>
                <w:rFonts w:ascii="Calibri" w:hAnsi="Calibri"/>
                <w:color w:val="333333"/>
                <w:sz w:val="18"/>
              </w:rPr>
              <w:t>total_before_cap</w:t>
            </w:r>
          </w:p>
        </w:tc>
        <w:tc>
          <w:tcPr>
            <w:tcW w:type="dxa" w:w="3360"/>
            <w:shd w:fill="F2F4F8" w:val="clear"/>
          </w:tcPr>
          <w:p>
            <w:r>
              <w:rPr>
                <w:rFonts w:ascii="Calibri" w:hAnsi="Calibri"/>
                <w:color w:val="333333"/>
                <w:sz w:val="18"/>
              </w:rPr>
              <w:t>1.79</w:t>
            </w:r>
          </w:p>
        </w:tc>
      </w:tr>
      <w:tr>
        <w:tc>
          <w:tcPr>
            <w:tcW w:type="dxa" w:w="3360"/>
          </w:tcPr>
          <w:p>
            <w:r>
              <w:rPr>
                <w:rFonts w:ascii="Calibri" w:hAnsi="Calibri"/>
                <w:color w:val="333333"/>
                <w:sz w:val="18"/>
              </w:rPr>
              <w:t>F6</w:t>
            </w:r>
          </w:p>
        </w:tc>
        <w:tc>
          <w:tcPr>
            <w:tcW w:type="dxa" w:w="3360"/>
          </w:tcPr>
          <w:p>
            <w:r>
              <w:rPr>
                <w:rFonts w:ascii="Calibri" w:hAnsi="Calibri"/>
                <w:color w:val="333333"/>
                <w:sz w:val="18"/>
              </w:rPr>
              <w:t>capped</w:t>
            </w:r>
          </w:p>
        </w:tc>
        <w:tc>
          <w:tcPr>
            <w:tcW w:type="dxa" w:w="3360"/>
          </w:tcPr>
          <w:p>
            <w:r>
              <w:rPr>
                <w:rFonts w:ascii="Calibri" w:hAnsi="Calibri"/>
                <w:color w:val="333333"/>
                <w:sz w:val="18"/>
              </w:rPr>
              <w:t>1.79</w:t>
            </w:r>
          </w:p>
        </w:tc>
      </w:tr>
      <w:tr>
        <w:tc>
          <w:tcPr>
            <w:tcW w:type="dxa" w:w="3360"/>
            <w:shd w:fill="F2F4F8" w:val="clear"/>
          </w:tcPr>
          <w:p>
            <w:r>
              <w:rPr>
                <w:rFonts w:ascii="Calibri" w:hAnsi="Calibri"/>
                <w:color w:val="333333"/>
                <w:sz w:val="18"/>
              </w:rPr>
              <w:t>F6</w:t>
            </w:r>
          </w:p>
        </w:tc>
        <w:tc>
          <w:tcPr>
            <w:tcW w:type="dxa" w:w="3360"/>
            <w:shd w:fill="F2F4F8" w:val="clear"/>
          </w:tcPr>
          <w:p>
            <w:r>
              <w:rPr>
                <w:rFonts w:ascii="Calibri" w:hAnsi="Calibri"/>
                <w:color w:val="333333"/>
                <w:sz w:val="18"/>
              </w:rPr>
              <w:t>ies_amplification</w:t>
            </w:r>
          </w:p>
        </w:tc>
        <w:tc>
          <w:tcPr>
            <w:tcW w:type="dxa" w:w="3360"/>
            <w:shd w:fill="F2F4F8" w:val="clear"/>
          </w:tcPr>
          <w:p>
            <w:r>
              <w:rPr>
                <w:rFonts w:ascii="Calibri" w:hAnsi="Calibri"/>
                <w:color w:val="333333"/>
                <w:sz w:val="18"/>
              </w:rPr>
              <w:t>0.85</w:t>
            </w:r>
          </w:p>
        </w:tc>
      </w:tr>
      <w:tr>
        <w:tc>
          <w:tcPr>
            <w:tcW w:type="dxa" w:w="3360"/>
          </w:tcPr>
          <w:p>
            <w:r>
              <w:rPr>
                <w:rFonts w:ascii="Calibri" w:hAnsi="Calibri"/>
                <w:color w:val="333333"/>
                <w:sz w:val="18"/>
              </w:rPr>
              <w:t>F7</w:t>
            </w:r>
          </w:p>
        </w:tc>
        <w:tc>
          <w:tcPr>
            <w:tcW w:type="dxa" w:w="3360"/>
          </w:tcPr>
          <w:p>
            <w:r>
              <w:rPr>
                <w:rFonts w:ascii="Calibri" w:hAnsi="Calibri"/>
                <w:color w:val="333333"/>
                <w:sz w:val="18"/>
              </w:rPr>
              <w:t>base</w:t>
            </w:r>
          </w:p>
        </w:tc>
        <w:tc>
          <w:tcPr>
            <w:tcW w:type="dxa" w:w="3360"/>
          </w:tcPr>
          <w:p>
            <w:r>
              <w:rPr>
                <w:rFonts w:ascii="Calibri" w:hAnsi="Calibri"/>
                <w:color w:val="333333"/>
                <w:sz w:val="18"/>
              </w:rPr>
              <w:t>1.17</w:t>
            </w:r>
          </w:p>
        </w:tc>
      </w:tr>
      <w:tr>
        <w:tc>
          <w:tcPr>
            <w:tcW w:type="dxa" w:w="3360"/>
            <w:shd w:fill="F2F4F8" w:val="clear"/>
          </w:tcPr>
          <w:p>
            <w:r>
              <w:rPr>
                <w:rFonts w:ascii="Calibri" w:hAnsi="Calibri"/>
                <w:color w:val="333333"/>
                <w:sz w:val="18"/>
              </w:rPr>
              <w:t>F7</w:t>
            </w:r>
          </w:p>
        </w:tc>
        <w:tc>
          <w:tcPr>
            <w:tcW w:type="dxa" w:w="3360"/>
            <w:shd w:fill="F2F4F8" w:val="clear"/>
          </w:tcPr>
          <w:p>
            <w:r>
              <w:rPr>
                <w:rFonts w:ascii="Calibri" w:hAnsi="Calibri"/>
                <w:color w:val="333333"/>
                <w:sz w:val="18"/>
              </w:rPr>
              <w:t>bonus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F7</w:t>
            </w:r>
          </w:p>
        </w:tc>
        <w:tc>
          <w:tcPr>
            <w:tcW w:type="dxa" w:w="3360"/>
          </w:tcPr>
          <w:p>
            <w:r>
              <w:rPr>
                <w:rFonts w:ascii="Calibri" w:hAnsi="Calibri"/>
                <w:color w:val="333333"/>
                <w:sz w:val="18"/>
              </w:rPr>
              <w:t>modifiers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F7</w:t>
            </w:r>
          </w:p>
        </w:tc>
        <w:tc>
          <w:tcPr>
            <w:tcW w:type="dxa" w:w="3360"/>
            <w:shd w:fill="F2F4F8" w:val="clear"/>
          </w:tcPr>
          <w:p>
            <w:r>
              <w:rPr>
                <w:rFonts w:ascii="Calibri" w:hAnsi="Calibri"/>
                <w:color w:val="333333"/>
                <w:sz w:val="18"/>
              </w:rPr>
              <w:t>hard_triggers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F7</w:t>
            </w:r>
          </w:p>
        </w:tc>
        <w:tc>
          <w:tcPr>
            <w:tcW w:type="dxa" w:w="3360"/>
          </w:tcPr>
          <w:p>
            <w:r>
              <w:rPr>
                <w:rFonts w:ascii="Calibri" w:hAnsi="Calibri"/>
                <w:color w:val="333333"/>
                <w:sz w:val="18"/>
              </w:rPr>
              <w:t>total_before_cap</w:t>
            </w:r>
          </w:p>
        </w:tc>
        <w:tc>
          <w:tcPr>
            <w:tcW w:type="dxa" w:w="3360"/>
          </w:tcPr>
          <w:p>
            <w:r>
              <w:rPr>
                <w:rFonts w:ascii="Calibri" w:hAnsi="Calibri"/>
                <w:color w:val="333333"/>
                <w:sz w:val="18"/>
              </w:rPr>
              <w:t>1.17</w:t>
            </w:r>
          </w:p>
        </w:tc>
      </w:tr>
      <w:tr>
        <w:tc>
          <w:tcPr>
            <w:tcW w:type="dxa" w:w="3360"/>
            <w:shd w:fill="F2F4F8" w:val="clear"/>
          </w:tcPr>
          <w:p>
            <w:r>
              <w:rPr>
                <w:rFonts w:ascii="Calibri" w:hAnsi="Calibri"/>
                <w:color w:val="333333"/>
                <w:sz w:val="18"/>
              </w:rPr>
              <w:t>F7</w:t>
            </w:r>
          </w:p>
        </w:tc>
        <w:tc>
          <w:tcPr>
            <w:tcW w:type="dxa" w:w="3360"/>
            <w:shd w:fill="F2F4F8" w:val="clear"/>
          </w:tcPr>
          <w:p>
            <w:r>
              <w:rPr>
                <w:rFonts w:ascii="Calibri" w:hAnsi="Calibri"/>
                <w:color w:val="333333"/>
                <w:sz w:val="18"/>
              </w:rPr>
              <w:t>capped</w:t>
            </w:r>
          </w:p>
        </w:tc>
        <w:tc>
          <w:tcPr>
            <w:tcW w:type="dxa" w:w="3360"/>
            <w:shd w:fill="F2F4F8" w:val="clear"/>
          </w:tcPr>
          <w:p>
            <w:r>
              <w:rPr>
                <w:rFonts w:ascii="Calibri" w:hAnsi="Calibri"/>
                <w:color w:val="333333"/>
                <w:sz w:val="18"/>
              </w:rPr>
              <w:t>1.17</w:t>
            </w:r>
          </w:p>
        </w:tc>
      </w:tr>
      <w:tr>
        <w:tc>
          <w:tcPr>
            <w:tcW w:type="dxa" w:w="3360"/>
          </w:tcPr>
          <w:p>
            <w:r>
              <w:rPr>
                <w:rFonts w:ascii="Calibri" w:hAnsi="Calibri"/>
                <w:color w:val="333333"/>
                <w:sz w:val="18"/>
              </w:rPr>
              <w:t>F7</w:t>
            </w:r>
          </w:p>
        </w:tc>
        <w:tc>
          <w:tcPr>
            <w:tcW w:type="dxa" w:w="3360"/>
          </w:tcPr>
          <w:p>
            <w:r>
              <w:rPr>
                <w:rFonts w:ascii="Calibri" w:hAnsi="Calibri"/>
                <w:color w:val="333333"/>
                <w:sz w:val="18"/>
              </w:rPr>
              <w:t>ies_amplification</w:t>
            </w:r>
          </w:p>
        </w:tc>
        <w:tc>
          <w:tcPr>
            <w:tcW w:type="dxa" w:w="3360"/>
          </w:tcPr>
          <w:p>
            <w:r>
              <w:rPr>
                <w:rFonts w:ascii="Calibri" w:hAnsi="Calibri"/>
                <w:color w:val="333333"/>
                <w:sz w:val="18"/>
              </w:rPr>
              <w:t>0.85</w:t>
            </w:r>
          </w:p>
        </w:tc>
      </w:tr>
      <w:tr>
        <w:tc>
          <w:tcPr>
            <w:tcW w:type="dxa" w:w="3360"/>
            <w:shd w:fill="F2F4F8" w:val="clear"/>
          </w:tcPr>
          <w:p>
            <w:r>
              <w:rPr>
                <w:rFonts w:ascii="Calibri" w:hAnsi="Calibri"/>
                <w:color w:val="333333"/>
                <w:sz w:val="18"/>
              </w:rPr>
              <w:t>F9</w:t>
            </w:r>
          </w:p>
        </w:tc>
        <w:tc>
          <w:tcPr>
            <w:tcW w:type="dxa" w:w="3360"/>
            <w:shd w:fill="F2F4F8" w:val="clear"/>
          </w:tcPr>
          <w:p>
            <w:r>
              <w:rPr>
                <w:rFonts w:ascii="Calibri" w:hAnsi="Calibri"/>
                <w:color w:val="333333"/>
                <w:sz w:val="18"/>
              </w:rPr>
              <w:t>base</w:t>
            </w:r>
          </w:p>
        </w:tc>
        <w:tc>
          <w:tcPr>
            <w:tcW w:type="dxa" w:w="3360"/>
            <w:shd w:fill="F2F4F8" w:val="clear"/>
          </w:tcPr>
          <w:p>
            <w:r>
              <w:rPr>
                <w:rFonts w:ascii="Calibri" w:hAnsi="Calibri"/>
                <w:color w:val="333333"/>
                <w:sz w:val="18"/>
              </w:rPr>
              <w:t>0.80</w:t>
            </w:r>
          </w:p>
        </w:tc>
      </w:tr>
      <w:tr>
        <w:tc>
          <w:tcPr>
            <w:tcW w:type="dxa" w:w="3360"/>
          </w:tcPr>
          <w:p>
            <w:r>
              <w:rPr>
                <w:rFonts w:ascii="Calibri" w:hAnsi="Calibri"/>
                <w:color w:val="333333"/>
                <w:sz w:val="18"/>
              </w:rPr>
              <w:t>F9</w:t>
            </w:r>
          </w:p>
        </w:tc>
        <w:tc>
          <w:tcPr>
            <w:tcW w:type="dxa" w:w="3360"/>
          </w:tcPr>
          <w:p>
            <w:r>
              <w:rPr>
                <w:rFonts w:ascii="Calibri" w:hAnsi="Calibri"/>
                <w:color w:val="333333"/>
                <w:sz w:val="18"/>
              </w:rPr>
              <w:t>bonus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F9</w:t>
            </w:r>
          </w:p>
        </w:tc>
        <w:tc>
          <w:tcPr>
            <w:tcW w:type="dxa" w:w="3360"/>
            <w:shd w:fill="F2F4F8" w:val="clear"/>
          </w:tcPr>
          <w:p>
            <w:r>
              <w:rPr>
                <w:rFonts w:ascii="Calibri" w:hAnsi="Calibri"/>
                <w:color w:val="333333"/>
                <w:sz w:val="18"/>
              </w:rPr>
              <w:t>modifiers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F9</w:t>
            </w:r>
          </w:p>
        </w:tc>
        <w:tc>
          <w:tcPr>
            <w:tcW w:type="dxa" w:w="3360"/>
          </w:tcPr>
          <w:p>
            <w:r>
              <w:rPr>
                <w:rFonts w:ascii="Calibri" w:hAnsi="Calibri"/>
                <w:color w:val="333333"/>
                <w:sz w:val="18"/>
              </w:rPr>
              <w:t>hard_triggers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F9</w:t>
            </w:r>
          </w:p>
        </w:tc>
        <w:tc>
          <w:tcPr>
            <w:tcW w:type="dxa" w:w="3360"/>
            <w:shd w:fill="F2F4F8" w:val="clear"/>
          </w:tcPr>
          <w:p>
            <w:r>
              <w:rPr>
                <w:rFonts w:ascii="Calibri" w:hAnsi="Calibri"/>
                <w:color w:val="333333"/>
                <w:sz w:val="18"/>
              </w:rPr>
              <w:t>total_before_cap</w:t>
            </w:r>
          </w:p>
        </w:tc>
        <w:tc>
          <w:tcPr>
            <w:tcW w:type="dxa" w:w="3360"/>
            <w:shd w:fill="F2F4F8" w:val="clear"/>
          </w:tcPr>
          <w:p>
            <w:r>
              <w:rPr>
                <w:rFonts w:ascii="Calibri" w:hAnsi="Calibri"/>
                <w:color w:val="333333"/>
                <w:sz w:val="18"/>
              </w:rPr>
              <w:t>0.80</w:t>
            </w:r>
          </w:p>
        </w:tc>
      </w:tr>
      <w:tr>
        <w:tc>
          <w:tcPr>
            <w:tcW w:type="dxa" w:w="3360"/>
          </w:tcPr>
          <w:p>
            <w:r>
              <w:rPr>
                <w:rFonts w:ascii="Calibri" w:hAnsi="Calibri"/>
                <w:color w:val="333333"/>
                <w:sz w:val="18"/>
              </w:rPr>
              <w:t>F9</w:t>
            </w:r>
          </w:p>
        </w:tc>
        <w:tc>
          <w:tcPr>
            <w:tcW w:type="dxa" w:w="3360"/>
          </w:tcPr>
          <w:p>
            <w:r>
              <w:rPr>
                <w:rFonts w:ascii="Calibri" w:hAnsi="Calibri"/>
                <w:color w:val="333333"/>
                <w:sz w:val="18"/>
              </w:rPr>
              <w:t>capped</w:t>
            </w:r>
          </w:p>
        </w:tc>
        <w:tc>
          <w:tcPr>
            <w:tcW w:type="dxa" w:w="3360"/>
          </w:tcPr>
          <w:p>
            <w:r>
              <w:rPr>
                <w:rFonts w:ascii="Calibri" w:hAnsi="Calibri"/>
                <w:color w:val="333333"/>
                <w:sz w:val="18"/>
              </w:rPr>
              <w:t>0.80</w:t>
            </w:r>
          </w:p>
        </w:tc>
      </w:tr>
      <w:tr>
        <w:tc>
          <w:tcPr>
            <w:tcW w:type="dxa" w:w="3360"/>
            <w:shd w:fill="F2F4F8" w:val="clear"/>
          </w:tcPr>
          <w:p>
            <w:r>
              <w:rPr>
                <w:rFonts w:ascii="Calibri" w:hAnsi="Calibri"/>
                <w:color w:val="333333"/>
                <w:sz w:val="18"/>
              </w:rPr>
              <w:t>F9</w:t>
            </w:r>
          </w:p>
        </w:tc>
        <w:tc>
          <w:tcPr>
            <w:tcW w:type="dxa" w:w="3360"/>
            <w:shd w:fill="F2F4F8" w:val="clear"/>
          </w:tcPr>
          <w:p>
            <w:r>
              <w:rPr>
                <w:rFonts w:ascii="Calibri" w:hAnsi="Calibri"/>
                <w:color w:val="333333"/>
                <w:sz w:val="18"/>
              </w:rPr>
              <w:t>ies_amplification</w:t>
            </w:r>
          </w:p>
        </w:tc>
        <w:tc>
          <w:tcPr>
            <w:tcW w:type="dxa" w:w="3360"/>
            <w:shd w:fill="F2F4F8" w:val="clear"/>
          </w:tcPr>
          <w:p>
            <w:r>
              <w:rPr>
                <w:rFonts w:ascii="Calibri" w:hAnsi="Calibri"/>
                <w:color w:val="333333"/>
                <w:sz w:val="18"/>
              </w:rPr>
              <w:t>0.85</w:t>
            </w:r>
          </w:p>
        </w:tc>
      </w:tr>
      <w:tr>
        <w:tc>
          <w:tcPr>
            <w:tcW w:type="dxa" w:w="3360"/>
          </w:tcPr>
          <w:p>
            <w:r>
              <w:rPr>
                <w:rFonts w:ascii="Calibri" w:hAnsi="Calibri"/>
                <w:color w:val="333333"/>
                <w:sz w:val="18"/>
              </w:rPr>
              <w:t>F10</w:t>
            </w:r>
          </w:p>
        </w:tc>
        <w:tc>
          <w:tcPr>
            <w:tcW w:type="dxa" w:w="3360"/>
          </w:tcPr>
          <w:p>
            <w:r>
              <w:rPr>
                <w:rFonts w:ascii="Calibri" w:hAnsi="Calibri"/>
                <w:color w:val="333333"/>
                <w:sz w:val="18"/>
              </w:rPr>
              <w:t>base</w:t>
            </w:r>
          </w:p>
        </w:tc>
        <w:tc>
          <w:tcPr>
            <w:tcW w:type="dxa" w:w="3360"/>
          </w:tcPr>
          <w:p>
            <w:r>
              <w:rPr>
                <w:rFonts w:ascii="Calibri" w:hAnsi="Calibri"/>
                <w:color w:val="333333"/>
                <w:sz w:val="18"/>
              </w:rPr>
              <w:t>0.17</w:t>
            </w:r>
          </w:p>
        </w:tc>
      </w:tr>
      <w:tr>
        <w:tc>
          <w:tcPr>
            <w:tcW w:type="dxa" w:w="3360"/>
            <w:shd w:fill="F2F4F8" w:val="clear"/>
          </w:tcPr>
          <w:p>
            <w:r>
              <w:rPr>
                <w:rFonts w:ascii="Calibri" w:hAnsi="Calibri"/>
                <w:color w:val="333333"/>
                <w:sz w:val="18"/>
              </w:rPr>
              <w:t>F10</w:t>
            </w:r>
          </w:p>
        </w:tc>
        <w:tc>
          <w:tcPr>
            <w:tcW w:type="dxa" w:w="3360"/>
            <w:shd w:fill="F2F4F8" w:val="clear"/>
          </w:tcPr>
          <w:p>
            <w:r>
              <w:rPr>
                <w:rFonts w:ascii="Calibri" w:hAnsi="Calibri"/>
                <w:color w:val="333333"/>
                <w:sz w:val="18"/>
              </w:rPr>
              <w:t>bonus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F10</w:t>
            </w:r>
          </w:p>
        </w:tc>
        <w:tc>
          <w:tcPr>
            <w:tcW w:type="dxa" w:w="3360"/>
          </w:tcPr>
          <w:p>
            <w:r>
              <w:rPr>
                <w:rFonts w:ascii="Calibri" w:hAnsi="Calibri"/>
                <w:color w:val="333333"/>
                <w:sz w:val="18"/>
              </w:rPr>
              <w:t>modifiers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F10</w:t>
            </w:r>
          </w:p>
        </w:tc>
        <w:tc>
          <w:tcPr>
            <w:tcW w:type="dxa" w:w="3360"/>
            <w:shd w:fill="F2F4F8" w:val="clear"/>
          </w:tcPr>
          <w:p>
            <w:r>
              <w:rPr>
                <w:rFonts w:ascii="Calibri" w:hAnsi="Calibri"/>
                <w:color w:val="333333"/>
                <w:sz w:val="18"/>
              </w:rPr>
              <w:t>hard_triggers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F10</w:t>
            </w:r>
          </w:p>
        </w:tc>
        <w:tc>
          <w:tcPr>
            <w:tcW w:type="dxa" w:w="3360"/>
          </w:tcPr>
          <w:p>
            <w:r>
              <w:rPr>
                <w:rFonts w:ascii="Calibri" w:hAnsi="Calibri"/>
                <w:color w:val="333333"/>
                <w:sz w:val="18"/>
              </w:rPr>
              <w:t>total_before_cap</w:t>
            </w:r>
          </w:p>
        </w:tc>
        <w:tc>
          <w:tcPr>
            <w:tcW w:type="dxa" w:w="3360"/>
          </w:tcPr>
          <w:p>
            <w:r>
              <w:rPr>
                <w:rFonts w:ascii="Calibri" w:hAnsi="Calibri"/>
                <w:color w:val="333333"/>
                <w:sz w:val="18"/>
              </w:rPr>
              <w:t>0.17</w:t>
            </w:r>
          </w:p>
        </w:tc>
      </w:tr>
      <w:tr>
        <w:tc>
          <w:tcPr>
            <w:tcW w:type="dxa" w:w="3360"/>
            <w:shd w:fill="F2F4F8" w:val="clear"/>
          </w:tcPr>
          <w:p>
            <w:r>
              <w:rPr>
                <w:rFonts w:ascii="Calibri" w:hAnsi="Calibri"/>
                <w:color w:val="333333"/>
                <w:sz w:val="18"/>
              </w:rPr>
              <w:t>F10</w:t>
            </w:r>
          </w:p>
        </w:tc>
        <w:tc>
          <w:tcPr>
            <w:tcW w:type="dxa" w:w="3360"/>
            <w:shd w:fill="F2F4F8" w:val="clear"/>
          </w:tcPr>
          <w:p>
            <w:r>
              <w:rPr>
                <w:rFonts w:ascii="Calibri" w:hAnsi="Calibri"/>
                <w:color w:val="333333"/>
                <w:sz w:val="18"/>
              </w:rPr>
              <w:t>capped</w:t>
            </w:r>
          </w:p>
        </w:tc>
        <w:tc>
          <w:tcPr>
            <w:tcW w:type="dxa" w:w="3360"/>
            <w:shd w:fill="F2F4F8" w:val="clear"/>
          </w:tcPr>
          <w:p>
            <w:r>
              <w:rPr>
                <w:rFonts w:ascii="Calibri" w:hAnsi="Calibri"/>
                <w:color w:val="333333"/>
                <w:sz w:val="18"/>
              </w:rPr>
              <w:t>0.17</w:t>
            </w:r>
          </w:p>
        </w:tc>
      </w:tr>
    </w:tbl>
    <w:p>
      <w:pPr>
        <w:pStyle w:val="DOHeading3"/>
      </w:pPr>
      <w:r>
        <w:t>Pattern Detection Results</w:t>
      </w:r>
    </w:p>
    <w:p>
      <w:pPr>
        <w:pStyle w:val="DOBody"/>
      </w:pPr>
      <w:r>
        <w:t>No composite patterns detected.</w:t>
      </w:r>
    </w:p>
    <w:p>
      <w:pPr>
        <w:pStyle w:val="DOHeading3"/>
      </w:pPr>
      <w:r>
        <w:t>Allegation Theory Mapping</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Theory</w:t>
            </w:r>
          </w:p>
        </w:tc>
        <w:tc>
          <w:tcPr>
            <w:tcW w:type="dxa" w:w="2520"/>
            <w:shd w:fill="1A1446" w:val="clear"/>
          </w:tcPr>
          <w:p>
            <w:r>
              <w:rPr>
                <w:rFonts w:ascii="Calibri" w:hAnsi="Calibri"/>
                <w:b/>
                <w:color w:val="FFFFFF"/>
                <w:sz w:val="18"/>
              </w:rPr>
              <w:t>Exposure</w:t>
            </w:r>
          </w:p>
        </w:tc>
        <w:tc>
          <w:tcPr>
            <w:tcW w:type="dxa" w:w="2520"/>
            <w:shd w:fill="1A1446" w:val="clear"/>
          </w:tcPr>
          <w:p>
            <w:r>
              <w:rPr>
                <w:rFonts w:ascii="Calibri" w:hAnsi="Calibri"/>
                <w:b/>
                <w:color w:val="FFFFFF"/>
                <w:sz w:val="18"/>
              </w:rPr>
              <w:t>Factor Sources</w:t>
            </w:r>
          </w:p>
        </w:tc>
        <w:tc>
          <w:tcPr>
            <w:tcW w:type="dxa" w:w="2520"/>
            <w:shd w:fill="1A1446" w:val="clear"/>
          </w:tcPr>
          <w:p>
            <w:r>
              <w:rPr>
                <w:rFonts w:ascii="Calibri" w:hAnsi="Calibri"/>
                <w:b/>
                <w:color w:val="FFFFFF"/>
                <w:sz w:val="18"/>
              </w:rPr>
              <w:t>Key Findings</w:t>
            </w:r>
          </w:p>
        </w:tc>
      </w:tr>
      <w:tr>
        <w:tc>
          <w:tcPr>
            <w:tcW w:type="dxa" w:w="2520"/>
          </w:tcPr>
          <w:p>
            <w:r>
              <w:rPr>
                <w:rFonts w:ascii="Calibri" w:hAnsi="Calibri"/>
                <w:color w:val="333333"/>
                <w:sz w:val="18"/>
              </w:rPr>
              <w:t>A_DISCLOSURE</w:t>
            </w:r>
          </w:p>
        </w:tc>
        <w:tc>
          <w:tcPr>
            <w:tcW w:type="dxa" w:w="2520"/>
          </w:tcPr>
          <w:p>
            <w:r>
              <w:rPr>
                <w:rFonts w:ascii="Calibri" w:hAnsi="Calibri"/>
                <w:color w:val="333333"/>
                <w:sz w:val="18"/>
              </w:rPr>
              <w:t>MODERATE</w:t>
            </w:r>
          </w:p>
        </w:tc>
        <w:tc>
          <w:tcPr>
            <w:tcW w:type="dxa" w:w="2520"/>
          </w:tcPr>
          <w:p>
            <w:r>
              <w:rPr>
                <w:rFonts w:ascii="Calibri" w:hAnsi="Calibri"/>
                <w:color w:val="333333"/>
                <w:sz w:val="18"/>
              </w:rPr>
              <w:t>F1, F3, F5</w:t>
            </w:r>
          </w:p>
        </w:tc>
        <w:tc>
          <w:tcPr>
            <w:tcW w:type="dxa" w:w="2520"/>
          </w:tcPr>
          <w:p>
            <w:r>
              <w:rPr>
                <w:rFonts w:ascii="Calibri" w:hAnsi="Calibri"/>
                <w:color w:val="333333"/>
                <w:sz w:val="18"/>
              </w:rPr>
              <w:t>F1: Signal-driven scoring: 69 signals, coverage=100%; F3: Signal-driven scoring: 92 signals, coverage=100%</w:t>
            </w:r>
          </w:p>
        </w:tc>
      </w:tr>
      <w:tr>
        <w:tc>
          <w:tcPr>
            <w:tcW w:type="dxa" w:w="2520"/>
            <w:shd w:fill="F2F4F8" w:val="clear"/>
          </w:tcPr>
          <w:p>
            <w:r>
              <w:rPr>
                <w:rFonts w:ascii="Calibri" w:hAnsi="Calibri"/>
                <w:color w:val="333333"/>
                <w:sz w:val="18"/>
              </w:rPr>
              <w:t>B_GUIDANCE</w:t>
            </w:r>
          </w:p>
        </w:tc>
        <w:tc>
          <w:tcPr>
            <w:tcW w:type="dxa" w:w="2520"/>
            <w:shd w:fill="F2F4F8" w:val="clear"/>
          </w:tcPr>
          <w:p>
            <w:r>
              <w:rPr>
                <w:rFonts w:ascii="Calibri" w:hAnsi="Calibri"/>
                <w:color w:val="333333"/>
                <w:sz w:val="18"/>
              </w:rPr>
              <w:t>LOW</w:t>
            </w:r>
          </w:p>
        </w:tc>
        <w:tc>
          <w:tcPr>
            <w:tcW w:type="dxa" w:w="2520"/>
            <w:shd w:fill="F2F4F8" w:val="clear"/>
          </w:tcPr>
          <w:p>
            <w:r>
              <w:rPr>
                <w:rFonts w:ascii="Calibri" w:hAnsi="Calibri"/>
                <w:color w:val="333333"/>
                <w:sz w:val="18"/>
              </w:rPr>
              <w:t>F2, F5</w:t>
            </w:r>
          </w:p>
        </w:tc>
        <w:tc>
          <w:tcPr>
            <w:tcW w:type="dxa" w:w="2520"/>
            <w:shd w:fill="F2F4F8" w:val="clear"/>
          </w:tcPr>
          <w:p>
            <w:r>
              <w:rPr>
                <w:rFonts w:ascii="Calibri" w:hAnsi="Calibri"/>
                <w:color w:val="333333"/>
                <w:sz w:val="18"/>
              </w:rPr>
              <w:t>F2: Signal-driven scoring: 30 signals, coverage=100%; F2: Drop contribution modifier: 0.17x (decay + company-specific + disclosure)</w:t>
            </w:r>
          </w:p>
        </w:tc>
      </w:tr>
      <w:tr>
        <w:tc>
          <w:tcPr>
            <w:tcW w:type="dxa" w:w="2520"/>
          </w:tcPr>
          <w:p>
            <w:r>
              <w:rPr>
                <w:rFonts w:ascii="Calibri" w:hAnsi="Calibri"/>
                <w:color w:val="333333"/>
                <w:sz w:val="18"/>
              </w:rPr>
              <w:t>C_PRODUCT_OPS</w:t>
            </w:r>
          </w:p>
        </w:tc>
        <w:tc>
          <w:tcPr>
            <w:tcW w:type="dxa" w:w="2520"/>
          </w:tcPr>
          <w:p>
            <w:r>
              <w:rPr>
                <w:rFonts w:ascii="Calibri" w:hAnsi="Calibri"/>
                <w:color w:val="333333"/>
                <w:sz w:val="18"/>
              </w:rPr>
              <w:t>LOW</w:t>
            </w:r>
          </w:p>
        </w:tc>
        <w:tc>
          <w:tcPr>
            <w:tcW w:type="dxa" w:w="2520"/>
          </w:tcPr>
          <w:p>
            <w:r>
              <w:rPr>
                <w:rFonts w:ascii="Calibri" w:hAnsi="Calibri"/>
                <w:color w:val="333333"/>
                <w:sz w:val="18"/>
              </w:rPr>
              <w:t>F7</w:t>
            </w:r>
          </w:p>
        </w:tc>
        <w:tc>
          <w:tcPr>
            <w:tcW w:type="dxa" w:w="2520"/>
          </w:tcPr>
          <w:p>
            <w:r>
              <w:rPr>
                <w:rFonts w:ascii="Calibri" w:hAnsi="Calibri"/>
                <w:color w:val="333333"/>
                <w:sz w:val="18"/>
              </w:rPr>
              <w:t>F7: Signal-driven scoring: 27 signals, coverage=100%; 1 regulatory proceedings</w:t>
            </w:r>
          </w:p>
        </w:tc>
      </w:tr>
      <w:tr>
        <w:tc>
          <w:tcPr>
            <w:tcW w:type="dxa" w:w="2520"/>
            <w:shd w:fill="F2F4F8" w:val="clear"/>
          </w:tcPr>
          <w:p>
            <w:r>
              <w:rPr>
                <w:rFonts w:ascii="Calibri" w:hAnsi="Calibri"/>
                <w:color w:val="333333"/>
                <w:sz w:val="18"/>
              </w:rPr>
              <w:t>D_GOVERNANCE</w:t>
            </w:r>
          </w:p>
        </w:tc>
        <w:tc>
          <w:tcPr>
            <w:tcW w:type="dxa" w:w="2520"/>
            <w:shd w:fill="F2F4F8" w:val="clear"/>
          </w:tcPr>
          <w:p>
            <w:r>
              <w:rPr>
                <w:rFonts w:ascii="Calibri" w:hAnsi="Calibri"/>
                <w:color w:val="333333"/>
                <w:sz w:val="18"/>
              </w:rPr>
              <w:t>LOW</w:t>
            </w:r>
          </w:p>
        </w:tc>
        <w:tc>
          <w:tcPr>
            <w:tcW w:type="dxa" w:w="2520"/>
            <w:shd w:fill="F2F4F8" w:val="clear"/>
          </w:tcPr>
          <w:p>
            <w:r>
              <w:rPr>
                <w:rFonts w:ascii="Calibri" w:hAnsi="Calibri"/>
                <w:color w:val="333333"/>
                <w:sz w:val="18"/>
              </w:rPr>
              <w:t>F9, F10</w:t>
            </w:r>
          </w:p>
        </w:tc>
        <w:tc>
          <w:tcPr>
            <w:tcW w:type="dxa" w:w="2520"/>
            <w:shd w:fill="F2F4F8" w:val="clear"/>
          </w:tcPr>
          <w:p>
            <w:r>
              <w:rPr>
                <w:rFonts w:ascii="Calibri" w:hAnsi="Calibri"/>
                <w:color w:val="333333"/>
                <w:sz w:val="18"/>
              </w:rPr>
              <w:t>F9: Signal-driven scoring: 42 signals, coverage=100%; F10: Signal-driven scoring: 89 signals, coverage=100%</w:t>
            </w:r>
          </w:p>
        </w:tc>
      </w:tr>
      <w:tr>
        <w:tc>
          <w:tcPr>
            <w:tcW w:type="dxa" w:w="2520"/>
          </w:tcPr>
          <w:p>
            <w:r>
              <w:rPr>
                <w:rFonts w:ascii="Calibri" w:hAnsi="Calibri"/>
                <w:color w:val="333333"/>
                <w:sz w:val="18"/>
              </w:rPr>
              <w:t>E_MA</w:t>
            </w:r>
          </w:p>
        </w:tc>
        <w:tc>
          <w:tcPr>
            <w:tcW w:type="dxa" w:w="2520"/>
          </w:tcPr>
          <w:p>
            <w:r>
              <w:rPr>
                <w:rFonts w:ascii="Calibri" w:hAnsi="Calibri"/>
                <w:color w:val="333333"/>
                <w:sz w:val="18"/>
              </w:rPr>
              <w:t>LOW</w:t>
            </w:r>
          </w:p>
        </w:tc>
        <w:tc>
          <w:tcPr>
            <w:tcW w:type="dxa" w:w="2520"/>
          </w:tcPr>
          <w:p>
            <w:r>
              <w:rPr>
                <w:rFonts w:ascii="Calibri" w:hAnsi="Calibri"/>
                <w:color w:val="333333"/>
                <w:sz w:val="18"/>
              </w:rPr>
              <w:t>F4</w:t>
            </w:r>
          </w:p>
        </w:tc>
        <w:tc>
          <w:tcPr>
            <w:tcW w:type="dxa" w:w="2520"/>
          </w:tcPr>
          <w:p>
            <w:r>
              <w:rPr>
                <w:rFonts w:ascii="Calibri" w:hAnsi="Calibri"/>
                <w:color w:val="333333"/>
                <w:sz w:val="18"/>
              </w:rPr>
              <w:t>F4: Signal-driven scoring: 19 signals, coverage=100%</w:t>
            </w:r>
          </w:p>
        </w:tc>
      </w:tr>
    </w:tbl>
    <w:p>
      <w:pPr>
        <w:pStyle w:val="DOBody"/>
      </w:pPr>
      <w:r>
        <w:rPr>
          <w:i/>
          <w:sz w:val="16"/>
        </w:rPr>
        <w:t>D&amp;O Context: Primary allegation exposure is A_DISCLOSURE. MODERATE exposure in: A_DISCLOSURE.</w:t>
      </w:r>
    </w:p>
    <w:p>
      <w:pPr>
        <w:pStyle w:val="DOHeading3"/>
      </w:pPr>
      <w:r>
        <w:t>Claim Probability Detail</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Probability Band</w:t>
            </w:r>
          </w:p>
        </w:tc>
        <w:tc>
          <w:tcPr>
            <w:tcW w:type="dxa" w:w="5040"/>
          </w:tcPr>
          <w:p>
            <w:r>
              <w:rPr>
                <w:rFonts w:ascii="Calibri" w:hAnsi="Calibri"/>
                <w:color w:val="333333"/>
                <w:sz w:val="18"/>
              </w:rPr>
              <w:t>ELEVATED</w:t>
            </w:r>
          </w:p>
        </w:tc>
      </w:tr>
      <w:tr>
        <w:tc>
          <w:tcPr>
            <w:tcW w:type="dxa" w:w="5040"/>
            <w:shd w:fill="F2F4F8" w:val="clear"/>
          </w:tcPr>
          <w:p>
            <w:r>
              <w:rPr>
                <w:rFonts w:ascii="Calibri" w:hAnsi="Calibri"/>
                <w:color w:val="333333"/>
                <w:sz w:val="18"/>
              </w:rPr>
              <w:t>Range</w:t>
            </w:r>
          </w:p>
        </w:tc>
        <w:tc>
          <w:tcPr>
            <w:tcW w:type="dxa" w:w="5040"/>
            <w:shd w:fill="F2F4F8" w:val="clear"/>
          </w:tcPr>
          <w:p>
            <w:r>
              <w:rPr>
                <w:rFonts w:ascii="Calibri" w:hAnsi="Calibri"/>
                <w:color w:val="333333"/>
                <w:sz w:val="18"/>
              </w:rPr>
              <w:t>5.5% - 7.8%</w:t>
            </w:r>
          </w:p>
        </w:tc>
      </w:tr>
      <w:tr>
        <w:tc>
          <w:tcPr>
            <w:tcW w:type="dxa" w:w="5040"/>
          </w:tcPr>
          <w:p>
            <w:r>
              <w:rPr>
                <w:rFonts w:ascii="Calibri" w:hAnsi="Calibri"/>
                <w:color w:val="333333"/>
                <w:sz w:val="18"/>
              </w:rPr>
              <w:t>Industry Base Rate</w:t>
            </w:r>
          </w:p>
        </w:tc>
        <w:tc>
          <w:tcPr>
            <w:tcW w:type="dxa" w:w="5040"/>
          </w:tcPr>
          <w:p>
            <w:r>
              <w:rPr>
                <w:rFonts w:ascii="Calibri" w:hAnsi="Calibri"/>
                <w:color w:val="333333"/>
                <w:sz w:val="18"/>
              </w:rPr>
              <w:t>5.0%</w:t>
            </w:r>
          </w:p>
        </w:tc>
      </w:tr>
      <w:tr>
        <w:tc>
          <w:tcPr>
            <w:tcW w:type="dxa" w:w="5040"/>
            <w:shd w:fill="F2F4F8" w:val="clear"/>
          </w:tcPr>
          <w:p>
            <w:r>
              <w:rPr>
                <w:rFonts w:ascii="Calibri" w:hAnsi="Calibri"/>
                <w:color w:val="333333"/>
                <w:sz w:val="18"/>
              </w:rPr>
              <w:t>Adjustment Rationale</w:t>
            </w:r>
          </w:p>
        </w:tc>
        <w:tc>
          <w:tcPr>
            <w:tcW w:type="dxa" w:w="5040"/>
            <w:shd w:fill="F2F4F8" w:val="clear"/>
          </w:tcPr>
          <w:p>
            <w:r>
              <w:rPr>
                <w:rFonts w:ascii="Calibri" w:hAnsi="Calibri"/>
                <w:color w:val="333333"/>
                <w:sz w:val="18"/>
              </w:rPr>
              <w:t xml:space="preserve">Industry base rate: 5.0%. Tier WIN (0-2%): Below base rate. Strong risk profile </w:t>
            </w:r>
          </w:p>
        </w:tc>
      </w:tr>
    </w:tbl>
    <w:p>
      <w:pPr>
        <w:pStyle w:val="DOBody"/>
      </w:pPr>
      <w:r>
        <w:rPr>
          <w:b/>
        </w:rPr>
        <w:t>Claim probability: ELEVATED</w:t>
      </w:r>
      <w:r>
        <w:rPr>
          <w:b/>
          <w:color w:val="EA580C"/>
          <w:sz w:val="18"/>
        </w:rPr>
        <w:t xml:space="preserve"> [HIGH]</w:t>
      </w:r>
    </w:p>
    <w:p>
      <w:pPr>
        <w:pStyle w:val="DOHeading3"/>
      </w:pPr>
      <w:r>
        <w:t>Tower Position Recommendation</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Recommended Position</w:t>
            </w:r>
          </w:p>
        </w:tc>
        <w:tc>
          <w:tcPr>
            <w:tcW w:type="dxa" w:w="5040"/>
          </w:tcPr>
          <w:p>
            <w:r>
              <w:rPr>
                <w:rFonts w:ascii="Calibri" w:hAnsi="Calibri"/>
                <w:color w:val="333333"/>
                <w:sz w:val="18"/>
              </w:rPr>
              <w:t>PRIMARY</w:t>
            </w:r>
          </w:p>
        </w:tc>
      </w:tr>
      <w:tr>
        <w:tc>
          <w:tcPr>
            <w:tcW w:type="dxa" w:w="5040"/>
            <w:shd w:fill="F2F4F8" w:val="clear"/>
          </w:tcPr>
          <w:p>
            <w:r>
              <w:rPr>
                <w:rFonts w:ascii="Calibri" w:hAnsi="Calibri"/>
                <w:color w:val="333333"/>
                <w:sz w:val="18"/>
              </w:rPr>
              <w:t>Minimum Attachment</w:t>
            </w:r>
          </w:p>
        </w:tc>
        <w:tc>
          <w:tcPr>
            <w:tcW w:type="dxa" w:w="5040"/>
            <w:shd w:fill="F2F4F8" w:val="clear"/>
          </w:tcPr>
          <w:p>
            <w:r>
              <w:rPr>
                <w:rFonts w:ascii="Calibri" w:hAnsi="Calibri"/>
                <w:color w:val="333333"/>
                <w:sz w:val="18"/>
              </w:rPr>
              <w:t>$1885.6M (based on 50th percentile settlement)</w:t>
            </w:r>
          </w:p>
        </w:tc>
      </w:tr>
      <w:tr>
        <w:tc>
          <w:tcPr>
            <w:tcW w:type="dxa" w:w="5040"/>
          </w:tcPr>
          <w:p>
            <w:r>
              <w:rPr>
                <w:rFonts w:ascii="Calibri" w:hAnsi="Calibri"/>
                <w:color w:val="333333"/>
                <w:sz w:val="18"/>
              </w:rPr>
              <w:t>Side A/DIC Assessment</w:t>
            </w:r>
          </w:p>
        </w:tc>
        <w:tc>
          <w:tcPr>
            <w:tcW w:type="dxa" w:w="5040"/>
          </w:tcPr>
          <w:p>
            <w:r>
              <w:rPr>
                <w:rFonts w:ascii="Calibri" w:hAnsi="Calibri"/>
                <w:color w:val="333333"/>
                <w:sz w:val="18"/>
              </w:rPr>
              <w:t>Standard Side A considerations</w:t>
            </w:r>
          </w:p>
        </w:tc>
      </w:tr>
    </w:tbl>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Position</w:t>
            </w:r>
          </w:p>
        </w:tc>
        <w:tc>
          <w:tcPr>
            <w:tcW w:type="dxa" w:w="2520"/>
            <w:shd w:fill="1A1446" w:val="clear"/>
          </w:tcPr>
          <w:p>
            <w:r>
              <w:rPr>
                <w:rFonts w:ascii="Calibri" w:hAnsi="Calibri"/>
                <w:b/>
                <w:color w:val="FFFFFF"/>
                <w:sz w:val="18"/>
              </w:rPr>
              <w:t>Risk Assessment</w:t>
            </w:r>
          </w:p>
        </w:tc>
        <w:tc>
          <w:tcPr>
            <w:tcW w:type="dxa" w:w="2520"/>
            <w:shd w:fill="1A1446" w:val="clear"/>
          </w:tcPr>
          <w:p>
            <w:r>
              <w:rPr>
                <w:rFonts w:ascii="Calibri" w:hAnsi="Calibri"/>
                <w:b/>
                <w:color w:val="FFFFFF"/>
                <w:sz w:val="18"/>
              </w:rPr>
              <w:t>Premium Guidance</w:t>
            </w:r>
          </w:p>
        </w:tc>
        <w:tc>
          <w:tcPr>
            <w:tcW w:type="dxa" w:w="2520"/>
            <w:shd w:fill="1A1446" w:val="clear"/>
          </w:tcPr>
          <w:p>
            <w:r>
              <w:rPr>
                <w:rFonts w:ascii="Calibri" w:hAnsi="Calibri"/>
                <w:b/>
                <w:color w:val="FFFFFF"/>
                <w:sz w:val="18"/>
              </w:rPr>
              <w:t>Attachment</w:t>
            </w:r>
          </w:p>
        </w:tc>
      </w:tr>
      <w:tr>
        <w:tc>
          <w:tcPr>
            <w:tcW w:type="dxa" w:w="2520"/>
          </w:tcPr>
          <w:p>
            <w:r>
              <w:rPr>
                <w:rFonts w:ascii="Calibri" w:hAnsi="Calibri"/>
                <w:color w:val="333333"/>
                <w:sz w:val="18"/>
              </w:rPr>
              <w:t>PRIMARY</w:t>
            </w:r>
          </w:p>
        </w:tc>
        <w:tc>
          <w:tcPr>
            <w:tcW w:type="dxa" w:w="2520"/>
          </w:tcPr>
          <w:p>
            <w:r>
              <w:rPr>
                <w:rFonts w:ascii="Calibri" w:hAnsi="Calibri"/>
                <w:color w:val="333333"/>
                <w:sz w:val="18"/>
              </w:rPr>
              <w:t>Primary layer carries 57% of expected loss exposur</w:t>
            </w:r>
          </w:p>
        </w:tc>
        <w:tc>
          <w:tcPr>
            <w:tcW w:type="dxa" w:w="2520"/>
          </w:tcPr>
          <w:p>
            <w:r>
              <w:rPr>
                <w:rFonts w:ascii="Calibri" w:hAnsi="Calibri"/>
                <w:color w:val="333333"/>
                <w:sz w:val="18"/>
              </w:rPr>
              <w:t>Full rate, slight discount for</w:t>
            </w:r>
          </w:p>
        </w:tc>
        <w:tc>
          <w:tcPr>
            <w:tcW w:type="dxa" w:w="2520"/>
          </w:tcPr>
          <w:p>
            <w:r>
              <w:rPr>
                <w:rFonts w:ascii="Calibri" w:hAnsi="Calibri"/>
                <w:color w:val="333333"/>
                <w:sz w:val="18"/>
              </w:rPr>
              <w:t>$0 ground-up</w:t>
            </w:r>
          </w:p>
        </w:tc>
      </w:tr>
      <w:tr>
        <w:tc>
          <w:tcPr>
            <w:tcW w:type="dxa" w:w="2520"/>
            <w:shd w:fill="F2F4F8" w:val="clear"/>
          </w:tcPr>
          <w:p>
            <w:r>
              <w:rPr>
                <w:rFonts w:ascii="Calibri" w:hAnsi="Calibri"/>
                <w:color w:val="333333"/>
                <w:sz w:val="18"/>
              </w:rPr>
              <w:t>LOW_EXCESS</w:t>
            </w:r>
          </w:p>
        </w:tc>
        <w:tc>
          <w:tcPr>
            <w:tcW w:type="dxa" w:w="2520"/>
            <w:shd w:fill="F2F4F8" w:val="clear"/>
          </w:tcPr>
          <w:p>
            <w:r>
              <w:rPr>
                <w:rFonts w:ascii="Calibri" w:hAnsi="Calibri"/>
                <w:color w:val="333333"/>
                <w:sz w:val="18"/>
              </w:rPr>
              <w:t>Low excess layer carries 18% of expected loss expo</w:t>
            </w:r>
          </w:p>
        </w:tc>
        <w:tc>
          <w:tcPr>
            <w:tcW w:type="dxa" w:w="2520"/>
            <w:shd w:fill="F2F4F8" w:val="clear"/>
          </w:tcPr>
          <w:p>
            <w:r>
              <w:rPr>
                <w:rFonts w:ascii="Calibri" w:hAnsi="Calibri"/>
                <w:color w:val="333333"/>
                <w:sz w:val="18"/>
              </w:rPr>
              <w:t>Market rate</w:t>
            </w:r>
          </w:p>
        </w:tc>
        <w:tc>
          <w:tcPr>
            <w:tcW w:type="dxa" w:w="2520"/>
            <w:shd w:fill="F2F4F8" w:val="clear"/>
          </w:tcPr>
          <w:p>
            <w:r>
              <w:rPr>
                <w:rFonts w:ascii="Calibri" w:hAnsi="Calibri"/>
                <w:color w:val="333333"/>
                <w:sz w:val="18"/>
              </w:rPr>
              <w:t>$5-15M xs $5-15M</w:t>
            </w:r>
          </w:p>
        </w:tc>
      </w:tr>
      <w:tr>
        <w:tc>
          <w:tcPr>
            <w:tcW w:type="dxa" w:w="2520"/>
          </w:tcPr>
          <w:p>
            <w:r>
              <w:rPr>
                <w:rFonts w:ascii="Calibri" w:hAnsi="Calibri"/>
                <w:color w:val="333333"/>
                <w:sz w:val="18"/>
              </w:rPr>
              <w:t>MID_EXCESS</w:t>
            </w:r>
          </w:p>
        </w:tc>
        <w:tc>
          <w:tcPr>
            <w:tcW w:type="dxa" w:w="2520"/>
          </w:tcPr>
          <w:p>
            <w:r>
              <w:rPr>
                <w:rFonts w:ascii="Calibri" w:hAnsi="Calibri"/>
                <w:color w:val="333333"/>
                <w:sz w:val="18"/>
              </w:rPr>
              <w:t>Mid excess layer carries 13% of expected loss expo</w:t>
            </w:r>
          </w:p>
        </w:tc>
        <w:tc>
          <w:tcPr>
            <w:tcW w:type="dxa" w:w="2520"/>
          </w:tcPr>
          <w:p>
            <w:r>
              <w:rPr>
                <w:rFonts w:ascii="Calibri" w:hAnsi="Calibri"/>
                <w:color w:val="333333"/>
                <w:sz w:val="18"/>
              </w:rPr>
              <w:t>Market to 1.3x</w:t>
            </w:r>
          </w:p>
        </w:tc>
        <w:tc>
          <w:tcPr>
            <w:tcW w:type="dxa" w:w="2520"/>
          </w:tcPr>
          <w:p>
            <w:r>
              <w:rPr>
                <w:rFonts w:ascii="Calibri" w:hAnsi="Calibri"/>
                <w:color w:val="333333"/>
                <w:sz w:val="18"/>
              </w:rPr>
              <w:t>$15-50M xs $15-50M</w:t>
            </w:r>
          </w:p>
        </w:tc>
      </w:tr>
      <w:tr>
        <w:tc>
          <w:tcPr>
            <w:tcW w:type="dxa" w:w="2520"/>
            <w:shd w:fill="F2F4F8" w:val="clear"/>
          </w:tcPr>
          <w:p>
            <w:r>
              <w:rPr>
                <w:rFonts w:ascii="Calibri" w:hAnsi="Calibri"/>
                <w:color w:val="333333"/>
                <w:sz w:val="18"/>
              </w:rPr>
              <w:t>HIGH_EXCESS</w:t>
            </w:r>
          </w:p>
        </w:tc>
        <w:tc>
          <w:tcPr>
            <w:tcW w:type="dxa" w:w="2520"/>
            <w:shd w:fill="F2F4F8" w:val="clear"/>
          </w:tcPr>
          <w:p>
            <w:r>
              <w:rPr>
                <w:rFonts w:ascii="Calibri" w:hAnsi="Calibri"/>
                <w:color w:val="333333"/>
                <w:sz w:val="18"/>
              </w:rPr>
              <w:t>High excess layer carries 11% of expected loss exp</w:t>
            </w:r>
          </w:p>
        </w:tc>
        <w:tc>
          <w:tcPr>
            <w:tcW w:type="dxa" w:w="2520"/>
            <w:shd w:fill="F2F4F8" w:val="clear"/>
          </w:tcPr>
          <w:p>
            <w:r>
              <w:rPr>
                <w:rFonts w:ascii="Calibri" w:hAnsi="Calibri"/>
                <w:color w:val="333333"/>
                <w:sz w:val="18"/>
              </w:rPr>
              <w:t>1.3-2x with attachment</w:t>
            </w:r>
          </w:p>
        </w:tc>
        <w:tc>
          <w:tcPr>
            <w:tcW w:type="dxa" w:w="2520"/>
            <w:shd w:fill="F2F4F8" w:val="clear"/>
          </w:tcPr>
          <w:p>
            <w:r>
              <w:rPr>
                <w:rFonts w:ascii="Calibri" w:hAnsi="Calibri"/>
                <w:color w:val="333333"/>
                <w:sz w:val="18"/>
              </w:rPr>
              <w:t>$50M+ xs $50M+</w:t>
            </w:r>
          </w:p>
        </w:tc>
      </w:tr>
      <w:tr>
        <w:tc>
          <w:tcPr>
            <w:tcW w:type="dxa" w:w="2520"/>
          </w:tcPr>
          <w:p>
            <w:r>
              <w:rPr>
                <w:rFonts w:ascii="Calibri" w:hAnsi="Calibri"/>
                <w:color w:val="333333"/>
                <w:sz w:val="18"/>
              </w:rPr>
              <w:t>DECLINE</w:t>
            </w:r>
          </w:p>
        </w:tc>
        <w:tc>
          <w:tcPr>
            <w:tcW w:type="dxa" w:w="2520"/>
          </w:tcPr>
          <w:p>
            <w:r>
              <w:rPr>
                <w:rFonts w:ascii="Calibri" w:hAnsi="Calibri"/>
                <w:color w:val="333333"/>
                <w:sz w:val="18"/>
              </w:rPr>
              <w:t>WALK+ with compounding factors</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r>
    </w:tbl>
    <w:p>
      <w:pPr>
        <w:pStyle w:val="DOHeading2"/>
      </w:pPr>
      <w:r>
        <w:t>Forensic Composite Scores</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Composite</w:t>
            </w:r>
          </w:p>
        </w:tc>
        <w:tc>
          <w:tcPr>
            <w:tcW w:type="dxa" w:w="3360"/>
            <w:shd w:fill="1A1446" w:val="clear"/>
          </w:tcPr>
          <w:p>
            <w:r>
              <w:rPr>
                <w:rFonts w:ascii="Calibri" w:hAnsi="Calibri"/>
                <w:b/>
                <w:color w:val="FFFFFF"/>
                <w:sz w:val="18"/>
              </w:rPr>
              <w:t>Score</w:t>
            </w:r>
          </w:p>
        </w:tc>
        <w:tc>
          <w:tcPr>
            <w:tcW w:type="dxa" w:w="3360"/>
            <w:shd w:fill="1A1446" w:val="clear"/>
          </w:tcPr>
          <w:p>
            <w:r>
              <w:rPr>
                <w:rFonts w:ascii="Calibri" w:hAnsi="Calibri"/>
                <w:b/>
                <w:color w:val="FFFFFF"/>
                <w:sz w:val="18"/>
              </w:rPr>
              <w:t>Interpretation</w:t>
            </w:r>
          </w:p>
        </w:tc>
      </w:tr>
      <w:tr>
        <w:tc>
          <w:tcPr>
            <w:tcW w:type="dxa" w:w="3360"/>
          </w:tcPr>
          <w:p>
            <w:r>
              <w:rPr>
                <w:rFonts w:ascii="Calibri" w:hAnsi="Calibri"/>
                <w:color w:val="333333"/>
                <w:sz w:val="18"/>
              </w:rPr>
              <w:t>Financial Integrity Score (FIS)</w:t>
            </w:r>
          </w:p>
        </w:tc>
        <w:tc>
          <w:tcPr>
            <w:tcW w:type="dxa" w:w="3360"/>
          </w:tcPr>
          <w:p>
            <w:r>
              <w:rPr>
                <w:rFonts w:ascii="Calibri" w:hAnsi="Calibri"/>
                <w:color w:val="333333"/>
                <w:sz w:val="18"/>
              </w:rPr>
              <w:t>N/A</w:t>
            </w:r>
          </w:p>
        </w:tc>
        <w:tc>
          <w:tcPr>
            <w:tcW w:type="dxa" w:w="3360"/>
          </w:tcPr>
          <w:p>
            <w:r>
              <w:rPr>
                <w:rFonts w:ascii="Calibri" w:hAnsi="Calibri"/>
                <w:color w:val="333333"/>
                <w:sz w:val="18"/>
              </w:rPr>
              <w:t>Not available</w:t>
            </w:r>
          </w:p>
        </w:tc>
      </w:tr>
      <w:tr>
        <w:tc>
          <w:tcPr>
            <w:tcW w:type="dxa" w:w="3360"/>
            <w:shd w:fill="F2F4F8" w:val="clear"/>
          </w:tcPr>
          <w:p>
            <w:r>
              <w:rPr>
                <w:rFonts w:ascii="Calibri" w:hAnsi="Calibri"/>
                <w:color w:val="333333"/>
                <w:sz w:val="18"/>
              </w:rPr>
              <w:t>Reporting Quality Score (RQS)</w:t>
            </w:r>
          </w:p>
        </w:tc>
        <w:tc>
          <w:tcPr>
            <w:tcW w:type="dxa" w:w="3360"/>
            <w:shd w:fill="F2F4F8" w:val="clear"/>
          </w:tcPr>
          <w:p>
            <w:r>
              <w:rPr>
                <w:rFonts w:ascii="Calibri" w:hAnsi="Calibri"/>
                <w:color w:val="333333"/>
                <w:sz w:val="18"/>
              </w:rPr>
              <w:t>N/A</w:t>
            </w:r>
          </w:p>
        </w:tc>
        <w:tc>
          <w:tcPr>
            <w:tcW w:type="dxa" w:w="3360"/>
            <w:shd w:fill="F2F4F8" w:val="clear"/>
          </w:tcPr>
          <w:p>
            <w:r>
              <w:rPr>
                <w:rFonts w:ascii="Calibri" w:hAnsi="Calibri"/>
                <w:color w:val="333333"/>
                <w:sz w:val="18"/>
              </w:rPr>
              <w:t>Not available</w:t>
            </w:r>
          </w:p>
        </w:tc>
      </w:tr>
      <w:tr>
        <w:tc>
          <w:tcPr>
            <w:tcW w:type="dxa" w:w="3360"/>
          </w:tcPr>
          <w:p>
            <w:r>
              <w:rPr>
                <w:rFonts w:ascii="Calibri" w:hAnsi="Calibri"/>
                <w:color w:val="333333"/>
                <w:sz w:val="18"/>
              </w:rPr>
              <w:t>Cash Flow Quality Score (CFQS)</w:t>
            </w:r>
          </w:p>
        </w:tc>
        <w:tc>
          <w:tcPr>
            <w:tcW w:type="dxa" w:w="3360"/>
          </w:tcPr>
          <w:p>
            <w:r>
              <w:rPr>
                <w:rFonts w:ascii="Calibri" w:hAnsi="Calibri"/>
                <w:color w:val="333333"/>
                <w:sz w:val="18"/>
              </w:rPr>
              <w:t>N/A</w:t>
            </w:r>
          </w:p>
        </w:tc>
        <w:tc>
          <w:tcPr>
            <w:tcW w:type="dxa" w:w="3360"/>
          </w:tcPr>
          <w:p>
            <w:r>
              <w:rPr>
                <w:rFonts w:ascii="Calibri" w:hAnsi="Calibri"/>
                <w:color w:val="333333"/>
                <w:sz w:val="18"/>
              </w:rPr>
              <w:t>Not available</w:t>
            </w:r>
          </w:p>
        </w:tc>
      </w:tr>
    </w:tbl>
    <w:p>
      <w:pPr>
        <w:pStyle w:val="DOHeading2"/>
      </w:pPr>
      <w:r>
        <w:t>Executive Risk Profile</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Weighted Score</w:t>
            </w:r>
          </w:p>
        </w:tc>
        <w:tc>
          <w:tcPr>
            <w:tcW w:type="dxa" w:w="5040"/>
          </w:tcPr>
          <w:p>
            <w:r>
              <w:rPr>
                <w:rFonts w:ascii="Calibri" w:hAnsi="Calibri"/>
                <w:color w:val="333333"/>
                <w:sz w:val="18"/>
              </w:rPr>
              <w:t>25</w:t>
            </w:r>
          </w:p>
        </w:tc>
      </w:tr>
      <w:tr>
        <w:tc>
          <w:tcPr>
            <w:tcW w:type="dxa" w:w="5040"/>
            <w:shd w:fill="F2F4F8" w:val="clear"/>
          </w:tcPr>
          <w:p>
            <w:r>
              <w:rPr>
                <w:rFonts w:ascii="Calibri" w:hAnsi="Calibri"/>
                <w:color w:val="333333"/>
                <w:sz w:val="18"/>
              </w:rPr>
              <w:t>Risk Level</w:t>
            </w:r>
          </w:p>
        </w:tc>
        <w:tc>
          <w:tcPr>
            <w:tcW w:type="dxa" w:w="5040"/>
            <w:shd w:fill="F2F4F8" w:val="clear"/>
          </w:tcPr>
          <w:p>
            <w:r>
              <w:rPr>
                <w:rFonts w:ascii="Calibri" w:hAnsi="Calibri"/>
                <w:color w:val="333333"/>
                <w:sz w:val="18"/>
              </w:rPr>
              <w:t>N/A</w:t>
            </w:r>
          </w:p>
        </w:tc>
      </w:tr>
    </w:tbl>
    <w:p>
      <w:pPr>
        <w:pStyle w:val="DOBody"/>
      </w:pPr>
      <w:r>
        <w:t>- [Exchange Act (COO)]: Prior litigation: snippet: See In re NVIDIA Corp., Securities Act of 1933 Release No. 11060, 2022 WL 1442621 (May 6, 2</w:t>
      </w:r>
    </w:p>
    <w:p>
      <w:pPr>
        <w:pStyle w:val="DOBody"/>
      </w:pPr>
      <w:r>
        <w:t>- [Exchange Act (COO)]: Prior litigation: snippet: NVIDIA Corp. Government Agencies. U.S. District Court for the Northern District of Californ</w:t>
      </w:r>
    </w:p>
    <w:p>
      <w:pPr>
        <w:pStyle w:val="DOBody"/>
      </w:pPr>
      <w:r>
        <w:t>- [Exchange Act (COO)]: Prior litigation: title: NVIDIA Prevails in Securities Class Action Over Defects| Law.com</w:t>
      </w:r>
    </w:p>
    <w:p>
      <w:pPr>
        <w:pStyle w:val="DOBody"/>
      </w:pPr>
      <w:r>
        <w:t>- [Information About (Director)]: Prior litigation: title: Nvidia to pay $5.5 million penalty for 'inadequate disclosures' about ...</w:t>
      </w:r>
    </w:p>
    <w:p>
      <w:pPr>
        <w:pStyle w:val="DOBody"/>
      </w:pPr>
      <w:r>
        <w:t>- [Information About (Director)]: Prior litigation: url: https://www.reuters.com/technology/us-sec-charges-nvidia-with-inadequate-disclosures-about-impa</w:t>
      </w:r>
    </w:p>
    <w:p>
      <w:pPr>
        <w:pStyle w:val="DOBody"/>
      </w:pPr>
      <w:r>
        <w:t>- [Information About (Director)]: Prior litigation: url: https://www.wsj.com/finance/regulation/nvidia-to-pay-5-5-million-in-settling-sec-claims-about-c</w:t>
      </w:r>
    </w:p>
    <w:p>
      <w:pPr>
        <w:pStyle w:val="DOHeading2"/>
      </w:pPr>
      <w:r>
        <w:t>Temporal Signals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Type</w:t>
            </w:r>
          </w:p>
        </w:tc>
        <w:tc>
          <w:tcPr>
            <w:tcW w:type="dxa" w:w="2520"/>
            <w:shd w:fill="1A1446" w:val="clear"/>
          </w:tcPr>
          <w:p>
            <w:r>
              <w:rPr>
                <w:rFonts w:ascii="Calibri" w:hAnsi="Calibri"/>
                <w:b/>
                <w:color w:val="FFFFFF"/>
                <w:sz w:val="18"/>
              </w:rPr>
              <w:t>Direction</w:t>
            </w:r>
          </w:p>
        </w:tc>
        <w:tc>
          <w:tcPr>
            <w:tcW w:type="dxa" w:w="2520"/>
            <w:shd w:fill="1A1446" w:val="clear"/>
          </w:tcPr>
          <w:p>
            <w:r>
              <w:rPr>
                <w:rFonts w:ascii="Calibri" w:hAnsi="Calibri"/>
                <w:b/>
                <w:color w:val="FFFFFF"/>
                <w:sz w:val="18"/>
              </w:rPr>
              <w:t>Magnitude</w:t>
            </w:r>
          </w:p>
        </w:tc>
        <w:tc>
          <w:tcPr>
            <w:tcW w:type="dxa" w:w="2520"/>
            <w:shd w:fill="1A1446" w:val="clear"/>
          </w:tcPr>
          <w:p>
            <w:r>
              <w:rPr>
                <w:rFonts w:ascii="Calibri" w:hAnsi="Calibri"/>
                <w:b/>
                <w:color w:val="FFFFFF"/>
                <w:sz w:val="18"/>
              </w:rPr>
              <w:t>Description</w:t>
            </w:r>
          </w:p>
        </w:tc>
      </w:tr>
      <w:tr>
        <w:tc>
          <w:tcPr>
            <w:tcW w:type="dxa" w:w="2520"/>
          </w:tcPr>
          <w:p>
            <w:r>
              <w:rPr>
                <w:rFonts w:ascii="Calibri" w:hAnsi="Calibri"/>
                <w:color w:val="333333"/>
                <w:sz w:val="18"/>
              </w:rPr>
              <w:t>Unknown</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c>
          <w:tcPr>
            <w:tcW w:type="dxa" w:w="2520"/>
          </w:tcPr>
          <w:p>
            <w:r>
              <w:rPr>
                <w:rFonts w:ascii="Calibri" w:hAnsi="Calibri"/>
                <w:color w:val="333333"/>
                <w:sz w:val="18"/>
              </w:rPr>
            </w:r>
          </w:p>
        </w:tc>
      </w:tr>
      <w:tr>
        <w:tc>
          <w:tcPr>
            <w:tcW w:type="dxa" w:w="2520"/>
            <w:shd w:fill="F2F4F8" w:val="clear"/>
          </w:tcPr>
          <w:p>
            <w:r>
              <w:rPr>
                <w:rFonts w:ascii="Calibri" w:hAnsi="Calibri"/>
                <w:color w:val="333333"/>
                <w:sz w:val="18"/>
              </w:rPr>
              <w:t>Unknown</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r>
          </w:p>
        </w:tc>
      </w:tr>
      <w:tr>
        <w:tc>
          <w:tcPr>
            <w:tcW w:type="dxa" w:w="2520"/>
          </w:tcPr>
          <w:p>
            <w:r>
              <w:rPr>
                <w:rFonts w:ascii="Calibri" w:hAnsi="Calibri"/>
                <w:color w:val="333333"/>
                <w:sz w:val="18"/>
              </w:rPr>
              <w:t>Unknown</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c>
          <w:tcPr>
            <w:tcW w:type="dxa" w:w="2520"/>
          </w:tcPr>
          <w:p>
            <w:r>
              <w:rPr>
                <w:rFonts w:ascii="Calibri" w:hAnsi="Calibri"/>
                <w:color w:val="333333"/>
                <w:sz w:val="18"/>
              </w:rPr>
            </w:r>
          </w:p>
        </w:tc>
      </w:tr>
      <w:tr>
        <w:tc>
          <w:tcPr>
            <w:tcW w:type="dxa" w:w="2520"/>
            <w:shd w:fill="F2F4F8" w:val="clear"/>
          </w:tcPr>
          <w:p>
            <w:r>
              <w:rPr>
                <w:rFonts w:ascii="Calibri" w:hAnsi="Calibri"/>
                <w:color w:val="333333"/>
                <w:sz w:val="18"/>
              </w:rPr>
              <w:t>Unknown</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r>
          </w:p>
        </w:tc>
      </w:tr>
      <w:tr>
        <w:tc>
          <w:tcPr>
            <w:tcW w:type="dxa" w:w="2520"/>
          </w:tcPr>
          <w:p>
            <w:r>
              <w:rPr>
                <w:rFonts w:ascii="Calibri" w:hAnsi="Calibri"/>
                <w:color w:val="333333"/>
                <w:sz w:val="18"/>
              </w:rPr>
              <w:t>Unknown</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c>
          <w:tcPr>
            <w:tcW w:type="dxa" w:w="2520"/>
          </w:tcPr>
          <w:p>
            <w:r>
              <w:rPr>
                <w:rFonts w:ascii="Calibri" w:hAnsi="Calibri"/>
                <w:color w:val="333333"/>
                <w:sz w:val="18"/>
              </w:rPr>
            </w:r>
          </w:p>
        </w:tc>
      </w:tr>
      <w:tr>
        <w:tc>
          <w:tcPr>
            <w:tcW w:type="dxa" w:w="2520"/>
            <w:shd w:fill="F2F4F8" w:val="clear"/>
          </w:tcPr>
          <w:p>
            <w:r>
              <w:rPr>
                <w:rFonts w:ascii="Calibri" w:hAnsi="Calibri"/>
                <w:color w:val="333333"/>
                <w:sz w:val="18"/>
              </w:rPr>
              <w:t>Unknown</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r>
          </w:p>
        </w:tc>
      </w:tr>
      <w:tr>
        <w:tc>
          <w:tcPr>
            <w:tcW w:type="dxa" w:w="2520"/>
          </w:tcPr>
          <w:p>
            <w:r>
              <w:rPr>
                <w:rFonts w:ascii="Calibri" w:hAnsi="Calibri"/>
                <w:color w:val="333333"/>
                <w:sz w:val="18"/>
              </w:rPr>
              <w:t>Unknown</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c>
          <w:tcPr>
            <w:tcW w:type="dxa" w:w="2520"/>
          </w:tcPr>
          <w:p>
            <w:r>
              <w:rPr>
                <w:rFonts w:ascii="Calibri" w:hAnsi="Calibri"/>
                <w:color w:val="333333"/>
                <w:sz w:val="18"/>
              </w:rPr>
            </w:r>
          </w:p>
        </w:tc>
      </w:tr>
      <w:tr>
        <w:tc>
          <w:tcPr>
            <w:tcW w:type="dxa" w:w="2520"/>
            <w:shd w:fill="F2F4F8" w:val="clear"/>
          </w:tcPr>
          <w:p>
            <w:r>
              <w:rPr>
                <w:rFonts w:ascii="Calibri" w:hAnsi="Calibri"/>
                <w:color w:val="333333"/>
                <w:sz w:val="18"/>
              </w:rPr>
              <w:t>Unknown</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r>
          </w:p>
        </w:tc>
      </w:tr>
    </w:tbl>
    <w:p>
      <w:pPr>
        <w:pStyle w:val="DOHeading2"/>
      </w:pPr>
      <w:r>
        <w:t>NLP Filing Analysis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Readability Score</w:t>
            </w:r>
          </w:p>
        </w:tc>
        <w:tc>
          <w:tcPr>
            <w:tcW w:type="dxa" w:w="5040"/>
          </w:tcPr>
          <w:p>
            <w:r>
              <w:rPr>
                <w:rFonts w:ascii="Calibri" w:hAnsi="Calibri"/>
                <w:color w:val="333333"/>
                <w:sz w:val="18"/>
              </w:rPr>
              <w:t>{'current_fog': 20.32, 'prior_fog': None, 'fog_change': None, 'current_flesch': 18.84, 'prior_flesch': None, 'classification': 'CURRENT_ONLY', 'evidence': 'Current Fog Index: 20.3 (prior year unavailable)'}</w:t>
            </w:r>
          </w:p>
        </w:tc>
      </w:tr>
      <w:tr>
        <w:tc>
          <w:tcPr>
            <w:tcW w:type="dxa" w:w="5040"/>
            <w:shd w:fill="F2F4F8" w:val="clear"/>
          </w:tcPr>
          <w:p>
            <w:r>
              <w:rPr>
                <w:rFonts w:ascii="Calibri" w:hAnsi="Calibri"/>
                <w:color w:val="333333"/>
                <w:sz w:val="18"/>
              </w:rPr>
              <w:t>Tone Assessment</w:t>
            </w:r>
          </w:p>
        </w:tc>
        <w:tc>
          <w:tcPr>
            <w:tcW w:type="dxa" w:w="5040"/>
            <w:shd w:fill="F2F4F8" w:val="clear"/>
          </w:tcPr>
          <w:p>
            <w:r>
              <w:rPr>
                <w:rFonts w:ascii="Calibri" w:hAnsi="Calibri"/>
                <w:color w:val="333333"/>
                <w:sz w:val="18"/>
              </w:rPr>
              <w:t>N/A</w:t>
            </w:r>
          </w:p>
        </w:tc>
      </w:tr>
      <w:tr>
        <w:tc>
          <w:tcPr>
            <w:tcW w:type="dxa" w:w="5040"/>
          </w:tcPr>
          <w:p>
            <w:r>
              <w:rPr>
                <w:rFonts w:ascii="Calibri" w:hAnsi="Calibri"/>
                <w:color w:val="333333"/>
                <w:sz w:val="18"/>
              </w:rPr>
              <w:t>Risk Language Density</w:t>
            </w:r>
          </w:p>
        </w:tc>
        <w:tc>
          <w:tcPr>
            <w:tcW w:type="dxa" w:w="5040"/>
          </w:tcPr>
          <w:p>
            <w:r>
              <w:rPr>
                <w:rFonts w:ascii="Calibri" w:hAnsi="Calibri"/>
                <w:color w:val="333333"/>
                <w:sz w:val="18"/>
              </w:rPr>
              <w:t>N/A</w:t>
            </w:r>
          </w:p>
        </w:tc>
      </w:tr>
    </w:tbl>
    <w:p>
      <w:pPr>
        <w:pStyle w:val="DOHeading2"/>
      </w:pPr>
      <w:r>
        <w:t>Peril Assessment</w:t>
      </w:r>
    </w:p>
    <w:p>
      <w:pPr>
        <w:pStyle w:val="DOHeading3"/>
      </w:pPr>
      <w:r>
        <w:t>Plaintiff Peril Heat Map</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Plaintiff Type</w:t>
            </w:r>
          </w:p>
        </w:tc>
        <w:tc>
          <w:tcPr>
            <w:tcW w:type="dxa" w:w="3360"/>
            <w:shd w:fill="1A1446" w:val="clear"/>
          </w:tcPr>
          <w:p>
            <w:r>
              <w:rPr>
                <w:rFonts w:ascii="Calibri" w:hAnsi="Calibri"/>
                <w:b/>
                <w:color w:val="FFFFFF"/>
                <w:sz w:val="18"/>
              </w:rPr>
              <w:t>Probability</w:t>
            </w:r>
          </w:p>
        </w:tc>
        <w:tc>
          <w:tcPr>
            <w:tcW w:type="dxa" w:w="3360"/>
            <w:shd w:fill="1A1446" w:val="clear"/>
          </w:tcPr>
          <w:p>
            <w:r>
              <w:rPr>
                <w:rFonts w:ascii="Calibri" w:hAnsi="Calibri"/>
                <w:b/>
                <w:color w:val="FFFFFF"/>
                <w:sz w:val="18"/>
              </w:rPr>
              <w:t>Severity</w:t>
            </w:r>
          </w:p>
        </w:tc>
      </w:tr>
      <w:tr>
        <w:tc>
          <w:tcPr>
            <w:tcW w:type="dxa" w:w="3360"/>
          </w:tcPr>
          <w:p>
            <w:r>
              <w:rPr>
                <w:rFonts w:ascii="Calibri" w:hAnsi="Calibri"/>
                <w:b/>
                <w:color w:val="333333"/>
                <w:sz w:val="18"/>
              </w:rPr>
              <w:t>Shareholders</w:t>
            </w:r>
          </w:p>
        </w:tc>
        <w:tc>
          <w:tcPr>
            <w:tcW w:type="dxa" w:w="3360"/>
            <w:shd w:fill="FFCCBC" w:val="clear"/>
          </w:tcPr>
          <w:p>
            <w:r>
              <w:rPr>
                <w:rFonts w:ascii="Calibri" w:hAnsi="Calibri"/>
                <w:b/>
                <w:color w:val="CC3300"/>
                <w:sz w:val="18"/>
              </w:rPr>
              <w:t>ELEVATED</w:t>
            </w:r>
          </w:p>
        </w:tc>
        <w:tc>
          <w:tcPr>
            <w:tcW w:type="dxa" w:w="3360"/>
            <w:shd w:fill="FFCCBC" w:val="clear"/>
          </w:tcPr>
          <w:p>
            <w:r>
              <w:rPr>
                <w:rFonts w:ascii="Calibri" w:hAnsi="Calibri"/>
                <w:b/>
                <w:color w:val="333333"/>
                <w:sz w:val="18"/>
              </w:rPr>
              <w:t>SIGNIFICANT</w:t>
            </w:r>
          </w:p>
        </w:tc>
      </w:tr>
      <w:tr>
        <w:tc>
          <w:tcPr>
            <w:tcW w:type="dxa" w:w="3360"/>
          </w:tcPr>
          <w:p>
            <w:r>
              <w:rPr>
                <w:rFonts w:ascii="Calibri" w:hAnsi="Calibri"/>
                <w:b/>
                <w:color w:val="333333"/>
                <w:sz w:val="18"/>
              </w:rPr>
              <w:t>Regulators</w:t>
            </w:r>
          </w:p>
        </w:tc>
        <w:tc>
          <w:tcPr>
            <w:tcW w:type="dxa" w:w="3360"/>
            <w:shd w:fill="FFCCBC" w:val="clear"/>
          </w:tcPr>
          <w:p>
            <w:r>
              <w:rPr>
                <w:rFonts w:ascii="Calibri" w:hAnsi="Calibri"/>
                <w:b/>
                <w:color w:val="CC3300"/>
                <w:sz w:val="18"/>
              </w:rPr>
              <w:t>ELEVATED</w:t>
            </w:r>
          </w:p>
        </w:tc>
        <w:tc>
          <w:tcPr>
            <w:tcW w:type="dxa" w:w="3360"/>
            <w:shd w:fill="FFCCBC" w:val="clear"/>
          </w:tcPr>
          <w:p>
            <w:r>
              <w:rPr>
                <w:rFonts w:ascii="Calibri" w:hAnsi="Calibri"/>
                <w:b/>
                <w:color w:val="333333"/>
                <w:sz w:val="18"/>
              </w:rPr>
              <w:t>SIGNIFICANT</w:t>
            </w:r>
          </w:p>
        </w:tc>
      </w:tr>
      <w:tr>
        <w:tc>
          <w:tcPr>
            <w:tcW w:type="dxa" w:w="3360"/>
          </w:tcPr>
          <w:p>
            <w:r>
              <w:rPr>
                <w:rFonts w:ascii="Calibri" w:hAnsi="Calibri"/>
                <w:b/>
                <w:color w:val="333333"/>
                <w:sz w:val="18"/>
              </w:rPr>
              <w:t>Customers</w:t>
            </w:r>
          </w:p>
        </w:tc>
        <w:tc>
          <w:tcPr>
            <w:tcW w:type="dxa" w:w="3360"/>
            <w:shd w:fill="DCEEF8" w:val="clear"/>
          </w:tcPr>
          <w:p>
            <w:r>
              <w:rPr>
                <w:rFonts w:ascii="Calibri" w:hAnsi="Calibri"/>
                <w:b/>
                <w:color w:val="4A90D9"/>
                <w:sz w:val="18"/>
              </w:rPr>
              <w:t>VERY LOW</w:t>
            </w:r>
          </w:p>
        </w:tc>
        <w:tc>
          <w:tcPr>
            <w:tcW w:type="dxa" w:w="3360"/>
            <w:shd w:fill="DCEEF8" w:val="clear"/>
          </w:tcPr>
          <w:p>
            <w:r>
              <w:rPr>
                <w:rFonts w:ascii="Calibri" w:hAnsi="Calibri"/>
                <w:b/>
                <w:color w:val="333333"/>
                <w:sz w:val="18"/>
              </w:rPr>
              <w:t>NUISANCE</w:t>
            </w:r>
          </w:p>
        </w:tc>
      </w:tr>
      <w:tr>
        <w:tc>
          <w:tcPr>
            <w:tcW w:type="dxa" w:w="3360"/>
          </w:tcPr>
          <w:p>
            <w:r>
              <w:rPr>
                <w:rFonts w:ascii="Calibri" w:hAnsi="Calibri"/>
                <w:b/>
                <w:color w:val="333333"/>
                <w:sz w:val="18"/>
              </w:rPr>
              <w:t>Competitors</w:t>
            </w:r>
          </w:p>
        </w:tc>
        <w:tc>
          <w:tcPr>
            <w:tcW w:type="dxa" w:w="3360"/>
            <w:shd w:fill="DCEEF8" w:val="clear"/>
          </w:tcPr>
          <w:p>
            <w:r>
              <w:rPr>
                <w:rFonts w:ascii="Calibri" w:hAnsi="Calibri"/>
                <w:b/>
                <w:color w:val="4A90D9"/>
                <w:sz w:val="18"/>
              </w:rPr>
              <w:t>VERY LOW</w:t>
            </w:r>
          </w:p>
        </w:tc>
        <w:tc>
          <w:tcPr>
            <w:tcW w:type="dxa" w:w="3360"/>
            <w:shd w:fill="DCEEF8" w:val="clear"/>
          </w:tcPr>
          <w:p>
            <w:r>
              <w:rPr>
                <w:rFonts w:ascii="Calibri" w:hAnsi="Calibri"/>
                <w:b/>
                <w:color w:val="333333"/>
                <w:sz w:val="18"/>
              </w:rPr>
              <w:t>NUISANCE</w:t>
            </w:r>
          </w:p>
        </w:tc>
      </w:tr>
      <w:tr>
        <w:tc>
          <w:tcPr>
            <w:tcW w:type="dxa" w:w="3360"/>
          </w:tcPr>
          <w:p>
            <w:r>
              <w:rPr>
                <w:rFonts w:ascii="Calibri" w:hAnsi="Calibri"/>
                <w:b/>
                <w:color w:val="333333"/>
                <w:sz w:val="18"/>
              </w:rPr>
              <w:t>Employees</w:t>
            </w:r>
          </w:p>
        </w:tc>
        <w:tc>
          <w:tcPr>
            <w:tcW w:type="dxa" w:w="3360"/>
            <w:shd w:fill="FFF3CD" w:val="clear"/>
          </w:tcPr>
          <w:p>
            <w:r>
              <w:rPr>
                <w:rFonts w:ascii="Calibri" w:hAnsi="Calibri"/>
                <w:b/>
                <w:color w:val="998800"/>
                <w:sz w:val="18"/>
              </w:rPr>
              <w:t>LOW</w:t>
            </w:r>
          </w:p>
        </w:tc>
        <w:tc>
          <w:tcPr>
            <w:tcW w:type="dxa" w:w="3360"/>
            <w:shd w:fill="FFF3CD" w:val="clear"/>
          </w:tcPr>
          <w:p>
            <w:r>
              <w:rPr>
                <w:rFonts w:ascii="Calibri" w:hAnsi="Calibri"/>
                <w:b/>
                <w:color w:val="333333"/>
                <w:sz w:val="18"/>
              </w:rPr>
              <w:t>MINOR</w:t>
            </w:r>
          </w:p>
        </w:tc>
      </w:tr>
      <w:tr>
        <w:tc>
          <w:tcPr>
            <w:tcW w:type="dxa" w:w="3360"/>
          </w:tcPr>
          <w:p>
            <w:r>
              <w:rPr>
                <w:rFonts w:ascii="Calibri" w:hAnsi="Calibri"/>
                <w:b/>
                <w:color w:val="333333"/>
                <w:sz w:val="18"/>
              </w:rPr>
              <w:t>Creditors</w:t>
            </w:r>
          </w:p>
        </w:tc>
        <w:tc>
          <w:tcPr>
            <w:tcW w:type="dxa" w:w="3360"/>
            <w:shd w:fill="FFF3CD" w:val="clear"/>
          </w:tcPr>
          <w:p>
            <w:r>
              <w:rPr>
                <w:rFonts w:ascii="Calibri" w:hAnsi="Calibri"/>
                <w:b/>
                <w:color w:val="998800"/>
                <w:sz w:val="18"/>
              </w:rPr>
              <w:t>LOW</w:t>
            </w:r>
          </w:p>
        </w:tc>
        <w:tc>
          <w:tcPr>
            <w:tcW w:type="dxa" w:w="3360"/>
            <w:shd w:fill="FFF3CD" w:val="clear"/>
          </w:tcPr>
          <w:p>
            <w:r>
              <w:rPr>
                <w:rFonts w:ascii="Calibri" w:hAnsi="Calibri"/>
                <w:b/>
                <w:color w:val="333333"/>
                <w:sz w:val="18"/>
              </w:rPr>
              <w:t>MINOR</w:t>
            </w:r>
          </w:p>
        </w:tc>
      </w:tr>
      <w:tr>
        <w:tc>
          <w:tcPr>
            <w:tcW w:type="dxa" w:w="3360"/>
          </w:tcPr>
          <w:p>
            <w:r>
              <w:rPr>
                <w:rFonts w:ascii="Calibri" w:hAnsi="Calibri"/>
                <w:b/>
                <w:color w:val="333333"/>
                <w:sz w:val="18"/>
              </w:rPr>
              <w:t>Government</w:t>
            </w:r>
          </w:p>
        </w:tc>
        <w:tc>
          <w:tcPr>
            <w:tcW w:type="dxa" w:w="3360"/>
            <w:shd w:fill="FFF3CD" w:val="clear"/>
          </w:tcPr>
          <w:p>
            <w:r>
              <w:rPr>
                <w:rFonts w:ascii="Calibri" w:hAnsi="Calibri"/>
                <w:b/>
                <w:color w:val="998800"/>
                <w:sz w:val="18"/>
              </w:rPr>
              <w:t>LOW</w:t>
            </w:r>
          </w:p>
        </w:tc>
        <w:tc>
          <w:tcPr>
            <w:tcW w:type="dxa" w:w="3360"/>
            <w:shd w:fill="FFF3CD" w:val="clear"/>
          </w:tcPr>
          <w:p>
            <w:r>
              <w:rPr>
                <w:rFonts w:ascii="Calibri" w:hAnsi="Calibri"/>
                <w:b/>
                <w:color w:val="333333"/>
                <w:sz w:val="18"/>
              </w:rPr>
              <w:t>MINOR</w:t>
            </w:r>
          </w:p>
        </w:tc>
      </w:tr>
    </w:tbl>
    <w:p>
      <w:pPr>
        <w:pStyle w:val="DOBody"/>
      </w:pPr>
      <w:r>
        <w:rPr>
          <w:color w:val="666666"/>
          <w:sz w:val="16"/>
        </w:rPr>
        <w:t>Shareholders: 58 triggered checks. Key: Litigation History Profile: 4 (elevated vs benchmark of 0)</w:t>
      </w:r>
    </w:p>
    <w:p>
      <w:pPr>
        <w:pStyle w:val="DOBody"/>
      </w:pPr>
      <w:r>
        <w:rPr>
          <w:color w:val="666666"/>
          <w:sz w:val="16"/>
        </w:rPr>
        <w:t>Regulators: 23 triggered checks. Key: Off-Balance-Sheet Exposure: 9 (elevated vs benchmark of 3)</w:t>
      </w:r>
    </w:p>
    <w:p>
      <w:pPr>
        <w:pStyle w:val="DOHeading3"/>
      </w:pPr>
      <w:r>
        <w:t>Bear Cases</w:t>
      </w:r>
    </w:p>
    <w:p>
      <w:pPr>
        <w:pStyle w:val="DOHeading3"/>
      </w:pPr>
      <w:r>
        <w:t>Bear Case: A Disclosure</w:t>
      </w:r>
    </w:p>
    <w:p>
      <w:pPr>
        <w:pStyle w:val="DOBody"/>
      </w:pPr>
      <w:r>
        <w:rPr>
          <w:b/>
        </w:rPr>
        <w:t>NVIDIA CORP faces elevated exposure to securities disclosure fraud claims. Key risk indicators: Litigation History Profile (critical); VIE/SPE Off-Balance-Sheet Structures (critical). Estimated severity is significant, warranting detailed underwriter review.</w:t>
      </w:r>
    </w:p>
    <w:p>
      <w:pPr>
        <w:pStyle w:val="DOBody"/>
      </w:pPr>
      <w:r>
        <w:rPr>
          <w:i/>
        </w:rPr>
        <w:t>Defense: Defense: No active Section 11 windows — statute of limitations expired for offering claims</w:t>
      </w:r>
    </w:p>
    <w:p>
      <w:pPr>
        <w:pStyle w:val="DOBody"/>
      </w:pPr>
      <w:r>
        <w:rPr>
          <w:b/>
          <w:sz w:val="20"/>
        </w:rPr>
        <w:t>Evidence Chain</w:t>
      </w:r>
    </w:p>
    <w:p>
      <w:pPr>
        <w:pStyle w:val="DOBody"/>
      </w:pPr>
      <w:r>
        <w:rPr>
          <w:sz w:val="16"/>
        </w:rPr>
        <w:t>1. [BIZ.CLASS.litigation_history] Litigation History Profile (Source: total_sca_count)</w:t>
      </w:r>
    </w:p>
    <w:p>
      <w:pPr>
        <w:pStyle w:val="DOBody"/>
      </w:pPr>
      <w:r>
        <w:rPr>
          <w:sz w:val="16"/>
        </w:rPr>
        <w:t>2. [BIZ.STRUCT.vie_spe] VIE/SPE Off-Balance-Sheet Structures (Source: vie_spe_present)</w:t>
      </w:r>
    </w:p>
    <w:p>
      <w:pPr>
        <w:pStyle w:val="DOBody"/>
      </w:pPr>
      <w:r>
        <w:rPr>
          <w:sz w:val="16"/>
        </w:rPr>
        <w:t>3. [BIZ.EVENT.ipo_exposure] IPO/Offering Exposure Window (Source: event_ipo_exposure_score)</w:t>
      </w:r>
    </w:p>
    <w:p>
      <w:pPr>
        <w:pStyle w:val="DOBody"/>
      </w:pPr>
      <w:r>
        <w:rPr>
          <w:sz w:val="16"/>
        </w:rPr>
        <w:t>4. [BIZ.OPS.workforce] Workforce Distribution (Source: workforce_distribution)</w:t>
      </w:r>
    </w:p>
    <w:p>
      <w:pPr>
        <w:pStyle w:val="DOBody"/>
      </w:pPr>
      <w:r>
        <w:rPr>
          <w:sz w:val="16"/>
        </w:rPr>
        <w:t>5. [BIZ.STRUC.obs_exposure] Off-Balance-Sheet Exposure (Source: obs_exposure_score)</w:t>
      </w:r>
    </w:p>
    <w:p>
      <w:pPr>
        <w:pStyle w:val="DOBody"/>
      </w:pPr>
      <w:r>
        <w:rPr>
          <w:sz w:val="16"/>
        </w:rPr>
        <w:t>6. [DISC.YOY.removed_risk_factors] Removed Risk Factors (YoY) (Source: yoy_removed_risk_count)</w:t>
      </w:r>
    </w:p>
    <w:p>
      <w:pPr>
        <w:pStyle w:val="DOBody"/>
      </w:pPr>
      <w:r>
        <w:rPr>
          <w:sz w:val="16"/>
        </w:rPr>
        <w:t>7. [EXEC.PRIOR_LIT.any_officer] Any Officer With Prior Litigation at Previous Company (Source: value)</w:t>
      </w:r>
    </w:p>
    <w:p>
      <w:pPr>
        <w:pStyle w:val="DOBody"/>
      </w:pPr>
      <w:r>
        <w:rPr>
          <w:sz w:val="16"/>
        </w:rPr>
        <w:t>8. [EXEC.INSIDER.ceo_net_selling] CEO Net Seller of Stock (Source: value)</w:t>
      </w:r>
    </w:p>
    <w:p>
      <w:pPr>
        <w:pStyle w:val="DOBody"/>
      </w:pPr>
      <w:r>
        <w:rPr>
          <w:sz w:val="16"/>
        </w:rPr>
        <w:t>9. [EXEC.INSIDER.cfo_net_selling] CFO Net Seller of Stock (Source: value)</w:t>
      </w:r>
    </w:p>
    <w:p>
      <w:pPr>
        <w:pStyle w:val="DOBody"/>
      </w:pPr>
      <w:r>
        <w:rPr>
          <w:sz w:val="16"/>
        </w:rPr>
        <w:t>10. [EXEC.DEPARTURE.cfo_departure_timing] CFO Departure Coinciding With Stress Signals (Source: value)</w:t>
      </w:r>
    </w:p>
    <w:p>
      <w:pPr>
        <w:pStyle w:val="DOBody"/>
      </w:pPr>
      <w:r>
        <w:rPr>
          <w:color w:val="666666"/>
          <w:sz w:val="16"/>
        </w:rPr>
        <w:t>Probability: ELEVATED | Severity: SIGNIFICANT</w:t>
      </w:r>
    </w:p>
    <w:p>
      <w:pPr>
        <w:pStyle w:val="DOHeading3"/>
      </w:pPr>
      <w:r>
        <w:t>Settlement Prediction</w:t>
      </w:r>
    </w:p>
    <w:p>
      <w:pPr>
        <w:pStyle w:val="DOBody"/>
      </w:pPr>
      <w:r>
        <w:t>Settlement prediction computed but no scenarios available.</w:t>
      </w:r>
    </w:p>
    <w:p>
      <w:pPr>
        <w:pStyle w:val="DOHeading3"/>
      </w:pPr>
      <w:r>
        <w:t>Tower Risk Characterization</w:t>
      </w:r>
    </w:p>
    <w:p>
      <w:pPr>
        <w:pStyle w:val="DOBody"/>
      </w:pPr>
      <w:r>
        <w:t>Tower characterization not available.</w:t>
      </w:r>
    </w:p>
    <w:p>
      <w:pPr>
        <w:pStyle w:val="DOHeading2"/>
      </w:pPr>
      <w:r>
        <w:t>Coverage Gaps -- Data Not Available</w:t>
      </w:r>
    </w:p>
    <w:p>
      <w:pPr>
        <w:pStyle w:val="DOBody"/>
      </w:pPr>
      <w:r>
        <w:rPr>
          <w:i/>
        </w:rPr>
        <w:t>The following checks could not be evaluated because required data was not acquired. These items are NOT cleared -- they represent gaps in coverage that should be considered in the underwriting decision.</w:t>
      </w:r>
    </w:p>
    <w:p>
      <w:pPr>
        <w:pStyle w:val="DOHeading3"/>
      </w:pPr>
      <w:r>
        <w:t>Company Profile &amp; Industry</w:t>
      </w:r>
    </w:p>
    <w:p>
      <w:pPr>
        <w:pStyle w:val="DOBody"/>
      </w:pPr>
      <w:r>
        <w:rPr>
          <w:b/>
          <w:sz w:val="16"/>
        </w:rPr>
        <w:t xml:space="preserve">  [REQUIRED] </w:t>
      </w:r>
      <w:r>
        <w:rPr>
          <w:sz w:val="16"/>
        </w:rPr>
        <w:t>FWRD.EVENT.shareholder_mtg (Shareholder Meeting Date): Required data not available from filings</w:t>
      </w:r>
    </w:p>
    <w:p>
      <w:pPr>
        <w:pStyle w:val="DOBody"/>
      </w:pPr>
      <w:r>
        <w:rPr>
          <w:b/>
          <w:sz w:val="16"/>
        </w:rPr>
        <w:t xml:space="preserve">  [REQUIRED] </w:t>
      </w:r>
      <w:r>
        <w:rPr>
          <w:sz w:val="16"/>
        </w:rPr>
        <w:t>FWRD.EVENT.proxy_deadline (Proxy Deadline): Required data not available from filings</w:t>
      </w:r>
    </w:p>
    <w:p>
      <w:pPr>
        <w:pStyle w:val="DOHeading3"/>
      </w:pPr>
      <w:r>
        <w:t>Executive Summary &amp; Key Metrics</w:t>
      </w:r>
    </w:p>
    <w:p>
      <w:pPr>
        <w:pStyle w:val="DOBody"/>
      </w:pPr>
      <w:r>
        <w:rPr>
          <w:b/>
          <w:sz w:val="16"/>
        </w:rPr>
        <w:t xml:space="preserve">  [EVALUATIVE] </w:t>
      </w:r>
      <w:r>
        <w:rPr>
          <w:sz w:val="16"/>
        </w:rPr>
        <w:t>BIZ.STRUCT.subsidiary_count (Subsidiary Count Complexity): Required data not available from filings</w:t>
      </w:r>
    </w:p>
    <w:p>
      <w:pPr>
        <w:pStyle w:val="DOBody"/>
      </w:pPr>
      <w:r>
        <w:rPr>
          <w:b/>
          <w:sz w:val="16"/>
        </w:rPr>
        <w:t xml:space="preserve">  [EVALUATIVE] </w:t>
      </w:r>
      <w:r>
        <w:rPr>
          <w:sz w:val="16"/>
        </w:rPr>
        <w:t>BIZ.DEPEND.labor (Concentration Risk Composite): Required data not available from filings</w:t>
      </w:r>
    </w:p>
    <w:p>
      <w:pPr>
        <w:pStyle w:val="DOBody"/>
      </w:pPr>
      <w:r>
        <w:rPr>
          <w:b/>
          <w:sz w:val="16"/>
        </w:rPr>
        <w:t xml:space="preserve">  [REQUIRED] </w:t>
      </w:r>
      <w:r>
        <w:rPr>
          <w:sz w:val="16"/>
        </w:rPr>
        <w:t>BIZ.MODEL.lifecycle (Segment Lifecycle Risk): Required data not available from filings</w:t>
      </w:r>
    </w:p>
    <w:p>
      <w:pPr>
        <w:pStyle w:val="DOBody"/>
      </w:pPr>
      <w:r>
        <w:rPr>
          <w:b/>
          <w:sz w:val="16"/>
        </w:rPr>
        <w:t xml:space="preserve">  [REQUIRED] </w:t>
      </w:r>
      <w:r>
        <w:rPr>
          <w:sz w:val="16"/>
        </w:rPr>
        <w:t>BIZ.MODEL.segment_margins (Segment Margin Profile): Required data not available from filings</w:t>
      </w:r>
    </w:p>
    <w:p>
      <w:pPr>
        <w:pStyle w:val="DOBody"/>
      </w:pPr>
      <w:r>
        <w:rPr>
          <w:b/>
          <w:sz w:val="16"/>
        </w:rPr>
        <w:t xml:space="preserve">  [EVALUATIVE] </w:t>
      </w:r>
      <w:r>
        <w:rPr>
          <w:sz w:val="16"/>
        </w:rPr>
        <w:t>ABS.DISC.audit_fees (Missing Audit Fee Disclosure): Expected signals not found in evaluation results</w:t>
      </w:r>
    </w:p>
    <w:p>
      <w:pPr>
        <w:pStyle w:val="DOBody"/>
      </w:pPr>
      <w:r>
        <w:rPr>
          <w:b/>
          <w:sz w:val="16"/>
        </w:rPr>
        <w:t xml:space="preserve">  [EVALUATIVE] </w:t>
      </w:r>
      <w:r>
        <w:rPr>
          <w:sz w:val="16"/>
        </w:rPr>
        <w:t>ABS.DISC.board_independence (Missing Board Independence Disclosure): Could not determine disclosure presence or absence</w:t>
      </w:r>
    </w:p>
    <w:p>
      <w:pPr>
        <w:pStyle w:val="DOBody"/>
      </w:pPr>
      <w:r>
        <w:rPr>
          <w:b/>
          <w:sz w:val="16"/>
        </w:rPr>
        <w:t xml:space="preserve">  [EVALUATIVE] </w:t>
      </w:r>
      <w:r>
        <w:rPr>
          <w:sz w:val="16"/>
        </w:rPr>
        <w:t>ABS.DISC.clawback_policy (Missing Clawback Policy Disclosure): Expected signals not found in evaluation results</w:t>
      </w:r>
    </w:p>
    <w:p>
      <w:pPr>
        <w:pStyle w:val="DOBody"/>
      </w:pPr>
      <w:r>
        <w:rPr>
          <w:b/>
          <w:sz w:val="16"/>
        </w:rPr>
        <w:t xml:space="preserve">  [EVALUATIVE] </w:t>
      </w:r>
      <w:r>
        <w:rPr>
          <w:sz w:val="16"/>
        </w:rPr>
        <w:t>ABS.DISC.cyber_risk (Missing Cybersecurity Risk Disclosure): Expected signals not found in evaluation results</w:t>
      </w:r>
    </w:p>
    <w:p>
      <w:pPr>
        <w:pStyle w:val="DOBody"/>
      </w:pPr>
      <w:r>
        <w:rPr>
          <w:b/>
          <w:sz w:val="16"/>
        </w:rPr>
        <w:t xml:space="preserve">  [EVALUATIVE] </w:t>
      </w:r>
      <w:r>
        <w:rPr>
          <w:sz w:val="16"/>
        </w:rPr>
        <w:t>ABS.DISC.debt_covenants (Missing Debt Covenant Disclosure): Expected signals not found in evaluation results</w:t>
      </w:r>
    </w:p>
    <w:p>
      <w:pPr>
        <w:pStyle w:val="DOBody"/>
      </w:pPr>
      <w:r>
        <w:rPr>
          <w:b/>
          <w:sz w:val="16"/>
        </w:rPr>
        <w:t xml:space="preserve">  [EVALUATIVE] </w:t>
      </w:r>
      <w:r>
        <w:rPr>
          <w:sz w:val="16"/>
        </w:rPr>
        <w:t>ABS.DISC.derivative_instruments (Missing Derivative Instruments Disclosure): Expected signals not found in evaluation results</w:t>
      </w:r>
    </w:p>
    <w:p>
      <w:pPr>
        <w:pStyle w:val="DOBody"/>
      </w:pPr>
      <w:r>
        <w:rPr>
          <w:b/>
          <w:sz w:val="16"/>
        </w:rPr>
        <w:t xml:space="preserve">  [EVALUATIVE] </w:t>
      </w:r>
      <w:r>
        <w:rPr>
          <w:sz w:val="16"/>
        </w:rPr>
        <w:t>ABS.DISC.esg (Missing ESG Disclosure): Expected signals not found in evaluation results</w:t>
      </w:r>
    </w:p>
    <w:p>
      <w:pPr>
        <w:pStyle w:val="DOBody"/>
      </w:pPr>
      <w:r>
        <w:rPr>
          <w:b/>
          <w:sz w:val="16"/>
        </w:rPr>
        <w:t xml:space="preserve">  [EVALUATIVE] </w:t>
      </w:r>
      <w:r>
        <w:rPr>
          <w:sz w:val="16"/>
        </w:rPr>
        <w:t>ABS.DISC.executive_comp (Missing Executive Compensation Disclosure): Expected signals not found in evaluation results</w:t>
      </w:r>
    </w:p>
    <w:p>
      <w:pPr>
        <w:pStyle w:val="DOBody"/>
      </w:pPr>
      <w:r>
        <w:rPr>
          <w:b/>
          <w:sz w:val="16"/>
        </w:rPr>
        <w:t xml:space="preserve">  [EVALUATIVE] </w:t>
      </w:r>
      <w:r>
        <w:rPr>
          <w:sz w:val="16"/>
        </w:rPr>
        <w:t>ABS.DISC.goodwill_impairment (Missing Goodwill Impairment Disclosure): Expected signals not found in evaluation results</w:t>
      </w:r>
    </w:p>
    <w:p>
      <w:pPr>
        <w:pStyle w:val="DOBody"/>
      </w:pPr>
      <w:r>
        <w:rPr>
          <w:b/>
          <w:sz w:val="16"/>
        </w:rPr>
        <w:t xml:space="preserve">  [EVALUATIVE] </w:t>
      </w:r>
      <w:r>
        <w:rPr>
          <w:sz w:val="16"/>
        </w:rPr>
        <w:t>ABS.DISC.lease_obligations (Missing Lease Obligation Disclosure): Expected signals not found in evaluation results</w:t>
      </w:r>
    </w:p>
    <w:p>
      <w:pPr>
        <w:pStyle w:val="DOBody"/>
      </w:pPr>
      <w:r>
        <w:rPr>
          <w:b/>
          <w:sz w:val="16"/>
        </w:rPr>
        <w:t xml:space="preserve">  [EVALUATIVE] </w:t>
      </w:r>
      <w:r>
        <w:rPr>
          <w:sz w:val="16"/>
        </w:rPr>
        <w:t>ABS.DISC.litigation_contingency (Missing Litigation Contingency Disclosure): Expected signals not found in evaluation results</w:t>
      </w:r>
    </w:p>
    <w:p>
      <w:pPr>
        <w:pStyle w:val="DOBody"/>
      </w:pPr>
      <w:r>
        <w:rPr>
          <w:b/>
          <w:sz w:val="16"/>
        </w:rPr>
        <w:t xml:space="preserve">  [EVALUATIVE] </w:t>
      </w:r>
      <w:r>
        <w:rPr>
          <w:sz w:val="16"/>
        </w:rPr>
        <w:t>ABS.DISC.pension_obligations (Missing Pension Obligation Disclosure): Expected signals not found in evaluation results</w:t>
      </w:r>
    </w:p>
    <w:p>
      <w:pPr>
        <w:pStyle w:val="DOBody"/>
      </w:pPr>
      <w:r>
        <w:rPr>
          <w:b/>
          <w:sz w:val="16"/>
        </w:rPr>
        <w:t xml:space="preserve">  [EVALUATIVE] </w:t>
      </w:r>
      <w:r>
        <w:rPr>
          <w:sz w:val="16"/>
        </w:rPr>
        <w:t>ABS.DISC.related_party (Missing Related-Party Transaction Disclosure): Expected signals not found in evaluation results</w:t>
      </w:r>
    </w:p>
    <w:p>
      <w:pPr>
        <w:pStyle w:val="DOBody"/>
      </w:pPr>
      <w:r>
        <w:rPr>
          <w:b/>
          <w:sz w:val="16"/>
        </w:rPr>
        <w:t xml:space="preserve">  [EVALUATIVE] </w:t>
      </w:r>
      <w:r>
        <w:rPr>
          <w:sz w:val="16"/>
        </w:rPr>
        <w:t>ABS.DISC.revenue_recognition (Missing Revenue Recognition Policy Disclosure): Expected signals not found in evaluation results</w:t>
      </w:r>
    </w:p>
    <w:p>
      <w:pPr>
        <w:pStyle w:val="DOBody"/>
      </w:pPr>
      <w:r>
        <w:rPr>
          <w:b/>
          <w:sz w:val="16"/>
        </w:rPr>
        <w:t xml:space="preserve">  [EVALUATIVE] </w:t>
      </w:r>
      <w:r>
        <w:rPr>
          <w:sz w:val="16"/>
        </w:rPr>
        <w:t>ABS.DISC.risk_factors (Missing Risk Factor Disclosure): Expected signals not found in evaluation results</w:t>
      </w:r>
    </w:p>
    <w:p>
      <w:pPr>
        <w:pStyle w:val="DOBody"/>
      </w:pPr>
      <w:r>
        <w:rPr>
          <w:b/>
          <w:sz w:val="16"/>
        </w:rPr>
        <w:t xml:space="preserve">  [EVALUATIVE] </w:t>
      </w:r>
      <w:r>
        <w:rPr>
          <w:sz w:val="16"/>
        </w:rPr>
        <w:t>ABS.DISC.segment_reporting (Missing Segment Reporting Disclosure): Expected signals not found in evaluation results</w:t>
      </w:r>
    </w:p>
    <w:p>
      <w:pPr>
        <w:pStyle w:val="DOBody"/>
      </w:pPr>
      <w:r>
        <w:rPr>
          <w:b/>
          <w:sz w:val="16"/>
        </w:rPr>
        <w:t xml:space="preserve">  [EVALUATIVE] </w:t>
      </w:r>
      <w:r>
        <w:rPr>
          <w:sz w:val="16"/>
        </w:rPr>
        <w:t>ABS.DISC.stock_comp (Missing Stock Compensation Disclosure): Expected signals not found in evaluation results</w:t>
      </w:r>
    </w:p>
    <w:p>
      <w:pPr>
        <w:pStyle w:val="DOBody"/>
      </w:pPr>
      <w:r>
        <w:rPr>
          <w:b/>
          <w:sz w:val="16"/>
        </w:rPr>
        <w:t xml:space="preserve">  [EVALUATIVE] </w:t>
      </w:r>
      <w:r>
        <w:rPr>
          <w:sz w:val="16"/>
        </w:rPr>
        <w:t>ABS.DISC.tax_positions (Missing Uncertain Tax Position Disclosure): Expected signals not found in evaluation results</w:t>
      </w:r>
    </w:p>
    <w:p>
      <w:pPr>
        <w:pStyle w:val="DOBody"/>
      </w:pPr>
      <w:r>
        <w:rPr>
          <w:b/>
          <w:sz w:val="16"/>
        </w:rPr>
        <w:t xml:space="preserve">  [EVALUATIVE] </w:t>
      </w:r>
      <w:r>
        <w:rPr>
          <w:sz w:val="16"/>
        </w:rPr>
        <w:t>CONJ.COMP.perf_divergence (Compensation-Performance Divergence): 3/3 component signals unavailable</w:t>
      </w:r>
    </w:p>
    <w:p>
      <w:pPr>
        <w:pStyle w:val="DOBody"/>
      </w:pPr>
      <w:r>
        <w:rPr>
          <w:b/>
          <w:sz w:val="16"/>
        </w:rPr>
        <w:t xml:space="preserve">  [EVALUATIVE] </w:t>
      </w:r>
      <w:r>
        <w:rPr>
          <w:sz w:val="16"/>
        </w:rPr>
        <w:t>CONJ.DISTRESS.insider (Financial Distress + Insider Selling): 2/3 component signals unavailable</w:t>
      </w:r>
    </w:p>
    <w:p>
      <w:pPr>
        <w:pStyle w:val="DOBody"/>
      </w:pPr>
      <w:r>
        <w:rPr>
          <w:b/>
          <w:sz w:val="16"/>
        </w:rPr>
        <w:t xml:space="preserve">  [EVALUATIVE] </w:t>
      </w:r>
      <w:r>
        <w:rPr>
          <w:sz w:val="16"/>
        </w:rPr>
        <w:t>CONJ.GOV.governance_event (Weak Governance + Adverse Event): 3/5 component signals unavailable</w:t>
      </w:r>
    </w:p>
    <w:p>
      <w:pPr>
        <w:pStyle w:val="DOBody"/>
      </w:pPr>
      <w:r>
        <w:rPr>
          <w:b/>
          <w:sz w:val="16"/>
        </w:rPr>
        <w:t xml:space="preserve">  [EVALUATIVE] </w:t>
      </w:r>
      <w:r>
        <w:rPr>
          <w:sz w:val="16"/>
        </w:rPr>
        <w:t>CONJ.FIN.growth_margin_guidance (Rapid Growth + Margin Compression + Guidance Miss): 3/3 component signals unavailable</w:t>
      </w:r>
    </w:p>
    <w:p>
      <w:pPr>
        <w:pStyle w:val="DOBody"/>
      </w:pPr>
      <w:r>
        <w:rPr>
          <w:b/>
          <w:sz w:val="16"/>
        </w:rPr>
        <w:t xml:space="preserve">  [EVALUATIVE] </w:t>
      </w:r>
      <w:r>
        <w:rPr>
          <w:sz w:val="16"/>
        </w:rPr>
        <w:t>CONJ.INSIDER.news_gap (Insider Selling + Material News Gap): 3/3 component signals unavailable</w:t>
      </w:r>
    </w:p>
    <w:p>
      <w:pPr>
        <w:pStyle w:val="DOBody"/>
      </w:pPr>
      <w:r>
        <w:rPr>
          <w:b/>
          <w:sz w:val="16"/>
        </w:rPr>
        <w:t xml:space="preserve">  [EVALUATIVE] </w:t>
      </w:r>
      <w:r>
        <w:rPr>
          <w:sz w:val="16"/>
        </w:rPr>
        <w:t>CONJ.REG.litigation (Regulatory Action + New Material Litigation): 3/3 component signals unavailable</w:t>
      </w:r>
    </w:p>
    <w:p>
      <w:pPr>
        <w:pStyle w:val="DOBody"/>
      </w:pPr>
      <w:r>
        <w:rPr>
          <w:b/>
          <w:sz w:val="16"/>
        </w:rPr>
        <w:t xml:space="preserve">  [EVALUATIVE] </w:t>
      </w:r>
      <w:r>
        <w:rPr>
          <w:sz w:val="16"/>
        </w:rPr>
        <w:t>CTX.FIN.capex_sector (Capital Expenditure in Sector Context): Source signal FIN.INVEST.capex_ratio not in results</w:t>
      </w:r>
    </w:p>
    <w:p>
      <w:pPr>
        <w:pStyle w:val="DOBody"/>
      </w:pPr>
      <w:r>
        <w:rPr>
          <w:b/>
          <w:sz w:val="16"/>
        </w:rPr>
        <w:t xml:space="preserve">  [EVALUATIVE] </w:t>
      </w:r>
      <w:r>
        <w:rPr>
          <w:sz w:val="16"/>
        </w:rPr>
        <w:t>CTX.COMP.lifecycle (CEO Compensation in Lifecycle Context): Source signal EXEC.COMP.ceo_total_comp not in results</w:t>
      </w:r>
    </w:p>
    <w:p>
      <w:pPr>
        <w:pStyle w:val="DOBody"/>
      </w:pPr>
      <w:r>
        <w:rPr>
          <w:b/>
          <w:sz w:val="16"/>
        </w:rPr>
        <w:t xml:space="preserve">  [EVALUATIVE] </w:t>
      </w:r>
      <w:r>
        <w:rPr>
          <w:sz w:val="16"/>
        </w:rPr>
        <w:t>CTX.COMP.product_tower (Compensation Severity by Product/Tower): Source signal EXEC.COMP.ceo_total_comp not in results</w:t>
      </w:r>
    </w:p>
    <w:p>
      <w:pPr>
        <w:pStyle w:val="DOBody"/>
      </w:pPr>
      <w:r>
        <w:rPr>
          <w:b/>
          <w:sz w:val="16"/>
        </w:rPr>
        <w:t xml:space="preserve">  [EVALUATIVE] </w:t>
      </w:r>
      <w:r>
        <w:rPr>
          <w:sz w:val="16"/>
        </w:rPr>
        <w:t>CTX.FIN.debt_maturity (Debt Maturity Profile in Lifecycle Context): Source signal FIN.DEBT.maturity_profile not in results</w:t>
      </w:r>
    </w:p>
    <w:p>
      <w:pPr>
        <w:pStyle w:val="DOBody"/>
      </w:pPr>
      <w:r>
        <w:rPr>
          <w:b/>
          <w:sz w:val="16"/>
        </w:rPr>
        <w:t xml:space="preserve">  [EVALUATIVE] </w:t>
      </w:r>
      <w:r>
        <w:rPr>
          <w:sz w:val="16"/>
        </w:rPr>
        <w:t>CTX.FIN.distress_product (Financial Distress by Product/Tower): Source signal FIN.FORENSIC.altman_z not in results</w:t>
      </w:r>
    </w:p>
    <w:p>
      <w:pPr>
        <w:pStyle w:val="DOBody"/>
      </w:pPr>
      <w:r>
        <w:rPr>
          <w:b/>
          <w:sz w:val="16"/>
        </w:rPr>
        <w:t xml:space="preserve">  [EVALUATIVE] </w:t>
      </w:r>
      <w:r>
        <w:rPr>
          <w:sz w:val="16"/>
        </w:rPr>
        <w:t>CTX.FIN.dividend_lifecycle (Dividend Policy in Lifecycle Context): Source signal FIN.RETURN.dividend_yield not in results</w:t>
      </w:r>
    </w:p>
    <w:p>
      <w:pPr>
        <w:pStyle w:val="DOBody"/>
      </w:pPr>
      <w:r>
        <w:rPr>
          <w:b/>
          <w:sz w:val="16"/>
        </w:rPr>
        <w:t xml:space="preserve">  [EVALUATIVE] </w:t>
      </w:r>
      <w:r>
        <w:rPr>
          <w:sz w:val="16"/>
        </w:rPr>
        <w:t>CTX.EXEC.tenure_lifecycle (Executive Tenure in Lifecycle Context): Source signal EXEC.TURN.c_suite not in results</w:t>
      </w:r>
    </w:p>
    <w:p>
      <w:pPr>
        <w:pStyle w:val="DOBody"/>
      </w:pPr>
      <w:r>
        <w:rPr>
          <w:b/>
          <w:sz w:val="16"/>
        </w:rPr>
        <w:t xml:space="preserve">  [EVALUATIVE] </w:t>
      </w:r>
      <w:r>
        <w:rPr>
          <w:sz w:val="16"/>
        </w:rPr>
        <w:t>CTX.MKT.insider_lifecycle (Insider Trading in Lifecycle Context): Source signal STOCK.INSIDER.net_selling not in results</w:t>
      </w:r>
    </w:p>
    <w:p>
      <w:pPr>
        <w:pStyle w:val="DOBody"/>
      </w:pPr>
      <w:r>
        <w:rPr>
          <w:b/>
          <w:sz w:val="16"/>
        </w:rPr>
        <w:t xml:space="preserve">  [EVALUATIVE] </w:t>
      </w:r>
      <w:r>
        <w:rPr>
          <w:sz w:val="16"/>
        </w:rPr>
        <w:t>CTX.FIN.leverage_sector (Leverage in Sector Context): Source signal FIN.DEBT.leverage_ratio not in results</w:t>
      </w:r>
    </w:p>
    <w:p>
      <w:pPr>
        <w:pStyle w:val="DOBody"/>
      </w:pPr>
      <w:r>
        <w:rPr>
          <w:b/>
          <w:sz w:val="16"/>
        </w:rPr>
        <w:t xml:space="preserve">  [EVALUATIVE] </w:t>
      </w:r>
      <w:r>
        <w:rPr>
          <w:sz w:val="16"/>
        </w:rPr>
        <w:t>CTX.LIT.size (Litigation Frequency by Company Size): Source signal LIT.SCA.active_cases not in results</w:t>
      </w:r>
    </w:p>
    <w:p>
      <w:pPr>
        <w:pStyle w:val="DOBody"/>
      </w:pPr>
      <w:r>
        <w:rPr>
          <w:b/>
          <w:sz w:val="16"/>
        </w:rPr>
        <w:t xml:space="preserve">  [EVALUATIVE] </w:t>
      </w:r>
      <w:r>
        <w:rPr>
          <w:sz w:val="16"/>
        </w:rPr>
        <w:t>CTX.RISK.ma_lifecycle (M&amp;A Activity in Lifecycle Context): Source signal BIZ.MA.acquisition_activity not in results</w:t>
      </w:r>
    </w:p>
    <w:p>
      <w:pPr>
        <w:pStyle w:val="DOBody"/>
      </w:pPr>
      <w:r>
        <w:rPr>
          <w:b/>
          <w:sz w:val="16"/>
        </w:rPr>
        <w:t xml:space="preserve">  [EVALUATIVE] </w:t>
      </w:r>
      <w:r>
        <w:rPr>
          <w:sz w:val="16"/>
        </w:rPr>
        <w:t>CTX.RISK.regulatory_sector (Regulatory Risk in Sector Context): Source signal LIT.SEC.enforcement not in results</w:t>
      </w:r>
    </w:p>
    <w:p>
      <w:pPr>
        <w:pStyle w:val="DOBody"/>
      </w:pPr>
      <w:r>
        <w:rPr>
          <w:b/>
          <w:sz w:val="16"/>
        </w:rPr>
        <w:t xml:space="preserve">  [EVALUATIVE] </w:t>
      </w:r>
      <w:r>
        <w:rPr>
          <w:sz w:val="16"/>
        </w:rPr>
        <w:t>CTX.RISK.rpt_sector (Related-Party Risk in Sector Context): Source signal GOV.RPT.related_party not in results</w:t>
      </w:r>
    </w:p>
    <w:p>
      <w:pPr>
        <w:pStyle w:val="DOBody"/>
      </w:pPr>
      <w:r>
        <w:rPr>
          <w:b/>
          <w:sz w:val="16"/>
        </w:rPr>
        <w:t xml:space="preserve">  [EVALUATIVE] </w:t>
      </w:r>
      <w:r>
        <w:rPr>
          <w:sz w:val="16"/>
        </w:rPr>
        <w:t>CTX.MKT.short_interest_sector (Short Interest in Sector Context): Source signal STOCK.SHORT.interest_ratio not in results</w:t>
      </w:r>
    </w:p>
    <w:p>
      <w:pPr>
        <w:pStyle w:val="DOBody"/>
      </w:pPr>
      <w:r>
        <w:rPr>
          <w:b/>
          <w:sz w:val="16"/>
        </w:rPr>
        <w:t xml:space="preserve">  [EVALUATIVE] </w:t>
      </w:r>
      <w:r>
        <w:rPr>
          <w:sz w:val="16"/>
        </w:rPr>
        <w:t>CTX.MKT.turnover_sector (Stock Turnover in Sector Context): Source signal STOCK.VOL.turnover_rate not in results</w:t>
      </w:r>
    </w:p>
    <w:p>
      <w:pPr>
        <w:pStyle w:val="DOBody"/>
      </w:pPr>
      <w:r>
        <w:rPr>
          <w:b/>
          <w:sz w:val="16"/>
        </w:rPr>
        <w:t xml:space="preserve">  [EVALUATIVE] </w:t>
      </w:r>
      <w:r>
        <w:rPr>
          <w:sz w:val="16"/>
        </w:rPr>
        <w:t>CTX.MKT.volatility_sector (Stock Volatility in Sector Context): Source signal STOCK.VOL.historical not in results</w:t>
      </w:r>
    </w:p>
    <w:p>
      <w:pPr>
        <w:pStyle w:val="DOHeading3"/>
      </w:pPr>
      <w:r>
        <w:t>Financial Health</w:t>
      </w:r>
    </w:p>
    <w:p>
      <w:pPr>
        <w:pStyle w:val="DOBody"/>
      </w:pPr>
      <w:r>
        <w:rPr>
          <w:b/>
          <w:sz w:val="16"/>
        </w:rPr>
        <w:t xml:space="preserve">  [EVALUATIVE] </w:t>
      </w:r>
      <w:r>
        <w:rPr>
          <w:sz w:val="16"/>
        </w:rPr>
        <w:t>FIN.PEER.revenue_bottom_quartile (Revenue Bottom Quartile (Cross-Filer)): No peer comparison data available</w:t>
      </w:r>
    </w:p>
    <w:p>
      <w:pPr>
        <w:pStyle w:val="DOBody"/>
      </w:pPr>
      <w:r>
        <w:rPr>
          <w:b/>
          <w:sz w:val="16"/>
        </w:rPr>
        <w:t xml:space="preserve">  [EVALUATIVE] </w:t>
      </w:r>
      <w:r>
        <w:rPr>
          <w:sz w:val="16"/>
        </w:rPr>
        <w:t>FIN.PEER.leverage_top_decile (Leverage Top Decile (Sector-Relative)): No peer comparison data available</w:t>
      </w:r>
    </w:p>
    <w:p>
      <w:pPr>
        <w:pStyle w:val="DOBody"/>
      </w:pPr>
      <w:r>
        <w:rPr>
          <w:b/>
          <w:sz w:val="16"/>
        </w:rPr>
        <w:t xml:space="preserve">  [EVALUATIVE] </w:t>
      </w:r>
      <w:r>
        <w:rPr>
          <w:sz w:val="16"/>
        </w:rPr>
        <w:t>FIN.PEER.margin_compression (Operating Margin Compression (Cross-Filer)): No peer comparison data available</w:t>
      </w:r>
    </w:p>
    <w:p>
      <w:pPr>
        <w:pStyle w:val="DOBody"/>
      </w:pPr>
      <w:r>
        <w:rPr>
          <w:b/>
          <w:sz w:val="16"/>
        </w:rPr>
        <w:t xml:space="preserve">  [EVALUATIVE] </w:t>
      </w:r>
      <w:r>
        <w:rPr>
          <w:sz w:val="16"/>
        </w:rPr>
        <w:t>FIN.PEER.profitability_laggard (Profitability Laggard (Sector-Relative)): No peer comparison data available</w:t>
      </w:r>
    </w:p>
    <w:p>
      <w:pPr>
        <w:pStyle w:val="DOBody"/>
      </w:pPr>
      <w:r>
        <w:rPr>
          <w:b/>
          <w:sz w:val="16"/>
        </w:rPr>
        <w:t xml:space="preserve">  [EVALUATIVE] </w:t>
      </w:r>
      <w:r>
        <w:rPr>
          <w:sz w:val="16"/>
        </w:rPr>
        <w:t>FIN.PEER.size_outlier_small (Size Outlier Small (Cross-Filer)): No peer comparison data available</w:t>
      </w:r>
    </w:p>
    <w:p>
      <w:pPr>
        <w:pStyle w:val="DOBody"/>
      </w:pPr>
      <w:r>
        <w:rPr>
          <w:b/>
          <w:sz w:val="16"/>
        </w:rPr>
        <w:t xml:space="preserve">  [EVALUATIVE] </w:t>
      </w:r>
      <w:r>
        <w:rPr>
          <w:sz w:val="16"/>
        </w:rPr>
        <w:t>FIN.PEER.cash_flow_weak (Cash Flow Weakness (Cross-Filer)): No peer comparison data available</w:t>
      </w:r>
    </w:p>
    <w:p>
      <w:pPr>
        <w:pStyle w:val="DOBody"/>
      </w:pPr>
      <w:r>
        <w:rPr>
          <w:b/>
          <w:sz w:val="16"/>
        </w:rPr>
        <w:t xml:space="preserve">  [EVALUATIVE] </w:t>
      </w:r>
      <w:r>
        <w:rPr>
          <w:sz w:val="16"/>
        </w:rPr>
        <w:t>LIT.DEFENSE.forum_selection (Federal Forum Selection Clause): Required data not available from filings</w:t>
      </w:r>
    </w:p>
    <w:p>
      <w:pPr>
        <w:pStyle w:val="DOHeading3"/>
      </w:pPr>
      <w:r>
        <w:t>Governance &amp; Leadership</w:t>
      </w:r>
    </w:p>
    <w:p>
      <w:pPr>
        <w:pStyle w:val="DOBody"/>
      </w:pPr>
      <w:r>
        <w:rPr>
          <w:b/>
          <w:sz w:val="16"/>
        </w:rPr>
        <w:t xml:space="preserve">  [EVALUATIVE] </w:t>
      </w:r>
      <w:r>
        <w:rPr>
          <w:sz w:val="16"/>
        </w:rPr>
        <w:t>EXEC.TENURE.ceo_new (CEO Tenure Less Than 2 Years): Data mapping not configured for this check</w:t>
      </w:r>
    </w:p>
    <w:p>
      <w:pPr>
        <w:pStyle w:val="DOBody"/>
      </w:pPr>
      <w:r>
        <w:rPr>
          <w:b/>
          <w:sz w:val="16"/>
        </w:rPr>
        <w:t xml:space="preserve">  [EVALUATIVE] </w:t>
      </w:r>
      <w:r>
        <w:rPr>
          <w:sz w:val="16"/>
        </w:rPr>
        <w:t>EXEC.TENURE.cfo_new (CFO Tenure Less Than 2 Years): Data mapping not configured for this check</w:t>
      </w:r>
    </w:p>
    <w:p>
      <w:pPr>
        <w:pStyle w:val="DOBody"/>
      </w:pPr>
      <w:r>
        <w:rPr>
          <w:b/>
          <w:sz w:val="16"/>
        </w:rPr>
        <w:t xml:space="preserve">  [REQUIRED] </w:t>
      </w:r>
      <w:r>
        <w:rPr>
          <w:sz w:val="16"/>
        </w:rPr>
        <w:t>EXEC.PROFILE.board_size (Board Size (Number of Members)): Required data not available from filings</w:t>
      </w:r>
    </w:p>
    <w:p>
      <w:pPr>
        <w:pStyle w:val="DOBody"/>
      </w:pPr>
      <w:r>
        <w:rPr>
          <w:b/>
          <w:sz w:val="16"/>
        </w:rPr>
        <w:t xml:space="preserve">  [REQUIRED] </w:t>
      </w:r>
      <w:r>
        <w:rPr>
          <w:sz w:val="16"/>
        </w:rPr>
        <w:t>EXEC.PROFILE.independent_ratio (Board Independence Percentage): Required data not available from filings</w:t>
      </w:r>
    </w:p>
    <w:p>
      <w:pPr>
        <w:pStyle w:val="DOBody"/>
      </w:pPr>
      <w:r>
        <w:rPr>
          <w:b/>
          <w:sz w:val="16"/>
        </w:rPr>
        <w:t xml:space="preserve">  [EVALUATIVE] </w:t>
      </w:r>
      <w:r>
        <w:rPr>
          <w:sz w:val="16"/>
        </w:rPr>
        <w:t>EXEC.PROFILE.overboarded_directors (Directors Serving on 4+ Boards): Required data not available from filings</w:t>
      </w:r>
    </w:p>
    <w:p>
      <w:pPr>
        <w:pStyle w:val="DOBody"/>
      </w:pPr>
      <w:r>
        <w:rPr>
          <w:b/>
          <w:sz w:val="16"/>
        </w:rPr>
        <w:t xml:space="preserve">  [EVALUATIVE] </w:t>
      </w:r>
      <w:r>
        <w:rPr>
          <w:sz w:val="16"/>
        </w:rPr>
        <w:t>GOV.BOARD.size (Board Size): Required data not available from filings</w:t>
      </w:r>
    </w:p>
    <w:p>
      <w:pPr>
        <w:pStyle w:val="DOBody"/>
      </w:pPr>
      <w:r>
        <w:rPr>
          <w:b/>
          <w:sz w:val="16"/>
        </w:rPr>
        <w:t xml:space="preserve">  [EVALUATIVE] </w:t>
      </w:r>
      <w:r>
        <w:rPr>
          <w:sz w:val="16"/>
        </w:rPr>
        <w:t>GOV.BOARD.independence (Board Independence): Required data not available from filings</w:t>
      </w:r>
    </w:p>
    <w:p>
      <w:pPr>
        <w:pStyle w:val="DOBody"/>
      </w:pPr>
      <w:r>
        <w:rPr>
          <w:b/>
          <w:sz w:val="16"/>
        </w:rPr>
        <w:t xml:space="preserve">  [EVALUATIVE] </w:t>
      </w:r>
      <w:r>
        <w:rPr>
          <w:sz w:val="16"/>
        </w:rPr>
        <w:t>GOV.BOARD.diversity (Board Diversity): Required data not available from filings</w:t>
      </w:r>
    </w:p>
    <w:p>
      <w:pPr>
        <w:pStyle w:val="DOBody"/>
      </w:pPr>
      <w:r>
        <w:rPr>
          <w:b/>
          <w:sz w:val="16"/>
        </w:rPr>
        <w:t xml:space="preserve">  [EVALUATIVE] </w:t>
      </w:r>
      <w:r>
        <w:rPr>
          <w:sz w:val="16"/>
        </w:rPr>
        <w:t>GOV.BOARD.tenure (Tenure): Required data not available from filings</w:t>
      </w:r>
    </w:p>
    <w:p>
      <w:pPr>
        <w:pStyle w:val="DOBody"/>
      </w:pPr>
      <w:r>
        <w:rPr>
          <w:b/>
          <w:sz w:val="16"/>
        </w:rPr>
        <w:t xml:space="preserve">  [EVALUATIVE] </w:t>
      </w:r>
      <w:r>
        <w:rPr>
          <w:sz w:val="16"/>
        </w:rPr>
        <w:t>GOV.BOARD.overboarding (Overboarding): Required data not available from filings</w:t>
      </w:r>
    </w:p>
    <w:p>
      <w:pPr>
        <w:pStyle w:val="DOBody"/>
      </w:pPr>
      <w:r>
        <w:rPr>
          <w:b/>
          <w:sz w:val="16"/>
        </w:rPr>
        <w:t xml:space="preserve">  [EVALUATIVE] </w:t>
      </w:r>
      <w:r>
        <w:rPr>
          <w:sz w:val="16"/>
        </w:rPr>
        <w:t>GOV.BOARD.attendance (Attendance): Required data not available from filings</w:t>
      </w:r>
    </w:p>
    <w:p>
      <w:pPr>
        <w:pStyle w:val="DOBody"/>
      </w:pPr>
      <w:r>
        <w:rPr>
          <w:b/>
          <w:sz w:val="16"/>
        </w:rPr>
        <w:t xml:space="preserve">  [EVALUATIVE] </w:t>
      </w:r>
      <w:r>
        <w:rPr>
          <w:sz w:val="16"/>
        </w:rPr>
        <w:t>GOV.BOARD.meetings (Meetings): Required data not available from filings</w:t>
      </w:r>
    </w:p>
    <w:p>
      <w:pPr>
        <w:pStyle w:val="DOBody"/>
      </w:pPr>
      <w:r>
        <w:rPr>
          <w:b/>
          <w:sz w:val="16"/>
        </w:rPr>
        <w:t xml:space="preserve">  [EVALUATIVE] </w:t>
      </w:r>
      <w:r>
        <w:rPr>
          <w:sz w:val="16"/>
        </w:rPr>
        <w:t>GOV.BOARD.succession (Succession): Required data not available from filings</w:t>
      </w:r>
    </w:p>
    <w:p>
      <w:pPr>
        <w:pStyle w:val="DOBody"/>
      </w:pPr>
      <w:r>
        <w:rPr>
          <w:b/>
          <w:sz w:val="16"/>
        </w:rPr>
        <w:t xml:space="preserve">  [EVALUATIVE] </w:t>
      </w:r>
      <w:r>
        <w:rPr>
          <w:sz w:val="16"/>
        </w:rPr>
        <w:t>GOV.EXEC.ceo_profile (CEO Profile): Required data not available from filings</w:t>
      </w:r>
    </w:p>
    <w:p>
      <w:pPr>
        <w:pStyle w:val="DOBody"/>
      </w:pPr>
      <w:r>
        <w:rPr>
          <w:b/>
          <w:sz w:val="16"/>
        </w:rPr>
        <w:t xml:space="preserve">  [EVALUATIVE] </w:t>
      </w:r>
      <w:r>
        <w:rPr>
          <w:sz w:val="16"/>
        </w:rPr>
        <w:t>GOV.EXEC.cfo_profile (CFO Profile): Required data not available from filings</w:t>
      </w:r>
    </w:p>
    <w:p>
      <w:pPr>
        <w:pStyle w:val="DOBody"/>
      </w:pPr>
      <w:r>
        <w:rPr>
          <w:b/>
          <w:sz w:val="16"/>
        </w:rPr>
        <w:t xml:space="preserve">  [EVALUATIVE] </w:t>
      </w:r>
      <w:r>
        <w:rPr>
          <w:sz w:val="16"/>
        </w:rPr>
        <w:t>GOV.EXEC.founder (Founder Status): Required data not available from filings</w:t>
      </w:r>
    </w:p>
    <w:p>
      <w:pPr>
        <w:pStyle w:val="DOBody"/>
      </w:pPr>
      <w:r>
        <w:rPr>
          <w:b/>
          <w:sz w:val="16"/>
        </w:rPr>
        <w:t xml:space="preserve">  [EVALUATIVE] </w:t>
      </w:r>
      <w:r>
        <w:rPr>
          <w:sz w:val="16"/>
        </w:rPr>
        <w:t>GOV.EXEC.key_person (Key Person Risk): Required data not available from filings</w:t>
      </w:r>
    </w:p>
    <w:p>
      <w:pPr>
        <w:pStyle w:val="DOBody"/>
      </w:pPr>
      <w:r>
        <w:rPr>
          <w:b/>
          <w:sz w:val="16"/>
        </w:rPr>
        <w:t xml:space="preserve">  [EVALUATIVE] </w:t>
      </w:r>
      <w:r>
        <w:rPr>
          <w:sz w:val="16"/>
        </w:rPr>
        <w:t>GOV.PAY.say_on_pay (Say-on-Pay Results): Required data not available from filings</w:t>
      </w:r>
    </w:p>
    <w:p>
      <w:pPr>
        <w:pStyle w:val="DOBody"/>
      </w:pPr>
      <w:r>
        <w:rPr>
          <w:b/>
          <w:sz w:val="16"/>
        </w:rPr>
        <w:t xml:space="preserve">  [EVALUATIVE] </w:t>
      </w:r>
      <w:r>
        <w:rPr>
          <w:sz w:val="16"/>
        </w:rPr>
        <w:t>GOV.PAY.golden_para (Golden Para): Required data not available from filings</w:t>
      </w:r>
    </w:p>
    <w:p>
      <w:pPr>
        <w:pStyle w:val="DOBody"/>
      </w:pPr>
      <w:r>
        <w:rPr>
          <w:b/>
          <w:sz w:val="16"/>
        </w:rPr>
        <w:t xml:space="preserve">  [EVALUATIVE] </w:t>
      </w:r>
      <w:r>
        <w:rPr>
          <w:sz w:val="16"/>
        </w:rPr>
        <w:t>GOV.PAY.equity_burn (Equity Burn): Required data not available from filings</w:t>
      </w:r>
    </w:p>
    <w:p>
      <w:pPr>
        <w:pStyle w:val="DOBody"/>
      </w:pPr>
      <w:r>
        <w:rPr>
          <w:b/>
          <w:sz w:val="16"/>
        </w:rPr>
        <w:t xml:space="preserve">  [EVALUATIVE] </w:t>
      </w:r>
      <w:r>
        <w:rPr>
          <w:sz w:val="16"/>
        </w:rPr>
        <w:t>GOV.PAY.hedging (Hedging): Required data not available from filings</w:t>
      </w:r>
    </w:p>
    <w:p>
      <w:pPr>
        <w:pStyle w:val="DOBody"/>
      </w:pPr>
      <w:r>
        <w:rPr>
          <w:b/>
          <w:sz w:val="16"/>
        </w:rPr>
        <w:t xml:space="preserve">  [REQUIRED] </w:t>
      </w:r>
      <w:r>
        <w:rPr>
          <w:sz w:val="16"/>
        </w:rPr>
        <w:t>GOV.RIGHTS.bylaws (Bylaws): Required data not available from filings</w:t>
      </w:r>
    </w:p>
    <w:p>
      <w:pPr>
        <w:pStyle w:val="DOBody"/>
      </w:pPr>
      <w:r>
        <w:rPr>
          <w:b/>
          <w:sz w:val="16"/>
        </w:rPr>
        <w:t xml:space="preserve">  [EVALUATIVE] </w:t>
      </w:r>
      <w:r>
        <w:rPr>
          <w:sz w:val="16"/>
        </w:rPr>
        <w:t>GOV.RIGHTS.takeover (Takeover): Required data not available from filings</w:t>
      </w:r>
    </w:p>
    <w:p>
      <w:pPr>
        <w:pStyle w:val="DOBody"/>
      </w:pPr>
      <w:r>
        <w:rPr>
          <w:b/>
          <w:sz w:val="16"/>
        </w:rPr>
        <w:t xml:space="preserve">  [EVALUATIVE] </w:t>
      </w:r>
      <w:r>
        <w:rPr>
          <w:sz w:val="16"/>
        </w:rPr>
        <w:t>GOV.RIGHTS.proxy_access (Proxy Access): Required data not available from filings</w:t>
      </w:r>
    </w:p>
    <w:p>
      <w:pPr>
        <w:pStyle w:val="DOBody"/>
      </w:pPr>
      <w:r>
        <w:rPr>
          <w:b/>
          <w:sz w:val="16"/>
        </w:rPr>
        <w:t xml:space="preserve">  [REQUIRED] </w:t>
      </w:r>
      <w:r>
        <w:rPr>
          <w:sz w:val="16"/>
        </w:rPr>
        <w:t>GOV.RIGHTS.forum_select (Forum Select): Required data not available from filings</w:t>
      </w:r>
    </w:p>
    <w:p>
      <w:pPr>
        <w:pStyle w:val="DOBody"/>
      </w:pPr>
      <w:r>
        <w:rPr>
          <w:b/>
          <w:sz w:val="16"/>
        </w:rPr>
        <w:t xml:space="preserve">  [EVALUATIVE] </w:t>
      </w:r>
      <w:r>
        <w:rPr>
          <w:sz w:val="16"/>
        </w:rPr>
        <w:t>GOV.RIGHTS.supermajority (Supermajority): Required data not available from filings</w:t>
      </w:r>
    </w:p>
    <w:p>
      <w:pPr>
        <w:pStyle w:val="DOBody"/>
      </w:pPr>
      <w:r>
        <w:rPr>
          <w:b/>
          <w:sz w:val="16"/>
        </w:rPr>
        <w:t xml:space="preserve">  [EVALUATIVE] </w:t>
      </w:r>
      <w:r>
        <w:rPr>
          <w:sz w:val="16"/>
        </w:rPr>
        <w:t>GOV.RIGHTS.action_consent (Action Consent): Required data not available from filings</w:t>
      </w:r>
    </w:p>
    <w:p>
      <w:pPr>
        <w:pStyle w:val="DOBody"/>
      </w:pPr>
      <w:r>
        <w:rPr>
          <w:b/>
          <w:sz w:val="16"/>
        </w:rPr>
        <w:t xml:space="preserve">  [EVALUATIVE] </w:t>
      </w:r>
      <w:r>
        <w:rPr>
          <w:sz w:val="16"/>
        </w:rPr>
        <w:t>GOV.RIGHTS.special_mtg (Special Mtg): Required data not available from filings</w:t>
      </w:r>
    </w:p>
    <w:p>
      <w:pPr>
        <w:pStyle w:val="DOBody"/>
      </w:pPr>
      <w:r>
        <w:rPr>
          <w:b/>
          <w:sz w:val="16"/>
        </w:rPr>
        <w:t xml:space="preserve">  [EVALUATIVE] </w:t>
      </w:r>
      <w:r>
        <w:rPr>
          <w:sz w:val="16"/>
        </w:rPr>
        <w:t>GOV.RIGHTS.classified (Classified): Required data not available from filings</w:t>
      </w:r>
    </w:p>
    <w:p>
      <w:pPr>
        <w:pStyle w:val="DOHeading3"/>
      </w:pPr>
      <w:r>
        <w:t>Market &amp; Trading</w:t>
      </w:r>
    </w:p>
    <w:p>
      <w:pPr>
        <w:pStyle w:val="DOBody"/>
      </w:pPr>
      <w:r>
        <w:rPr>
          <w:b/>
          <w:sz w:val="16"/>
        </w:rPr>
        <w:t xml:space="preserve">  [EVALUATIVE] </w:t>
      </w:r>
      <w:r>
        <w:rPr>
          <w:sz w:val="16"/>
        </w:rPr>
        <w:t>FIN.CONT.loss_accrual (Loss Contingency Accrual): Required data not available from filings</w:t>
      </w:r>
    </w:p>
    <w:p>
      <w:pPr>
        <w:pStyle w:val="DOBody"/>
      </w:pPr>
      <w:r>
        <w:rPr>
          <w:b/>
          <w:sz w:val="16"/>
        </w:rPr>
        <w:t xml:space="preserve">  [EVALUATIVE] </w:t>
      </w:r>
      <w:r>
        <w:rPr>
          <w:sz w:val="16"/>
        </w:rPr>
        <w:t>FIN.CONT.loss_estimate (Loss Contingency Estimate): Required data not available from filings</w:t>
      </w:r>
    </w:p>
    <w:p>
      <w:pPr>
        <w:pStyle w:val="DOBody"/>
      </w:pPr>
      <w:r>
        <w:rPr>
          <w:b/>
          <w:sz w:val="16"/>
        </w:rPr>
        <w:t xml:space="preserve">  [EVALUATIVE] </w:t>
      </w:r>
      <w:r>
        <w:rPr>
          <w:sz w:val="16"/>
        </w:rPr>
        <w:t>FIN.CONT.settlement_activity (Litigation Settlement Activity): Required data not available from filings</w:t>
      </w:r>
    </w:p>
    <w:p>
      <w:pPr>
        <w:pStyle w:val="DOBody"/>
      </w:pPr>
      <w:r>
        <w:rPr>
          <w:b/>
          <w:sz w:val="16"/>
        </w:rPr>
        <w:t xml:space="preserve">  [EVALUATIVE] </w:t>
      </w:r>
      <w:r>
        <w:rPr>
          <w:sz w:val="16"/>
        </w:rPr>
        <w:t>FIN.DEBT.facility_utilization (Credit Facility Utilization): Required data not available from filings</w:t>
      </w:r>
    </w:p>
    <w:p>
      <w:pPr>
        <w:pStyle w:val="DOBody"/>
      </w:pPr>
      <w:r>
        <w:rPr>
          <w:b/>
          <w:sz w:val="16"/>
        </w:rPr>
        <w:t xml:space="preserve">  [EVALUATIVE] </w:t>
      </w:r>
      <w:r>
        <w:rPr>
          <w:sz w:val="16"/>
        </w:rPr>
        <w:t>FIN.DERIV.notional_exposure (Derivative Notional Exposure): Required data not available from filings</w:t>
      </w:r>
    </w:p>
    <w:p>
      <w:pPr>
        <w:pStyle w:val="DOBody"/>
      </w:pPr>
      <w:r>
        <w:rPr>
          <w:b/>
          <w:sz w:val="16"/>
        </w:rPr>
        <w:t xml:space="preserve">  [EVALUATIVE] </w:t>
      </w:r>
      <w:r>
        <w:rPr>
          <w:sz w:val="16"/>
        </w:rPr>
        <w:t>FIN.DERIV.fair_value_risk (Derivative Fair Value Risk): Required data not available from filings</w:t>
      </w:r>
    </w:p>
    <w:p>
      <w:pPr>
        <w:pStyle w:val="DOBody"/>
      </w:pPr>
      <w:r>
        <w:rPr>
          <w:b/>
          <w:sz w:val="16"/>
        </w:rPr>
        <w:t xml:space="preserve">  [EVALUATIVE] </w:t>
      </w:r>
      <w:r>
        <w:rPr>
          <w:sz w:val="16"/>
        </w:rPr>
        <w:t>FIN.QUALITY.q4_revenue_concentration (Q4 Revenue Concentration): Required data not available from filings</w:t>
      </w:r>
    </w:p>
    <w:p>
      <w:pPr>
        <w:pStyle w:val="DOBody"/>
      </w:pPr>
      <w:r>
        <w:rPr>
          <w:b/>
          <w:sz w:val="16"/>
        </w:rPr>
        <w:t xml:space="preserve">  [EVALUATIVE] </w:t>
      </w:r>
      <w:r>
        <w:rPr>
          <w:sz w:val="16"/>
        </w:rPr>
        <w:t>FIN.QUALITY.revenue_recognition_risk (Revenue Recognition Risk Indicators): Data mapping not configured for this check</w:t>
      </w:r>
    </w:p>
    <w:p>
      <w:pPr>
        <w:pStyle w:val="DOBody"/>
      </w:pPr>
      <w:r>
        <w:rPr>
          <w:b/>
          <w:sz w:val="16"/>
        </w:rPr>
        <w:t xml:space="preserve">  [EVALUATIVE] </w:t>
      </w:r>
      <w:r>
        <w:rPr>
          <w:sz w:val="16"/>
        </w:rPr>
        <w:t>FIN.FORENSIC.level3_fair_value (Level 3 Fair Value Asset Concentration): Data mapping not configured for this check</w:t>
      </w:r>
    </w:p>
    <w:p>
      <w:pPr>
        <w:pStyle w:val="DOBody"/>
      </w:pPr>
      <w:r>
        <w:rPr>
          <w:b/>
          <w:sz w:val="16"/>
        </w:rPr>
        <w:t xml:space="preserve">  [EVALUATIVE] </w:t>
      </w:r>
      <w:r>
        <w:rPr>
          <w:sz w:val="16"/>
        </w:rPr>
        <w:t>FIN.FORENSIC.goodwill_deterioration_pattern (Goodwill Deterioration Pattern): Data mapping not configured for this check</w:t>
      </w:r>
    </w:p>
    <w:p>
      <w:pPr>
        <w:pStyle w:val="DOBody"/>
      </w:pPr>
      <w:r>
        <w:rPr>
          <w:b/>
          <w:sz w:val="16"/>
        </w:rPr>
        <w:t xml:space="preserve">  [EVALUATIVE] </w:t>
      </w:r>
      <w:r>
        <w:rPr>
          <w:sz w:val="16"/>
        </w:rPr>
        <w:t>FIN.FORENSIC.related_party_revenue (Related Party Revenue Concentration): Data mapping not configured for this check</w:t>
      </w:r>
    </w:p>
    <w:p>
      <w:pPr>
        <w:pStyle w:val="DOBody"/>
      </w:pPr>
      <w:r>
        <w:rPr>
          <w:b/>
          <w:sz w:val="16"/>
        </w:rPr>
        <w:t xml:space="preserve">  [EVALUATIVE] </w:t>
      </w:r>
      <w:r>
        <w:rPr>
          <w:sz w:val="16"/>
        </w:rPr>
        <w:t>FWRD.EVENT.ma_integration_risk (M&amp;A Integration Risk): Data mapping not configured for this check</w:t>
      </w:r>
    </w:p>
    <w:p>
      <w:pPr>
        <w:pStyle w:val="DOBody"/>
      </w:pPr>
      <w:r>
        <w:rPr>
          <w:b/>
          <w:sz w:val="16"/>
        </w:rPr>
        <w:t xml:space="preserve">  [EVALUATIVE] </w:t>
      </w:r>
      <w:r>
        <w:rPr>
          <w:sz w:val="16"/>
        </w:rPr>
        <w:t>FIN.FORENSIC.buyback_timing (Share Buyback Timing Quality): Data mapping not configured for this check</w:t>
      </w:r>
    </w:p>
    <w:p>
      <w:pPr>
        <w:pStyle w:val="DOBody"/>
      </w:pPr>
      <w:r>
        <w:rPr>
          <w:b/>
          <w:sz w:val="16"/>
        </w:rPr>
        <w:t xml:space="preserve">  [EVALUATIVE] </w:t>
      </w:r>
      <w:r>
        <w:rPr>
          <w:sz w:val="16"/>
        </w:rPr>
        <w:t>FIN.FORENSIC.pension_underfunding (Pension Underfunding Risk): Data mapping not configured for this check</w:t>
      </w:r>
    </w:p>
    <w:p>
      <w:pPr>
        <w:pStyle w:val="DOBody"/>
      </w:pPr>
      <w:r>
        <w:rPr>
          <w:b/>
          <w:sz w:val="16"/>
        </w:rPr>
        <w:t xml:space="preserve">  [EVALUATIVE] </w:t>
      </w:r>
      <w:r>
        <w:rPr>
          <w:sz w:val="16"/>
        </w:rPr>
        <w:t>FIN.FORENSIC.dsri_elevated (Days Sales Receivable Index Elevated): Data mapping not configured for this check</w:t>
      </w:r>
    </w:p>
    <w:p>
      <w:pPr>
        <w:pStyle w:val="DOBody"/>
      </w:pPr>
      <w:r>
        <w:rPr>
          <w:b/>
          <w:sz w:val="16"/>
        </w:rPr>
        <w:t xml:space="preserve">  [EVALUATIVE] </w:t>
      </w:r>
      <w:r>
        <w:rPr>
          <w:sz w:val="16"/>
        </w:rPr>
        <w:t>FIN.FORENSIC.aqi_elevated (Asset Quality Index Elevated): Data mapping not configured for this check</w:t>
      </w:r>
    </w:p>
    <w:p>
      <w:pPr>
        <w:pStyle w:val="DOBody"/>
      </w:pPr>
      <w:r>
        <w:rPr>
          <w:b/>
          <w:sz w:val="16"/>
        </w:rPr>
        <w:t xml:space="preserve">  [EVALUATIVE] </w:t>
      </w:r>
      <w:r>
        <w:rPr>
          <w:sz w:val="16"/>
        </w:rPr>
        <w:t>FIN.FORENSIC.tata_elevated (Total Accruals to Total Assets Elevated): Data mapping not configured for this check</w:t>
      </w:r>
    </w:p>
    <w:p>
      <w:pPr>
        <w:pStyle w:val="DOBody"/>
      </w:pPr>
      <w:r>
        <w:rPr>
          <w:b/>
          <w:sz w:val="16"/>
        </w:rPr>
        <w:t xml:space="preserve">  [EVALUATIVE] </w:t>
      </w:r>
      <w:r>
        <w:rPr>
          <w:sz w:val="16"/>
        </w:rPr>
        <w:t>FIN.FORENSIC.non_gaap_gap (Non-GAAP to GAAP Earnings Gap): Data mapping not configured for this check</w:t>
      </w:r>
    </w:p>
    <w:p>
      <w:pPr>
        <w:pStyle w:val="DOBody"/>
      </w:pPr>
      <w:r>
        <w:rPr>
          <w:b/>
          <w:sz w:val="16"/>
        </w:rPr>
        <w:t xml:space="preserve">  [EVALUATIVE] </w:t>
      </w:r>
      <w:r>
        <w:rPr>
          <w:sz w:val="16"/>
        </w:rPr>
        <w:t>FIN.FORENSIC.goodwill_growth_rate (Goodwill Growth Rate): Data mapping not configured for this check</w:t>
      </w:r>
    </w:p>
    <w:p>
      <w:pPr>
        <w:pStyle w:val="DOBody"/>
      </w:pPr>
      <w:r>
        <w:rPr>
          <w:b/>
          <w:sz w:val="16"/>
        </w:rPr>
        <w:t xml:space="preserve">  [EVALUATIVE] </w:t>
      </w:r>
      <w:r>
        <w:rPr>
          <w:sz w:val="16"/>
        </w:rPr>
        <w:t>FIN.FORENSIC.acquisition_to_revenue (Acquisition Spend Relative to Revenue): Data mapping not configured for this check</w:t>
      </w:r>
    </w:p>
    <w:p>
      <w:pPr>
        <w:pStyle w:val="DOBody"/>
      </w:pPr>
      <w:r>
        <w:rPr>
          <w:b/>
          <w:sz w:val="16"/>
        </w:rPr>
        <w:t xml:space="preserve">  [EVALUATIVE] </w:t>
      </w:r>
      <w:r>
        <w:rPr>
          <w:sz w:val="16"/>
        </w:rPr>
        <w:t>FIN.PROFIT.revenue (Revenue Analysis): Required data not available from filings</w:t>
      </w:r>
    </w:p>
    <w:p>
      <w:pPr>
        <w:pStyle w:val="DOBody"/>
      </w:pPr>
      <w:r>
        <w:rPr>
          <w:b/>
          <w:sz w:val="16"/>
        </w:rPr>
        <w:t xml:space="preserve">  [EVALUATIVE] </w:t>
      </w:r>
      <w:r>
        <w:rPr>
          <w:sz w:val="16"/>
        </w:rPr>
        <w:t>FIN.GUIDE.track_record (Guidance Track Record): Required data not available from filings</w:t>
      </w:r>
    </w:p>
    <w:p>
      <w:pPr>
        <w:pStyle w:val="DOBody"/>
      </w:pPr>
      <w:r>
        <w:rPr>
          <w:b/>
          <w:sz w:val="16"/>
        </w:rPr>
        <w:t xml:space="preserve">  [EVALUATIVE] </w:t>
      </w:r>
      <w:r>
        <w:rPr>
          <w:sz w:val="16"/>
        </w:rPr>
        <w:t>FIN.RESTRUCT.charges (Restructuring Charges): Required data not available from filings</w:t>
      </w:r>
    </w:p>
    <w:p>
      <w:pPr>
        <w:pStyle w:val="DOBody"/>
      </w:pPr>
      <w:r>
        <w:rPr>
          <w:b/>
          <w:sz w:val="16"/>
        </w:rPr>
        <w:t xml:space="preserve">  [EVALUATIVE] </w:t>
      </w:r>
      <w:r>
        <w:rPr>
          <w:sz w:val="16"/>
        </w:rPr>
        <w:t>FIN.RESTRUCT.severance (Severance Costs): Required data not available from filings</w:t>
      </w:r>
    </w:p>
    <w:p>
      <w:pPr>
        <w:pStyle w:val="DOBody"/>
      </w:pPr>
      <w:r>
        <w:rPr>
          <w:b/>
          <w:sz w:val="16"/>
        </w:rPr>
        <w:t xml:space="preserve">  [EVALUATIVE] </w:t>
      </w:r>
      <w:r>
        <w:rPr>
          <w:sz w:val="16"/>
        </w:rPr>
        <w:t>FIN.IMPAIR.asset_writedown (Asset Impairment): Required data not available from filings</w:t>
      </w:r>
    </w:p>
    <w:p>
      <w:pPr>
        <w:pStyle w:val="DOBody"/>
      </w:pPr>
      <w:r>
        <w:rPr>
          <w:b/>
          <w:sz w:val="16"/>
        </w:rPr>
        <w:t xml:space="preserve">  [REQUIRED] </w:t>
      </w:r>
      <w:r>
        <w:rPr>
          <w:sz w:val="16"/>
        </w:rPr>
        <w:t>NLP.FILING.filing_timing_change (Filing Date Shifted Significantly vs Prior Year): Required data not available from filings</w:t>
      </w:r>
    </w:p>
    <w:p>
      <w:pPr>
        <w:pStyle w:val="DOBody"/>
      </w:pPr>
      <w:r>
        <w:rPr>
          <w:b/>
          <w:sz w:val="16"/>
        </w:rPr>
        <w:t xml:space="preserve">  [EVALUATIVE] </w:t>
      </w:r>
      <w:r>
        <w:rPr>
          <w:sz w:val="16"/>
        </w:rPr>
        <w:t>FIN.FORENSIC.m_score_composite (Beneish M-Score Composite (XBRL)): Data mapping not configured for this check</w:t>
      </w:r>
    </w:p>
    <w:p>
      <w:pPr>
        <w:pStyle w:val="DOBody"/>
      </w:pPr>
      <w:r>
        <w:rPr>
          <w:sz w:val="16"/>
        </w:rPr>
        <w:t>Gap breakdown: Required items: 9 | Evaluative checks: 100</w:t>
      </w:r>
    </w:p>
    <w:p>
      <w:pPr>
        <w:pStyle w:val="DOBody"/>
      </w:pPr>
      <w:r>
        <w:rPr>
          <w:b/>
        </w:rPr>
        <w:t>Total: 109 checks data-unavailable out of 576 total checks (81% coverage)</w:t>
      </w:r>
    </w:p>
    <w:p>
      <w:pPr>
        <w:spacing w:before="120" w:after="40"/>
        <w:pBdr>
          <w:bottom w:val="single" w:sz="6" w:space="1" w:color="FFD000"/>
        </w:pBdr>
      </w:pPr>
    </w:p>
    <w:p>
      <w:pPr>
        <w:pStyle w:val="DOHeading2"/>
      </w:pPr>
      <w:r>
        <w:t>Calibration Notes</w:t>
      </w:r>
    </w:p>
    <w:p>
      <w:pPr>
        <w:pStyle w:val="DOHeading3"/>
      </w:pPr>
      <w:r>
        <w:t>System Intelligence Status</w:t>
      </w:r>
    </w:p>
    <w:p>
      <w:pPr>
        <w:pStyle w:val="DOBody"/>
      </w:pPr>
      <w:r>
        <w:rPr>
          <w:b/>
        </w:rPr>
        <w:t>Checks active</w:t>
      </w:r>
      <w:r>
        <w:t>: 601</w:t>
      </w:r>
    </w:p>
    <w:p>
      <w:pPr>
        <w:pStyle w:val="DOBody"/>
      </w:pPr>
      <w:r>
        <w:rPr>
          <w:b/>
        </w:rPr>
        <w:t>Checks incubating</w:t>
      </w:r>
      <w:r>
        <w:t>: 0 (pending human approval)</w:t>
      </w:r>
    </w:p>
    <w:p>
      <w:pPr>
        <w:pStyle w:val="DOBody"/>
      </w:pPr>
      <w:r>
        <w:rPr>
          <w:b/>
        </w:rPr>
        <w:t>Pending feedback</w:t>
      </w:r>
      <w:r>
        <w:t>: 0 entries</w:t>
      </w:r>
    </w:p>
    <w:p>
      <w:pPr>
        <w:pStyle w:val="DOHeading3"/>
      </w:pPr>
      <w:r>
        <w:t>Recent Calibration Changes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18"/>
              </w:rPr>
              <w:t>Date</w:t>
            </w:r>
          </w:p>
        </w:tc>
        <w:tc>
          <w:tcPr>
            <w:tcW w:type="dxa" w:w="2520"/>
          </w:tcPr>
          <w:p>
            <w:r>
              <w:rPr>
                <w:b/>
                <w:sz w:val="18"/>
              </w:rPr>
              <w:t>Check</w:t>
            </w:r>
          </w:p>
        </w:tc>
        <w:tc>
          <w:tcPr>
            <w:tcW w:type="dxa" w:w="2520"/>
          </w:tcPr>
          <w:p>
            <w:r>
              <w:rPr>
                <w:b/>
                <w:sz w:val="18"/>
              </w:rPr>
              <w:t>Change</w:t>
            </w:r>
          </w:p>
        </w:tc>
        <w:tc>
          <w:tcPr>
            <w:tcW w:type="dxa" w:w="2520"/>
          </w:tcPr>
          <w:p>
            <w:r>
              <w:rPr>
                <w:b/>
                <w:sz w:val="18"/>
              </w:rPr>
              <w:t>Changed By</w:t>
            </w:r>
          </w:p>
        </w:tc>
      </w:tr>
      <w:tr>
        <w:tc>
          <w:tcPr>
            <w:tcW w:type="dxa" w:w="2520"/>
          </w:tcPr>
          <w:p>
            <w:r>
              <w:rPr>
                <w:sz w:val="18"/>
              </w:rPr>
              <w:t>2026-04-02</w:t>
            </w:r>
          </w:p>
        </w:tc>
        <w:tc>
          <w:tcPr>
            <w:tcW w:type="dxa" w:w="2520"/>
          </w:tcPr>
          <w:p>
            <w:r>
              <w:rPr>
                <w:sz w:val="18"/>
              </w:rPr>
              <w:t>GOV.FOUNDER_CRIMINAL_EXPOSURE</w:t>
            </w:r>
          </w:p>
        </w:tc>
        <w:tc>
          <w:tcPr>
            <w:tcW w:type="dxa" w:w="2520"/>
          </w:tcPr>
          <w:p>
            <w:r>
              <w:rPr>
                <w:sz w:val="18"/>
              </w:rPr>
              <w:t>Proposed by ingestion of 'blind_spot:NVDA:Super Micro Comput</w:t>
            </w:r>
          </w:p>
        </w:tc>
        <w:tc>
          <w:tcPr>
            <w:tcW w:type="dxa" w:w="2520"/>
          </w:tcPr>
          <w:p>
            <w:r>
              <w:rPr>
                <w:sz w:val="18"/>
              </w:rPr>
              <w:t>ingestion_pipeline</w:t>
            </w:r>
          </w:p>
        </w:tc>
      </w:tr>
      <w:tr>
        <w:tc>
          <w:tcPr>
            <w:tcW w:type="dxa" w:w="2520"/>
          </w:tcPr>
          <w:p>
            <w:r>
              <w:rPr>
                <w:sz w:val="18"/>
              </w:rPr>
              <w:t>2026-04-02</w:t>
            </w:r>
          </w:p>
        </w:tc>
        <w:tc>
          <w:tcPr>
            <w:tcW w:type="dxa" w:w="2520"/>
          </w:tcPr>
          <w:p>
            <w:r>
              <w:rPr>
                <w:sz w:val="18"/>
              </w:rPr>
              <w:t>BIZ.CHINA_EXPOSURE_DISCLOSURE</w:t>
            </w:r>
          </w:p>
        </w:tc>
        <w:tc>
          <w:tcPr>
            <w:tcW w:type="dxa" w:w="2520"/>
          </w:tcPr>
          <w:p>
            <w:r>
              <w:rPr>
                <w:sz w:val="18"/>
              </w:rPr>
              <w:t>Proposed by ingestion of 'blind_spot:NVDA:Super Micro Comput</w:t>
            </w:r>
          </w:p>
        </w:tc>
        <w:tc>
          <w:tcPr>
            <w:tcW w:type="dxa" w:w="2520"/>
          </w:tcPr>
          <w:p>
            <w:r>
              <w:rPr>
                <w:sz w:val="18"/>
              </w:rPr>
              <w:t>ingestion_pipeline</w:t>
            </w:r>
          </w:p>
        </w:tc>
      </w:tr>
      <w:tr>
        <w:tc>
          <w:tcPr>
            <w:tcW w:type="dxa" w:w="2520"/>
          </w:tcPr>
          <w:p>
            <w:r>
              <w:rPr>
                <w:sz w:val="18"/>
              </w:rPr>
              <w:t>2026-04-02</w:t>
            </w:r>
          </w:p>
        </w:tc>
        <w:tc>
          <w:tcPr>
            <w:tcW w:type="dxa" w:w="2520"/>
          </w:tcPr>
          <w:p>
            <w:r>
              <w:rPr>
                <w:sz w:val="18"/>
              </w:rPr>
              <w:t>GOV.EXPORT_CONTROL_COMPLIANCE</w:t>
            </w:r>
          </w:p>
        </w:tc>
        <w:tc>
          <w:tcPr>
            <w:tcW w:type="dxa" w:w="2520"/>
          </w:tcPr>
          <w:p>
            <w:r>
              <w:rPr>
                <w:sz w:val="18"/>
              </w:rPr>
              <w:t>Proposed by ingestion of 'blind_spot:NVDA:Super Micro Comput</w:t>
            </w:r>
          </w:p>
        </w:tc>
        <w:tc>
          <w:tcPr>
            <w:tcW w:type="dxa" w:w="2520"/>
          </w:tcPr>
          <w:p>
            <w:r>
              <w:rPr>
                <w:sz w:val="18"/>
              </w:rPr>
              <w:t>ingestion_pipeline</w:t>
            </w:r>
          </w:p>
        </w:tc>
      </w:tr>
      <w:tr>
        <w:tc>
          <w:tcPr>
            <w:tcW w:type="dxa" w:w="2520"/>
          </w:tcPr>
          <w:p>
            <w:r>
              <w:rPr>
                <w:sz w:val="18"/>
              </w:rPr>
              <w:t>2026-04-02</w:t>
            </w:r>
          </w:p>
        </w:tc>
        <w:tc>
          <w:tcPr>
            <w:tcW w:type="dxa" w:w="2520"/>
          </w:tcPr>
          <w:p>
            <w:r>
              <w:rPr>
                <w:sz w:val="18"/>
              </w:rPr>
              <w:t>AI_DEVELOPMENT_TIMELINE_DISCLOSURE</w:t>
            </w:r>
          </w:p>
        </w:tc>
        <w:tc>
          <w:tcPr>
            <w:tcW w:type="dxa" w:w="2520"/>
          </w:tcPr>
          <w:p>
            <w:r>
              <w:rPr>
                <w:sz w:val="18"/>
              </w:rPr>
              <w:t>Proposed by ingestion of 'blind_spot:AAPL:AAPL LAWSUIT: Appl</w:t>
            </w:r>
          </w:p>
        </w:tc>
        <w:tc>
          <w:tcPr>
            <w:tcW w:type="dxa" w:w="2520"/>
          </w:tcPr>
          <w:p>
            <w:r>
              <w:rPr>
                <w:sz w:val="18"/>
              </w:rPr>
              <w:t>ingestion_pipeline</w:t>
            </w:r>
          </w:p>
        </w:tc>
      </w:tr>
      <w:tr>
        <w:tc>
          <w:tcPr>
            <w:tcW w:type="dxa" w:w="2520"/>
          </w:tcPr>
          <w:p>
            <w:r>
              <w:rPr>
                <w:sz w:val="18"/>
              </w:rPr>
              <w:t>2026-04-02</w:t>
            </w:r>
          </w:p>
        </w:tc>
        <w:tc>
          <w:tcPr>
            <w:tcW w:type="dxa" w:w="2520"/>
          </w:tcPr>
          <w:p>
            <w:r>
              <w:rPr>
                <w:sz w:val="18"/>
              </w:rPr>
              <w:t>TECH_DEVELOPMENT_VS_MARKETING_HYPE</w:t>
            </w:r>
          </w:p>
        </w:tc>
        <w:tc>
          <w:tcPr>
            <w:tcW w:type="dxa" w:w="2520"/>
          </w:tcPr>
          <w:p>
            <w:r>
              <w:rPr>
                <w:sz w:val="18"/>
              </w:rPr>
              <w:t>Proposed by ingestion of 'blind_spot:AAPL:Apple Inc. (NASDAQ</w:t>
            </w:r>
          </w:p>
        </w:tc>
        <w:tc>
          <w:tcPr>
            <w:tcW w:type="dxa" w:w="2520"/>
          </w:tcPr>
          <w:p>
            <w:r>
              <w:rPr>
                <w:sz w:val="18"/>
              </w:rPr>
              <w:t>ingestion_pipeline</w:t>
            </w:r>
          </w:p>
        </w:tc>
      </w:tr>
      <w:tr>
        <w:tc>
          <w:tcPr>
            <w:tcW w:type="dxa" w:w="2520"/>
          </w:tcPr>
          <w:p>
            <w:r>
              <w:rPr>
                <w:sz w:val="18"/>
              </w:rPr>
              <w:t>2026-04-02</w:t>
            </w:r>
          </w:p>
        </w:tc>
        <w:tc>
          <w:tcPr>
            <w:tcW w:type="dxa" w:w="2520"/>
          </w:tcPr>
          <w:p>
            <w:r>
              <w:rPr>
                <w:sz w:val="18"/>
              </w:rPr>
              <w:t>AI_PROMISE_DISCONNECT</w:t>
            </w:r>
          </w:p>
        </w:tc>
        <w:tc>
          <w:tcPr>
            <w:tcW w:type="dxa" w:w="2520"/>
          </w:tcPr>
          <w:p>
            <w:r>
              <w:rPr>
                <w:sz w:val="18"/>
              </w:rPr>
              <w:t>Proposed by ingestion of 'blind_spot:AAPL:AAPL LAWSUIT: Appl</w:t>
            </w:r>
          </w:p>
        </w:tc>
        <w:tc>
          <w:tcPr>
            <w:tcW w:type="dxa" w:w="2520"/>
          </w:tcPr>
          <w:p>
            <w:r>
              <w:rPr>
                <w:sz w:val="18"/>
              </w:rPr>
              <w:t>ingestion_pipeline</w:t>
            </w:r>
          </w:p>
        </w:tc>
      </w:tr>
      <w:tr>
        <w:tc>
          <w:tcPr>
            <w:tcW w:type="dxa" w:w="2520"/>
          </w:tcPr>
          <w:p>
            <w:r>
              <w:rPr>
                <w:sz w:val="18"/>
              </w:rPr>
              <w:t>2026-04-02</w:t>
            </w:r>
          </w:p>
        </w:tc>
        <w:tc>
          <w:tcPr>
            <w:tcW w:type="dxa" w:w="2520"/>
          </w:tcPr>
          <w:p>
            <w:r>
              <w:rPr>
                <w:sz w:val="18"/>
              </w:rPr>
              <w:t>TECH_DEVELOPMENT_RISK_DISCLOSURE</w:t>
            </w:r>
          </w:p>
        </w:tc>
        <w:tc>
          <w:tcPr>
            <w:tcW w:type="dxa" w:w="2520"/>
          </w:tcPr>
          <w:p>
            <w:r>
              <w:rPr>
                <w:sz w:val="18"/>
              </w:rPr>
              <w:t>Proposed by ingestion of 'blind_spot:AAPL:Apple Inc. (NASDAQ</w:t>
            </w:r>
          </w:p>
        </w:tc>
        <w:tc>
          <w:tcPr>
            <w:tcW w:type="dxa" w:w="2520"/>
          </w:tcPr>
          <w:p>
            <w:r>
              <w:rPr>
                <w:sz w:val="18"/>
              </w:rPr>
              <w:t>ingestion_pipeline</w:t>
            </w:r>
          </w:p>
        </w:tc>
      </w:tr>
      <w:tr>
        <w:tc>
          <w:tcPr>
            <w:tcW w:type="dxa" w:w="2520"/>
          </w:tcPr>
          <w:p>
            <w:r>
              <w:rPr>
                <w:sz w:val="18"/>
              </w:rPr>
              <w:t>2026-04-02</w:t>
            </w:r>
          </w:p>
        </w:tc>
        <w:tc>
          <w:tcPr>
            <w:tcW w:type="dxa" w:w="2520"/>
          </w:tcPr>
          <w:p>
            <w:r>
              <w:rPr>
                <w:sz w:val="18"/>
              </w:rPr>
              <w:t>TECH_PROTOTYPE_READINESS</w:t>
            </w:r>
          </w:p>
        </w:tc>
        <w:tc>
          <w:tcPr>
            <w:tcW w:type="dxa" w:w="2520"/>
          </w:tcPr>
          <w:p>
            <w:r>
              <w:rPr>
                <w:sz w:val="18"/>
              </w:rPr>
              <w:t>Proposed by ingestion of 'blind_spot:AAPL:AAPL LAWSUIT: Appl</w:t>
            </w:r>
          </w:p>
        </w:tc>
        <w:tc>
          <w:tcPr>
            <w:tcW w:type="dxa" w:w="2520"/>
          </w:tcPr>
          <w:p>
            <w:r>
              <w:rPr>
                <w:sz w:val="18"/>
              </w:rPr>
              <w:t>ingestion_pipeline</w:t>
            </w:r>
          </w:p>
        </w:tc>
      </w:tr>
      <w:tr>
        <w:tc>
          <w:tcPr>
            <w:tcW w:type="dxa" w:w="2520"/>
          </w:tcPr>
          <w:p>
            <w:r>
              <w:rPr>
                <w:sz w:val="18"/>
              </w:rPr>
              <w:t>2026-04-02</w:t>
            </w:r>
          </w:p>
        </w:tc>
        <w:tc>
          <w:tcPr>
            <w:tcW w:type="dxa" w:w="2520"/>
          </w:tcPr>
          <w:p>
            <w:r>
              <w:rPr>
                <w:sz w:val="18"/>
              </w:rPr>
              <w:t>AI_PROMISE_VS_DELIVERY_GAP</w:t>
            </w:r>
          </w:p>
        </w:tc>
        <w:tc>
          <w:tcPr>
            <w:tcW w:type="dxa" w:w="2520"/>
          </w:tcPr>
          <w:p>
            <w:r>
              <w:rPr>
                <w:sz w:val="18"/>
              </w:rPr>
              <w:t>Proposed by ingestion of 'blind_spot:AAPL:AAPL LAWSUIT: Appl</w:t>
            </w:r>
          </w:p>
        </w:tc>
        <w:tc>
          <w:tcPr>
            <w:tcW w:type="dxa" w:w="2520"/>
          </w:tcPr>
          <w:p>
            <w:r>
              <w:rPr>
                <w:sz w:val="18"/>
              </w:rPr>
              <w:t>ingestion_pipeline</w:t>
            </w:r>
          </w:p>
        </w:tc>
      </w:tr>
      <w:tr>
        <w:tc>
          <w:tcPr>
            <w:tcW w:type="dxa" w:w="2520"/>
          </w:tcPr>
          <w:p>
            <w:r>
              <w:rPr>
                <w:sz w:val="18"/>
              </w:rPr>
              <w:t>2026-04-02</w:t>
            </w:r>
          </w:p>
        </w:tc>
        <w:tc>
          <w:tcPr>
            <w:tcW w:type="dxa" w:w="2520"/>
          </w:tcPr>
          <w:p>
            <w:r>
              <w:rPr>
                <w:sz w:val="18"/>
              </w:rPr>
              <w:t>PRODUCT_DEV_AI_DEPENDENCY</w:t>
            </w:r>
          </w:p>
        </w:tc>
        <w:tc>
          <w:tcPr>
            <w:tcW w:type="dxa" w:w="2520"/>
          </w:tcPr>
          <w:p>
            <w:r>
              <w:rPr>
                <w:sz w:val="18"/>
              </w:rPr>
              <w:t>Proposed by ingestion of 'blind_spot:AAPL:Apple Inc. (NASDAQ</w:t>
            </w:r>
          </w:p>
        </w:tc>
        <w:tc>
          <w:tcPr>
            <w:tcW w:type="dxa" w:w="2520"/>
          </w:tcPr>
          <w:p>
            <w:r>
              <w:rPr>
                <w:sz w:val="18"/>
              </w:rPr>
              <w:t>ingestion_pipeline</w:t>
            </w:r>
          </w:p>
        </w:tc>
      </w:tr>
    </w:tbl>
    <w:p>
      <w:pPr>
        <w:pStyle w:val="DOHeading3"/>
      </w:pPr>
      <w:r>
        <w:t>Discovery Findings</w:t>
      </w:r>
    </w:p>
    <w:p>
      <w:pPr>
        <w:pStyle w:val="DOBody"/>
      </w:pPr>
      <w:r>
        <w:t>2 document(s) analyzed, 6 proposal(s) generated, from blind spot search</w:t>
      </w:r>
    </w:p>
    <w:p>
      <w:pPr>
        <w:pStyle w:val="DOHeading3"/>
      </w:pPr>
      <w:r>
        <w:t>Feedback for NVDA</w:t>
      </w:r>
    </w:p>
    <w:p>
      <w:pPr>
        <w:pStyle w:val="DOBody"/>
      </w:pPr>
      <w:r>
        <w:t>No pending feedback for NVDA.</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999999"/>
        <w:sz w:val="14"/>
      </w:rPr>
      <w:t>Angry Dolphin Underwriting | Confidential</w:t>
    </w:r>
    <w:r>
      <w:rPr>
        <w:color w:val="999999"/>
        <w:sz w:val="14"/>
      </w:rPr>
      <w:t xml:space="preserve">  |  Page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1A1446"/>
        <w:sz w:val="16"/>
      </w:rPr>
      <w:t>NVIDIA CORP (NVDA)</w:t>
    </w:r>
    <w:r>
      <w:rPr>
        <w:color w:val="999999"/>
        <w:sz w:val="16"/>
      </w:rPr>
      <w:t xml:space="preserve">  |  Generated: 2026-04-02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Heading1">
    <w:name w:val="DOHeading1"/>
    <w:pPr>
      <w:keepNext/>
      <w:spacing w:before="480" w:after="160"/>
    </w:pPr>
    <w:rPr>
      <w:rFonts w:ascii="Georgia" w:hAnsi="Georgia"/>
      <w:b/>
      <w:color w:val="1A1446"/>
      <w:sz w:val="40"/>
    </w:rPr>
  </w:style>
  <w:style w:type="paragraph" w:customStyle="1" w:styleId="DOHeading2">
    <w:name w:val="DOHeading2"/>
    <w:pPr>
      <w:keepNext/>
      <w:spacing w:before="280" w:after="80"/>
    </w:pPr>
    <w:rPr>
      <w:rFonts w:ascii="Georgia" w:hAnsi="Georgia"/>
      <w:b/>
      <w:color w:val="1A1446"/>
      <w:sz w:val="28"/>
    </w:rPr>
  </w:style>
  <w:style w:type="paragraph" w:customStyle="1" w:styleId="DOHeading3">
    <w:name w:val="DOHeading3"/>
    <w:pPr>
      <w:keepNext/>
      <w:spacing w:before="200" w:after="60"/>
    </w:pPr>
    <w:rPr>
      <w:rFonts w:ascii="Georgia" w:hAnsi="Georgia"/>
      <w:b/>
      <w:color w:val="1A1446"/>
      <w:sz w:val="24"/>
    </w:rPr>
  </w:style>
  <w:style w:type="paragraph" w:customStyle="1" w:styleId="DOBody">
    <w:name w:val="DOBody"/>
    <w:pPr>
      <w:spacing w:after="80"/>
    </w:pPr>
    <w:rPr>
      <w:rFonts w:ascii="Calibri" w:hAnsi="Calibri"/>
      <w:color w:val="333333"/>
      <w:sz w:val="20"/>
    </w:rPr>
  </w:style>
  <w:style w:type="paragraph" w:customStyle="1" w:styleId="DOCaption">
    <w:name w:val="DOCaption"/>
    <w:pPr>
      <w:spacing w:before="40" w:after="120"/>
    </w:pPr>
    <w:rPr>
      <w:rFonts w:ascii="Calibri" w:hAnsi="Calibri"/>
      <w:color w:val="666666"/>
      <w:sz w:val="18"/>
    </w:rPr>
  </w:style>
  <w:style w:type="paragraph" w:customStyle="1" w:styleId="DOCitation">
    <w:name w:val="DOCitation"/>
    <w:pPr>
      <w:spacing w:after="40"/>
    </w:pPr>
    <w:rPr>
      <w:rFonts w:ascii="Consolas" w:hAnsi="Consolas"/>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