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drawing>
          <wp:inline xmlns:a="http://schemas.openxmlformats.org/drawingml/2006/main" xmlns:pic="http://schemas.openxmlformats.org/drawingml/2006/picture">
            <wp:extent cx="1600200" cy="1600200"/>
            <wp:docPr id="1" name="Picture 1"/>
            <wp:cNvGraphicFramePr>
              <a:graphicFrameLocks noChangeAspect="1"/>
            </wp:cNvGraphicFramePr>
            <a:graphic>
              <a:graphicData uri="http://schemas.openxmlformats.org/drawingml/2006/picture">
                <pic:pic>
                  <pic:nvPicPr>
                    <pic:cNvPr id="0" name="logo.png"/>
                    <pic:cNvPicPr/>
                  </pic:nvPicPr>
                  <pic:blipFill>
                    <a:blip r:embed="rId11"/>
                    <a:stretch>
                      <a:fillRect/>
                    </a:stretch>
                  </pic:blipFill>
                  <pic:spPr>
                    <a:xfrm>
                      <a:off x="0" y="0"/>
                      <a:ext cx="1600200" cy="1600200"/>
                    </a:xfrm>
                    <a:prstGeom prst="rect"/>
                  </pic:spPr>
                </pic:pic>
              </a:graphicData>
            </a:graphic>
          </wp:inline>
        </w:drawing>
      </w:r>
    </w:p>
    <w:p>
      <w:pPr>
        <w:pStyle w:val="DOHeading1"/>
      </w:pPr>
      <w:r>
        <w:t>Angry Dolphin -- D&amp;O Underwriting Worksheet</w:t>
      </w:r>
    </w:p>
    <w:p>
      <w:pPr>
        <w:pStyle w:val="DOHeading2"/>
      </w:pPr>
      <w:r>
        <w:t>PROCTER &amp; GAMBLE Co (PG)</w:t>
      </w:r>
    </w:p>
    <w:p>
      <w:pPr>
        <w:pStyle w:val="DOBody"/>
      </w:pPr>
      <w:r>
        <w:rPr>
          <w:color w:val="666666"/>
          <w:sz w:val="20"/>
        </w:rPr>
        <w:t>Generated: April 03, 2026</w:t>
      </w:r>
    </w:p>
    <w:p>
      <w:r>
        <w:fldChar w:fldCharType="begin"/>
        <w:instrText xml:space="preserve"> TOC \o "1-3" \h \z \u </w:instrText>
        <w:fldChar w:fldCharType="separate"/>
      </w:r>
      <w:r>
        <w:rPr>
          <w:color w:val="999999"/>
          <w:sz w:val="18"/>
        </w:rPr>
        <w:t>[Table of Contents -- Update in Word]</w:t>
      </w:r>
      <w:r>
        <w:fldChar w:fldCharType="end"/>
      </w:r>
    </w:p>
    <w:p>
      <w:pPr>
        <w:spacing w:before="120" w:after="40"/>
        <w:pBdr>
          <w:bottom w:val="single" w:sz="6" w:space="1" w:color="FFD000"/>
        </w:pBdr>
      </w:pPr>
    </w:p>
    <w:p>
      <w:pPr>
        <w:pStyle w:val="DOBody"/>
        <w:spacing w:before="40" w:after="120"/>
      </w:pPr>
      <w:r>
        <w:rPr>
          <w:color w:val="333333"/>
          <w:sz w:val="20"/>
        </w:rPr>
        <w:t>Procter &amp; Gamble Co. (PG) is a definitive Tier 1 "WIN" account requiring aggressive underwriting pursuit, anchored by its exceptional 91.5 composite quality score and a low 2.3% inherent litigation risk probability. The primary underwriting thesis balances its dominant consumer staples profile against a defined, manageable claim band of 3.9% to 5.57%. Forensic synthesis identifies Prior Litigation as the most material deduction at 2.03 points, sourced from 70 discrete signals indicating historical disclosure-related legal events, though these are mitigated by a clean audit opinion with no material weaknesses. A secondary deduction of 2.5 points for IPO/SPAC/M&amp;A activity reflects PG’s ongoing portfolio optimization, a necessary operational headwind against its $335B market cap scale. The 1.28-point deduction for Short Interest is negligible, as corroborated by the positive finding of short interest below 5% of float, indicating sustained market confidence. Cross-section analysis reveals critical stability pillars: an Altman Z-Score in the safe zone, zero C-suite departures in 18 months, and consistent positive free cash flow generation. These governance and financial health positives directly offset the identified litigation and M&amp;A risks. Consequently, PG’s risk profile is characterized by high-frequency, low-severity exposures typical of a global conglomerate, not systemic governance failure. The underwriting action is unequivocal: secure this must-have account with terms reflecting its MODERATE claim band, as its 109,000-employee operational footprint and premium tier status justify aggressive competition for placement.</w:t>
      </w:r>
    </w:p>
    <w:p>
      <w:pPr>
        <w:pStyle w:val="DOHeading1"/>
      </w:pPr>
      <w:r>
        <w:t>Executive Summary</w:t>
      </w:r>
    </w:p>
    <w:p>
      <w:pPr>
        <w:pStyle w:val="DOHeading2"/>
      </w:pPr>
      <w:r>
        <w:t>Underwriting Thesis</w:t>
      </w:r>
    </w:p>
    <w:p>
      <w:pPr>
        <w:pStyle w:val="DOBody"/>
      </w:pPr>
      <w:r>
        <w:rPr>
          <w:color w:val="1A1446"/>
        </w:rPr>
        <w:t>PROCTER &amp; GAMBLE Co is a $335.0B (Decile 1 of 10) mega-cap consumer discretionary company scoring 91/100 (WIN tier). The primary risk driver is IPO/SPAC/M&amp;A, driving elevated risk in this area. Signal-driven scoring: 18 signals, coverage=100%. At a 4-6% claim probability (2.3% adjusted rate, 0.7x the Consumer Discretionary sector baseline of 3.5%), this account requires primary or low-excess participation.</w:t>
      </w:r>
    </w:p>
    <w:p>
      <w:pPr>
        <w:pStyle w:val="DOHeading3"/>
      </w:pPr>
      <w:r>
        <w:t>Company Snapshot</w:t>
      </w:r>
    </w:p>
    <w:tbl>
      <w:tblPr>
        <w:tblStyle w:val="TableGrid"/>
        <w:tblW w:type="auto" w:w="0"/>
        <w:tblLook w:firstColumn="1" w:firstRow="1" w:lastColumn="0" w:lastRow="0" w:noHBand="0" w:noVBand="1" w:val="04A0"/>
      </w:tblPr>
      <w:tblGrid>
        <w:gridCol w:w="3360"/>
        <w:gridCol w:w="3360"/>
        <w:gridCol w:w="3360"/>
      </w:tblGrid>
      <w:tr>
        <w:tc>
          <w:tcPr>
            <w:tcW w:type="dxa" w:w="3360"/>
            <w:shd w:fill="1A1446" w:val="clear"/>
          </w:tcPr>
          <w:p>
            <w:r>
              <w:rPr>
                <w:rFonts w:ascii="Calibri" w:hAnsi="Calibri"/>
                <w:b/>
                <w:color w:val="FFFFFF"/>
                <w:sz w:val="18"/>
              </w:rPr>
              <w:t>Attribute</w:t>
            </w:r>
          </w:p>
        </w:tc>
        <w:tc>
          <w:tcPr>
            <w:tcW w:type="dxa" w:w="3360"/>
            <w:shd w:fill="1A1446" w:val="clear"/>
          </w:tcPr>
          <w:p>
            <w:r>
              <w:rPr>
                <w:rFonts w:ascii="Calibri" w:hAnsi="Calibri"/>
                <w:b/>
                <w:color w:val="FFFFFF"/>
                <w:sz w:val="18"/>
              </w:rPr>
              <w:t>Value</w:t>
            </w:r>
          </w:p>
        </w:tc>
        <w:tc>
          <w:tcPr>
            <w:tcW w:type="dxa" w:w="3360"/>
            <w:shd w:fill="1A1446" w:val="clear"/>
          </w:tcPr>
          <w:p>
            <w:r>
              <w:rPr>
                <w:rFonts w:ascii="Calibri" w:hAnsi="Calibri"/>
                <w:b/>
                <w:color w:val="FFFFFF"/>
                <w:sz w:val="18"/>
              </w:rPr>
              <w:t>Source</w:t>
            </w:r>
          </w:p>
        </w:tc>
      </w:tr>
      <w:tr>
        <w:tc>
          <w:tcPr>
            <w:tcW w:type="dxa" w:w="3360"/>
          </w:tcPr>
          <w:p>
            <w:r>
              <w:rPr>
                <w:rFonts w:ascii="Calibri" w:hAnsi="Calibri"/>
                <w:color w:val="333333"/>
                <w:sz w:val="18"/>
              </w:rPr>
              <w:t>Company</w:t>
            </w:r>
          </w:p>
        </w:tc>
        <w:tc>
          <w:tcPr>
            <w:tcW w:type="dxa" w:w="3360"/>
          </w:tcPr>
          <w:p>
            <w:r>
              <w:rPr>
                <w:rFonts w:ascii="Calibri" w:hAnsi="Calibri"/>
                <w:color w:val="333333"/>
                <w:sz w:val="18"/>
              </w:rPr>
              <w:t>PROCTER &amp; GAMBLE Co</w:t>
            </w:r>
          </w:p>
        </w:tc>
        <w:tc>
          <w:tcPr>
            <w:tcW w:type="dxa" w:w="3360"/>
          </w:tcPr>
          <w:p>
            <w:r>
              <w:rPr>
                <w:rFonts w:ascii="Calibri" w:hAnsi="Calibri"/>
                <w:color w:val="333333"/>
                <w:sz w:val="18"/>
              </w:rPr>
            </w:r>
          </w:p>
        </w:tc>
      </w:tr>
      <w:tr>
        <w:tc>
          <w:tcPr>
            <w:tcW w:type="dxa" w:w="3360"/>
            <w:shd w:fill="F2F4F8" w:val="clear"/>
          </w:tcPr>
          <w:p>
            <w:r>
              <w:rPr>
                <w:rFonts w:ascii="Calibri" w:hAnsi="Calibri"/>
                <w:color w:val="333333"/>
                <w:sz w:val="18"/>
              </w:rPr>
              <w:t>Ticker</w:t>
            </w:r>
          </w:p>
        </w:tc>
        <w:tc>
          <w:tcPr>
            <w:tcW w:type="dxa" w:w="3360"/>
            <w:shd w:fill="F2F4F8" w:val="clear"/>
          </w:tcPr>
          <w:p>
            <w:r>
              <w:rPr>
                <w:rFonts w:ascii="Calibri" w:hAnsi="Calibri"/>
                <w:color w:val="333333"/>
                <w:sz w:val="18"/>
              </w:rPr>
              <w:t>PG</w:t>
            </w:r>
          </w:p>
        </w:tc>
        <w:tc>
          <w:tcPr>
            <w:tcW w:type="dxa" w:w="3360"/>
            <w:shd w:fill="F2F4F8" w:val="clear"/>
          </w:tcPr>
          <w:p>
            <w:r>
              <w:rPr>
                <w:rFonts w:ascii="Calibri" w:hAnsi="Calibri"/>
                <w:color w:val="333333"/>
                <w:sz w:val="18"/>
              </w:rPr>
            </w:r>
          </w:p>
        </w:tc>
      </w:tr>
      <w:tr>
        <w:tc>
          <w:tcPr>
            <w:tcW w:type="dxa" w:w="3360"/>
          </w:tcPr>
          <w:p>
            <w:r>
              <w:rPr>
                <w:rFonts w:ascii="Calibri" w:hAnsi="Calibri"/>
                <w:color w:val="333333"/>
                <w:sz w:val="18"/>
              </w:rPr>
              <w:t>Exchange</w:t>
            </w:r>
          </w:p>
        </w:tc>
        <w:tc>
          <w:tcPr>
            <w:tcW w:type="dxa" w:w="3360"/>
          </w:tcPr>
          <w:p>
            <w:r>
              <w:rPr>
                <w:rFonts w:ascii="Calibri" w:hAnsi="Calibri"/>
                <w:color w:val="333333"/>
                <w:sz w:val="18"/>
              </w:rPr>
              <w:t>NYSE</w:t>
            </w:r>
          </w:p>
        </w:tc>
        <w:tc>
          <w:tcPr>
            <w:tcW w:type="dxa" w:w="3360"/>
          </w:tcPr>
          <w:p>
            <w:r>
              <w:rPr>
                <w:rFonts w:ascii="Calibri" w:hAnsi="Calibri"/>
                <w:color w:val="333333"/>
                <w:sz w:val="18"/>
              </w:rPr>
            </w:r>
          </w:p>
        </w:tc>
      </w:tr>
      <w:tr>
        <w:tc>
          <w:tcPr>
            <w:tcW w:type="dxa" w:w="3360"/>
            <w:shd w:fill="F2F4F8" w:val="clear"/>
          </w:tcPr>
          <w:p>
            <w:r>
              <w:rPr>
                <w:rFonts w:ascii="Calibri" w:hAnsi="Calibri"/>
                <w:color w:val="333333"/>
                <w:sz w:val="18"/>
              </w:rPr>
              <w:t>Sector</w:t>
            </w:r>
          </w:p>
        </w:tc>
        <w:tc>
          <w:tcPr>
            <w:tcW w:type="dxa" w:w="3360"/>
            <w:shd w:fill="F2F4F8" w:val="clear"/>
          </w:tcPr>
          <w:p>
            <w:r>
              <w:rPr>
                <w:rFonts w:ascii="Calibri" w:hAnsi="Calibri"/>
                <w:color w:val="333333"/>
                <w:sz w:val="18"/>
              </w:rPr>
              <w:t>Consumer Defensive</w:t>
            </w:r>
          </w:p>
        </w:tc>
        <w:tc>
          <w:tcPr>
            <w:tcW w:type="dxa" w:w="3360"/>
            <w:shd w:fill="F2F4F8" w:val="clear"/>
          </w:tcPr>
          <w:p>
            <w:r>
              <w:rPr>
                <w:rFonts w:ascii="Calibri" w:hAnsi="Calibri"/>
                <w:color w:val="333333"/>
                <w:sz w:val="18"/>
              </w:rPr>
            </w:r>
          </w:p>
        </w:tc>
      </w:tr>
      <w:tr>
        <w:tc>
          <w:tcPr>
            <w:tcW w:type="dxa" w:w="3360"/>
          </w:tcPr>
          <w:p>
            <w:r>
              <w:rPr>
                <w:rFonts w:ascii="Calibri" w:hAnsi="Calibri"/>
                <w:color w:val="333333"/>
                <w:sz w:val="18"/>
              </w:rPr>
              <w:t>Industry</w:t>
            </w:r>
          </w:p>
        </w:tc>
        <w:tc>
          <w:tcPr>
            <w:tcW w:type="dxa" w:w="3360"/>
          </w:tcPr>
          <w:p>
            <w:r>
              <w:rPr>
                <w:rFonts w:ascii="Calibri" w:hAnsi="Calibri"/>
                <w:color w:val="333333"/>
                <w:sz w:val="18"/>
              </w:rPr>
              <w:t>Household &amp; Personal Products</w:t>
            </w:r>
          </w:p>
        </w:tc>
        <w:tc>
          <w:tcPr>
            <w:tcW w:type="dxa" w:w="3360"/>
          </w:tcPr>
          <w:p>
            <w:r>
              <w:rPr>
                <w:rFonts w:ascii="Calibri" w:hAnsi="Calibri"/>
                <w:color w:val="333333"/>
                <w:sz w:val="18"/>
              </w:rPr>
            </w:r>
          </w:p>
        </w:tc>
      </w:tr>
      <w:tr>
        <w:tc>
          <w:tcPr>
            <w:tcW w:type="dxa" w:w="3360"/>
            <w:shd w:fill="F2F4F8" w:val="clear"/>
          </w:tcPr>
          <w:p>
            <w:r>
              <w:rPr>
                <w:rFonts w:ascii="Calibri" w:hAnsi="Calibri"/>
                <w:color w:val="333333"/>
                <w:sz w:val="18"/>
              </w:rPr>
              <w:t>Market Cap</w:t>
            </w:r>
          </w:p>
        </w:tc>
        <w:tc>
          <w:tcPr>
            <w:tcW w:type="dxa" w:w="3360"/>
            <w:shd w:fill="F2F4F8" w:val="clear"/>
          </w:tcPr>
          <w:p>
            <w:r>
              <w:rPr>
                <w:rFonts w:ascii="Calibri" w:hAnsi="Calibri"/>
                <w:color w:val="333333"/>
                <w:sz w:val="18"/>
              </w:rPr>
              <w:t>$335.0B  [Decile 1 (largest ~400 accounts)]  (Ranks at the 78th percentile among 9 peers)</w:t>
            </w:r>
          </w:p>
        </w:tc>
        <w:tc>
          <w:tcPr>
            <w:tcW w:type="dxa" w:w="3360"/>
            <w:shd w:fill="F2F4F8" w:val="clear"/>
          </w:tcPr>
          <w:p>
            <w:r>
              <w:rPr>
                <w:rFonts w:ascii="Calibri" w:hAnsi="Calibri"/>
                <w:color w:val="333333"/>
                <w:sz w:val="18"/>
              </w:rPr>
              <w:t>[yfinance, filed 2026-04-03, MEDIUM confidence]</w:t>
            </w:r>
          </w:p>
        </w:tc>
      </w:tr>
      <w:tr>
        <w:tc>
          <w:tcPr>
            <w:tcW w:type="dxa" w:w="3360"/>
          </w:tcPr>
          <w:p>
            <w:r>
              <w:rPr>
                <w:rFonts w:ascii="Calibri" w:hAnsi="Calibri"/>
                <w:color w:val="333333"/>
                <w:sz w:val="18"/>
              </w:rPr>
              <w:t>Revenue</w:t>
            </w:r>
          </w:p>
        </w:tc>
        <w:tc>
          <w:tcPr>
            <w:tcW w:type="dxa" w:w="3360"/>
          </w:tcPr>
          <w:p>
            <w:r>
              <w:rPr>
                <w:rFonts w:ascii="Calibri" w:hAnsi="Calibri"/>
                <w:color w:val="333333"/>
                <w:sz w:val="18"/>
              </w:rPr>
              <w:t>$84.3B</w:t>
            </w:r>
          </w:p>
        </w:tc>
        <w:tc>
          <w:tcPr>
            <w:tcW w:type="dxa" w:w="3360"/>
          </w:tcPr>
          <w:p>
            <w:r>
              <w:rPr>
                <w:rFonts w:ascii="Calibri" w:hAnsi="Calibri"/>
                <w:color w:val="333333"/>
                <w:sz w:val="18"/>
              </w:rPr>
              <w:t>[10-K 2025-06-30 CIK80424 accn:0000080424-25-000076, filed 2025-06-30, HIGH confidence]</w:t>
            </w:r>
          </w:p>
        </w:tc>
      </w:tr>
      <w:tr>
        <w:tc>
          <w:tcPr>
            <w:tcW w:type="dxa" w:w="3360"/>
            <w:shd w:fill="F2F4F8" w:val="clear"/>
          </w:tcPr>
          <w:p>
            <w:r>
              <w:rPr>
                <w:rFonts w:ascii="Calibri" w:hAnsi="Calibri"/>
                <w:color w:val="333333"/>
                <w:sz w:val="18"/>
              </w:rPr>
              <w:t>Employees</w:t>
            </w:r>
          </w:p>
        </w:tc>
        <w:tc>
          <w:tcPr>
            <w:tcW w:type="dxa" w:w="3360"/>
            <w:shd w:fill="F2F4F8" w:val="clear"/>
          </w:tcPr>
          <w:p>
            <w:r>
              <w:rPr>
                <w:rFonts w:ascii="Calibri" w:hAnsi="Calibri"/>
                <w:color w:val="333333"/>
                <w:sz w:val="18"/>
              </w:rPr>
              <w:t>109,000</w:t>
            </w:r>
          </w:p>
        </w:tc>
        <w:tc>
          <w:tcPr>
            <w:tcW w:type="dxa" w:w="3360"/>
            <w:shd w:fill="F2F4F8" w:val="clear"/>
          </w:tcPr>
          <w:p>
            <w:r>
              <w:rPr>
                <w:rFonts w:ascii="Calibri" w:hAnsi="Calibri"/>
                <w:color w:val="333333"/>
                <w:sz w:val="18"/>
              </w:rPr>
              <w:t>[yfinance, filed 2026-04-03, MEDIUM confidence]</w:t>
            </w:r>
          </w:p>
        </w:tc>
      </w:tr>
      <w:tr>
        <w:tc>
          <w:tcPr>
            <w:tcW w:type="dxa" w:w="3360"/>
          </w:tcPr>
          <w:p>
            <w:r>
              <w:rPr>
                <w:rFonts w:ascii="Calibri" w:hAnsi="Calibri"/>
                <w:color w:val="333333"/>
                <w:sz w:val="18"/>
              </w:rPr>
              <w:t>SIC</w:t>
            </w:r>
          </w:p>
        </w:tc>
        <w:tc>
          <w:tcPr>
            <w:tcW w:type="dxa" w:w="3360"/>
          </w:tcPr>
          <w:p>
            <w:r>
              <w:rPr>
                <w:rFonts w:ascii="Calibri" w:hAnsi="Calibri"/>
                <w:color w:val="333333"/>
                <w:sz w:val="18"/>
              </w:rPr>
              <w:t>2840 -- Soap, Detergents, Cleang Preparations, Perfumes, Cosmetics</w:t>
            </w:r>
          </w:p>
        </w:tc>
        <w:tc>
          <w:tcPr>
            <w:tcW w:type="dxa" w:w="3360"/>
          </w:tcPr>
          <w:p>
            <w:r>
              <w:rPr>
                <w:rFonts w:ascii="Calibri" w:hAnsi="Calibri"/>
                <w:color w:val="333333"/>
                <w:sz w:val="18"/>
              </w:rPr>
            </w:r>
          </w:p>
        </w:tc>
      </w:tr>
      <w:tr>
        <w:tc>
          <w:tcPr>
            <w:tcW w:type="dxa" w:w="3360"/>
            <w:shd w:fill="F2F4F8" w:val="clear"/>
          </w:tcPr>
          <w:p>
            <w:r>
              <w:rPr>
                <w:rFonts w:ascii="Calibri" w:hAnsi="Calibri"/>
                <w:color w:val="333333"/>
                <w:sz w:val="18"/>
              </w:rPr>
              <w:t>NAICS</w:t>
            </w:r>
          </w:p>
        </w:tc>
        <w:tc>
          <w:tcPr>
            <w:tcW w:type="dxa" w:w="3360"/>
            <w:shd w:fill="F2F4F8" w:val="clear"/>
          </w:tcPr>
          <w:p>
            <w:r>
              <w:rPr>
                <w:rFonts w:ascii="Calibri" w:hAnsi="Calibri"/>
                <w:color w:val="333333"/>
                <w:sz w:val="18"/>
              </w:rPr>
              <w:t>325611</w:t>
            </w:r>
          </w:p>
        </w:tc>
        <w:tc>
          <w:tcPr>
            <w:tcW w:type="dxa" w:w="3360"/>
            <w:shd w:fill="F2F4F8" w:val="clear"/>
          </w:tcPr>
          <w:p>
            <w:r>
              <w:rPr>
                <w:rFonts w:ascii="Calibri" w:hAnsi="Calibri"/>
                <w:color w:val="333333"/>
                <w:sz w:val="18"/>
              </w:rPr>
            </w:r>
          </w:p>
        </w:tc>
      </w:tr>
      <w:tr>
        <w:tc>
          <w:tcPr>
            <w:tcW w:type="dxa" w:w="3360"/>
          </w:tcPr>
          <w:p>
            <w:r>
              <w:rPr>
                <w:rFonts w:ascii="Calibri" w:hAnsi="Calibri"/>
                <w:color w:val="333333"/>
                <w:sz w:val="18"/>
              </w:rPr>
              <w:t>FPI Status</w:t>
            </w:r>
          </w:p>
        </w:tc>
        <w:tc>
          <w:tcPr>
            <w:tcW w:type="dxa" w:w="3360"/>
          </w:tcPr>
          <w:p>
            <w:r>
              <w:rPr>
                <w:rFonts w:ascii="Calibri" w:hAnsi="Calibri"/>
                <w:color w:val="333333"/>
                <w:sz w:val="18"/>
              </w:rPr>
              <w:t>No</w:t>
            </w:r>
          </w:p>
        </w:tc>
        <w:tc>
          <w:tcPr>
            <w:tcW w:type="dxa" w:w="3360"/>
          </w:tcPr>
          <w:p>
            <w:r>
              <w:rPr>
                <w:rFonts w:ascii="Calibri" w:hAnsi="Calibri"/>
                <w:color w:val="333333"/>
                <w:sz w:val="18"/>
              </w:rPr>
            </w:r>
          </w:p>
        </w:tc>
      </w:tr>
      <w:tr>
        <w:tc>
          <w:tcPr>
            <w:tcW w:type="dxa" w:w="3360"/>
            <w:shd w:fill="F2F4F8" w:val="clear"/>
          </w:tcPr>
          <w:p>
            <w:r>
              <w:rPr>
                <w:rFonts w:ascii="Calibri" w:hAnsi="Calibri"/>
                <w:color w:val="333333"/>
                <w:sz w:val="18"/>
              </w:rPr>
              <w:t>Fiscal Year End</w:t>
            </w:r>
          </w:p>
        </w:tc>
        <w:tc>
          <w:tcPr>
            <w:tcW w:type="dxa" w:w="3360"/>
            <w:shd w:fill="F2F4F8" w:val="clear"/>
          </w:tcPr>
          <w:p>
            <w:r>
              <w:rPr>
                <w:rFonts w:ascii="Calibri" w:hAnsi="Calibri"/>
                <w:color w:val="333333"/>
                <w:sz w:val="18"/>
              </w:rPr>
              <w:t>06-30</w:t>
            </w:r>
          </w:p>
        </w:tc>
        <w:tc>
          <w:tcPr>
            <w:tcW w:type="dxa" w:w="3360"/>
            <w:shd w:fill="F2F4F8" w:val="clear"/>
          </w:tcPr>
          <w:p>
            <w:r>
              <w:rPr>
                <w:rFonts w:ascii="Calibri" w:hAnsi="Calibri"/>
                <w:color w:val="333333"/>
                <w:sz w:val="18"/>
              </w:rPr>
            </w:r>
          </w:p>
        </w:tc>
      </w:tr>
    </w:tbl>
    <w:p>
      <w:pPr>
        <w:pStyle w:val="DOHeading3"/>
      </w:pPr>
      <w:r>
        <w:t>Tier Classification</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Attribute</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Tier</w:t>
            </w:r>
          </w:p>
        </w:tc>
        <w:tc>
          <w:tcPr>
            <w:tcW w:type="dxa" w:w="5040"/>
          </w:tcPr>
          <w:p>
            <w:r>
              <w:rPr>
                <w:rFonts w:ascii="Calibri" w:hAnsi="Calibri"/>
                <w:color w:val="333333"/>
                <w:sz w:val="18"/>
              </w:rPr>
              <w:t>WIN</w:t>
            </w:r>
          </w:p>
        </w:tc>
      </w:tr>
      <w:tr>
        <w:tc>
          <w:tcPr>
            <w:tcW w:type="dxa" w:w="5040"/>
            <w:shd w:fill="F2F4F8" w:val="clear"/>
          </w:tcPr>
          <w:p>
            <w:r>
              <w:rPr>
                <w:rFonts w:ascii="Calibri" w:hAnsi="Calibri"/>
                <w:color w:val="333333"/>
                <w:sz w:val="18"/>
              </w:rPr>
              <w:t>Composite Score</w:t>
            </w:r>
          </w:p>
        </w:tc>
        <w:tc>
          <w:tcPr>
            <w:tcW w:type="dxa" w:w="5040"/>
            <w:shd w:fill="F2F4F8" w:val="clear"/>
          </w:tcPr>
          <w:p>
            <w:r>
              <w:rPr>
                <w:rFonts w:ascii="Calibri" w:hAnsi="Calibri"/>
                <w:color w:val="333333"/>
                <w:sz w:val="18"/>
              </w:rPr>
              <w:t>91.5/100</w:t>
            </w:r>
          </w:p>
        </w:tc>
      </w:tr>
      <w:tr>
        <w:tc>
          <w:tcPr>
            <w:tcW w:type="dxa" w:w="5040"/>
          </w:tcPr>
          <w:p>
            <w:r>
              <w:rPr>
                <w:rFonts w:ascii="Calibri" w:hAnsi="Calibri"/>
                <w:color w:val="333333"/>
                <w:sz w:val="18"/>
              </w:rPr>
              <w:t>Quality Score</w:t>
            </w:r>
          </w:p>
        </w:tc>
        <w:tc>
          <w:tcPr>
            <w:tcW w:type="dxa" w:w="5040"/>
          </w:tcPr>
          <w:p>
            <w:r>
              <w:rPr>
                <w:rFonts w:ascii="Calibri" w:hAnsi="Calibri"/>
                <w:color w:val="333333"/>
                <w:sz w:val="18"/>
              </w:rPr>
              <w:t>91.5/100</w:t>
            </w:r>
          </w:p>
        </w:tc>
      </w:tr>
      <w:tr>
        <w:tc>
          <w:tcPr>
            <w:tcW w:type="dxa" w:w="5040"/>
            <w:shd w:fill="F2F4F8" w:val="clear"/>
          </w:tcPr>
          <w:p>
            <w:r>
              <w:rPr>
                <w:rFonts w:ascii="Calibri" w:hAnsi="Calibri"/>
                <w:color w:val="333333"/>
                <w:sz w:val="18"/>
              </w:rPr>
              <w:t>Factor Breakdown</w:t>
            </w:r>
          </w:p>
        </w:tc>
        <w:tc>
          <w:tcPr>
            <w:tcW w:type="dxa" w:w="5040"/>
            <w:shd w:fill="F2F4F8" w:val="clear"/>
          </w:tcPr>
          <w:p>
            <w:r>
              <w:rPr>
                <w:rFonts w:ascii="Calibri" w:hAnsi="Calibri"/>
                <w:color w:val="333333"/>
                <w:sz w:val="18"/>
              </w:rPr>
              <w:t>F1: 2.0, F2: 0.6, F3: 0.8, F4: 2.5, F5: 0.4, F6: 1.3, F7: 0.1, F8: 0.0, F9: 0.7, F10: 0.1</w:t>
            </w:r>
          </w:p>
        </w:tc>
      </w:tr>
      <w:tr>
        <w:tc>
          <w:tcPr>
            <w:tcW w:type="dxa" w:w="5040"/>
          </w:tcPr>
          <w:p>
            <w:r>
              <w:rPr>
                <w:rFonts w:ascii="Calibri" w:hAnsi="Calibri"/>
                <w:color w:val="333333"/>
                <w:sz w:val="18"/>
              </w:rPr>
              <w:t>Position</w:t>
            </w:r>
          </w:p>
        </w:tc>
        <w:tc>
          <w:tcPr>
            <w:tcW w:type="dxa" w:w="5040"/>
          </w:tcPr>
          <w:p>
            <w:r>
              <w:rPr>
                <w:rFonts w:ascii="Calibri" w:hAnsi="Calibri"/>
                <w:color w:val="333333"/>
                <w:sz w:val="18"/>
              </w:rPr>
              <w:t>91.5 falls in WIN range (86-100)</w:t>
            </w:r>
          </w:p>
        </w:tc>
      </w:tr>
      <w:tr>
        <w:tc>
          <w:tcPr>
            <w:tcW w:type="dxa" w:w="5040"/>
            <w:shd w:fill="F2F4F8" w:val="clear"/>
          </w:tcPr>
          <w:p>
            <w:r>
              <w:rPr>
                <w:rFonts w:ascii="Calibri" w:hAnsi="Calibri"/>
                <w:color w:val="333333"/>
                <w:sz w:val="18"/>
              </w:rPr>
              <w:t>Appetite</w:t>
            </w:r>
          </w:p>
        </w:tc>
        <w:tc>
          <w:tcPr>
            <w:tcW w:type="dxa" w:w="5040"/>
            <w:shd w:fill="F2F4F8" w:val="clear"/>
          </w:tcPr>
          <w:p>
            <w:r>
              <w:rPr>
                <w:rFonts w:ascii="Calibri" w:hAnsi="Calibri"/>
                <w:color w:val="333333"/>
                <w:sz w:val="18"/>
              </w:rPr>
              <w:t>Must-have account, compete aggressively</w:t>
            </w:r>
          </w:p>
        </w:tc>
      </w:tr>
    </w:tbl>
    <w:p>
      <w:pPr>
        <w:pStyle w:val="DOBody"/>
      </w:pPr>
      <w:r>
        <w:t>Classification: WIN</w:t>
      </w:r>
      <w:r>
        <w:rPr>
          <w:b/>
          <w:color w:val="2563EB"/>
          <w:sz w:val="18"/>
        </w:rPr>
        <w:t xml:space="preserve"> [MODERATE]</w:t>
      </w:r>
    </w:p>
    <w:p>
      <w:pPr>
        <w:pStyle w:val="DOHeading3"/>
      </w:pPr>
      <w:r>
        <w:t>Inherent Risk Baseline</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Component</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Market Cap Tier</w:t>
            </w:r>
          </w:p>
        </w:tc>
        <w:tc>
          <w:tcPr>
            <w:tcW w:type="dxa" w:w="5040"/>
          </w:tcPr>
          <w:p>
            <w:r>
              <w:rPr>
                <w:rFonts w:ascii="Calibri" w:hAnsi="Calibri"/>
                <w:color w:val="333333"/>
                <w:sz w:val="18"/>
              </w:rPr>
              <w:t>MEGA  [Decile 1 (largest ~400 accounts)]</w:t>
            </w:r>
          </w:p>
        </w:tc>
      </w:tr>
      <w:tr>
        <w:tc>
          <w:tcPr>
            <w:tcW w:type="dxa" w:w="5040"/>
            <w:shd w:fill="F2F4F8" w:val="clear"/>
          </w:tcPr>
          <w:p>
            <w:r>
              <w:rPr>
                <w:rFonts w:ascii="Calibri" w:hAnsi="Calibri"/>
                <w:color w:val="333333"/>
                <w:sz w:val="18"/>
              </w:rPr>
              <w:t>Sector</w:t>
            </w:r>
          </w:p>
        </w:tc>
        <w:tc>
          <w:tcPr>
            <w:tcW w:type="dxa" w:w="5040"/>
            <w:shd w:fill="F2F4F8" w:val="clear"/>
          </w:tcPr>
          <w:p>
            <w:r>
              <w:rPr>
                <w:rFonts w:ascii="Calibri" w:hAnsi="Calibri"/>
                <w:color w:val="333333"/>
                <w:sz w:val="18"/>
              </w:rPr>
              <w:t>Consumer Discretionary (Base rate: 3.5%)</w:t>
            </w:r>
          </w:p>
        </w:tc>
      </w:tr>
      <w:tr>
        <w:tc>
          <w:tcPr>
            <w:tcW w:type="dxa" w:w="5040"/>
          </w:tcPr>
          <w:p>
            <w:r>
              <w:rPr>
                <w:rFonts w:ascii="Calibri" w:hAnsi="Calibri"/>
                <w:color w:val="333333"/>
                <w:sz w:val="18"/>
              </w:rPr>
              <w:t>Size Adjustment</w:t>
            </w:r>
          </w:p>
        </w:tc>
        <w:tc>
          <w:tcPr>
            <w:tcW w:type="dxa" w:w="5040"/>
          </w:tcPr>
          <w:p>
            <w:r>
              <w:rPr>
                <w:rFonts w:ascii="Calibri" w:hAnsi="Calibri"/>
                <w:color w:val="333333"/>
                <w:sz w:val="18"/>
              </w:rPr>
              <w:t>1.56x (MEGA cap multiplier) -&gt; 5.5%</w:t>
            </w:r>
          </w:p>
        </w:tc>
      </w:tr>
      <w:tr>
        <w:tc>
          <w:tcPr>
            <w:tcW w:type="dxa" w:w="5040"/>
            <w:shd w:fill="F2F4F8" w:val="clear"/>
          </w:tcPr>
          <w:p>
            <w:r>
              <w:rPr>
                <w:rFonts w:ascii="Calibri" w:hAnsi="Calibri"/>
                <w:color w:val="333333"/>
                <w:sz w:val="18"/>
              </w:rPr>
              <w:t>Score Adjustment</w:t>
            </w:r>
          </w:p>
        </w:tc>
        <w:tc>
          <w:tcPr>
            <w:tcW w:type="dxa" w:w="5040"/>
            <w:shd w:fill="F2F4F8" w:val="clear"/>
          </w:tcPr>
          <w:p>
            <w:r>
              <w:rPr>
                <w:rFonts w:ascii="Calibri" w:hAnsi="Calibri"/>
                <w:color w:val="333333"/>
                <w:sz w:val="18"/>
              </w:rPr>
              <w:t>0.42x (quality score multiplier) -&gt; 2.3%</w:t>
            </w:r>
          </w:p>
        </w:tc>
      </w:tr>
    </w:tbl>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Severity Percentile</w:t>
            </w:r>
          </w:p>
        </w:tc>
        <w:tc>
          <w:tcPr>
            <w:tcW w:type="dxa" w:w="5040"/>
            <w:shd w:fill="1A1446" w:val="clear"/>
          </w:tcPr>
          <w:p>
            <w:r>
              <w:rPr>
                <w:rFonts w:ascii="Calibri" w:hAnsi="Calibri"/>
                <w:b/>
                <w:color w:val="FFFFFF"/>
                <w:sz w:val="18"/>
              </w:rPr>
              <w:t>Settlement Estimate</w:t>
            </w:r>
          </w:p>
        </w:tc>
      </w:tr>
      <w:tr>
        <w:tc>
          <w:tcPr>
            <w:tcW w:type="dxa" w:w="5040"/>
          </w:tcPr>
          <w:p>
            <w:r>
              <w:rPr>
                <w:rFonts w:ascii="Calibri" w:hAnsi="Calibri"/>
                <w:color w:val="333333"/>
                <w:sz w:val="18"/>
              </w:rPr>
              <w:t>25th (favorable)</w:t>
            </w:r>
          </w:p>
        </w:tc>
        <w:tc>
          <w:tcPr>
            <w:tcW w:type="dxa" w:w="5040"/>
          </w:tcPr>
          <w:p>
            <w:r>
              <w:rPr>
                <w:rFonts w:ascii="Calibri" w:hAnsi="Calibri"/>
                <w:color w:val="333333"/>
                <w:sz w:val="18"/>
              </w:rPr>
              <w:t>$25.0M</w:t>
            </w:r>
          </w:p>
        </w:tc>
      </w:tr>
      <w:tr>
        <w:tc>
          <w:tcPr>
            <w:tcW w:type="dxa" w:w="5040"/>
            <w:shd w:fill="F2F4F8" w:val="clear"/>
          </w:tcPr>
          <w:p>
            <w:r>
              <w:rPr>
                <w:rFonts w:ascii="Calibri" w:hAnsi="Calibri"/>
                <w:color w:val="333333"/>
                <w:sz w:val="18"/>
              </w:rPr>
              <w:t>50th (median)</w:t>
            </w:r>
          </w:p>
        </w:tc>
        <w:tc>
          <w:tcPr>
            <w:tcW w:type="dxa" w:w="5040"/>
            <w:shd w:fill="F2F4F8" w:val="clear"/>
          </w:tcPr>
          <w:p>
            <w:r>
              <w:rPr>
                <w:rFonts w:ascii="Calibri" w:hAnsi="Calibri"/>
                <w:color w:val="333333"/>
                <w:sz w:val="18"/>
              </w:rPr>
              <w:t>$75.0M</w:t>
            </w:r>
          </w:p>
        </w:tc>
      </w:tr>
      <w:tr>
        <w:tc>
          <w:tcPr>
            <w:tcW w:type="dxa" w:w="5040"/>
          </w:tcPr>
          <w:p>
            <w:r>
              <w:rPr>
                <w:rFonts w:ascii="Calibri" w:hAnsi="Calibri"/>
                <w:color w:val="333333"/>
                <w:sz w:val="18"/>
              </w:rPr>
              <w:t>75th (adverse)</w:t>
            </w:r>
          </w:p>
        </w:tc>
        <w:tc>
          <w:tcPr>
            <w:tcW w:type="dxa" w:w="5040"/>
          </w:tcPr>
          <w:p>
            <w:r>
              <w:rPr>
                <w:rFonts w:ascii="Calibri" w:hAnsi="Calibri"/>
                <w:color w:val="333333"/>
                <w:sz w:val="18"/>
              </w:rPr>
              <w:t>$112.5M</w:t>
            </w:r>
          </w:p>
        </w:tc>
      </w:tr>
      <w:tr>
        <w:tc>
          <w:tcPr>
            <w:tcW w:type="dxa" w:w="5040"/>
            <w:shd w:fill="F2F4F8" w:val="clear"/>
          </w:tcPr>
          <w:p>
            <w:r>
              <w:rPr>
                <w:rFonts w:ascii="Calibri" w:hAnsi="Calibri"/>
                <w:color w:val="333333"/>
                <w:sz w:val="18"/>
              </w:rPr>
              <w:t>95th (catastrophic)</w:t>
            </w:r>
          </w:p>
        </w:tc>
        <w:tc>
          <w:tcPr>
            <w:tcW w:type="dxa" w:w="5040"/>
            <w:shd w:fill="F2F4F8" w:val="clear"/>
          </w:tcPr>
          <w:p>
            <w:r>
              <w:rPr>
                <w:rFonts w:ascii="Calibri" w:hAnsi="Calibri"/>
                <w:color w:val="333333"/>
                <w:sz w:val="18"/>
              </w:rPr>
              <w:t>$150.0M</w:t>
            </w:r>
          </w:p>
        </w:tc>
      </w:tr>
    </w:tbl>
    <w:p>
      <w:pPr>
        <w:pStyle w:val="DOBody"/>
      </w:pPr>
      <w:r>
        <w:t>At a 2.3% adjusted claim rate, the company faces 0.7x its sector baseline of 3.5% for Consumer Discretionary companies. This rate reflects the MEGA cap multiplier (1.56x) combined with the quality score multiplier (0.42x from WIN tier classification).</w:t>
      </w:r>
    </w:p>
    <w:p>
      <w:pPr>
        <w:pStyle w:val="DOCaption"/>
      </w:pPr>
      <w:r>
        <w:t>Note: NEEDS CALIBRATION</w:t>
      </w:r>
    </w:p>
    <w:p>
      <w:pPr>
        <w:pStyle w:val="DOHeading3"/>
      </w:pPr>
      <w:r>
        <w:t>Underwriting Headwinds</w:t>
      </w:r>
    </w:p>
    <w:p>
      <w:pPr>
        <w:pStyle w:val="DOBody"/>
      </w:pPr>
      <w:r>
        <w:rPr>
          <w:b/>
        </w:rPr>
        <w:t>1. Structural Complexity &amp; Litigation History</w:t>
      </w:r>
      <w:r>
        <w:rPr>
          <w:b/>
          <w:color w:val="EA580C"/>
          <w:sz w:val="18"/>
        </w:rPr>
        <w:t xml:space="preserve"> [HIGH]</w:t>
      </w:r>
    </w:p>
    <w:p>
      <w:pPr>
        <w:pStyle w:val="DOBody"/>
      </w:pPr>
      <w:r>
        <w:t>Goodwill at 32.9% of total assets reflects an acquisition-driven strategy where integration risk and impairment charges are common SCA triggers. With goodwill at 32.9% of total assets and 0 active matters, PROCTER &amp; GAMBLE Co's exposure profile combines impairment risk with demonstrated plaintiff interest in this issuer. (see Litigation)</w:t>
      </w:r>
    </w:p>
    <w:p>
      <w:pPr>
        <w:pStyle w:val="DOBody"/>
      </w:pPr>
      <w:r>
        <w:rPr>
          <w:b/>
        </w:rPr>
        <w:t>2. Earnings Guidance Track Record</w:t>
      </w:r>
      <w:r>
        <w:rPr>
          <w:b/>
          <w:color w:val="EA580C"/>
          <w:sz w:val="18"/>
        </w:rPr>
        <w:t xml:space="preserve"> [HIGH]</w:t>
      </w:r>
    </w:p>
    <w:p>
      <w:pPr>
        <w:pStyle w:val="DOBody"/>
      </w:pPr>
      <w:r>
        <w:t>PROCTER &amp; GAMBLE Co has missed earnings guidance in 2 quarters, with management credibility score at 79%. At $335.0B market cap with an estimated DDL of $8.4B, guidance misses generate large absolute loss figures that attract institutional lead plaintiffs. (see Market &amp; Trading)</w:t>
      </w:r>
    </w:p>
    <w:p>
      <w:pPr>
        <w:pStyle w:val="DOBody"/>
      </w:pPr>
      <w:r>
        <w:rPr>
          <w:b/>
        </w:rPr>
        <w:t>3. Stock Price Decline</w:t>
      </w:r>
      <w:r>
        <w:rPr>
          <w:b/>
          <w:color w:val="EAB308"/>
          <w:sz w:val="18"/>
        </w:rPr>
        <w:t xml:space="preserve"> [ELEVATED]</w:t>
      </w:r>
    </w:p>
    <w:p>
      <w:pPr>
        <w:pStyle w:val="DOBody"/>
      </w:pPr>
      <w:r>
        <w:t>PROCTER &amp; GAMBLE Co's stock has undergone a -18% dip of -18.1% from $174.80 to $143.12 over 252 trading days. This creates an estimated Disclosure Dollar Loss (DDL) of $8.4B, well above institutional lead plaintiff thresholds. (see Market &amp; Trading)</w:t>
      </w:r>
    </w:p>
    <w:p>
      <w:pPr>
        <w:pStyle w:val="DOBody"/>
      </w:pPr>
      <w:r>
        <w:rPr>
          <w:b/>
        </w:rPr>
        <w:t>4. Transaction-Related Exposure</w:t>
      </w:r>
      <w:r>
        <w:rPr>
          <w:b/>
          <w:color w:val="EAB308"/>
          <w:sz w:val="18"/>
        </w:rPr>
        <w:t xml:space="preserve"> [ELEVATED]</w:t>
      </w:r>
    </w:p>
    <w:p>
      <w:pPr>
        <w:pStyle w:val="DOBody"/>
      </w:pPr>
      <w:r>
        <w:t>PROCTER &amp; GAMBLE Co has transaction-related risk factors. Goodwill at 32.9% of total assets reflects acquisition activity. Failed acquisitions are among the most common SCA triggers. At $335.0B market cap, transaction claims carry both Section 10(b) exposure (misleading disclosures) and Section 14(a) exposure (deficient proxy statements).</w:t>
      </w:r>
    </w:p>
    <w:p>
      <w:pPr>
        <w:pStyle w:val="DOBody"/>
      </w:pPr>
      <w:r>
        <w:rPr>
          <w:b/>
        </w:rPr>
        <w:t>5. Stock Volatility</w:t>
      </w:r>
      <w:r>
        <w:rPr>
          <w:b/>
          <w:color w:val="EAB308"/>
          <w:sz w:val="18"/>
        </w:rPr>
        <w:t xml:space="preserve"> [ELEVATED]</w:t>
      </w:r>
    </w:p>
    <w:p>
      <w:pPr>
        <w:pStyle w:val="DOBody"/>
      </w:pPr>
      <w:r>
        <w:t>PROCTER &amp; GAMBLE Co's stock exhibits elevated volatility with a -18% dip of -18.1% from its 52-week high. The estimated DDL of $8.4B amplifies settlement severity for any corrective disclosure event. (see Market &amp; Trading)</w:t>
      </w:r>
    </w:p>
    <w:p>
      <w:pPr>
        <w:pStyle w:val="DOHeading3"/>
      </w:pPr>
      <w:r>
        <w:t>Risk Mitigants</w:t>
      </w:r>
    </w:p>
    <w:p>
      <w:pPr>
        <w:pStyle w:val="DOBody"/>
      </w:pPr>
      <w:r>
        <w:rPr>
          <w:b/>
        </w:rPr>
        <w:t>1. Clean Audit &amp; Accounting History</w:t>
      </w:r>
    </w:p>
    <w:p>
      <w:pPr>
        <w:pStyle w:val="DOBody"/>
      </w:pPr>
      <w:r>
        <w:t>PROCTER &amp; GAMBLE Co maintains a clean audit opinion from Deloitte (tenure: 135 years) with no material weaknesses, restatements, or going concern qualifications. The 135-year relationship with Deloitte provides audit continuity that reduces the likelihood of restatement-driven class actions. However, goodwill at 32.9% of total assets requires ongoing impairment testing -- clean audit history does not eliminate future impairment risk. (see Financial Health)</w:t>
      </w:r>
    </w:p>
    <w:p>
      <w:pPr>
        <w:pStyle w:val="DOBody"/>
      </w:pPr>
      <w:r>
        <w:rPr>
          <w:b/>
        </w:rPr>
        <w:t>2. Sound Financial Position</w:t>
      </w:r>
    </w:p>
    <w:p>
      <w:pPr>
        <w:pStyle w:val="DOBody"/>
      </w:pPr>
      <w:r>
        <w:t>No financial distress indicators present (Altman Z-Score of 5.32, current ratio of 0.7x, interest coverage of 21.1x). An Altman Z of 5.32 places PROCTER &amp; GAMBLE Co firmly in the safe zone, eliminating going-concern, covenant violation, and creditor-related D&amp;O exposure. (see Financial Health)</w:t>
      </w:r>
    </w:p>
    <w:p>
      <w:pPr>
        <w:pStyle w:val="DOBody"/>
      </w:pPr>
      <w:r>
        <w:rPr>
          <w:b/>
        </w:rPr>
        <w:t>3. Stable Executive Leadership</w:t>
      </w:r>
    </w:p>
    <w:p>
      <w:pPr>
        <w:pStyle w:val="DOBody"/>
      </w:pPr>
      <w:r>
        <w:t>C-suite leadership is stable with no recent departures. (see Governance)</w:t>
      </w:r>
    </w:p>
    <w:p>
      <w:pPr>
        <w:pStyle w:val="DOBody"/>
      </w:pPr>
      <w:r>
        <w:rPr>
          <w:b/>
        </w:rPr>
        <w:t>4. Low Short Interest</w:t>
      </w:r>
    </w:p>
    <w:p>
      <w:pPr>
        <w:pStyle w:val="DOBody"/>
      </w:pPr>
      <w:r>
        <w:t>Short interest is low at 1.0% of float, indicating institutional investors are not positioning against the stock. At 1.0%, short positioning is minimal -- there is no institutional bearish thesis driving potential short-seller reports or activist campaigns against PROCTER &amp; GAMBLE Co. (see Market &amp; Trading)</w:t>
      </w:r>
    </w:p>
    <w:p>
      <w:pPr>
        <w:pStyle w:val="DOBody"/>
      </w:pPr>
      <w:r>
        <w:rPr>
          <w:b/>
        </w:rPr>
        <w:t xml:space="preserve">5. Positive free cash flow from most recent period, indicating </w:t>
      </w:r>
    </w:p>
    <w:p>
      <w:pPr>
        <w:pStyle w:val="DOBody"/>
      </w:pPr>
      <w:r>
        <w:t>Positive free cash flow from most recent period, indicating operational strength. (see Financial Health)</w:t>
      </w:r>
    </w:p>
    <w:p>
      <w:pPr>
        <w:pStyle w:val="DOHeading3"/>
      </w:pPr>
      <w:r>
        <w:t>Claim Probability</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Metric</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Band</w:t>
            </w:r>
          </w:p>
        </w:tc>
        <w:tc>
          <w:tcPr>
            <w:tcW w:type="dxa" w:w="5040"/>
          </w:tcPr>
          <w:p>
            <w:r>
              <w:rPr>
                <w:rFonts w:ascii="Calibri" w:hAnsi="Calibri"/>
                <w:color w:val="333333"/>
                <w:sz w:val="18"/>
              </w:rPr>
              <w:t>MODERATE</w:t>
            </w:r>
          </w:p>
        </w:tc>
      </w:tr>
      <w:tr>
        <w:tc>
          <w:tcPr>
            <w:tcW w:type="dxa" w:w="5040"/>
            <w:shd w:fill="F2F4F8" w:val="clear"/>
          </w:tcPr>
          <w:p>
            <w:r>
              <w:rPr>
                <w:rFonts w:ascii="Calibri" w:hAnsi="Calibri"/>
                <w:color w:val="333333"/>
                <w:sz w:val="18"/>
              </w:rPr>
              <w:t>Company Rate</w:t>
            </w:r>
          </w:p>
        </w:tc>
        <w:tc>
          <w:tcPr>
            <w:tcW w:type="dxa" w:w="5040"/>
            <w:shd w:fill="F2F4F8" w:val="clear"/>
          </w:tcPr>
          <w:p>
            <w:r>
              <w:rPr>
                <w:rFonts w:ascii="Calibri" w:hAnsi="Calibri"/>
                <w:color w:val="333333"/>
                <w:sz w:val="18"/>
              </w:rPr>
              <w:t>3.9% - 5.6%</w:t>
            </w:r>
          </w:p>
        </w:tc>
      </w:tr>
      <w:tr>
        <w:tc>
          <w:tcPr>
            <w:tcW w:type="dxa" w:w="5040"/>
          </w:tcPr>
          <w:p>
            <w:r>
              <w:rPr>
                <w:rFonts w:ascii="Calibri" w:hAnsi="Calibri"/>
                <w:color w:val="333333"/>
                <w:sz w:val="18"/>
              </w:rPr>
              <w:t>Industry Base Rate</w:t>
            </w:r>
          </w:p>
        </w:tc>
        <w:tc>
          <w:tcPr>
            <w:tcW w:type="dxa" w:w="5040"/>
          </w:tcPr>
          <w:p>
            <w:r>
              <w:rPr>
                <w:rFonts w:ascii="Calibri" w:hAnsi="Calibri"/>
                <w:color w:val="333333"/>
                <w:sz w:val="18"/>
              </w:rPr>
              <w:t>3.5%</w:t>
            </w:r>
          </w:p>
        </w:tc>
      </w:tr>
      <w:tr>
        <w:tc>
          <w:tcPr>
            <w:tcW w:type="dxa" w:w="5040"/>
            <w:shd w:fill="F2F4F8" w:val="clear"/>
          </w:tcPr>
          <w:p>
            <w:r>
              <w:rPr>
                <w:rFonts w:ascii="Calibri" w:hAnsi="Calibri"/>
                <w:color w:val="333333"/>
                <w:sz w:val="18"/>
              </w:rPr>
              <w:t>Severity Favorable</w:t>
            </w:r>
          </w:p>
        </w:tc>
        <w:tc>
          <w:tcPr>
            <w:tcW w:type="dxa" w:w="5040"/>
            <w:shd w:fill="F2F4F8" w:val="clear"/>
          </w:tcPr>
          <w:p>
            <w:r>
              <w:rPr>
                <w:rFonts w:ascii="Calibri" w:hAnsi="Calibri"/>
                <w:color w:val="333333"/>
                <w:sz w:val="18"/>
              </w:rPr>
              <w:t>$9.6M</w:t>
            </w:r>
          </w:p>
        </w:tc>
      </w:tr>
      <w:tr>
        <w:tc>
          <w:tcPr>
            <w:tcW w:type="dxa" w:w="5040"/>
          </w:tcPr>
          <w:p>
            <w:r>
              <w:rPr>
                <w:rFonts w:ascii="Calibri" w:hAnsi="Calibri"/>
                <w:color w:val="333333"/>
                <w:sz w:val="18"/>
              </w:rPr>
              <w:t>Severity Median</w:t>
            </w:r>
          </w:p>
        </w:tc>
        <w:tc>
          <w:tcPr>
            <w:tcW w:type="dxa" w:w="5040"/>
          </w:tcPr>
          <w:p>
            <w:r>
              <w:rPr>
                <w:rFonts w:ascii="Calibri" w:hAnsi="Calibri"/>
                <w:color w:val="333333"/>
                <w:sz w:val="18"/>
              </w:rPr>
              <w:t>$20.1M</w:t>
            </w:r>
          </w:p>
        </w:tc>
      </w:tr>
      <w:tr>
        <w:tc>
          <w:tcPr>
            <w:tcW w:type="dxa" w:w="5040"/>
            <w:shd w:fill="F2F4F8" w:val="clear"/>
          </w:tcPr>
          <w:p>
            <w:r>
              <w:rPr>
                <w:rFonts w:ascii="Calibri" w:hAnsi="Calibri"/>
                <w:color w:val="333333"/>
                <w:sz w:val="18"/>
              </w:rPr>
              <w:t>Severity Adverse</w:t>
            </w:r>
          </w:p>
        </w:tc>
        <w:tc>
          <w:tcPr>
            <w:tcW w:type="dxa" w:w="5040"/>
            <w:shd w:fill="F2F4F8" w:val="clear"/>
          </w:tcPr>
          <w:p>
            <w:r>
              <w:rPr>
                <w:rFonts w:ascii="Calibri" w:hAnsi="Calibri"/>
                <w:color w:val="333333"/>
                <w:sz w:val="18"/>
              </w:rPr>
              <w:t>$42.0M</w:t>
            </w:r>
          </w:p>
        </w:tc>
      </w:tr>
      <w:tr>
        <w:tc>
          <w:tcPr>
            <w:tcW w:type="dxa" w:w="5040"/>
          </w:tcPr>
          <w:p>
            <w:r>
              <w:rPr>
                <w:rFonts w:ascii="Calibri" w:hAnsi="Calibri"/>
                <w:color w:val="333333"/>
                <w:sz w:val="18"/>
              </w:rPr>
              <w:t>Severity Catastrophic</w:t>
            </w:r>
          </w:p>
        </w:tc>
        <w:tc>
          <w:tcPr>
            <w:tcW w:type="dxa" w:w="5040"/>
          </w:tcPr>
          <w:p>
            <w:r>
              <w:rPr>
                <w:rFonts w:ascii="Calibri" w:hAnsi="Calibri"/>
                <w:color w:val="333333"/>
                <w:sz w:val="18"/>
              </w:rPr>
              <w:t>$87.3M</w:t>
            </w:r>
          </w:p>
        </w:tc>
      </w:tr>
    </w:tbl>
    <w:p>
      <w:pPr>
        <w:pStyle w:val="DOBody"/>
      </w:pPr>
      <w:r>
        <w:t>Probability Band: MODERATE</w:t>
      </w:r>
      <w:r>
        <w:rPr>
          <w:b/>
          <w:color w:val="EAB308"/>
          <w:sz w:val="18"/>
        </w:rPr>
        <w:t xml:space="preserve"> [ELEVATED]</w:t>
      </w:r>
    </w:p>
    <w:p>
      <w:pPr>
        <w:pStyle w:val="DOBody"/>
      </w:pPr>
      <w:r>
        <w:t>The 4-6% probability band represents approximately 1x the Consumer Discretionary sector base rate of 3.5%. Accounts in WIN tier historically produce claims at elevated frequency. Industry base rate: 3.5%. Tier WIN (0-2%): Below base rate. Strong risk profile reduces claim probability below industry average. NEEDS CALIBRATION: Probability estimates are indicative and require actuarial validation per SECT7-11. Enhanced frequency: 6.30% base x 0.88 hazard x 1.00 signal = 5.57%.</w:t>
      </w:r>
    </w:p>
    <w:p>
      <w:pPr>
        <w:pStyle w:val="DOHeading3"/>
      </w:pPr>
      <w:r>
        <w:t>Tower Recommendation</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Metric</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Position</w:t>
            </w:r>
          </w:p>
        </w:tc>
        <w:tc>
          <w:tcPr>
            <w:tcW w:type="dxa" w:w="5040"/>
          </w:tcPr>
          <w:p>
            <w:r>
              <w:rPr>
                <w:rFonts w:ascii="Calibri" w:hAnsi="Calibri"/>
                <w:color w:val="333333"/>
                <w:sz w:val="18"/>
              </w:rPr>
              <w:t>Primary</w:t>
            </w:r>
          </w:p>
        </w:tc>
      </w:tr>
      <w:tr>
        <w:tc>
          <w:tcPr>
            <w:tcW w:type="dxa" w:w="5040"/>
            <w:shd w:fill="F2F4F8" w:val="clear"/>
          </w:tcPr>
          <w:p>
            <w:r>
              <w:rPr>
                <w:rFonts w:ascii="Calibri" w:hAnsi="Calibri"/>
                <w:color w:val="333333"/>
                <w:sz w:val="18"/>
              </w:rPr>
              <w:t>Min Attachment</w:t>
            </w:r>
          </w:p>
        </w:tc>
        <w:tc>
          <w:tcPr>
            <w:tcW w:type="dxa" w:w="5040"/>
            <w:shd w:fill="F2F4F8" w:val="clear"/>
          </w:tcPr>
          <w:p>
            <w:r>
              <w:rPr>
                <w:rFonts w:ascii="Calibri" w:hAnsi="Calibri"/>
                <w:color w:val="333333"/>
                <w:sz w:val="18"/>
              </w:rPr>
              <w:t>$16.8M (based on 50th percentile settlement)</w:t>
            </w:r>
          </w:p>
        </w:tc>
      </w:tr>
      <w:tr>
        <w:tc>
          <w:tcPr>
            <w:tcW w:type="dxa" w:w="5040"/>
          </w:tcPr>
          <w:p>
            <w:r>
              <w:rPr>
                <w:rFonts w:ascii="Calibri" w:hAnsi="Calibri"/>
                <w:color w:val="333333"/>
                <w:sz w:val="18"/>
              </w:rPr>
              <w:t>Side A/DIC</w:t>
            </w:r>
          </w:p>
        </w:tc>
        <w:tc>
          <w:tcPr>
            <w:tcW w:type="dxa" w:w="5040"/>
          </w:tcPr>
          <w:p>
            <w:r>
              <w:rPr>
                <w:rFonts w:ascii="Calibri" w:hAnsi="Calibri"/>
                <w:color w:val="333333"/>
                <w:sz w:val="18"/>
              </w:rPr>
              <w:t>Standard Side A considerations</w:t>
            </w:r>
          </w:p>
        </w:tc>
      </w:tr>
    </w:tbl>
    <w:tbl>
      <w:tblPr>
        <w:tblStyle w:val="TableGrid"/>
        <w:tblW w:type="auto" w:w="0"/>
        <w:tblLook w:firstColumn="1" w:firstRow="1" w:lastColumn="0" w:lastRow="0" w:noHBand="0" w:noVBand="1" w:val="04A0"/>
      </w:tblPr>
      <w:tblGrid>
        <w:gridCol w:w="3360"/>
        <w:gridCol w:w="3360"/>
        <w:gridCol w:w="3360"/>
      </w:tblGrid>
      <w:tr>
        <w:tc>
          <w:tcPr>
            <w:tcW w:type="dxa" w:w="3360"/>
            <w:shd w:fill="1A1446" w:val="clear"/>
          </w:tcPr>
          <w:p>
            <w:r>
              <w:rPr>
                <w:rFonts w:ascii="Calibri" w:hAnsi="Calibri"/>
                <w:b/>
                <w:color w:val="FFFFFF"/>
                <w:sz w:val="18"/>
              </w:rPr>
              <w:t>Layer</w:t>
            </w:r>
          </w:p>
        </w:tc>
        <w:tc>
          <w:tcPr>
            <w:tcW w:type="dxa" w:w="3360"/>
            <w:shd w:fill="1A1446" w:val="clear"/>
          </w:tcPr>
          <w:p>
            <w:r>
              <w:rPr>
                <w:rFonts w:ascii="Calibri" w:hAnsi="Calibri"/>
                <w:b/>
                <w:color w:val="FFFFFF"/>
                <w:sz w:val="18"/>
              </w:rPr>
              <w:t>Risk Assessment</w:t>
            </w:r>
          </w:p>
        </w:tc>
        <w:tc>
          <w:tcPr>
            <w:tcW w:type="dxa" w:w="3360"/>
            <w:shd w:fill="1A1446" w:val="clear"/>
          </w:tcPr>
          <w:p>
            <w:r>
              <w:rPr>
                <w:rFonts w:ascii="Calibri" w:hAnsi="Calibri"/>
                <w:b/>
                <w:color w:val="FFFFFF"/>
                <w:sz w:val="18"/>
              </w:rPr>
              <w:t>Premium Guidance</w:t>
            </w:r>
          </w:p>
        </w:tc>
      </w:tr>
      <w:tr>
        <w:tc>
          <w:tcPr>
            <w:tcW w:type="dxa" w:w="3360"/>
          </w:tcPr>
          <w:p>
            <w:r>
              <w:rPr>
                <w:rFonts w:ascii="Calibri" w:hAnsi="Calibri"/>
                <w:color w:val="333333"/>
                <w:sz w:val="18"/>
              </w:rPr>
              <w:t>PRIMARY</w:t>
            </w:r>
          </w:p>
        </w:tc>
        <w:tc>
          <w:tcPr>
            <w:tcW w:type="dxa" w:w="3360"/>
          </w:tcPr>
          <w:p>
            <w:r>
              <w:rPr>
                <w:rFonts w:ascii="Calibri" w:hAnsi="Calibri"/>
                <w:color w:val="333333"/>
                <w:sz w:val="18"/>
              </w:rPr>
              <w:t>Primary layer carries 57% of expected loss exposure. Highest frequency of attachment; most likely to be eroded in any claim scenario.</w:t>
            </w:r>
          </w:p>
        </w:tc>
        <w:tc>
          <w:tcPr>
            <w:tcW w:type="dxa" w:w="3360"/>
          </w:tcPr>
          <w:p>
            <w:r>
              <w:rPr>
                <w:rFonts w:ascii="Calibri" w:hAnsi="Calibri"/>
                <w:color w:val="333333"/>
                <w:sz w:val="18"/>
              </w:rPr>
              <w:t>Full rate, slight discount for WIN</w:t>
            </w:r>
          </w:p>
        </w:tc>
      </w:tr>
      <w:tr>
        <w:tc>
          <w:tcPr>
            <w:tcW w:type="dxa" w:w="3360"/>
            <w:shd w:fill="F2F4F8" w:val="clear"/>
          </w:tcPr>
          <w:p>
            <w:r>
              <w:rPr>
                <w:rFonts w:ascii="Calibri" w:hAnsi="Calibri"/>
                <w:color w:val="333333"/>
                <w:sz w:val="18"/>
              </w:rPr>
              <w:t>LOW_EXCESS</w:t>
            </w:r>
          </w:p>
        </w:tc>
        <w:tc>
          <w:tcPr>
            <w:tcW w:type="dxa" w:w="3360"/>
            <w:shd w:fill="F2F4F8" w:val="clear"/>
          </w:tcPr>
          <w:p>
            <w:r>
              <w:rPr>
                <w:rFonts w:ascii="Calibri" w:hAnsi="Calibri"/>
                <w:color w:val="333333"/>
                <w:sz w:val="18"/>
              </w:rPr>
              <w:t>Low excess layer carries 18% of expected loss exposure. Attaches after primary exhaustion; moderate frequency in adverse scenarios.</w:t>
            </w:r>
          </w:p>
        </w:tc>
        <w:tc>
          <w:tcPr>
            <w:tcW w:type="dxa" w:w="3360"/>
            <w:shd w:fill="F2F4F8" w:val="clear"/>
          </w:tcPr>
          <w:p>
            <w:r>
              <w:rPr>
                <w:rFonts w:ascii="Calibri" w:hAnsi="Calibri"/>
                <w:color w:val="333333"/>
                <w:sz w:val="18"/>
              </w:rPr>
              <w:t>Market rate</w:t>
            </w:r>
          </w:p>
        </w:tc>
      </w:tr>
      <w:tr>
        <w:tc>
          <w:tcPr>
            <w:tcW w:type="dxa" w:w="3360"/>
          </w:tcPr>
          <w:p>
            <w:r>
              <w:rPr>
                <w:rFonts w:ascii="Calibri" w:hAnsi="Calibri"/>
                <w:color w:val="333333"/>
                <w:sz w:val="18"/>
              </w:rPr>
              <w:t>MID_EXCESS</w:t>
            </w:r>
          </w:p>
        </w:tc>
        <w:tc>
          <w:tcPr>
            <w:tcW w:type="dxa" w:w="3360"/>
          </w:tcPr>
          <w:p>
            <w:r>
              <w:rPr>
                <w:rFonts w:ascii="Calibri" w:hAnsi="Calibri"/>
                <w:color w:val="333333"/>
                <w:sz w:val="18"/>
              </w:rPr>
              <w:t>Mid excess layer carries 13% of expected loss exposure. Attaches in adverse scenarios; lower frequency but higher severity when reached.</w:t>
            </w:r>
          </w:p>
        </w:tc>
        <w:tc>
          <w:tcPr>
            <w:tcW w:type="dxa" w:w="3360"/>
          </w:tcPr>
          <w:p>
            <w:r>
              <w:rPr>
                <w:rFonts w:ascii="Calibri" w:hAnsi="Calibri"/>
                <w:color w:val="333333"/>
                <w:sz w:val="18"/>
              </w:rPr>
              <w:t>Market to 1.3x</w:t>
            </w:r>
          </w:p>
        </w:tc>
      </w:tr>
      <w:tr>
        <w:tc>
          <w:tcPr>
            <w:tcW w:type="dxa" w:w="3360"/>
            <w:shd w:fill="F2F4F8" w:val="clear"/>
          </w:tcPr>
          <w:p>
            <w:r>
              <w:rPr>
                <w:rFonts w:ascii="Calibri" w:hAnsi="Calibri"/>
                <w:color w:val="333333"/>
                <w:sz w:val="18"/>
              </w:rPr>
              <w:t>HIGH_EXCESS</w:t>
            </w:r>
          </w:p>
        </w:tc>
        <w:tc>
          <w:tcPr>
            <w:tcW w:type="dxa" w:w="3360"/>
            <w:shd w:fill="F2F4F8" w:val="clear"/>
          </w:tcPr>
          <w:p>
            <w:r>
              <w:rPr>
                <w:rFonts w:ascii="Calibri" w:hAnsi="Calibri"/>
                <w:color w:val="333333"/>
                <w:sz w:val="18"/>
              </w:rPr>
              <w:t>High excess layer carries 11% of expected loss exposure. Attaches only in catastrophic scenarios; lowest frequency, highest severity.</w:t>
            </w:r>
          </w:p>
        </w:tc>
        <w:tc>
          <w:tcPr>
            <w:tcW w:type="dxa" w:w="3360"/>
            <w:shd w:fill="F2F4F8" w:val="clear"/>
          </w:tcPr>
          <w:p>
            <w:r>
              <w:rPr>
                <w:rFonts w:ascii="Calibri" w:hAnsi="Calibri"/>
                <w:color w:val="333333"/>
                <w:sz w:val="18"/>
              </w:rPr>
              <w:t>1.3-2x with attachment</w:t>
            </w:r>
          </w:p>
        </w:tc>
      </w:tr>
      <w:tr>
        <w:tc>
          <w:tcPr>
            <w:tcW w:type="dxa" w:w="3360"/>
          </w:tcPr>
          <w:p>
            <w:r>
              <w:rPr>
                <w:rFonts w:ascii="Calibri" w:hAnsi="Calibri"/>
                <w:color w:val="333333"/>
                <w:sz w:val="18"/>
              </w:rPr>
              <w:t>DECLINE</w:t>
            </w:r>
          </w:p>
        </w:tc>
        <w:tc>
          <w:tcPr>
            <w:tcW w:type="dxa" w:w="3360"/>
          </w:tcPr>
          <w:p>
            <w:r>
              <w:rPr>
                <w:rFonts w:ascii="Calibri" w:hAnsi="Calibri"/>
                <w:color w:val="333333"/>
                <w:sz w:val="18"/>
              </w:rPr>
              <w:t>WALK+ with compounding factors</w:t>
            </w:r>
          </w:p>
        </w:tc>
        <w:tc>
          <w:tcPr>
            <w:tcW w:type="dxa" w:w="3360"/>
          </w:tcPr>
          <w:p>
            <w:r>
              <w:rPr>
                <w:rFonts w:ascii="Calibri" w:hAnsi="Calibri"/>
                <w:color w:val="333333"/>
                <w:sz w:val="18"/>
              </w:rPr>
              <w:t>N/A</w:t>
            </w:r>
          </w:p>
        </w:tc>
      </w:tr>
    </w:tbl>
    <w:p>
      <w:pPr>
        <w:pStyle w:val="DOHeading3"/>
      </w:pPr>
      <w:r>
        <w:t>Market Context</w:t>
      </w:r>
    </w:p>
    <w:p>
      <w:pPr>
        <w:pStyle w:val="DOBody"/>
      </w:pPr>
      <w:r>
        <w:t>No market pricing data available.</w:t>
      </w:r>
    </w:p>
    <w:p>
      <w:pPr>
        <w:spacing w:before="120" w:after="40"/>
        <w:pBdr>
          <w:bottom w:val="single" w:sz="6" w:space="1" w:color="FFD000"/>
        </w:pBdr>
      </w:pPr>
    </w:p>
    <w:p>
      <w:pPr>
        <w:pStyle w:val="DOBody"/>
        <w:spacing w:before="40" w:after="120"/>
      </w:pPr>
      <w:r>
        <w:rPr>
          <w:color w:val="333333"/>
          <w:sz w:val="20"/>
        </w:rPr>
        <w:t>Company Overview</w:t>
        <w:br/>
        <w:t>The Procter &amp; Gamble Company is a $335 billion market cap consumer staples titan producing and marketing daily-use branded goods across 180 countries. Its 109,000 employees and century-plus public history underpin a vast operational footprint, where any product or marketing misstep across this scale can trigger global shareholder derivative suits.</w:t>
        <w:br/>
        <w:br/>
        <w:t>Revenue Model</w:t>
        <w:br/>
        <w:t>PG generates approximately $80 billion in annual revenue through its five segments—Beauty, Grooming, Health Care, Fabric &amp; Home Care, and Baby, Feminine &amp; Family Care—selling low-cost, high-volume consumables. This sticky model is vulnerable to commodity cost inflation and market share erosion, where a major product recall or failed innovation cycle would directly impair financial results and likely lead to securities litigation alleging disclosure failures.</w:t>
        <w:br/>
        <w:br/>
        <w:t>D&amp;O Risk Profile</w:t>
        <w:br/>
        <w:t>Primary exposure is multi-jurisdictional regulatory action across the US and 180 international markets, where disparate product regulations present constant compliance traps that can escalate to director oversight claims. Its "Large Accelerated Filer" status and "MEGA" risk class guarantee intense SEC scrutiny on financial disclosures for a company with 109,000 global employees. Litigation risk is amplified by employment practices across this workforce and transaction risk from ongoing brand portfolio optimization, any misstep in which invites shareholder suits alleging board-level value destruction.</w:t>
      </w:r>
    </w:p>
    <w:p>
      <w:pPr>
        <w:pStyle w:val="DOHeading1"/>
      </w:pPr>
      <w:r>
        <w:t>Section 2: Company Profile</w:t>
      </w:r>
    </w:p>
    <w:p>
      <w:pPr>
        <w:pStyle w:val="DOBody"/>
      </w:pPr>
      <w:r>
        <w:rPr>
          <w:rFonts w:ascii="Calibri" w:hAnsi="Calibri"/>
          <w:color w:val="333333"/>
          <w:sz w:val="20"/>
        </w:rPr>
        <w:t>PROCTER &amp; GAMBLE Co operates in the Household &amp; Personal Products industry. The company has 109,000 employees and $335.0B market cap. Key D&amp;O exposure factors include: Regulatory Multi Jurisdiction, Employment Litigation Risk, Transaction Litigation Risk.</w:t>
      </w:r>
      <w:r>
        <w:rPr>
          <w:rFonts w:ascii="Consolas" w:hAnsi="Consolas"/>
          <w:color w:val="666666"/>
          <w:sz w:val="16"/>
        </w:rPr>
        <w:t xml:space="preserve">  [derived:section_summary, 2026-04-03, LOW]</w:t>
      </w:r>
    </w:p>
    <w:p>
      <w:pPr>
        <w:pStyle w:val="DOHeading2"/>
      </w:pPr>
      <w:r>
        <w:t>Company Identity</w:t>
      </w:r>
    </w:p>
    <w:tbl>
      <w:tblPr>
        <w:tblStyle w:val="TableGrid"/>
        <w:tblW w:type="auto" w:w="0"/>
        <w:tblLook w:firstColumn="1" w:firstRow="1" w:lastColumn="0" w:lastRow="0" w:noHBand="0" w:noVBand="1" w:val="04A0"/>
      </w:tblPr>
      <w:tblGrid>
        <w:gridCol w:w="3360"/>
        <w:gridCol w:w="3360"/>
        <w:gridCol w:w="3360"/>
      </w:tblGrid>
      <w:tr>
        <w:tc>
          <w:tcPr>
            <w:tcW w:type="dxa" w:w="3360"/>
            <w:shd w:fill="1A1446" w:val="clear"/>
          </w:tcPr>
          <w:p>
            <w:r>
              <w:rPr>
                <w:rFonts w:ascii="Calibri" w:hAnsi="Calibri"/>
                <w:b/>
                <w:color w:val="FFFFFF"/>
                <w:sz w:val="18"/>
              </w:rPr>
              <w:t>Field</w:t>
            </w:r>
          </w:p>
        </w:tc>
        <w:tc>
          <w:tcPr>
            <w:tcW w:type="dxa" w:w="3360"/>
            <w:shd w:fill="1A1446" w:val="clear"/>
          </w:tcPr>
          <w:p>
            <w:r>
              <w:rPr>
                <w:rFonts w:ascii="Calibri" w:hAnsi="Calibri"/>
                <w:b/>
                <w:color w:val="FFFFFF"/>
                <w:sz w:val="18"/>
              </w:rPr>
              <w:t>Value</w:t>
            </w:r>
          </w:p>
        </w:tc>
        <w:tc>
          <w:tcPr>
            <w:tcW w:type="dxa" w:w="3360"/>
            <w:shd w:fill="1A1446" w:val="clear"/>
          </w:tcPr>
          <w:p>
            <w:r>
              <w:rPr>
                <w:rFonts w:ascii="Calibri" w:hAnsi="Calibri"/>
                <w:b/>
                <w:color w:val="FFFFFF"/>
                <w:sz w:val="18"/>
              </w:rPr>
              <w:t>Source</w:t>
            </w:r>
          </w:p>
        </w:tc>
      </w:tr>
      <w:tr>
        <w:tc>
          <w:tcPr>
            <w:tcW w:type="dxa" w:w="3360"/>
          </w:tcPr>
          <w:p>
            <w:r>
              <w:rPr>
                <w:rFonts w:ascii="Calibri" w:hAnsi="Calibri"/>
                <w:color w:val="333333"/>
                <w:sz w:val="18"/>
              </w:rPr>
              <w:t>Legal Name</w:t>
            </w:r>
          </w:p>
        </w:tc>
        <w:tc>
          <w:tcPr>
            <w:tcW w:type="dxa" w:w="3360"/>
          </w:tcPr>
          <w:p>
            <w:r>
              <w:rPr>
                <w:rFonts w:ascii="Calibri" w:hAnsi="Calibri"/>
                <w:color w:val="333333"/>
                <w:sz w:val="18"/>
              </w:rPr>
              <w:t>PROCTER &amp; GAMBLE Co</w:t>
            </w:r>
          </w:p>
        </w:tc>
        <w:tc>
          <w:tcPr>
            <w:tcW w:type="dxa" w:w="3360"/>
          </w:tcPr>
          <w:p>
            <w:r>
              <w:rPr>
                <w:rFonts w:ascii="Calibri" w:hAnsi="Calibri"/>
                <w:color w:val="333333"/>
                <w:sz w:val="18"/>
              </w:rPr>
              <w:t>[SEC EDGAR submissions, filed 2026-04-03, HIGH confidence]</w:t>
            </w:r>
          </w:p>
        </w:tc>
      </w:tr>
      <w:tr>
        <w:tc>
          <w:tcPr>
            <w:tcW w:type="dxa" w:w="3360"/>
            <w:shd w:fill="F2F4F8" w:val="clear"/>
          </w:tcPr>
          <w:p>
            <w:r>
              <w:rPr>
                <w:rFonts w:ascii="Calibri" w:hAnsi="Calibri"/>
                <w:color w:val="333333"/>
                <w:sz w:val="18"/>
              </w:rPr>
              <w:t>Ticker</w:t>
            </w:r>
          </w:p>
        </w:tc>
        <w:tc>
          <w:tcPr>
            <w:tcW w:type="dxa" w:w="3360"/>
            <w:shd w:fill="F2F4F8" w:val="clear"/>
          </w:tcPr>
          <w:p>
            <w:r>
              <w:rPr>
                <w:rFonts w:ascii="Calibri" w:hAnsi="Calibri"/>
                <w:color w:val="333333"/>
                <w:sz w:val="18"/>
              </w:rPr>
              <w:t>PG</w:t>
            </w:r>
          </w:p>
        </w:tc>
        <w:tc>
          <w:tcPr>
            <w:tcW w:type="dxa" w:w="3360"/>
            <w:shd w:fill="F2F4F8" w:val="clear"/>
          </w:tcPr>
          <w:p>
            <w:r>
              <w:rPr>
                <w:rFonts w:ascii="Calibri" w:hAnsi="Calibri"/>
                <w:color w:val="333333"/>
                <w:sz w:val="18"/>
              </w:rPr>
            </w:r>
          </w:p>
        </w:tc>
      </w:tr>
      <w:tr>
        <w:tc>
          <w:tcPr>
            <w:tcW w:type="dxa" w:w="3360"/>
          </w:tcPr>
          <w:p>
            <w:r>
              <w:rPr>
                <w:rFonts w:ascii="Calibri" w:hAnsi="Calibri"/>
                <w:color w:val="333333"/>
                <w:sz w:val="18"/>
              </w:rPr>
              <w:t>CIK</w:t>
            </w:r>
          </w:p>
        </w:tc>
        <w:tc>
          <w:tcPr>
            <w:tcW w:type="dxa" w:w="3360"/>
          </w:tcPr>
          <w:p>
            <w:r>
              <w:rPr>
                <w:rFonts w:ascii="Calibri" w:hAnsi="Calibri"/>
                <w:color w:val="333333"/>
                <w:sz w:val="18"/>
              </w:rPr>
              <w:t>80424</w:t>
            </w:r>
          </w:p>
        </w:tc>
        <w:tc>
          <w:tcPr>
            <w:tcW w:type="dxa" w:w="3360"/>
          </w:tcPr>
          <w:p>
            <w:r>
              <w:rPr>
                <w:rFonts w:ascii="Calibri" w:hAnsi="Calibri"/>
                <w:color w:val="333333"/>
                <w:sz w:val="18"/>
              </w:rPr>
              <w:t>[SEC EDGAR submissions, filed 2026-04-03, HIGH confidence]</w:t>
            </w:r>
          </w:p>
        </w:tc>
      </w:tr>
      <w:tr>
        <w:tc>
          <w:tcPr>
            <w:tcW w:type="dxa" w:w="3360"/>
            <w:shd w:fill="F2F4F8" w:val="clear"/>
          </w:tcPr>
          <w:p>
            <w:r>
              <w:rPr>
                <w:rFonts w:ascii="Calibri" w:hAnsi="Calibri"/>
                <w:color w:val="333333"/>
                <w:sz w:val="18"/>
              </w:rPr>
              <w:t>Sector</w:t>
            </w:r>
          </w:p>
        </w:tc>
        <w:tc>
          <w:tcPr>
            <w:tcW w:type="dxa" w:w="3360"/>
            <w:shd w:fill="F2F4F8" w:val="clear"/>
          </w:tcPr>
          <w:p>
            <w:r>
              <w:rPr>
                <w:rFonts w:ascii="Calibri" w:hAnsi="Calibri"/>
                <w:color w:val="333333"/>
                <w:sz w:val="18"/>
              </w:rPr>
              <w:t>Consumer Discretionary</w:t>
            </w:r>
          </w:p>
        </w:tc>
        <w:tc>
          <w:tcPr>
            <w:tcW w:type="dxa" w:w="3360"/>
            <w:shd w:fill="F2F4F8" w:val="clear"/>
          </w:tcPr>
          <w:p>
            <w:r>
              <w:rPr>
                <w:rFonts w:ascii="Calibri" w:hAnsi="Calibri"/>
                <w:color w:val="333333"/>
                <w:sz w:val="18"/>
              </w:rPr>
              <w:t>[SEC EDGAR submissions, filed 2026-04-03, HIGH confidence]</w:t>
            </w:r>
          </w:p>
        </w:tc>
      </w:tr>
      <w:tr>
        <w:tc>
          <w:tcPr>
            <w:tcW w:type="dxa" w:w="3360"/>
          </w:tcPr>
          <w:p>
            <w:r>
              <w:rPr>
                <w:rFonts w:ascii="Calibri" w:hAnsi="Calibri"/>
                <w:color w:val="333333"/>
                <w:sz w:val="18"/>
              </w:rPr>
              <w:t>SIC Code</w:t>
            </w:r>
          </w:p>
        </w:tc>
        <w:tc>
          <w:tcPr>
            <w:tcW w:type="dxa" w:w="3360"/>
          </w:tcPr>
          <w:p>
            <w:r>
              <w:rPr>
                <w:rFonts w:ascii="Calibri" w:hAnsi="Calibri"/>
                <w:color w:val="333333"/>
                <w:sz w:val="18"/>
              </w:rPr>
              <w:t>2840</w:t>
            </w:r>
          </w:p>
        </w:tc>
        <w:tc>
          <w:tcPr>
            <w:tcW w:type="dxa" w:w="3360"/>
          </w:tcPr>
          <w:p>
            <w:r>
              <w:rPr>
                <w:rFonts w:ascii="Calibri" w:hAnsi="Calibri"/>
                <w:color w:val="333333"/>
                <w:sz w:val="18"/>
              </w:rPr>
              <w:t>[SEC EDGAR submissions, filed 2026-04-03, HIGH confidence]</w:t>
            </w:r>
          </w:p>
        </w:tc>
      </w:tr>
      <w:tr>
        <w:tc>
          <w:tcPr>
            <w:tcW w:type="dxa" w:w="3360"/>
            <w:shd w:fill="F2F4F8" w:val="clear"/>
          </w:tcPr>
          <w:p>
            <w:r>
              <w:rPr>
                <w:rFonts w:ascii="Calibri" w:hAnsi="Calibri"/>
                <w:color w:val="333333"/>
                <w:sz w:val="18"/>
              </w:rPr>
              <w:t>SIC Description</w:t>
            </w:r>
          </w:p>
        </w:tc>
        <w:tc>
          <w:tcPr>
            <w:tcW w:type="dxa" w:w="3360"/>
            <w:shd w:fill="F2F4F8" w:val="clear"/>
          </w:tcPr>
          <w:p>
            <w:r>
              <w:rPr>
                <w:rFonts w:ascii="Calibri" w:hAnsi="Calibri"/>
                <w:color w:val="333333"/>
                <w:sz w:val="18"/>
              </w:rPr>
              <w:t>Soap, Detergents, Cleang Preparations, Perfumes, Cosmetics</w:t>
            </w:r>
          </w:p>
        </w:tc>
        <w:tc>
          <w:tcPr>
            <w:tcW w:type="dxa" w:w="3360"/>
            <w:shd w:fill="F2F4F8" w:val="clear"/>
          </w:tcPr>
          <w:p>
            <w:r>
              <w:rPr>
                <w:rFonts w:ascii="Calibri" w:hAnsi="Calibri"/>
                <w:color w:val="333333"/>
                <w:sz w:val="18"/>
              </w:rPr>
            </w:r>
          </w:p>
        </w:tc>
      </w:tr>
      <w:tr>
        <w:tc>
          <w:tcPr>
            <w:tcW w:type="dxa" w:w="3360"/>
          </w:tcPr>
          <w:p>
            <w:r>
              <w:rPr>
                <w:rFonts w:ascii="Calibri" w:hAnsi="Calibri"/>
                <w:color w:val="333333"/>
                <w:sz w:val="18"/>
              </w:rPr>
              <w:t>GICS Code</w:t>
            </w:r>
          </w:p>
        </w:tc>
        <w:tc>
          <w:tcPr>
            <w:tcW w:type="dxa" w:w="3360"/>
          </w:tcPr>
          <w:p>
            <w:r>
              <w:rPr>
                <w:rFonts w:ascii="Calibri" w:hAnsi="Calibri"/>
                <w:color w:val="333333"/>
                <w:sz w:val="18"/>
              </w:rPr>
              <w:t>N/A</w:t>
            </w:r>
          </w:p>
        </w:tc>
        <w:tc>
          <w:tcPr>
            <w:tcW w:type="dxa" w:w="3360"/>
          </w:tcPr>
          <w:p>
            <w:r>
              <w:rPr>
                <w:rFonts w:ascii="Calibri" w:hAnsi="Calibri"/>
                <w:color w:val="333333"/>
                <w:sz w:val="18"/>
              </w:rPr>
            </w:r>
          </w:p>
        </w:tc>
      </w:tr>
      <w:tr>
        <w:tc>
          <w:tcPr>
            <w:tcW w:type="dxa" w:w="3360"/>
            <w:shd w:fill="F2F4F8" w:val="clear"/>
          </w:tcPr>
          <w:p>
            <w:r>
              <w:rPr>
                <w:rFonts w:ascii="Calibri" w:hAnsi="Calibri"/>
                <w:color w:val="333333"/>
                <w:sz w:val="18"/>
              </w:rPr>
              <w:t>NAICS Code</w:t>
            </w:r>
          </w:p>
        </w:tc>
        <w:tc>
          <w:tcPr>
            <w:tcW w:type="dxa" w:w="3360"/>
            <w:shd w:fill="F2F4F8" w:val="clear"/>
          </w:tcPr>
          <w:p>
            <w:r>
              <w:rPr>
                <w:rFonts w:ascii="Calibri" w:hAnsi="Calibri"/>
                <w:color w:val="333333"/>
                <w:sz w:val="18"/>
              </w:rPr>
              <w:t>325611</w:t>
            </w:r>
          </w:p>
        </w:tc>
        <w:tc>
          <w:tcPr>
            <w:tcW w:type="dxa" w:w="3360"/>
            <w:shd w:fill="F2F4F8" w:val="clear"/>
          </w:tcPr>
          <w:p>
            <w:r>
              <w:rPr>
                <w:rFonts w:ascii="Calibri" w:hAnsi="Calibri"/>
                <w:color w:val="333333"/>
                <w:sz w:val="18"/>
              </w:rPr>
              <w:t>[SIC-&gt;NAICS crosswalk (SIC 2840), filed 2026-04-03, MEDIUM confidence]</w:t>
            </w:r>
          </w:p>
        </w:tc>
      </w:tr>
      <w:tr>
        <w:tc>
          <w:tcPr>
            <w:tcW w:type="dxa" w:w="3360"/>
          </w:tcPr>
          <w:p>
            <w:r>
              <w:rPr>
                <w:rFonts w:ascii="Calibri" w:hAnsi="Calibri"/>
                <w:color w:val="333333"/>
                <w:sz w:val="18"/>
              </w:rPr>
              <w:t>Exchange</w:t>
            </w:r>
          </w:p>
        </w:tc>
        <w:tc>
          <w:tcPr>
            <w:tcW w:type="dxa" w:w="3360"/>
          </w:tcPr>
          <w:p>
            <w:r>
              <w:rPr>
                <w:rFonts w:ascii="Calibri" w:hAnsi="Calibri"/>
                <w:color w:val="333333"/>
                <w:sz w:val="18"/>
              </w:rPr>
              <w:t>NYSE</w:t>
            </w:r>
          </w:p>
        </w:tc>
        <w:tc>
          <w:tcPr>
            <w:tcW w:type="dxa" w:w="3360"/>
          </w:tcPr>
          <w:p>
            <w:r>
              <w:rPr>
                <w:rFonts w:ascii="Calibri" w:hAnsi="Calibri"/>
                <w:color w:val="333333"/>
                <w:sz w:val="18"/>
              </w:rPr>
              <w:t>[SEC EDGAR submissions, filed 2026-04-03, HIGH confidence]</w:t>
            </w:r>
          </w:p>
        </w:tc>
      </w:tr>
      <w:tr>
        <w:tc>
          <w:tcPr>
            <w:tcW w:type="dxa" w:w="3360"/>
            <w:shd w:fill="F2F4F8" w:val="clear"/>
          </w:tcPr>
          <w:p>
            <w:r>
              <w:rPr>
                <w:rFonts w:ascii="Calibri" w:hAnsi="Calibri"/>
                <w:color w:val="333333"/>
                <w:sz w:val="18"/>
              </w:rPr>
              <w:t>State of Incorporation</w:t>
            </w:r>
          </w:p>
        </w:tc>
        <w:tc>
          <w:tcPr>
            <w:tcW w:type="dxa" w:w="3360"/>
            <w:shd w:fill="F2F4F8" w:val="clear"/>
          </w:tcPr>
          <w:p>
            <w:r>
              <w:rPr>
                <w:rFonts w:ascii="Calibri" w:hAnsi="Calibri"/>
                <w:color w:val="333333"/>
                <w:sz w:val="18"/>
              </w:rPr>
              <w:t>OH</w:t>
            </w:r>
          </w:p>
        </w:tc>
        <w:tc>
          <w:tcPr>
            <w:tcW w:type="dxa" w:w="3360"/>
            <w:shd w:fill="F2F4F8" w:val="clear"/>
          </w:tcPr>
          <w:p>
            <w:r>
              <w:rPr>
                <w:rFonts w:ascii="Calibri" w:hAnsi="Calibri"/>
                <w:color w:val="333333"/>
                <w:sz w:val="18"/>
              </w:rPr>
              <w:t>[SEC EDGAR submissions, filed 2026-04-03, HIGH confidence]</w:t>
            </w:r>
          </w:p>
        </w:tc>
      </w:tr>
      <w:tr>
        <w:tc>
          <w:tcPr>
            <w:tcW w:type="dxa" w:w="3360"/>
          </w:tcPr>
          <w:p>
            <w:r>
              <w:rPr>
                <w:rFonts w:ascii="Calibri" w:hAnsi="Calibri"/>
                <w:color w:val="333333"/>
                <w:sz w:val="18"/>
              </w:rPr>
              <w:t>FPI Status</w:t>
            </w:r>
          </w:p>
        </w:tc>
        <w:tc>
          <w:tcPr>
            <w:tcW w:type="dxa" w:w="3360"/>
          </w:tcPr>
          <w:p>
            <w:r>
              <w:rPr>
                <w:rFonts w:ascii="Calibri" w:hAnsi="Calibri"/>
                <w:color w:val="333333"/>
                <w:sz w:val="18"/>
              </w:rPr>
              <w:t>No</w:t>
            </w:r>
          </w:p>
        </w:tc>
        <w:tc>
          <w:tcPr>
            <w:tcW w:type="dxa" w:w="3360"/>
          </w:tcPr>
          <w:p>
            <w:r>
              <w:rPr>
                <w:rFonts w:ascii="Calibri" w:hAnsi="Calibri"/>
                <w:color w:val="333333"/>
                <w:sz w:val="18"/>
              </w:rPr>
            </w:r>
          </w:p>
        </w:tc>
      </w:tr>
      <w:tr>
        <w:tc>
          <w:tcPr>
            <w:tcW w:type="dxa" w:w="3360"/>
            <w:shd w:fill="F2F4F8" w:val="clear"/>
          </w:tcPr>
          <w:p>
            <w:r>
              <w:rPr>
                <w:rFonts w:ascii="Calibri" w:hAnsi="Calibri"/>
                <w:color w:val="333333"/>
                <w:sz w:val="18"/>
              </w:rPr>
              <w:t>Fiscal Year End</w:t>
            </w:r>
          </w:p>
        </w:tc>
        <w:tc>
          <w:tcPr>
            <w:tcW w:type="dxa" w:w="3360"/>
            <w:shd w:fill="F2F4F8" w:val="clear"/>
          </w:tcPr>
          <w:p>
            <w:r>
              <w:rPr>
                <w:rFonts w:ascii="Calibri" w:hAnsi="Calibri"/>
                <w:color w:val="333333"/>
                <w:sz w:val="18"/>
              </w:rPr>
              <w:t>06-30</w:t>
            </w:r>
          </w:p>
        </w:tc>
        <w:tc>
          <w:tcPr>
            <w:tcW w:type="dxa" w:w="3360"/>
            <w:shd w:fill="F2F4F8" w:val="clear"/>
          </w:tcPr>
          <w:p>
            <w:r>
              <w:rPr>
                <w:rFonts w:ascii="Calibri" w:hAnsi="Calibri"/>
                <w:color w:val="333333"/>
                <w:sz w:val="18"/>
              </w:rPr>
              <w:t>[SEC EDGAR submissions, filed 2026-04-03, HIGH confidence]</w:t>
            </w:r>
          </w:p>
        </w:tc>
      </w:tr>
    </w:tbl>
    <w:p>
      <w:pPr>
        <w:pStyle w:val="DOHeading2"/>
      </w:pPr>
      <w:r>
        <w:t>Business Description</w:t>
      </w:r>
    </w:p>
    <w:p>
      <w:pPr>
        <w:pStyle w:val="DOBody"/>
      </w:pPr>
      <w:r>
        <w:rPr>
          <w:rFonts w:ascii="Calibri" w:hAnsi="Calibri"/>
          <w:color w:val="333333"/>
          <w:sz w:val="20"/>
        </w:rPr>
        <w:t>The Procter &amp; Gamble Company is a world-leading multinational consumer goods company focused on providing trusted, branded products of superior quality, performance and value. Its products are sold in about 180 countries and territories. The company operates through five reportable segments: Beauty (hair care, personal care, skin care), Grooming (appliances, blades &amp; razors), Health Care (oral care, personal health care), Fabric &amp; Home Care (fabric care, home care), and Baby, Feminine &amp; Family Care (baby care, feminine care, family care). Revenue is generated primarily through sales to retail customers including mass merchandisers, e-commerce channels, grocery stores, and others, with Walmart Inc. and its affiliates representing approximately 16% of total sales. The business model relies on product innovation, marketing, and productivity improvements to drive balanced top- and bottom-line growth. Profitability is driven by brand strength, market leadership positions, and cost management.</w:t>
      </w:r>
      <w:r>
        <w:rPr>
          <w:rFonts w:ascii="Consolas" w:hAnsi="Consolas"/>
          <w:color w:val="666666"/>
          <w:sz w:val="16"/>
        </w:rPr>
        <w:t xml:space="preserve">  [10-K (LLM), filed 2026-04-03, HIGH confidence]</w:t>
      </w:r>
    </w:p>
    <w:p>
      <w:pPr>
        <w:pStyle w:val="DOHeading2"/>
      </w:pPr>
      <w:r>
        <w:t>Subsidiaries</w:t>
      </w:r>
    </w:p>
    <w:p>
      <w:pPr>
        <w:pStyle w:val="DOBody"/>
      </w:pPr>
      <w:r>
        <w:t>Subsidiary data not available.</w:t>
      </w:r>
    </w:p>
    <w:p>
      <w:pPr>
        <w:pStyle w:val="DOHeading2"/>
      </w:pPr>
      <w:r>
        <w:t>Business Model Profile</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Dimension</w:t>
            </w:r>
          </w:p>
        </w:tc>
        <w:tc>
          <w:tcPr>
            <w:tcW w:type="dxa" w:w="5040"/>
            <w:shd w:fill="1A1446" w:val="clear"/>
          </w:tcPr>
          <w:p>
            <w:r>
              <w:rPr>
                <w:rFonts w:ascii="Calibri" w:hAnsi="Calibri"/>
                <w:b/>
                <w:color w:val="FFFFFF"/>
                <w:sz w:val="18"/>
              </w:rPr>
              <w:t>Assessment</w:t>
            </w:r>
          </w:p>
        </w:tc>
      </w:tr>
      <w:tr>
        <w:tc>
          <w:tcPr>
            <w:tcW w:type="dxa" w:w="5040"/>
          </w:tcPr>
          <w:p>
            <w:r>
              <w:rPr>
                <w:rFonts w:ascii="Calibri" w:hAnsi="Calibri"/>
                <w:color w:val="333333"/>
                <w:sz w:val="18"/>
              </w:rPr>
              <w:t>Revenue Model</w:t>
            </w:r>
          </w:p>
        </w:tc>
        <w:tc>
          <w:tcPr>
            <w:tcW w:type="dxa" w:w="5040"/>
          </w:tcPr>
          <w:p>
            <w:r>
              <w:rPr>
                <w:rFonts w:ascii="Calibri" w:hAnsi="Calibri"/>
                <w:color w:val="333333"/>
                <w:sz w:val="18"/>
              </w:rPr>
              <w:t>TRANSACTION</w:t>
            </w:r>
          </w:p>
        </w:tc>
      </w:tr>
      <w:tr>
        <w:tc>
          <w:tcPr>
            <w:tcW w:type="dxa" w:w="5040"/>
            <w:shd w:fill="F2F4F8" w:val="clear"/>
          </w:tcPr>
          <w:p>
            <w:r>
              <w:rPr>
                <w:rFonts w:ascii="Calibri" w:hAnsi="Calibri"/>
                <w:color w:val="333333"/>
                <w:sz w:val="18"/>
              </w:rPr>
              <w:t>Concentration Risk</w:t>
            </w:r>
          </w:p>
        </w:tc>
        <w:tc>
          <w:tcPr>
            <w:tcW w:type="dxa" w:w="5040"/>
            <w:shd w:fill="F2F4F8" w:val="clear"/>
          </w:tcPr>
          <w:p>
            <w:r>
              <w:rPr>
                <w:rFonts w:ascii="Calibri" w:hAnsi="Calibri"/>
                <w:color w:val="333333"/>
                <w:sz w:val="18"/>
              </w:rPr>
              <w:t>LOW (Score: 1/3) - Single geography 51%</w:t>
            </w:r>
          </w:p>
        </w:tc>
      </w:tr>
      <w:tr>
        <w:tc>
          <w:tcPr>
            <w:tcW w:type="dxa" w:w="5040"/>
          </w:tcPr>
          <w:p>
            <w:r>
              <w:rPr>
                <w:rFonts w:ascii="Calibri" w:hAnsi="Calibri"/>
                <w:color w:val="333333"/>
                <w:sz w:val="18"/>
              </w:rPr>
              <w:t>Key Person Risk</w:t>
            </w:r>
          </w:p>
        </w:tc>
        <w:tc>
          <w:tcPr>
            <w:tcW w:type="dxa" w:w="5040"/>
          </w:tcPr>
          <w:p>
            <w:r>
              <w:rPr>
                <w:rFonts w:ascii="Calibri" w:hAnsi="Calibri"/>
                <w:color w:val="333333"/>
                <w:sz w:val="18"/>
              </w:rPr>
              <w:t>LOW (Score: 0/3) - CEO tenure: 4yr</w:t>
            </w:r>
          </w:p>
        </w:tc>
      </w:tr>
      <w:tr>
        <w:tc>
          <w:tcPr>
            <w:tcW w:type="dxa" w:w="5040"/>
            <w:shd w:fill="F2F4F8" w:val="clear"/>
          </w:tcPr>
          <w:p>
            <w:r>
              <w:rPr>
                <w:rFonts w:ascii="Calibri" w:hAnsi="Calibri"/>
                <w:color w:val="333333"/>
                <w:sz w:val="18"/>
              </w:rPr>
              <w:t>Disruption Risk</w:t>
            </w:r>
          </w:p>
        </w:tc>
        <w:tc>
          <w:tcPr>
            <w:tcW w:type="dxa" w:w="5040"/>
            <w:shd w:fill="F2F4F8" w:val="clear"/>
          </w:tcPr>
          <w:p>
            <w:r>
              <w:rPr>
                <w:rFonts w:ascii="Calibri" w:hAnsi="Calibri"/>
                <w:color w:val="333333"/>
                <w:sz w:val="18"/>
              </w:rPr>
              <w:t>HIGH (4 threats) - Competitive pressures from global and local competitors, private-label brands.; Evolving sales channels and business models, including e-commerce and social commerce.; Technological advances by competitors.; Changing consumer habits and digital marketing platform evolution.</w:t>
            </w:r>
          </w:p>
        </w:tc>
      </w:tr>
    </w:tbl>
    <w:p>
      <w:pPr>
        <w:pStyle w:val="DOHeading3"/>
      </w:pPr>
      <w:r>
        <w:t>Segment Lifecycle</w:t>
      </w:r>
    </w:p>
    <w:tbl>
      <w:tblPr>
        <w:tblStyle w:val="TableGrid"/>
        <w:tblW w:type="auto" w:w="0"/>
        <w:tblLook w:firstColumn="1" w:firstRow="1" w:lastColumn="0" w:lastRow="0" w:noHBand="0" w:noVBand="1" w:val="04A0"/>
      </w:tblPr>
      <w:tblGrid>
        <w:gridCol w:w="3360"/>
        <w:gridCol w:w="3360"/>
        <w:gridCol w:w="3360"/>
      </w:tblGrid>
      <w:tr>
        <w:tc>
          <w:tcPr>
            <w:tcW w:type="dxa" w:w="3360"/>
            <w:shd w:fill="1A1446" w:val="clear"/>
          </w:tcPr>
          <w:p>
            <w:r>
              <w:rPr>
                <w:rFonts w:ascii="Calibri" w:hAnsi="Calibri"/>
                <w:b/>
                <w:color w:val="FFFFFF"/>
                <w:sz w:val="18"/>
              </w:rPr>
              <w:t>Segment</w:t>
            </w:r>
          </w:p>
        </w:tc>
        <w:tc>
          <w:tcPr>
            <w:tcW w:type="dxa" w:w="3360"/>
            <w:shd w:fill="1A1446" w:val="clear"/>
          </w:tcPr>
          <w:p>
            <w:r>
              <w:rPr>
                <w:rFonts w:ascii="Calibri" w:hAnsi="Calibri"/>
                <w:b/>
                <w:color w:val="FFFFFF"/>
                <w:sz w:val="18"/>
              </w:rPr>
              <w:t>Stage</w:t>
            </w:r>
          </w:p>
        </w:tc>
        <w:tc>
          <w:tcPr>
            <w:tcW w:type="dxa" w:w="3360"/>
            <w:shd w:fill="1A1446" w:val="clear"/>
          </w:tcPr>
          <w:p>
            <w:r>
              <w:rPr>
                <w:rFonts w:ascii="Calibri" w:hAnsi="Calibri"/>
                <w:b/>
                <w:color w:val="FFFFFF"/>
                <w:sz w:val="18"/>
              </w:rPr>
              <w:t>Growth Rate</w:t>
            </w:r>
          </w:p>
        </w:tc>
      </w:tr>
      <w:tr>
        <w:tc>
          <w:tcPr>
            <w:tcW w:type="dxa" w:w="3360"/>
          </w:tcPr>
          <w:p>
            <w:r>
              <w:rPr>
                <w:rFonts w:ascii="Calibri" w:hAnsi="Calibri"/>
                <w:color w:val="333333"/>
                <w:sz w:val="18"/>
              </w:rPr>
              <w:t>Beauty</w:t>
            </w:r>
          </w:p>
        </w:tc>
        <w:tc>
          <w:tcPr>
            <w:tcW w:type="dxa" w:w="3360"/>
          </w:tcPr>
          <w:p>
            <w:r>
              <w:rPr>
                <w:rFonts w:ascii="Calibri" w:hAnsi="Calibri"/>
                <w:color w:val="333333"/>
                <w:sz w:val="18"/>
              </w:rPr>
              <w:t>MATURE</w:t>
            </w:r>
          </w:p>
        </w:tc>
        <w:tc>
          <w:tcPr>
            <w:tcW w:type="dxa" w:w="3360"/>
          </w:tcPr>
          <w:p>
            <w:r>
              <w:rPr>
                <w:rFonts w:ascii="Calibri" w:hAnsi="Calibri"/>
                <w:color w:val="333333"/>
                <w:sz w:val="18"/>
              </w:rPr>
              <w:t>1.0%</w:t>
            </w:r>
          </w:p>
        </w:tc>
      </w:tr>
      <w:tr>
        <w:tc>
          <w:tcPr>
            <w:tcW w:type="dxa" w:w="3360"/>
            <w:shd w:fill="F2F4F8" w:val="clear"/>
          </w:tcPr>
          <w:p>
            <w:r>
              <w:rPr>
                <w:rFonts w:ascii="Calibri" w:hAnsi="Calibri"/>
                <w:color w:val="333333"/>
                <w:sz w:val="18"/>
              </w:rPr>
              <w:t>Grooming</w:t>
            </w:r>
          </w:p>
        </w:tc>
        <w:tc>
          <w:tcPr>
            <w:tcW w:type="dxa" w:w="3360"/>
            <w:shd w:fill="F2F4F8" w:val="clear"/>
          </w:tcPr>
          <w:p>
            <w:r>
              <w:rPr>
                <w:rFonts w:ascii="Calibri" w:hAnsi="Calibri"/>
                <w:color w:val="333333"/>
                <w:sz w:val="18"/>
              </w:rPr>
              <w:t>MATURE</w:t>
            </w:r>
          </w:p>
        </w:tc>
        <w:tc>
          <w:tcPr>
            <w:tcW w:type="dxa" w:w="3360"/>
            <w:shd w:fill="F2F4F8" w:val="clear"/>
          </w:tcPr>
          <w:p>
            <w:r>
              <w:rPr>
                <w:rFonts w:ascii="Calibri" w:hAnsi="Calibri"/>
                <w:color w:val="333333"/>
                <w:sz w:val="18"/>
              </w:rPr>
              <w:t>2.0%</w:t>
            </w:r>
          </w:p>
        </w:tc>
      </w:tr>
      <w:tr>
        <w:tc>
          <w:tcPr>
            <w:tcW w:type="dxa" w:w="3360"/>
          </w:tcPr>
          <w:p>
            <w:r>
              <w:rPr>
                <w:rFonts w:ascii="Calibri" w:hAnsi="Calibri"/>
                <w:color w:val="333333"/>
                <w:sz w:val="18"/>
              </w:rPr>
              <w:t>Health Care</w:t>
            </w:r>
          </w:p>
        </w:tc>
        <w:tc>
          <w:tcPr>
            <w:tcW w:type="dxa" w:w="3360"/>
          </w:tcPr>
          <w:p>
            <w:r>
              <w:rPr>
                <w:rFonts w:ascii="Calibri" w:hAnsi="Calibri"/>
                <w:color w:val="333333"/>
                <w:sz w:val="18"/>
              </w:rPr>
              <w:t>GROWTH</w:t>
            </w:r>
          </w:p>
        </w:tc>
        <w:tc>
          <w:tcPr>
            <w:tcW w:type="dxa" w:w="3360"/>
          </w:tcPr>
          <w:p>
            <w:r>
              <w:rPr>
                <w:rFonts w:ascii="Calibri" w:hAnsi="Calibri"/>
                <w:color w:val="333333"/>
                <w:sz w:val="18"/>
              </w:rPr>
              <w:t>3.0%</w:t>
            </w:r>
          </w:p>
        </w:tc>
      </w:tr>
      <w:tr>
        <w:tc>
          <w:tcPr>
            <w:tcW w:type="dxa" w:w="3360"/>
            <w:shd w:fill="F2F4F8" w:val="clear"/>
          </w:tcPr>
          <w:p>
            <w:r>
              <w:rPr>
                <w:rFonts w:ascii="Calibri" w:hAnsi="Calibri"/>
                <w:color w:val="333333"/>
                <w:sz w:val="18"/>
              </w:rPr>
              <w:t>Fabric &amp; Home Care</w:t>
            </w:r>
          </w:p>
        </w:tc>
        <w:tc>
          <w:tcPr>
            <w:tcW w:type="dxa" w:w="3360"/>
            <w:shd w:fill="F2F4F8" w:val="clear"/>
          </w:tcPr>
          <w:p>
            <w:r>
              <w:rPr>
                <w:rFonts w:ascii="Calibri" w:hAnsi="Calibri"/>
                <w:color w:val="333333"/>
                <w:sz w:val="18"/>
              </w:rPr>
              <w:t>MATURE</w:t>
            </w:r>
          </w:p>
        </w:tc>
        <w:tc>
          <w:tcPr>
            <w:tcW w:type="dxa" w:w="3360"/>
            <w:shd w:fill="F2F4F8" w:val="clear"/>
          </w:tcPr>
          <w:p>
            <w:r>
              <w:rPr>
                <w:rFonts w:ascii="Calibri" w:hAnsi="Calibri"/>
                <w:color w:val="333333"/>
                <w:sz w:val="18"/>
              </w:rPr>
              <w:t>2.0%</w:t>
            </w:r>
          </w:p>
        </w:tc>
      </w:tr>
      <w:tr>
        <w:tc>
          <w:tcPr>
            <w:tcW w:type="dxa" w:w="3360"/>
          </w:tcPr>
          <w:p>
            <w:r>
              <w:rPr>
                <w:rFonts w:ascii="Calibri" w:hAnsi="Calibri"/>
                <w:color w:val="333333"/>
                <w:sz w:val="18"/>
              </w:rPr>
              <w:t>Baby, Feminine &amp; Family Care</w:t>
            </w:r>
          </w:p>
        </w:tc>
        <w:tc>
          <w:tcPr>
            <w:tcW w:type="dxa" w:w="3360"/>
          </w:tcPr>
          <w:p>
            <w:r>
              <w:rPr>
                <w:rFonts w:ascii="Calibri" w:hAnsi="Calibri"/>
                <w:color w:val="333333"/>
                <w:sz w:val="18"/>
              </w:rPr>
              <w:t>MATURE</w:t>
            </w:r>
          </w:p>
        </w:tc>
        <w:tc>
          <w:tcPr>
            <w:tcW w:type="dxa" w:w="3360"/>
          </w:tcPr>
          <w:p>
            <w:r>
              <w:rPr>
                <w:rFonts w:ascii="Calibri" w:hAnsi="Calibri"/>
                <w:color w:val="333333"/>
                <w:sz w:val="18"/>
              </w:rPr>
              <w:t>1.0%</w:t>
            </w:r>
          </w:p>
        </w:tc>
      </w:tr>
    </w:tbl>
    <w:p>
      <w:pPr>
        <w:pStyle w:val="DOHeading3"/>
      </w:pPr>
      <w:r>
        <w:t>Segment Margins</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1A1446" w:val="clear"/>
          </w:tcPr>
          <w:p>
            <w:r>
              <w:rPr>
                <w:rFonts w:ascii="Calibri" w:hAnsi="Calibri"/>
                <w:b/>
                <w:color w:val="FFFFFF"/>
                <w:sz w:val="18"/>
              </w:rPr>
              <w:t>Segment</w:t>
            </w:r>
          </w:p>
        </w:tc>
        <w:tc>
          <w:tcPr>
            <w:tcW w:type="dxa" w:w="2520"/>
            <w:shd w:fill="1A1446" w:val="clear"/>
          </w:tcPr>
          <w:p>
            <w:r>
              <w:rPr>
                <w:rFonts w:ascii="Calibri" w:hAnsi="Calibri"/>
                <w:b/>
                <w:color w:val="FFFFFF"/>
                <w:sz w:val="18"/>
              </w:rPr>
              <w:t>Margin</w:t>
            </w:r>
          </w:p>
        </w:tc>
        <w:tc>
          <w:tcPr>
            <w:tcW w:type="dxa" w:w="2520"/>
            <w:shd w:fill="1A1446" w:val="clear"/>
          </w:tcPr>
          <w:p>
            <w:r>
              <w:rPr>
                <w:rFonts w:ascii="Calibri" w:hAnsi="Calibri"/>
                <w:b/>
                <w:color w:val="FFFFFF"/>
                <w:sz w:val="18"/>
              </w:rPr>
              <w:t>Prior</w:t>
            </w:r>
          </w:p>
        </w:tc>
        <w:tc>
          <w:tcPr>
            <w:tcW w:type="dxa" w:w="2520"/>
            <w:shd w:fill="1A1446" w:val="clear"/>
          </w:tcPr>
          <w:p>
            <w:r>
              <w:rPr>
                <w:rFonts w:ascii="Calibri" w:hAnsi="Calibri"/>
                <w:b/>
                <w:color w:val="FFFFFF"/>
                <w:sz w:val="18"/>
              </w:rPr>
              <w:t>Change (bps)</w:t>
            </w:r>
          </w:p>
        </w:tc>
      </w:tr>
      <w:tr>
        <w:tc>
          <w:tcPr>
            <w:tcW w:type="dxa" w:w="2520"/>
          </w:tcPr>
          <w:p>
            <w:r>
              <w:rPr>
                <w:rFonts w:ascii="Calibri" w:hAnsi="Calibri"/>
                <w:color w:val="333333"/>
                <w:sz w:val="18"/>
              </w:rPr>
              <w:t>Beauty</w:t>
            </w:r>
          </w:p>
        </w:tc>
        <w:tc>
          <w:tcPr>
            <w:tcW w:type="dxa" w:w="2520"/>
          </w:tcPr>
          <w:p>
            <w:r>
              <w:rPr>
                <w:rFonts w:ascii="Calibri" w:hAnsi="Calibri"/>
                <w:color w:val="333333"/>
                <w:sz w:val="18"/>
              </w:rPr>
              <w:t>18.1%</w:t>
            </w:r>
          </w:p>
        </w:tc>
        <w:tc>
          <w:tcPr>
            <w:tcW w:type="dxa" w:w="2520"/>
          </w:tcPr>
          <w:p>
            <w:r>
              <w:rPr>
                <w:rFonts w:ascii="Calibri" w:hAnsi="Calibri"/>
                <w:color w:val="333333"/>
                <w:sz w:val="18"/>
              </w:rPr>
              <w:t>19.5%</w:t>
            </w:r>
          </w:p>
        </w:tc>
        <w:tc>
          <w:tcPr>
            <w:tcW w:type="dxa" w:w="2520"/>
          </w:tcPr>
          <w:p>
            <w:r>
              <w:rPr>
                <w:rFonts w:ascii="Calibri" w:hAnsi="Calibri"/>
                <w:color w:val="333333"/>
                <w:sz w:val="18"/>
              </w:rPr>
              <w:t>-140</w:t>
            </w:r>
          </w:p>
        </w:tc>
      </w:tr>
      <w:tr>
        <w:tc>
          <w:tcPr>
            <w:tcW w:type="dxa" w:w="2520"/>
            <w:shd w:fill="F2F4F8" w:val="clear"/>
          </w:tcPr>
          <w:p>
            <w:r>
              <w:rPr>
                <w:rFonts w:ascii="Calibri" w:hAnsi="Calibri"/>
                <w:color w:val="333333"/>
                <w:sz w:val="18"/>
              </w:rPr>
              <w:t>Grooming</w:t>
            </w:r>
          </w:p>
        </w:tc>
        <w:tc>
          <w:tcPr>
            <w:tcW w:type="dxa" w:w="2520"/>
            <w:shd w:fill="F2F4F8" w:val="clear"/>
          </w:tcPr>
          <w:p>
            <w:r>
              <w:rPr>
                <w:rFonts w:ascii="Calibri" w:hAnsi="Calibri"/>
                <w:color w:val="333333"/>
                <w:sz w:val="18"/>
              </w:rPr>
              <w:t>23.7%</w:t>
            </w:r>
          </w:p>
        </w:tc>
        <w:tc>
          <w:tcPr>
            <w:tcW w:type="dxa" w:w="2520"/>
            <w:shd w:fill="F2F4F8" w:val="clear"/>
          </w:tcPr>
          <w:p>
            <w:r>
              <w:rPr>
                <w:rFonts w:ascii="Calibri" w:hAnsi="Calibri"/>
                <w:color w:val="333333"/>
                <w:sz w:val="18"/>
              </w:rPr>
              <w:t>22.2%</w:t>
            </w:r>
          </w:p>
        </w:tc>
        <w:tc>
          <w:tcPr>
            <w:tcW w:type="dxa" w:w="2520"/>
            <w:shd w:fill="F2F4F8" w:val="clear"/>
          </w:tcPr>
          <w:p>
            <w:r>
              <w:rPr>
                <w:rFonts w:ascii="Calibri" w:hAnsi="Calibri"/>
                <w:color w:val="333333"/>
                <w:sz w:val="18"/>
              </w:rPr>
              <w:t>150</w:t>
            </w:r>
          </w:p>
        </w:tc>
      </w:tr>
      <w:tr>
        <w:tc>
          <w:tcPr>
            <w:tcW w:type="dxa" w:w="2520"/>
          </w:tcPr>
          <w:p>
            <w:r>
              <w:rPr>
                <w:rFonts w:ascii="Calibri" w:hAnsi="Calibri"/>
                <w:color w:val="333333"/>
                <w:sz w:val="18"/>
              </w:rPr>
              <w:t>Health Care</w:t>
            </w:r>
          </w:p>
        </w:tc>
        <w:tc>
          <w:tcPr>
            <w:tcW w:type="dxa" w:w="2520"/>
          </w:tcPr>
          <w:p>
            <w:r>
              <w:rPr>
                <w:rFonts w:ascii="Calibri" w:hAnsi="Calibri"/>
                <w:color w:val="333333"/>
                <w:sz w:val="18"/>
              </w:rPr>
              <w:t>20.3%</w:t>
            </w:r>
          </w:p>
        </w:tc>
        <w:tc>
          <w:tcPr>
            <w:tcW w:type="dxa" w:w="2520"/>
          </w:tcPr>
          <w:p>
            <w:r>
              <w:rPr>
                <w:rFonts w:ascii="Calibri" w:hAnsi="Calibri"/>
                <w:color w:val="333333"/>
                <w:sz w:val="18"/>
              </w:rPr>
              <w:t>19.1%</w:t>
            </w:r>
          </w:p>
        </w:tc>
        <w:tc>
          <w:tcPr>
            <w:tcW w:type="dxa" w:w="2520"/>
          </w:tcPr>
          <w:p>
            <w:r>
              <w:rPr>
                <w:rFonts w:ascii="Calibri" w:hAnsi="Calibri"/>
                <w:color w:val="333333"/>
                <w:sz w:val="18"/>
              </w:rPr>
              <w:t>120</w:t>
            </w:r>
          </w:p>
        </w:tc>
      </w:tr>
      <w:tr>
        <w:tc>
          <w:tcPr>
            <w:tcW w:type="dxa" w:w="2520"/>
            <w:shd w:fill="F2F4F8" w:val="clear"/>
          </w:tcPr>
          <w:p>
            <w:r>
              <w:rPr>
                <w:rFonts w:ascii="Calibri" w:hAnsi="Calibri"/>
                <w:color w:val="333333"/>
                <w:sz w:val="18"/>
              </w:rPr>
              <w:t>Fabric &amp; Home Care</w:t>
            </w:r>
          </w:p>
        </w:tc>
        <w:tc>
          <w:tcPr>
            <w:tcW w:type="dxa" w:w="2520"/>
            <w:shd w:fill="F2F4F8" w:val="clear"/>
          </w:tcPr>
          <w:p>
            <w:r>
              <w:rPr>
                <w:rFonts w:ascii="Calibri" w:hAnsi="Calibri"/>
                <w:color w:val="333333"/>
                <w:sz w:val="18"/>
              </w:rPr>
              <w:t>19.7%</w:t>
            </w:r>
          </w:p>
        </w:tc>
        <w:tc>
          <w:tcPr>
            <w:tcW w:type="dxa" w:w="2520"/>
            <w:shd w:fill="F2F4F8" w:val="clear"/>
          </w:tcPr>
          <w:p>
            <w:r>
              <w:rPr>
                <w:rFonts w:ascii="Calibri" w:hAnsi="Calibri"/>
                <w:color w:val="333333"/>
                <w:sz w:val="18"/>
              </w:rPr>
              <w:t>19.3%</w:t>
            </w:r>
          </w:p>
        </w:tc>
        <w:tc>
          <w:tcPr>
            <w:tcW w:type="dxa" w:w="2520"/>
            <w:shd w:fill="F2F4F8" w:val="clear"/>
          </w:tcPr>
          <w:p>
            <w:r>
              <w:rPr>
                <w:rFonts w:ascii="Calibri" w:hAnsi="Calibri"/>
                <w:color w:val="333333"/>
                <w:sz w:val="18"/>
              </w:rPr>
              <w:t>40</w:t>
            </w:r>
          </w:p>
        </w:tc>
      </w:tr>
      <w:tr>
        <w:tc>
          <w:tcPr>
            <w:tcW w:type="dxa" w:w="2520"/>
          </w:tcPr>
          <w:p>
            <w:r>
              <w:rPr>
                <w:rFonts w:ascii="Calibri" w:hAnsi="Calibri"/>
                <w:color w:val="333333"/>
                <w:sz w:val="18"/>
              </w:rPr>
              <w:t>Baby, Feminine &amp; Family Care</w:t>
            </w:r>
          </w:p>
        </w:tc>
        <w:tc>
          <w:tcPr>
            <w:tcW w:type="dxa" w:w="2520"/>
          </w:tcPr>
          <w:p>
            <w:r>
              <w:rPr>
                <w:rFonts w:ascii="Calibri" w:hAnsi="Calibri"/>
                <w:color w:val="333333"/>
                <w:sz w:val="18"/>
              </w:rPr>
              <w:t>19.8%</w:t>
            </w:r>
          </w:p>
        </w:tc>
        <w:tc>
          <w:tcPr>
            <w:tcW w:type="dxa" w:w="2520"/>
          </w:tcPr>
          <w:p>
            <w:r>
              <w:rPr>
                <w:rFonts w:ascii="Calibri" w:hAnsi="Calibri"/>
                <w:color w:val="333333"/>
                <w:sz w:val="18"/>
              </w:rPr>
              <w:t>19.8%</w:t>
            </w:r>
          </w:p>
        </w:tc>
        <w:tc>
          <w:tcPr>
            <w:tcW w:type="dxa" w:w="2520"/>
          </w:tcPr>
          <w:p>
            <w:r>
              <w:rPr>
                <w:rFonts w:ascii="Calibri" w:hAnsi="Calibri"/>
                <w:color w:val="333333"/>
                <w:sz w:val="18"/>
              </w:rPr>
              <w:t>0</w:t>
            </w:r>
          </w:p>
        </w:tc>
      </w:tr>
    </w:tbl>
    <w:p>
      <w:pPr>
        <w:pStyle w:val="DOHeading2"/>
      </w:pPr>
      <w:r>
        <w:t>Operational Complexity</w:t>
      </w:r>
    </w:p>
    <w:p>
      <w:pPr>
        <w:pStyle w:val="DOBody"/>
      </w:pPr>
      <w:r>
        <w:rPr>
          <w:b/>
        </w:rPr>
        <w:t>Complexity Score: 109000/20 -- HIGH</w:t>
      </w:r>
      <w:r>
        <w:rPr>
          <w:b/>
          <w:color w:val="EA580C"/>
          <w:sz w:val="18"/>
        </w:rPr>
        <w:t xml:space="preserve"> [HIGH]</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Component</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Jurisdictions</w:t>
            </w:r>
          </w:p>
        </w:tc>
        <w:tc>
          <w:tcPr>
            <w:tcW w:type="dxa" w:w="5040"/>
          </w:tcPr>
          <w:p>
            <w:r>
              <w:rPr>
                <w:rFonts w:ascii="Calibri" w:hAnsi="Calibri"/>
                <w:color w:val="333333"/>
                <w:sz w:val="18"/>
              </w:rPr>
              <w:t>0 (0 high-regulatory)</w:t>
            </w:r>
          </w:p>
        </w:tc>
      </w:tr>
      <w:tr>
        <w:tc>
          <w:tcPr>
            <w:tcW w:type="dxa" w:w="5040"/>
            <w:shd w:fill="F2F4F8" w:val="clear"/>
          </w:tcPr>
          <w:p>
            <w:r>
              <w:rPr>
                <w:rFonts w:ascii="Calibri" w:hAnsi="Calibri"/>
                <w:color w:val="333333"/>
                <w:sz w:val="18"/>
              </w:rPr>
              <w:t>Workforce</w:t>
            </w:r>
          </w:p>
        </w:tc>
        <w:tc>
          <w:tcPr>
            <w:tcW w:type="dxa" w:w="5040"/>
            <w:shd w:fill="F2F4F8" w:val="clear"/>
          </w:tcPr>
          <w:p>
            <w:r>
              <w:rPr>
                <w:rFonts w:ascii="Calibri" w:hAnsi="Calibri"/>
                <w:color w:val="333333"/>
                <w:sz w:val="18"/>
              </w:rPr>
              <w:t>109,000</w:t>
            </w:r>
          </w:p>
        </w:tc>
      </w:tr>
      <w:tr>
        <w:tc>
          <w:tcPr>
            <w:tcW w:type="dxa" w:w="5040"/>
          </w:tcPr>
          <w:p>
            <w:r>
              <w:rPr>
                <w:rFonts w:ascii="Calibri" w:hAnsi="Calibri"/>
                <w:color w:val="333333"/>
                <w:sz w:val="18"/>
              </w:rPr>
              <w:t>Segments</w:t>
            </w:r>
          </w:p>
        </w:tc>
        <w:tc>
          <w:tcPr>
            <w:tcW w:type="dxa" w:w="5040"/>
          </w:tcPr>
          <w:p>
            <w:r>
              <w:rPr>
                <w:rFonts w:ascii="Calibri" w:hAnsi="Calibri"/>
                <w:color w:val="333333"/>
                <w:sz w:val="18"/>
              </w:rPr>
              <w:t>5</w:t>
            </w:r>
          </w:p>
        </w:tc>
      </w:tr>
      <w:tr>
        <w:tc>
          <w:tcPr>
            <w:tcW w:type="dxa" w:w="5040"/>
            <w:shd w:fill="F2F4F8" w:val="clear"/>
          </w:tcPr>
          <w:p>
            <w:r>
              <w:rPr>
                <w:rFonts w:ascii="Calibri" w:hAnsi="Calibri"/>
                <w:color w:val="333333"/>
                <w:sz w:val="18"/>
              </w:rPr>
              <w:t>Geographic Concentration</w:t>
            </w:r>
          </w:p>
        </w:tc>
        <w:tc>
          <w:tcPr>
            <w:tcW w:type="dxa" w:w="5040"/>
            <w:shd w:fill="F2F4F8" w:val="clear"/>
          </w:tcPr>
          <w:p>
            <w:r>
              <w:rPr>
                <w:rFonts w:ascii="Calibri" w:hAnsi="Calibri"/>
                <w:color w:val="333333"/>
                <w:sz w:val="18"/>
              </w:rPr>
              <w:t>0/100</w:t>
            </w:r>
          </w:p>
        </w:tc>
      </w:tr>
      <w:tr>
        <w:tc>
          <w:tcPr>
            <w:tcW w:type="dxa" w:w="5040"/>
          </w:tcPr>
          <w:p>
            <w:r>
              <w:rPr>
                <w:rFonts w:ascii="Calibri" w:hAnsi="Calibri"/>
                <w:color w:val="333333"/>
                <w:sz w:val="18"/>
              </w:rPr>
              <w:t>Supply Chain</w:t>
            </w:r>
          </w:p>
        </w:tc>
        <w:tc>
          <w:tcPr>
            <w:tcW w:type="dxa" w:w="5040"/>
          </w:tcPr>
          <w:p>
            <w:r>
              <w:rPr>
                <w:rFonts w:ascii="Calibri" w:hAnsi="Calibri"/>
                <w:color w:val="333333"/>
                <w:sz w:val="18"/>
              </w:rPr>
              <w:t>shallow</w:t>
            </w:r>
          </w:p>
        </w:tc>
      </w:tr>
      <w:tr>
        <w:tc>
          <w:tcPr>
            <w:tcW w:type="dxa" w:w="5040"/>
            <w:shd w:fill="F2F4F8" w:val="clear"/>
          </w:tcPr>
          <w:p>
            <w:r>
              <w:rPr>
                <w:rFonts w:ascii="Calibri" w:hAnsi="Calibri"/>
                <w:color w:val="333333"/>
                <w:sz w:val="18"/>
              </w:rPr>
              <w:t>Overall Resilience</w:t>
            </w:r>
          </w:p>
        </w:tc>
        <w:tc>
          <w:tcPr>
            <w:tcW w:type="dxa" w:w="5040"/>
            <w:shd w:fill="F2F4F8" w:val="clear"/>
          </w:tcPr>
          <w:p>
            <w:r>
              <w:rPr>
                <w:rFonts w:ascii="Calibri" w:hAnsi="Calibri"/>
                <w:color w:val="333333"/>
                <w:sz w:val="18"/>
              </w:rPr>
              <w:t>ADEQUATE</w:t>
            </w:r>
          </w:p>
        </w:tc>
      </w:tr>
    </w:tbl>
    <w:p>
      <w:pPr>
        <w:pStyle w:val="DOCaption"/>
      </w:pPr>
      <w:r>
        <w:t>Structural Indicators: [ ] VIE / SPE  |  [ ] Dual-Class  |  [ ] Holding Depth  |  [ ] OBS Exposure</w:t>
      </w:r>
    </w:p>
    <w:p>
      <w:pPr>
        <w:pStyle w:val="DOHeading2"/>
      </w:pPr>
      <w:r>
        <w:t>Corporate Events &amp; Transaction Risk</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Event Type</w:t>
            </w:r>
          </w:p>
        </w:tc>
        <w:tc>
          <w:tcPr>
            <w:tcW w:type="dxa" w:w="5040"/>
            <w:shd w:fill="1A1446" w:val="clear"/>
          </w:tcPr>
          <w:p>
            <w:r>
              <w:rPr>
                <w:rFonts w:ascii="Calibri" w:hAnsi="Calibri"/>
                <w:b/>
                <w:color w:val="FFFFFF"/>
                <w:sz w:val="18"/>
              </w:rPr>
              <w:t>Assessment</w:t>
            </w:r>
          </w:p>
        </w:tc>
      </w:tr>
      <w:tr>
        <w:tc>
          <w:tcPr>
            <w:tcW w:type="dxa" w:w="5040"/>
          </w:tcPr>
          <w:p>
            <w:r>
              <w:rPr>
                <w:rFonts w:ascii="Calibri" w:hAnsi="Calibri"/>
                <w:color w:val="333333"/>
                <w:sz w:val="18"/>
              </w:rPr>
              <w:t>M&amp;A Activity</w:t>
            </w:r>
          </w:p>
        </w:tc>
        <w:tc>
          <w:tcPr>
            <w:tcW w:type="dxa" w:w="5040"/>
          </w:tcPr>
          <w:p>
            <w:r>
              <w:rPr>
                <w:rFonts w:ascii="Calibri" w:hAnsi="Calibri"/>
                <w:color w:val="333333"/>
                <w:sz w:val="18"/>
              </w:rPr>
              <w:t>MODERATE (Score: 2/4) | 2 acquisition years | Goodwill growth: 1146.4% | Acq/Rev: 0.0%</w:t>
            </w:r>
          </w:p>
        </w:tc>
      </w:tr>
    </w:tbl>
    <w:p>
      <w:pPr>
        <w:pStyle w:val="DOBody"/>
      </w:pPr>
      <w:r>
        <w:rPr>
          <w:b/>
        </w:rPr>
        <w:t>Business Changes:</w:t>
      </w:r>
    </w:p>
    <w:p>
      <w:pPr>
        <w:pStyle w:val="DOBody"/>
      </w:pPr>
      <w:r>
        <w:t xml:space="preserve">  - 21 current event filings (8-K), most recent 2026-01-22</w:t>
      </w:r>
    </w:p>
    <w:p>
      <w:pPr>
        <w:pStyle w:val="DOBody"/>
      </w:pPr>
      <w:r>
        <w:t xml:space="preserve">  - M&amp;A activity indicated (acquisition, divestiture, restructuring)</w:t>
      </w:r>
    </w:p>
    <w:p>
      <w:pPr>
        <w:pStyle w:val="DOHeading2"/>
      </w:pPr>
      <w:r>
        <w:t>Structural Complexity</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Dimension</w:t>
            </w:r>
          </w:p>
        </w:tc>
        <w:tc>
          <w:tcPr>
            <w:tcW w:type="dxa" w:w="5040"/>
            <w:shd w:fill="1A1446" w:val="clear"/>
          </w:tcPr>
          <w:p>
            <w:r>
              <w:rPr>
                <w:rFonts w:ascii="Calibri" w:hAnsi="Calibri"/>
                <w:b/>
                <w:color w:val="FFFFFF"/>
                <w:sz w:val="18"/>
              </w:rPr>
              <w:t>Assessment</w:t>
            </w:r>
          </w:p>
        </w:tc>
      </w:tr>
      <w:tr>
        <w:tc>
          <w:tcPr>
            <w:tcW w:type="dxa" w:w="5040"/>
          </w:tcPr>
          <w:p>
            <w:r>
              <w:rPr>
                <w:rFonts w:ascii="Calibri" w:hAnsi="Calibri"/>
                <w:color w:val="333333"/>
                <w:sz w:val="18"/>
              </w:rPr>
              <w:t>Disclosure Complexity</w:t>
            </w:r>
          </w:p>
        </w:tc>
        <w:tc>
          <w:tcPr>
            <w:tcW w:type="dxa" w:w="5040"/>
          </w:tcPr>
          <w:p>
            <w:r>
              <w:rPr>
                <w:rFonts w:ascii="Calibri" w:hAnsi="Calibri"/>
                <w:color w:val="333333"/>
                <w:sz w:val="18"/>
              </w:rPr>
              <w:t>LOW</w:t>
            </w:r>
          </w:p>
        </w:tc>
      </w:tr>
      <w:tr>
        <w:tc>
          <w:tcPr>
            <w:tcW w:type="dxa" w:w="5040"/>
            <w:shd w:fill="F2F4F8" w:val="clear"/>
          </w:tcPr>
          <w:p>
            <w:r>
              <w:rPr>
                <w:rFonts w:ascii="Calibri" w:hAnsi="Calibri"/>
                <w:color w:val="333333"/>
                <w:sz w:val="18"/>
              </w:rPr>
              <w:t>Non-GAAP Usage</w:t>
            </w:r>
          </w:p>
        </w:tc>
        <w:tc>
          <w:tcPr>
            <w:tcW w:type="dxa" w:w="5040"/>
            <w:shd w:fill="F2F4F8" w:val="clear"/>
          </w:tcPr>
          <w:p>
            <w:r>
              <w:rPr>
                <w:rFonts w:ascii="Calibri" w:hAnsi="Calibri"/>
                <w:color w:val="333333"/>
                <w:sz w:val="18"/>
              </w:rPr>
              <w:t>HIGH (8)</w:t>
            </w:r>
          </w:p>
        </w:tc>
      </w:tr>
      <w:tr>
        <w:tc>
          <w:tcPr>
            <w:tcW w:type="dxa" w:w="5040"/>
          </w:tcPr>
          <w:p>
            <w:r>
              <w:rPr>
                <w:rFonts w:ascii="Calibri" w:hAnsi="Calibri"/>
                <w:color w:val="333333"/>
                <w:sz w:val="18"/>
              </w:rPr>
              <w:t>Related Party Density</w:t>
            </w:r>
          </w:p>
        </w:tc>
        <w:tc>
          <w:tcPr>
            <w:tcW w:type="dxa" w:w="5040"/>
          </w:tcPr>
          <w:p>
            <w:r>
              <w:rPr>
                <w:rFonts w:ascii="Calibri" w:hAnsi="Calibri"/>
                <w:color w:val="333333"/>
                <w:sz w:val="18"/>
              </w:rPr>
              <w:t>LOW</w:t>
            </w:r>
          </w:p>
        </w:tc>
      </w:tr>
      <w:tr>
        <w:tc>
          <w:tcPr>
            <w:tcW w:type="dxa" w:w="5040"/>
            <w:shd w:fill="F2F4F8" w:val="clear"/>
          </w:tcPr>
          <w:p>
            <w:r>
              <w:rPr>
                <w:rFonts w:ascii="Calibri" w:hAnsi="Calibri"/>
                <w:color w:val="333333"/>
                <w:sz w:val="18"/>
              </w:rPr>
              <w:t>Off-Balance-Sheet Exposure</w:t>
            </w:r>
          </w:p>
        </w:tc>
        <w:tc>
          <w:tcPr>
            <w:tcW w:type="dxa" w:w="5040"/>
            <w:shd w:fill="F2F4F8" w:val="clear"/>
          </w:tcPr>
          <w:p>
            <w:r>
              <w:rPr>
                <w:rFonts w:ascii="Calibri" w:hAnsi="Calibri"/>
                <w:color w:val="333333"/>
                <w:sz w:val="18"/>
              </w:rPr>
              <w:t>LOW</w:t>
            </w:r>
          </w:p>
        </w:tc>
      </w:tr>
      <w:tr>
        <w:tc>
          <w:tcPr>
            <w:tcW w:type="dxa" w:w="5040"/>
          </w:tcPr>
          <w:p>
            <w:r>
              <w:rPr>
                <w:rFonts w:ascii="Calibri" w:hAnsi="Calibri"/>
                <w:color w:val="333333"/>
                <w:sz w:val="18"/>
              </w:rPr>
              <w:t>Holding Structure Depth</w:t>
            </w:r>
          </w:p>
        </w:tc>
        <w:tc>
          <w:tcPr>
            <w:tcW w:type="dxa" w:w="5040"/>
          </w:tcPr>
          <w:p>
            <w:r>
              <w:rPr>
                <w:rFonts w:ascii="Calibri" w:hAnsi="Calibri"/>
                <w:color w:val="333333"/>
                <w:sz w:val="18"/>
              </w:rPr>
              <w:t>LOW</w:t>
            </w:r>
          </w:p>
        </w:tc>
      </w:tr>
    </w:tbl>
    <w:p>
      <w:pPr>
        <w:pStyle w:val="DOHeading3"/>
      </w:pPr>
      <w:r>
        <w:t>Peer Group Comparison</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1A1446" w:val="clear"/>
          </w:tcPr>
          <w:p>
            <w:r>
              <w:rPr>
                <w:rFonts w:ascii="Calibri" w:hAnsi="Calibri"/>
                <w:b/>
                <w:color w:val="FFFFFF"/>
                <w:sz w:val="18"/>
              </w:rPr>
              <w:t>Ticker</w:t>
            </w:r>
          </w:p>
        </w:tc>
        <w:tc>
          <w:tcPr>
            <w:tcW w:type="dxa" w:w="2016"/>
            <w:shd w:fill="1A1446" w:val="clear"/>
          </w:tcPr>
          <w:p>
            <w:r>
              <w:rPr>
                <w:rFonts w:ascii="Calibri" w:hAnsi="Calibri"/>
                <w:b/>
                <w:color w:val="FFFFFF"/>
                <w:sz w:val="18"/>
              </w:rPr>
              <w:t>Name</w:t>
            </w:r>
          </w:p>
        </w:tc>
        <w:tc>
          <w:tcPr>
            <w:tcW w:type="dxa" w:w="2016"/>
            <w:shd w:fill="1A1446" w:val="clear"/>
          </w:tcPr>
          <w:p>
            <w:r>
              <w:rPr>
                <w:rFonts w:ascii="Calibri" w:hAnsi="Calibri"/>
                <w:b/>
                <w:color w:val="FFFFFF"/>
                <w:sz w:val="18"/>
              </w:rPr>
              <w:t>Market Cap</w:t>
            </w:r>
          </w:p>
        </w:tc>
        <w:tc>
          <w:tcPr>
            <w:tcW w:type="dxa" w:w="2016"/>
            <w:shd w:fill="1A1446" w:val="clear"/>
          </w:tcPr>
          <w:p>
            <w:r>
              <w:rPr>
                <w:rFonts w:ascii="Calibri" w:hAnsi="Calibri"/>
                <w:b/>
                <w:color w:val="FFFFFF"/>
                <w:sz w:val="18"/>
              </w:rPr>
              <w:t>Quality Score</w:t>
            </w:r>
          </w:p>
        </w:tc>
        <w:tc>
          <w:tcPr>
            <w:tcW w:type="dxa" w:w="2016"/>
            <w:shd w:fill="1A1446" w:val="clear"/>
          </w:tcPr>
          <w:p>
            <w:r>
              <w:rPr>
                <w:rFonts w:ascii="Calibri" w:hAnsi="Calibri"/>
                <w:b/>
                <w:color w:val="FFFFFF"/>
                <w:sz w:val="18"/>
              </w:rPr>
              <w:t>Similarity</w:t>
            </w:r>
          </w:p>
        </w:tc>
      </w:tr>
      <w:tr>
        <w:tc>
          <w:tcPr>
            <w:tcW w:type="dxa" w:w="2016"/>
          </w:tcPr>
          <w:p>
            <w:r>
              <w:rPr>
                <w:rFonts w:ascii="Calibri" w:hAnsi="Calibri"/>
                <w:color w:val="333333"/>
                <w:sz w:val="18"/>
              </w:rPr>
              <w:t>KO</w:t>
            </w:r>
          </w:p>
        </w:tc>
        <w:tc>
          <w:tcPr>
            <w:tcW w:type="dxa" w:w="2016"/>
          </w:tcPr>
          <w:p>
            <w:r>
              <w:rPr>
                <w:rFonts w:ascii="Calibri" w:hAnsi="Calibri"/>
                <w:color w:val="333333"/>
                <w:sz w:val="18"/>
              </w:rPr>
              <w:t>Coca-Cola Company (The)</w:t>
            </w:r>
          </w:p>
        </w:tc>
        <w:tc>
          <w:tcPr>
            <w:tcW w:type="dxa" w:w="2016"/>
          </w:tcPr>
          <w:p>
            <w:r>
              <w:rPr>
                <w:rFonts w:ascii="Calibri" w:hAnsi="Calibri"/>
                <w:color w:val="333333"/>
                <w:sz w:val="18"/>
              </w:rPr>
              <w:t>$330.2B</w:t>
            </w:r>
          </w:p>
        </w:tc>
        <w:tc>
          <w:tcPr>
            <w:tcW w:type="dxa" w:w="2016"/>
          </w:tcPr>
          <w:p>
            <w:r>
              <w:rPr>
                <w:rFonts w:ascii="Calibri" w:hAnsi="Calibri"/>
                <w:color w:val="333333"/>
                <w:sz w:val="18"/>
              </w:rPr>
              <w:t>N/A</w:t>
            </w:r>
          </w:p>
        </w:tc>
        <w:tc>
          <w:tcPr>
            <w:tcW w:type="dxa" w:w="2016"/>
          </w:tcPr>
          <w:p>
            <w:r>
              <w:rPr>
                <w:rFonts w:ascii="Calibri" w:hAnsi="Calibri"/>
                <w:color w:val="333333"/>
                <w:sz w:val="18"/>
              </w:rPr>
              <w:t>Sector Etf / 44%</w:t>
            </w:r>
          </w:p>
        </w:tc>
      </w:tr>
      <w:tr>
        <w:tc>
          <w:tcPr>
            <w:tcW w:type="dxa" w:w="2016"/>
            <w:shd w:fill="F2F4F8" w:val="clear"/>
          </w:tcPr>
          <w:p>
            <w:r>
              <w:rPr>
                <w:rFonts w:ascii="Calibri" w:hAnsi="Calibri"/>
                <w:color w:val="333333"/>
                <w:sz w:val="18"/>
              </w:rPr>
              <w:t>PEP</w:t>
            </w:r>
          </w:p>
        </w:tc>
        <w:tc>
          <w:tcPr>
            <w:tcW w:type="dxa" w:w="2016"/>
            <w:shd w:fill="F2F4F8" w:val="clear"/>
          </w:tcPr>
          <w:p>
            <w:r>
              <w:rPr>
                <w:rFonts w:ascii="Calibri" w:hAnsi="Calibri"/>
                <w:color w:val="333333"/>
                <w:sz w:val="18"/>
              </w:rPr>
              <w:t>Pepsico, Inc.</w:t>
            </w:r>
          </w:p>
        </w:tc>
        <w:tc>
          <w:tcPr>
            <w:tcW w:type="dxa" w:w="2016"/>
            <w:shd w:fill="F2F4F8" w:val="clear"/>
          </w:tcPr>
          <w:p>
            <w:r>
              <w:rPr>
                <w:rFonts w:ascii="Calibri" w:hAnsi="Calibri"/>
                <w:color w:val="333333"/>
                <w:sz w:val="18"/>
              </w:rPr>
              <w:t>$214.6B</w:t>
            </w:r>
          </w:p>
        </w:tc>
        <w:tc>
          <w:tcPr>
            <w:tcW w:type="dxa" w:w="2016"/>
            <w:shd w:fill="F2F4F8" w:val="clear"/>
          </w:tcPr>
          <w:p>
            <w:r>
              <w:rPr>
                <w:rFonts w:ascii="Calibri" w:hAnsi="Calibri"/>
                <w:color w:val="333333"/>
                <w:sz w:val="18"/>
              </w:rPr>
              <w:t>N/A</w:t>
            </w:r>
          </w:p>
        </w:tc>
        <w:tc>
          <w:tcPr>
            <w:tcW w:type="dxa" w:w="2016"/>
            <w:shd w:fill="F2F4F8" w:val="clear"/>
          </w:tcPr>
          <w:p>
            <w:r>
              <w:rPr>
                <w:rFonts w:ascii="Calibri" w:hAnsi="Calibri"/>
                <w:color w:val="333333"/>
                <w:sz w:val="18"/>
              </w:rPr>
              <w:t>Sector Etf / 32%</w:t>
            </w:r>
          </w:p>
        </w:tc>
      </w:tr>
      <w:tr>
        <w:tc>
          <w:tcPr>
            <w:tcW w:type="dxa" w:w="2016"/>
          </w:tcPr>
          <w:p>
            <w:r>
              <w:rPr>
                <w:rFonts w:ascii="Calibri" w:hAnsi="Calibri"/>
                <w:color w:val="333333"/>
                <w:sz w:val="18"/>
              </w:rPr>
              <w:t>COST</w:t>
            </w:r>
          </w:p>
        </w:tc>
        <w:tc>
          <w:tcPr>
            <w:tcW w:type="dxa" w:w="2016"/>
          </w:tcPr>
          <w:p>
            <w:r>
              <w:rPr>
                <w:rFonts w:ascii="Calibri" w:hAnsi="Calibri"/>
                <w:color w:val="333333"/>
                <w:sz w:val="18"/>
              </w:rPr>
              <w:t>Costco Wholesale Corporation</w:t>
            </w:r>
          </w:p>
        </w:tc>
        <w:tc>
          <w:tcPr>
            <w:tcW w:type="dxa" w:w="2016"/>
          </w:tcPr>
          <w:p>
            <w:r>
              <w:rPr>
                <w:rFonts w:ascii="Calibri" w:hAnsi="Calibri"/>
                <w:color w:val="333333"/>
                <w:sz w:val="18"/>
              </w:rPr>
              <w:t>$450.5B</w:t>
            </w:r>
          </w:p>
        </w:tc>
        <w:tc>
          <w:tcPr>
            <w:tcW w:type="dxa" w:w="2016"/>
          </w:tcPr>
          <w:p>
            <w:r>
              <w:rPr>
                <w:rFonts w:ascii="Calibri" w:hAnsi="Calibri"/>
                <w:color w:val="333333"/>
                <w:sz w:val="18"/>
              </w:rPr>
              <w:t>N/A</w:t>
            </w:r>
          </w:p>
        </w:tc>
        <w:tc>
          <w:tcPr>
            <w:tcW w:type="dxa" w:w="2016"/>
          </w:tcPr>
          <w:p>
            <w:r>
              <w:rPr>
                <w:rFonts w:ascii="Calibri" w:hAnsi="Calibri"/>
                <w:color w:val="333333"/>
                <w:sz w:val="18"/>
              </w:rPr>
              <w:t>Sector Etf / 32%</w:t>
            </w:r>
          </w:p>
        </w:tc>
      </w:tr>
      <w:tr>
        <w:tc>
          <w:tcPr>
            <w:tcW w:type="dxa" w:w="2016"/>
            <w:shd w:fill="F2F4F8" w:val="clear"/>
          </w:tcPr>
          <w:p>
            <w:r>
              <w:rPr>
                <w:rFonts w:ascii="Calibri" w:hAnsi="Calibri"/>
                <w:color w:val="333333"/>
                <w:sz w:val="18"/>
              </w:rPr>
              <w:t>WMT</w:t>
            </w:r>
          </w:p>
        </w:tc>
        <w:tc>
          <w:tcPr>
            <w:tcW w:type="dxa" w:w="2016"/>
            <w:shd w:fill="F2F4F8" w:val="clear"/>
          </w:tcPr>
          <w:p>
            <w:r>
              <w:rPr>
                <w:rFonts w:ascii="Calibri" w:hAnsi="Calibri"/>
                <w:color w:val="333333"/>
                <w:sz w:val="18"/>
              </w:rPr>
              <w:t>Walmart Inc.</w:t>
            </w:r>
          </w:p>
        </w:tc>
        <w:tc>
          <w:tcPr>
            <w:tcW w:type="dxa" w:w="2016"/>
            <w:shd w:fill="F2F4F8" w:val="clear"/>
          </w:tcPr>
          <w:p>
            <w:r>
              <w:rPr>
                <w:rFonts w:ascii="Calibri" w:hAnsi="Calibri"/>
                <w:color w:val="333333"/>
                <w:sz w:val="18"/>
              </w:rPr>
              <w:t>$1.0T</w:t>
            </w:r>
          </w:p>
        </w:tc>
        <w:tc>
          <w:tcPr>
            <w:tcW w:type="dxa" w:w="2016"/>
            <w:shd w:fill="F2F4F8" w:val="clear"/>
          </w:tcPr>
          <w:p>
            <w:r>
              <w:rPr>
                <w:rFonts w:ascii="Calibri" w:hAnsi="Calibri"/>
                <w:color w:val="333333"/>
                <w:sz w:val="18"/>
              </w:rPr>
              <w:t>N/A</w:t>
            </w:r>
          </w:p>
        </w:tc>
        <w:tc>
          <w:tcPr>
            <w:tcW w:type="dxa" w:w="2016"/>
            <w:shd w:fill="F2F4F8" w:val="clear"/>
          </w:tcPr>
          <w:p>
            <w:r>
              <w:rPr>
                <w:rFonts w:ascii="Calibri" w:hAnsi="Calibri"/>
                <w:color w:val="333333"/>
                <w:sz w:val="18"/>
              </w:rPr>
              <w:t>Sector Etf / 13%</w:t>
            </w:r>
          </w:p>
        </w:tc>
      </w:tr>
      <w:tr>
        <w:tc>
          <w:tcPr>
            <w:tcW w:type="dxa" w:w="2016"/>
          </w:tcPr>
          <w:p>
            <w:r>
              <w:rPr>
                <w:rFonts w:ascii="Calibri" w:hAnsi="Calibri"/>
                <w:color w:val="333333"/>
                <w:sz w:val="18"/>
              </w:rPr>
              <w:t>PM</w:t>
            </w:r>
          </w:p>
        </w:tc>
        <w:tc>
          <w:tcPr>
            <w:tcW w:type="dxa" w:w="2016"/>
          </w:tcPr>
          <w:p>
            <w:r>
              <w:rPr>
                <w:rFonts w:ascii="Calibri" w:hAnsi="Calibri"/>
                <w:color w:val="333333"/>
                <w:sz w:val="18"/>
              </w:rPr>
              <w:t>Philip Morris International Inc</w:t>
            </w:r>
          </w:p>
        </w:tc>
        <w:tc>
          <w:tcPr>
            <w:tcW w:type="dxa" w:w="2016"/>
          </w:tcPr>
          <w:p>
            <w:r>
              <w:rPr>
                <w:rFonts w:ascii="Calibri" w:hAnsi="Calibri"/>
                <w:color w:val="333333"/>
                <w:sz w:val="18"/>
              </w:rPr>
              <w:t>$246.4B</w:t>
            </w:r>
          </w:p>
        </w:tc>
        <w:tc>
          <w:tcPr>
            <w:tcW w:type="dxa" w:w="2016"/>
          </w:tcPr>
          <w:p>
            <w:r>
              <w:rPr>
                <w:rFonts w:ascii="Calibri" w:hAnsi="Calibri"/>
                <w:color w:val="333333"/>
                <w:sz w:val="18"/>
              </w:rPr>
              <w:t>N/A</w:t>
            </w:r>
          </w:p>
        </w:tc>
        <w:tc>
          <w:tcPr>
            <w:tcW w:type="dxa" w:w="2016"/>
          </w:tcPr>
          <w:p>
            <w:r>
              <w:rPr>
                <w:rFonts w:ascii="Calibri" w:hAnsi="Calibri"/>
                <w:color w:val="333333"/>
                <w:sz w:val="18"/>
              </w:rPr>
              <w:t>Sector Etf / 30%</w:t>
            </w:r>
          </w:p>
        </w:tc>
      </w:tr>
      <w:tr>
        <w:tc>
          <w:tcPr>
            <w:tcW w:type="dxa" w:w="2016"/>
            <w:shd w:fill="F2F4F8" w:val="clear"/>
          </w:tcPr>
          <w:p>
            <w:r>
              <w:rPr>
                <w:rFonts w:ascii="Calibri" w:hAnsi="Calibri"/>
                <w:color w:val="333333"/>
                <w:sz w:val="18"/>
              </w:rPr>
              <w:t>MO</w:t>
            </w:r>
          </w:p>
        </w:tc>
        <w:tc>
          <w:tcPr>
            <w:tcW w:type="dxa" w:w="2016"/>
            <w:shd w:fill="F2F4F8" w:val="clear"/>
          </w:tcPr>
          <w:p>
            <w:r>
              <w:rPr>
                <w:rFonts w:ascii="Calibri" w:hAnsi="Calibri"/>
                <w:color w:val="333333"/>
                <w:sz w:val="18"/>
              </w:rPr>
              <w:t>Altria Group, Inc.</w:t>
            </w:r>
          </w:p>
        </w:tc>
        <w:tc>
          <w:tcPr>
            <w:tcW w:type="dxa" w:w="2016"/>
            <w:shd w:fill="F2F4F8" w:val="clear"/>
          </w:tcPr>
          <w:p>
            <w:r>
              <w:rPr>
                <w:rFonts w:ascii="Calibri" w:hAnsi="Calibri"/>
                <w:color w:val="333333"/>
                <w:sz w:val="18"/>
              </w:rPr>
              <w:t>$110.4B</w:t>
            </w:r>
          </w:p>
        </w:tc>
        <w:tc>
          <w:tcPr>
            <w:tcW w:type="dxa" w:w="2016"/>
            <w:shd w:fill="F2F4F8" w:val="clear"/>
          </w:tcPr>
          <w:p>
            <w:r>
              <w:rPr>
                <w:rFonts w:ascii="Calibri" w:hAnsi="Calibri"/>
                <w:color w:val="333333"/>
                <w:sz w:val="18"/>
              </w:rPr>
              <w:t>N/A</w:t>
            </w:r>
          </w:p>
        </w:tc>
        <w:tc>
          <w:tcPr>
            <w:tcW w:type="dxa" w:w="2016"/>
            <w:shd w:fill="F2F4F8" w:val="clear"/>
          </w:tcPr>
          <w:p>
            <w:r>
              <w:rPr>
                <w:rFonts w:ascii="Calibri" w:hAnsi="Calibri"/>
                <w:color w:val="333333"/>
                <w:sz w:val="18"/>
              </w:rPr>
              <w:t>Sector Etf / 14%</w:t>
            </w:r>
          </w:p>
        </w:tc>
      </w:tr>
      <w:tr>
        <w:tc>
          <w:tcPr>
            <w:tcW w:type="dxa" w:w="2016"/>
          </w:tcPr>
          <w:p>
            <w:r>
              <w:rPr>
                <w:rFonts w:ascii="Calibri" w:hAnsi="Calibri"/>
                <w:color w:val="333333"/>
                <w:sz w:val="18"/>
              </w:rPr>
              <w:t>CL</w:t>
            </w:r>
          </w:p>
        </w:tc>
        <w:tc>
          <w:tcPr>
            <w:tcW w:type="dxa" w:w="2016"/>
          </w:tcPr>
          <w:p>
            <w:r>
              <w:rPr>
                <w:rFonts w:ascii="Calibri" w:hAnsi="Calibri"/>
                <w:color w:val="333333"/>
                <w:sz w:val="18"/>
              </w:rPr>
              <w:t>Colgate-Palmolive Company</w:t>
            </w:r>
          </w:p>
        </w:tc>
        <w:tc>
          <w:tcPr>
            <w:tcW w:type="dxa" w:w="2016"/>
          </w:tcPr>
          <w:p>
            <w:r>
              <w:rPr>
                <w:rFonts w:ascii="Calibri" w:hAnsi="Calibri"/>
                <w:color w:val="333333"/>
                <w:sz w:val="18"/>
              </w:rPr>
              <w:t>$68.3B</w:t>
            </w:r>
          </w:p>
        </w:tc>
        <w:tc>
          <w:tcPr>
            <w:tcW w:type="dxa" w:w="2016"/>
          </w:tcPr>
          <w:p>
            <w:r>
              <w:rPr>
                <w:rFonts w:ascii="Calibri" w:hAnsi="Calibri"/>
                <w:color w:val="333333"/>
                <w:sz w:val="18"/>
              </w:rPr>
              <w:t>N/A</w:t>
            </w:r>
          </w:p>
        </w:tc>
        <w:tc>
          <w:tcPr>
            <w:tcW w:type="dxa" w:w="2016"/>
          </w:tcPr>
          <w:p>
            <w:r>
              <w:rPr>
                <w:rFonts w:ascii="Calibri" w:hAnsi="Calibri"/>
                <w:color w:val="333333"/>
                <w:sz w:val="18"/>
              </w:rPr>
              <w:t>Sector Etf / 25%</w:t>
            </w:r>
          </w:p>
        </w:tc>
      </w:tr>
      <w:tr>
        <w:tc>
          <w:tcPr>
            <w:tcW w:type="dxa" w:w="2016"/>
            <w:shd w:fill="F2F4F8" w:val="clear"/>
          </w:tcPr>
          <w:p>
            <w:r>
              <w:rPr>
                <w:rFonts w:ascii="Calibri" w:hAnsi="Calibri"/>
                <w:color w:val="333333"/>
                <w:sz w:val="18"/>
              </w:rPr>
              <w:t>MDLZ</w:t>
            </w:r>
          </w:p>
        </w:tc>
        <w:tc>
          <w:tcPr>
            <w:tcW w:type="dxa" w:w="2016"/>
            <w:shd w:fill="F2F4F8" w:val="clear"/>
          </w:tcPr>
          <w:p>
            <w:r>
              <w:rPr>
                <w:rFonts w:ascii="Calibri" w:hAnsi="Calibri"/>
                <w:color w:val="333333"/>
                <w:sz w:val="18"/>
              </w:rPr>
              <w:t>Mondelez International, Inc.</w:t>
            </w:r>
          </w:p>
        </w:tc>
        <w:tc>
          <w:tcPr>
            <w:tcW w:type="dxa" w:w="2016"/>
            <w:shd w:fill="F2F4F8" w:val="clear"/>
          </w:tcPr>
          <w:p>
            <w:r>
              <w:rPr>
                <w:rFonts w:ascii="Calibri" w:hAnsi="Calibri"/>
                <w:color w:val="333333"/>
                <w:sz w:val="18"/>
              </w:rPr>
              <w:t>$74.2B</w:t>
            </w:r>
          </w:p>
        </w:tc>
        <w:tc>
          <w:tcPr>
            <w:tcW w:type="dxa" w:w="2016"/>
            <w:shd w:fill="F2F4F8" w:val="clear"/>
          </w:tcPr>
          <w:p>
            <w:r>
              <w:rPr>
                <w:rFonts w:ascii="Calibri" w:hAnsi="Calibri"/>
                <w:color w:val="333333"/>
                <w:sz w:val="18"/>
              </w:rPr>
              <w:t>N/A</w:t>
            </w:r>
          </w:p>
        </w:tc>
        <w:tc>
          <w:tcPr>
            <w:tcW w:type="dxa" w:w="2016"/>
            <w:shd w:fill="F2F4F8" w:val="clear"/>
          </w:tcPr>
          <w:p>
            <w:r>
              <w:rPr>
                <w:rFonts w:ascii="Calibri" w:hAnsi="Calibri"/>
                <w:color w:val="333333"/>
                <w:sz w:val="18"/>
              </w:rPr>
              <w:t>Sector Etf / 18%</w:t>
            </w:r>
          </w:p>
        </w:tc>
      </w:tr>
      <w:tr>
        <w:tc>
          <w:tcPr>
            <w:tcW w:type="dxa" w:w="2016"/>
          </w:tcPr>
          <w:p>
            <w:r>
              <w:rPr>
                <w:rFonts w:ascii="Calibri" w:hAnsi="Calibri"/>
                <w:color w:val="333333"/>
                <w:sz w:val="18"/>
              </w:rPr>
              <w:t>KHC</w:t>
            </w:r>
          </w:p>
        </w:tc>
        <w:tc>
          <w:tcPr>
            <w:tcW w:type="dxa" w:w="2016"/>
          </w:tcPr>
          <w:p>
            <w:r>
              <w:rPr>
                <w:rFonts w:ascii="Calibri" w:hAnsi="Calibri"/>
                <w:color w:val="333333"/>
                <w:sz w:val="18"/>
              </w:rPr>
              <w:t>The Kraft Heinz Company</w:t>
            </w:r>
          </w:p>
        </w:tc>
        <w:tc>
          <w:tcPr>
            <w:tcW w:type="dxa" w:w="2016"/>
          </w:tcPr>
          <w:p>
            <w:r>
              <w:rPr>
                <w:rFonts w:ascii="Calibri" w:hAnsi="Calibri"/>
                <w:color w:val="333333"/>
                <w:sz w:val="18"/>
              </w:rPr>
              <w:t>$27.0B</w:t>
            </w:r>
          </w:p>
        </w:tc>
        <w:tc>
          <w:tcPr>
            <w:tcW w:type="dxa" w:w="2016"/>
          </w:tcPr>
          <w:p>
            <w:r>
              <w:rPr>
                <w:rFonts w:ascii="Calibri" w:hAnsi="Calibri"/>
                <w:color w:val="333333"/>
                <w:sz w:val="18"/>
              </w:rPr>
              <w:t>N/A</w:t>
            </w:r>
          </w:p>
        </w:tc>
        <w:tc>
          <w:tcPr>
            <w:tcW w:type="dxa" w:w="2016"/>
          </w:tcPr>
          <w:p>
            <w:r>
              <w:rPr>
                <w:rFonts w:ascii="Calibri" w:hAnsi="Calibri"/>
                <w:color w:val="333333"/>
                <w:sz w:val="18"/>
              </w:rPr>
              <w:t>Sector Etf / 15%</w:t>
            </w:r>
          </w:p>
        </w:tc>
      </w:tr>
    </w:tbl>
    <w:p>
      <w:pPr>
        <w:pStyle w:val="DOBody"/>
      </w:pPr>
      <w:r>
        <w:rPr>
          <w:rFonts w:ascii="Calibri" w:hAnsi="Calibri"/>
          <w:color w:val="333333"/>
          <w:sz w:val="20"/>
        </w:rPr>
        <w:t>The peer group of 9 companies shares the same industry classification (SIC 2840). PROCTER &amp; GAMBLE Co ranks at the 78th percentile among 9 peers by market capitalization.</w:t>
      </w:r>
    </w:p>
    <w:p>
      <w:pPr>
        <w:pStyle w:val="DOHeading2"/>
      </w:pPr>
      <w:r>
        <w:t>Revenue Segments</w:t>
      </w:r>
    </w:p>
    <w:p>
      <w:pPr>
        <w:pStyle w:val="DOBody"/>
      </w:pPr>
      <w:r>
        <w:t>Revenue segment data not available.</w:t>
      </w:r>
    </w:p>
    <w:p>
      <w:pPr>
        <w:pStyle w:val="DOHeading2"/>
      </w:pPr>
      <w:r>
        <w:t>Geographic Footprint</w:t>
      </w:r>
    </w:p>
    <w:tbl>
      <w:tblPr>
        <w:tblStyle w:val="TableGrid"/>
        <w:tblW w:type="auto" w:w="0"/>
        <w:tblLook w:firstColumn="1" w:firstRow="1" w:lastColumn="0" w:lastRow="0" w:noHBand="0" w:noVBand="1" w:val="04A0"/>
      </w:tblPr>
      <w:tblGrid>
        <w:gridCol w:w="3360"/>
        <w:gridCol w:w="3360"/>
        <w:gridCol w:w="3360"/>
      </w:tblGrid>
      <w:tr>
        <w:tc>
          <w:tcPr>
            <w:tcW w:type="dxa" w:w="3360"/>
            <w:shd w:fill="1A1446" w:val="clear"/>
          </w:tcPr>
          <w:p>
            <w:r>
              <w:rPr>
                <w:rFonts w:ascii="Calibri" w:hAnsi="Calibri"/>
                <w:b/>
                <w:color w:val="FFFFFF"/>
                <w:sz w:val="18"/>
              </w:rPr>
              <w:t>Region</w:t>
            </w:r>
          </w:p>
        </w:tc>
        <w:tc>
          <w:tcPr>
            <w:tcW w:type="dxa" w:w="3360"/>
            <w:shd w:fill="1A1446" w:val="clear"/>
          </w:tcPr>
          <w:p>
            <w:r>
              <w:rPr>
                <w:rFonts w:ascii="Calibri" w:hAnsi="Calibri"/>
                <w:b/>
                <w:color w:val="FFFFFF"/>
                <w:sz w:val="18"/>
              </w:rPr>
              <w:t>Revenue</w:t>
            </w:r>
          </w:p>
        </w:tc>
        <w:tc>
          <w:tcPr>
            <w:tcW w:type="dxa" w:w="3360"/>
            <w:shd w:fill="1A1446" w:val="clear"/>
          </w:tcPr>
          <w:p>
            <w:r>
              <w:rPr>
                <w:rFonts w:ascii="Calibri" w:hAnsi="Calibri"/>
                <w:b/>
                <w:color w:val="FFFFFF"/>
                <w:sz w:val="18"/>
              </w:rPr>
              <w:t>% of Total</w:t>
            </w:r>
          </w:p>
        </w:tc>
      </w:tr>
      <w:tr>
        <w:tc>
          <w:tcPr>
            <w:tcW w:type="dxa" w:w="3360"/>
          </w:tcPr>
          <w:p>
            <w:r>
              <w:rPr>
                <w:rFonts w:ascii="Calibri" w:hAnsi="Calibri"/>
                <w:color w:val="333333"/>
                <w:sz w:val="18"/>
              </w:rPr>
              <w:t>United States</w:t>
            </w:r>
          </w:p>
        </w:tc>
        <w:tc>
          <w:tcPr>
            <w:tcW w:type="dxa" w:w="3360"/>
          </w:tcPr>
          <w:p>
            <w:r>
              <w:rPr>
                <w:rFonts w:ascii="Calibri" w:hAnsi="Calibri"/>
                <w:color w:val="333333"/>
                <w:sz w:val="18"/>
              </w:rPr>
              <w:t>N/A</w:t>
            </w:r>
          </w:p>
        </w:tc>
        <w:tc>
          <w:tcPr>
            <w:tcW w:type="dxa" w:w="3360"/>
          </w:tcPr>
          <w:p>
            <w:r>
              <w:rPr>
                <w:rFonts w:ascii="Calibri" w:hAnsi="Calibri"/>
                <w:color w:val="333333"/>
                <w:sz w:val="18"/>
              </w:rPr>
              <w:t>49%</w:t>
            </w:r>
          </w:p>
        </w:tc>
      </w:tr>
      <w:tr>
        <w:tc>
          <w:tcPr>
            <w:tcW w:type="dxa" w:w="3360"/>
            <w:shd w:fill="F2F4F8" w:val="clear"/>
          </w:tcPr>
          <w:p>
            <w:r>
              <w:rPr>
                <w:rFonts w:ascii="Calibri" w:hAnsi="Calibri"/>
                <w:color w:val="333333"/>
                <w:sz w:val="18"/>
              </w:rPr>
              <w:t>International</w:t>
            </w:r>
          </w:p>
        </w:tc>
        <w:tc>
          <w:tcPr>
            <w:tcW w:type="dxa" w:w="3360"/>
            <w:shd w:fill="F2F4F8" w:val="clear"/>
          </w:tcPr>
          <w:p>
            <w:r>
              <w:rPr>
                <w:rFonts w:ascii="Calibri" w:hAnsi="Calibri"/>
                <w:color w:val="333333"/>
                <w:sz w:val="18"/>
              </w:rPr>
              <w:t>N/A</w:t>
            </w:r>
          </w:p>
        </w:tc>
        <w:tc>
          <w:tcPr>
            <w:tcW w:type="dxa" w:w="3360"/>
            <w:shd w:fill="F2F4F8" w:val="clear"/>
          </w:tcPr>
          <w:p>
            <w:r>
              <w:rPr>
                <w:rFonts w:ascii="Calibri" w:hAnsi="Calibri"/>
                <w:color w:val="333333"/>
                <w:sz w:val="18"/>
              </w:rPr>
              <w:t>51%</w:t>
            </w:r>
          </w:p>
        </w:tc>
      </w:tr>
    </w:tbl>
    <w:p>
      <w:pPr>
        <w:pStyle w:val="DOHeading2"/>
      </w:pPr>
      <w:r>
        <w:t>Customer &amp; Supplier Concentration</w:t>
      </w:r>
    </w:p>
    <w:tbl>
      <w:tblPr>
        <w:tblStyle w:val="TableGrid"/>
        <w:tblW w:type="auto" w:w="0"/>
        <w:tblLook w:firstColumn="1" w:firstRow="1" w:lastColumn="0" w:lastRow="0" w:noHBand="0" w:noVBand="1" w:val="04A0"/>
      </w:tblPr>
      <w:tblGrid>
        <w:gridCol w:w="3360"/>
        <w:gridCol w:w="3360"/>
        <w:gridCol w:w="3360"/>
      </w:tblGrid>
      <w:tr>
        <w:tc>
          <w:tcPr>
            <w:tcW w:type="dxa" w:w="3360"/>
            <w:shd w:fill="1A1446" w:val="clear"/>
          </w:tcPr>
          <w:p>
            <w:r>
              <w:rPr>
                <w:rFonts w:ascii="Calibri" w:hAnsi="Calibri"/>
                <w:b/>
                <w:color w:val="FFFFFF"/>
                <w:sz w:val="18"/>
              </w:rPr>
              <w:t>Customer</w:t>
            </w:r>
          </w:p>
        </w:tc>
        <w:tc>
          <w:tcPr>
            <w:tcW w:type="dxa" w:w="3360"/>
            <w:shd w:fill="1A1446" w:val="clear"/>
          </w:tcPr>
          <w:p>
            <w:r>
              <w:rPr>
                <w:rFonts w:ascii="Calibri" w:hAnsi="Calibri"/>
                <w:b/>
                <w:color w:val="FFFFFF"/>
                <w:sz w:val="18"/>
              </w:rPr>
              <w:t>% of Revenue</w:t>
            </w:r>
          </w:p>
        </w:tc>
        <w:tc>
          <w:tcPr>
            <w:tcW w:type="dxa" w:w="3360"/>
            <w:shd w:fill="1A1446" w:val="clear"/>
          </w:tcPr>
          <w:p>
            <w:r>
              <w:rPr>
                <w:rFonts w:ascii="Calibri" w:hAnsi="Calibri"/>
                <w:b/>
                <w:color w:val="FFFFFF"/>
                <w:sz w:val="18"/>
              </w:rPr>
              <w:t>Source</w:t>
            </w:r>
          </w:p>
        </w:tc>
      </w:tr>
      <w:tr>
        <w:tc>
          <w:tcPr>
            <w:tcW w:type="dxa" w:w="3360"/>
          </w:tcPr>
          <w:p>
            <w:r>
              <w:rPr>
                <w:rFonts w:ascii="Calibri" w:hAnsi="Calibri"/>
                <w:color w:val="333333"/>
                <w:sz w:val="18"/>
              </w:rPr>
              <w:t>Walmart Inc. and its affiliates represent approximately 16% of total sales in 2025 and 2024 and 15% in 2023.</w:t>
            </w:r>
          </w:p>
        </w:tc>
        <w:tc>
          <w:tcPr>
            <w:tcW w:type="dxa" w:w="3360"/>
          </w:tcPr>
          <w:p>
            <w:r>
              <w:rPr>
                <w:rFonts w:ascii="Calibri" w:hAnsi="Calibri"/>
                <w:color w:val="333333"/>
                <w:sz w:val="18"/>
              </w:rPr>
              <w:t>0.0%</w:t>
            </w:r>
          </w:p>
        </w:tc>
        <w:tc>
          <w:tcPr>
            <w:tcW w:type="dxa" w:w="3360"/>
          </w:tcPr>
          <w:p>
            <w:r>
              <w:rPr>
                <w:rFonts w:ascii="Calibri" w:hAnsi="Calibri"/>
                <w:color w:val="333333"/>
                <w:sz w:val="18"/>
              </w:rPr>
              <w:t>[10-K (LLM), 2026-04-03, HIGH]</w:t>
            </w:r>
          </w:p>
        </w:tc>
      </w:tr>
      <w:tr>
        <w:tc>
          <w:tcPr>
            <w:tcW w:type="dxa" w:w="3360"/>
            <w:shd w:fill="F2F4F8" w:val="clear"/>
          </w:tcPr>
          <w:p>
            <w:r>
              <w:rPr>
                <w:rFonts w:ascii="Calibri" w:hAnsi="Calibri"/>
                <w:color w:val="333333"/>
                <w:sz w:val="18"/>
              </w:rPr>
              <w:t>Top ten customers accounted for 43% of total net sales in 2025, 42% in 2024 and 40% in 2023.</w:t>
            </w:r>
          </w:p>
        </w:tc>
        <w:tc>
          <w:tcPr>
            <w:tcW w:type="dxa" w:w="3360"/>
            <w:shd w:fill="F2F4F8" w:val="clear"/>
          </w:tcPr>
          <w:p>
            <w:r>
              <w:rPr>
                <w:rFonts w:ascii="Calibri" w:hAnsi="Calibri"/>
                <w:color w:val="333333"/>
                <w:sz w:val="18"/>
              </w:rPr>
              <w:t>0.0%</w:t>
            </w:r>
          </w:p>
        </w:tc>
        <w:tc>
          <w:tcPr>
            <w:tcW w:type="dxa" w:w="3360"/>
            <w:shd w:fill="F2F4F8" w:val="clear"/>
          </w:tcPr>
          <w:p>
            <w:r>
              <w:rPr>
                <w:rFonts w:ascii="Calibri" w:hAnsi="Calibri"/>
                <w:color w:val="333333"/>
                <w:sz w:val="18"/>
              </w:rPr>
              <w:t>[10-K (LLM), 2026-04-03, HIGH]</w:t>
            </w:r>
          </w:p>
        </w:tc>
      </w:tr>
    </w:tbl>
    <w:p>
      <w:pPr>
        <w:pStyle w:val="DOHeading3"/>
      </w:pPr>
      <w:r>
        <w:t>Key Suppliers</w:t>
      </w:r>
    </w:p>
    <w:tbl>
      <w:tblPr>
        <w:tblStyle w:val="TableGrid"/>
        <w:tblW w:type="auto" w:w="0"/>
        <w:tblLook w:firstColumn="1" w:firstRow="1" w:lastColumn="0" w:lastRow="0" w:noHBand="0" w:noVBand="1" w:val="04A0"/>
      </w:tblPr>
      <w:tblGrid>
        <w:gridCol w:w="3360"/>
        <w:gridCol w:w="3360"/>
        <w:gridCol w:w="3360"/>
      </w:tblGrid>
      <w:tr>
        <w:tc>
          <w:tcPr>
            <w:tcW w:type="dxa" w:w="3360"/>
            <w:shd w:fill="1A1446" w:val="clear"/>
          </w:tcPr>
          <w:p>
            <w:r>
              <w:rPr>
                <w:rFonts w:ascii="Calibri" w:hAnsi="Calibri"/>
                <w:b/>
                <w:color w:val="FFFFFF"/>
                <w:sz w:val="18"/>
              </w:rPr>
              <w:t>Supplier</w:t>
            </w:r>
          </w:p>
        </w:tc>
        <w:tc>
          <w:tcPr>
            <w:tcW w:type="dxa" w:w="3360"/>
            <w:shd w:fill="1A1446" w:val="clear"/>
          </w:tcPr>
          <w:p>
            <w:r>
              <w:rPr>
                <w:rFonts w:ascii="Calibri" w:hAnsi="Calibri"/>
                <w:b/>
                <w:color w:val="FFFFFF"/>
                <w:sz w:val="18"/>
              </w:rPr>
              <w:t>Dependency</w:t>
            </w:r>
          </w:p>
        </w:tc>
        <w:tc>
          <w:tcPr>
            <w:tcW w:type="dxa" w:w="3360"/>
            <w:shd w:fill="1A1446" w:val="clear"/>
          </w:tcPr>
          <w:p>
            <w:r>
              <w:rPr>
                <w:rFonts w:ascii="Calibri" w:hAnsi="Calibri"/>
                <w:b/>
                <w:color w:val="FFFFFF"/>
                <w:sz w:val="18"/>
              </w:rPr>
              <w:t>Source</w:t>
            </w:r>
          </w:p>
        </w:tc>
      </w:tr>
      <w:tr>
        <w:tc>
          <w:tcPr>
            <w:tcW w:type="dxa" w:w="3360"/>
          </w:tcPr>
          <w:p>
            <w:r>
              <w:rPr>
                <w:rFonts w:ascii="Calibri" w:hAnsi="Calibri"/>
                <w:color w:val="333333"/>
                <w:sz w:val="18"/>
              </w:rPr>
              <w:t>Sole Source Dependency</w:t>
            </w:r>
          </w:p>
        </w:tc>
        <w:tc>
          <w:tcPr>
            <w:tcW w:type="dxa" w:w="3360"/>
          </w:tcPr>
          <w:p>
            <w:r>
              <w:rPr>
                <w:rFonts w:ascii="Calibri" w:hAnsi="Calibri"/>
                <w:color w:val="333333"/>
                <w:sz w:val="18"/>
              </w:rPr>
              <w:t>N/A</w:t>
            </w:r>
          </w:p>
        </w:tc>
        <w:tc>
          <w:tcPr>
            <w:tcW w:type="dxa" w:w="3360"/>
          </w:tcPr>
          <w:p>
            <w:r>
              <w:rPr>
                <w:rFonts w:ascii="Calibri" w:hAnsi="Calibri"/>
                <w:color w:val="333333"/>
                <w:sz w:val="18"/>
              </w:rPr>
              <w:t>[10-K text, 2026-04-03, MEDIUM]</w:t>
            </w:r>
          </w:p>
        </w:tc>
      </w:tr>
    </w:tbl>
    <w:p>
      <w:pPr>
        <w:pStyle w:val="DOHeading2"/>
      </w:pPr>
      <w:r>
        <w:t>D&amp;O Exposure Factors</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1A1446" w:val="clear"/>
          </w:tcPr>
          <w:p>
            <w:r>
              <w:rPr>
                <w:rFonts w:ascii="Calibri" w:hAnsi="Calibri"/>
                <w:b/>
                <w:color w:val="FFFFFF"/>
                <w:sz w:val="18"/>
              </w:rPr>
              <w:t>Exposure Type</w:t>
            </w:r>
          </w:p>
        </w:tc>
        <w:tc>
          <w:tcPr>
            <w:tcW w:type="dxa" w:w="2520"/>
            <w:shd w:fill="1A1446" w:val="clear"/>
          </w:tcPr>
          <w:p>
            <w:r>
              <w:rPr>
                <w:rFonts w:ascii="Calibri" w:hAnsi="Calibri"/>
                <w:b/>
                <w:color w:val="FFFFFF"/>
                <w:sz w:val="18"/>
              </w:rPr>
              <w:t>Risk Level</w:t>
            </w:r>
          </w:p>
        </w:tc>
        <w:tc>
          <w:tcPr>
            <w:tcW w:type="dxa" w:w="2520"/>
            <w:shd w:fill="1A1446" w:val="clear"/>
          </w:tcPr>
          <w:p>
            <w:r>
              <w:rPr>
                <w:rFonts w:ascii="Calibri" w:hAnsi="Calibri"/>
                <w:b/>
                <w:color w:val="FFFFFF"/>
                <w:sz w:val="18"/>
              </w:rPr>
              <w:t>Description</w:t>
            </w:r>
          </w:p>
        </w:tc>
        <w:tc>
          <w:tcPr>
            <w:tcW w:type="dxa" w:w="2520"/>
            <w:shd w:fill="1A1446" w:val="clear"/>
          </w:tcPr>
          <w:p>
            <w:r>
              <w:rPr>
                <w:rFonts w:ascii="Calibri" w:hAnsi="Calibri"/>
                <w:b/>
                <w:color w:val="FFFFFF"/>
                <w:sz w:val="18"/>
              </w:rPr>
              <w:t>Coverage Part</w:t>
            </w:r>
          </w:p>
        </w:tc>
      </w:tr>
      <w:tr>
        <w:tc>
          <w:tcPr>
            <w:tcW w:type="dxa" w:w="2520"/>
          </w:tcPr>
          <w:p>
            <w:r>
              <w:rPr>
                <w:rFonts w:ascii="Calibri" w:hAnsi="Calibri"/>
                <w:color w:val="333333"/>
                <w:sz w:val="18"/>
              </w:rPr>
              <w:t>Securities Litigation</w:t>
            </w:r>
          </w:p>
        </w:tc>
        <w:tc>
          <w:tcPr>
            <w:tcW w:type="dxa" w:w="2520"/>
          </w:tcPr>
          <w:p>
            <w:r>
              <w:rPr>
                <w:rFonts w:ascii="Calibri" w:hAnsi="Calibri"/>
                <w:color w:val="333333"/>
                <w:sz w:val="18"/>
              </w:rPr>
              <w:t>See analysis sections</w:t>
            </w:r>
          </w:p>
        </w:tc>
        <w:tc>
          <w:tcPr>
            <w:tcW w:type="dxa" w:w="2520"/>
          </w:tcPr>
          <w:p>
            <w:r>
              <w:rPr>
                <w:rFonts w:ascii="Calibri" w:hAnsi="Calibri"/>
                <w:color w:val="333333"/>
                <w:sz w:val="18"/>
              </w:rPr>
              <w:t>Shareholder class actions, SEC enforcement</w:t>
            </w:r>
          </w:p>
        </w:tc>
        <w:tc>
          <w:tcPr>
            <w:tcW w:type="dxa" w:w="2520"/>
          </w:tcPr>
          <w:p>
            <w:r>
              <w:rPr>
                <w:rFonts w:ascii="Calibri" w:hAnsi="Calibri"/>
                <w:color w:val="333333"/>
                <w:sz w:val="18"/>
              </w:rPr>
              <w:t>Side A/B/C</w:t>
            </w:r>
          </w:p>
        </w:tc>
      </w:tr>
      <w:tr>
        <w:tc>
          <w:tcPr>
            <w:tcW w:type="dxa" w:w="2520"/>
            <w:shd w:fill="F2F4F8" w:val="clear"/>
          </w:tcPr>
          <w:p>
            <w:r>
              <w:rPr>
                <w:rFonts w:ascii="Calibri" w:hAnsi="Calibri"/>
                <w:color w:val="333333"/>
                <w:sz w:val="18"/>
              </w:rPr>
              <w:t>Derivative Actions</w:t>
            </w:r>
          </w:p>
        </w:tc>
        <w:tc>
          <w:tcPr>
            <w:tcW w:type="dxa" w:w="2520"/>
            <w:shd w:fill="F2F4F8" w:val="clear"/>
          </w:tcPr>
          <w:p>
            <w:r>
              <w:rPr>
                <w:rFonts w:ascii="Calibri" w:hAnsi="Calibri"/>
                <w:color w:val="333333"/>
                <w:sz w:val="18"/>
              </w:rPr>
              <w:t>See analysis sections</w:t>
            </w:r>
          </w:p>
        </w:tc>
        <w:tc>
          <w:tcPr>
            <w:tcW w:type="dxa" w:w="2520"/>
            <w:shd w:fill="F2F4F8" w:val="clear"/>
          </w:tcPr>
          <w:p>
            <w:r>
              <w:rPr>
                <w:rFonts w:ascii="Calibri" w:hAnsi="Calibri"/>
                <w:color w:val="333333"/>
                <w:sz w:val="18"/>
              </w:rPr>
              <w:t>Breach of fiduciary duty, waste claims</w:t>
            </w:r>
          </w:p>
        </w:tc>
        <w:tc>
          <w:tcPr>
            <w:tcW w:type="dxa" w:w="2520"/>
            <w:shd w:fill="F2F4F8" w:val="clear"/>
          </w:tcPr>
          <w:p>
            <w:r>
              <w:rPr>
                <w:rFonts w:ascii="Calibri" w:hAnsi="Calibri"/>
                <w:color w:val="333333"/>
                <w:sz w:val="18"/>
              </w:rPr>
              <w:t>Side A/B</w:t>
            </w:r>
          </w:p>
        </w:tc>
      </w:tr>
      <w:tr>
        <w:tc>
          <w:tcPr>
            <w:tcW w:type="dxa" w:w="2520"/>
          </w:tcPr>
          <w:p>
            <w:r>
              <w:rPr>
                <w:rFonts w:ascii="Calibri" w:hAnsi="Calibri"/>
                <w:color w:val="333333"/>
                <w:sz w:val="18"/>
              </w:rPr>
              <w:t>Employment Practices</w:t>
            </w:r>
          </w:p>
        </w:tc>
        <w:tc>
          <w:tcPr>
            <w:tcW w:type="dxa" w:w="2520"/>
          </w:tcPr>
          <w:p>
            <w:r>
              <w:rPr>
                <w:rFonts w:ascii="Calibri" w:hAnsi="Calibri"/>
                <w:color w:val="333333"/>
                <w:sz w:val="18"/>
              </w:rPr>
              <w:t>See analysis sections</w:t>
            </w:r>
          </w:p>
        </w:tc>
        <w:tc>
          <w:tcPr>
            <w:tcW w:type="dxa" w:w="2520"/>
          </w:tcPr>
          <w:p>
            <w:r>
              <w:rPr>
                <w:rFonts w:ascii="Calibri" w:hAnsi="Calibri"/>
                <w:color w:val="333333"/>
                <w:sz w:val="18"/>
              </w:rPr>
              <w:t>Discrimination, harassment, wrongful termination</w:t>
            </w:r>
          </w:p>
        </w:tc>
        <w:tc>
          <w:tcPr>
            <w:tcW w:type="dxa" w:w="2520"/>
          </w:tcPr>
          <w:p>
            <w:r>
              <w:rPr>
                <w:rFonts w:ascii="Calibri" w:hAnsi="Calibri"/>
                <w:color w:val="333333"/>
                <w:sz w:val="18"/>
              </w:rPr>
              <w:t>Side B/C (EPLI)</w:t>
            </w:r>
          </w:p>
        </w:tc>
      </w:tr>
      <w:tr>
        <w:tc>
          <w:tcPr>
            <w:tcW w:type="dxa" w:w="2520"/>
            <w:shd w:fill="F2F4F8" w:val="clear"/>
          </w:tcPr>
          <w:p>
            <w:r>
              <w:rPr>
                <w:rFonts w:ascii="Calibri" w:hAnsi="Calibri"/>
                <w:color w:val="333333"/>
                <w:sz w:val="18"/>
              </w:rPr>
              <w:t>Regulatory/Government</w:t>
            </w:r>
          </w:p>
        </w:tc>
        <w:tc>
          <w:tcPr>
            <w:tcW w:type="dxa" w:w="2520"/>
            <w:shd w:fill="F2F4F8" w:val="clear"/>
          </w:tcPr>
          <w:p>
            <w:r>
              <w:rPr>
                <w:rFonts w:ascii="Calibri" w:hAnsi="Calibri"/>
                <w:color w:val="333333"/>
                <w:sz w:val="18"/>
              </w:rPr>
              <w:t>See analysis sections</w:t>
            </w:r>
          </w:p>
        </w:tc>
        <w:tc>
          <w:tcPr>
            <w:tcW w:type="dxa" w:w="2520"/>
            <w:shd w:fill="F2F4F8" w:val="clear"/>
          </w:tcPr>
          <w:p>
            <w:r>
              <w:rPr>
                <w:rFonts w:ascii="Calibri" w:hAnsi="Calibri"/>
                <w:color w:val="333333"/>
                <w:sz w:val="18"/>
              </w:rPr>
              <w:t>DOJ, SEC, FTC, state AG investigations</w:t>
            </w:r>
          </w:p>
        </w:tc>
        <w:tc>
          <w:tcPr>
            <w:tcW w:type="dxa" w:w="2520"/>
            <w:shd w:fill="F2F4F8" w:val="clear"/>
          </w:tcPr>
          <w:p>
            <w:r>
              <w:rPr>
                <w:rFonts w:ascii="Calibri" w:hAnsi="Calibri"/>
                <w:color w:val="333333"/>
                <w:sz w:val="18"/>
              </w:rPr>
              <w:t>Side A (primarily)</w:t>
            </w:r>
          </w:p>
        </w:tc>
      </w:tr>
      <w:tr>
        <w:tc>
          <w:tcPr>
            <w:tcW w:type="dxa" w:w="2520"/>
          </w:tcPr>
          <w:p>
            <w:r>
              <w:rPr>
                <w:rFonts w:ascii="Calibri" w:hAnsi="Calibri"/>
                <w:color w:val="333333"/>
                <w:sz w:val="18"/>
              </w:rPr>
              <w:t>Fiduciary (ERISA)</w:t>
            </w:r>
          </w:p>
        </w:tc>
        <w:tc>
          <w:tcPr>
            <w:tcW w:type="dxa" w:w="2520"/>
          </w:tcPr>
          <w:p>
            <w:r>
              <w:rPr>
                <w:rFonts w:ascii="Calibri" w:hAnsi="Calibri"/>
                <w:color w:val="333333"/>
                <w:sz w:val="18"/>
              </w:rPr>
              <w:t>See analysis sections</w:t>
            </w:r>
          </w:p>
        </w:tc>
        <w:tc>
          <w:tcPr>
            <w:tcW w:type="dxa" w:w="2520"/>
          </w:tcPr>
          <w:p>
            <w:r>
              <w:rPr>
                <w:rFonts w:ascii="Calibri" w:hAnsi="Calibri"/>
                <w:color w:val="333333"/>
                <w:sz w:val="18"/>
              </w:rPr>
              <w:t>401(k) plan mismanagement, fee litigation</w:t>
            </w:r>
          </w:p>
        </w:tc>
        <w:tc>
          <w:tcPr>
            <w:tcW w:type="dxa" w:w="2520"/>
          </w:tcPr>
          <w:p>
            <w:r>
              <w:rPr>
                <w:rFonts w:ascii="Calibri" w:hAnsi="Calibri"/>
                <w:color w:val="333333"/>
                <w:sz w:val="18"/>
              </w:rPr>
              <w:t>Fiduciary Liability</w:t>
            </w:r>
          </w:p>
        </w:tc>
      </w:tr>
    </w:tbl>
    <w:p>
      <w:pPr>
        <w:pStyle w:val="DOCaption"/>
      </w:pPr>
      <w:r>
        <w:t>Standard D&amp;O exposure categories shown. See individual analysis sections for company-specific risk levels.</w:t>
      </w:r>
    </w:p>
    <w:p>
      <w:pPr>
        <w:pStyle w:val="DOHeading2"/>
      </w:pPr>
      <w:r>
        <w:t>Classification</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Attribute</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Market Cap Tier</w:t>
            </w:r>
          </w:p>
        </w:tc>
        <w:tc>
          <w:tcPr>
            <w:tcW w:type="dxa" w:w="5040"/>
          </w:tcPr>
          <w:p>
            <w:r>
              <w:rPr>
                <w:rFonts w:ascii="Calibri" w:hAnsi="Calibri"/>
                <w:color w:val="333333"/>
                <w:sz w:val="18"/>
              </w:rPr>
              <w:t>MEGA</w:t>
            </w:r>
          </w:p>
        </w:tc>
      </w:tr>
      <w:tr>
        <w:tc>
          <w:tcPr>
            <w:tcW w:type="dxa" w:w="5040"/>
            <w:shd w:fill="F2F4F8" w:val="clear"/>
          </w:tcPr>
          <w:p>
            <w:r>
              <w:rPr>
                <w:rFonts w:ascii="Calibri" w:hAnsi="Calibri"/>
                <w:color w:val="333333"/>
                <w:sz w:val="18"/>
              </w:rPr>
              <w:t>Sector</w:t>
            </w:r>
          </w:p>
        </w:tc>
        <w:tc>
          <w:tcPr>
            <w:tcW w:type="dxa" w:w="5040"/>
            <w:shd w:fill="F2F4F8" w:val="clear"/>
          </w:tcPr>
          <w:p>
            <w:r>
              <w:rPr>
                <w:rFonts w:ascii="Calibri" w:hAnsi="Calibri"/>
                <w:color w:val="333333"/>
                <w:sz w:val="18"/>
              </w:rPr>
              <w:t>CONS (CONS)</w:t>
            </w:r>
          </w:p>
        </w:tc>
      </w:tr>
      <w:tr>
        <w:tc>
          <w:tcPr>
            <w:tcW w:type="dxa" w:w="5040"/>
          </w:tcPr>
          <w:p>
            <w:r>
              <w:rPr>
                <w:rFonts w:ascii="Calibri" w:hAnsi="Calibri"/>
                <w:color w:val="333333"/>
                <w:sz w:val="18"/>
              </w:rPr>
              <w:t>Years Public</w:t>
            </w:r>
          </w:p>
        </w:tc>
        <w:tc>
          <w:tcPr>
            <w:tcW w:type="dxa" w:w="5040"/>
          </w:tcPr>
          <w:p>
            <w:r>
              <w:rPr>
                <w:rFonts w:ascii="Calibri" w:hAnsi="Calibri"/>
                <w:color w:val="333333"/>
                <w:sz w:val="18"/>
              </w:rPr>
              <w:t>N/A</w:t>
            </w:r>
          </w:p>
        </w:tc>
      </w:tr>
      <w:tr>
        <w:tc>
          <w:tcPr>
            <w:tcW w:type="dxa" w:w="5040"/>
            <w:shd w:fill="F2F4F8" w:val="clear"/>
          </w:tcPr>
          <w:p>
            <w:r>
              <w:rPr>
                <w:rFonts w:ascii="Calibri" w:hAnsi="Calibri"/>
                <w:color w:val="333333"/>
                <w:sz w:val="18"/>
              </w:rPr>
              <w:t>Base Filing Rate</w:t>
            </w:r>
          </w:p>
        </w:tc>
        <w:tc>
          <w:tcPr>
            <w:tcW w:type="dxa" w:w="5040"/>
            <w:shd w:fill="F2F4F8" w:val="clear"/>
          </w:tcPr>
          <w:p>
            <w:r>
              <w:rPr>
                <w:rFonts w:ascii="Calibri" w:hAnsi="Calibri"/>
                <w:color w:val="333333"/>
                <w:sz w:val="18"/>
              </w:rPr>
              <w:t>6.3%</w:t>
            </w:r>
          </w:p>
        </w:tc>
      </w:tr>
      <w:tr>
        <w:tc>
          <w:tcPr>
            <w:tcW w:type="dxa" w:w="5040"/>
          </w:tcPr>
          <w:p>
            <w:r>
              <w:rPr>
                <w:rFonts w:ascii="Calibri" w:hAnsi="Calibri"/>
                <w:color w:val="333333"/>
                <w:sz w:val="18"/>
              </w:rPr>
              <w:t>Severity Band</w:t>
            </w:r>
          </w:p>
        </w:tc>
        <w:tc>
          <w:tcPr>
            <w:tcW w:type="dxa" w:w="5040"/>
          </w:tcPr>
          <w:p>
            <w:r>
              <w:rPr>
                <w:rFonts w:ascii="Calibri" w:hAnsi="Calibri"/>
                <w:color w:val="333333"/>
                <w:sz w:val="18"/>
              </w:rPr>
              <w:t>$150.0M -- $500.0M</w:t>
            </w:r>
          </w:p>
        </w:tc>
      </w:tr>
      <w:tr>
        <w:tc>
          <w:tcPr>
            <w:tcW w:type="dxa" w:w="5040"/>
            <w:shd w:fill="F2F4F8" w:val="clear"/>
          </w:tcPr>
          <w:p>
            <w:r>
              <w:rPr>
                <w:rFonts w:ascii="Calibri" w:hAnsi="Calibri"/>
                <w:color w:val="333333"/>
                <w:sz w:val="18"/>
              </w:rPr>
              <w:t>DDL Exposure Base</w:t>
            </w:r>
          </w:p>
        </w:tc>
        <w:tc>
          <w:tcPr>
            <w:tcW w:type="dxa" w:w="5040"/>
            <w:shd w:fill="F2F4F8" w:val="clear"/>
          </w:tcPr>
          <w:p>
            <w:r>
              <w:rPr>
                <w:rFonts w:ascii="Calibri" w:hAnsi="Calibri"/>
                <w:color w:val="333333"/>
                <w:sz w:val="18"/>
              </w:rPr>
              <w:t>$50.2B</w:t>
            </w:r>
          </w:p>
        </w:tc>
      </w:tr>
      <w:tr>
        <w:tc>
          <w:tcPr>
            <w:tcW w:type="dxa" w:w="5040"/>
          </w:tcPr>
          <w:p>
            <w:r>
              <w:rPr>
                <w:rFonts w:ascii="Calibri" w:hAnsi="Calibri"/>
                <w:color w:val="333333"/>
                <w:sz w:val="18"/>
              </w:rPr>
              <w:t>IPO Multiplier</w:t>
            </w:r>
          </w:p>
        </w:tc>
        <w:tc>
          <w:tcPr>
            <w:tcW w:type="dxa" w:w="5040"/>
          </w:tcPr>
          <w:p>
            <w:r>
              <w:rPr>
                <w:rFonts w:ascii="Calibri" w:hAnsi="Calibri"/>
                <w:color w:val="333333"/>
                <w:sz w:val="18"/>
              </w:rPr>
              <w:t>1.00x</w:t>
            </w:r>
          </w:p>
        </w:tc>
      </w:tr>
      <w:tr>
        <w:tc>
          <w:tcPr>
            <w:tcW w:type="dxa" w:w="5040"/>
            <w:shd w:fill="F2F4F8" w:val="clear"/>
          </w:tcPr>
          <w:p>
            <w:r>
              <w:rPr>
                <w:rFonts w:ascii="Calibri" w:hAnsi="Calibri"/>
                <w:color w:val="333333"/>
                <w:sz w:val="18"/>
              </w:rPr>
              <w:t>Cap Filing Multiplier</w:t>
            </w:r>
          </w:p>
        </w:tc>
        <w:tc>
          <w:tcPr>
            <w:tcW w:type="dxa" w:w="5040"/>
            <w:shd w:fill="F2F4F8" w:val="clear"/>
          </w:tcPr>
          <w:p>
            <w:r>
              <w:rPr>
                <w:rFonts w:ascii="Calibri" w:hAnsi="Calibri"/>
                <w:color w:val="333333"/>
                <w:sz w:val="18"/>
              </w:rPr>
              <w:t>1.80x</w:t>
            </w:r>
          </w:p>
        </w:tc>
      </w:tr>
    </w:tbl>
    <w:p>
      <w:pPr>
        <w:pStyle w:val="DOHeading2"/>
      </w:pPr>
      <w:r>
        <w:t>Hazard Profile (Inherent Exposure Score)</w:t>
      </w:r>
    </w:p>
    <w:p>
      <w:pPr>
        <w:pStyle w:val="DOBody"/>
      </w:pPr>
      <w:r>
        <w:rPr>
          <w:b/>
        </w:rPr>
        <w:t>IES: 38/100 (MODERATE) | Multiplier: 0.88x | Data Coverage: 80%</w:t>
      </w:r>
      <w:r>
        <w:rPr>
          <w:b/>
          <w:color w:val="2563EB"/>
          <w:sz w:val="18"/>
        </w:rPr>
        <w:t xml:space="preserve"> [MODERATE]</w:t>
      </w:r>
    </w:p>
    <w:p>
      <w:pPr>
        <w:pStyle w:val="DOHeading3"/>
      </w:pPr>
      <w:r>
        <w:t>Top Risk Dimensions (Elevated+)</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1A1446" w:val="clear"/>
          </w:tcPr>
          <w:p>
            <w:r>
              <w:rPr>
                <w:rFonts w:ascii="Calibri" w:hAnsi="Calibri"/>
                <w:b/>
                <w:color w:val="FFFFFF"/>
                <w:sz w:val="18"/>
              </w:rPr>
              <w:t>Dimension</w:t>
            </w:r>
          </w:p>
        </w:tc>
        <w:tc>
          <w:tcPr>
            <w:tcW w:type="dxa" w:w="2520"/>
            <w:shd w:fill="1A1446" w:val="clear"/>
          </w:tcPr>
          <w:p>
            <w:r>
              <w:rPr>
                <w:rFonts w:ascii="Calibri" w:hAnsi="Calibri"/>
                <w:b/>
                <w:color w:val="FFFFFF"/>
                <w:sz w:val="18"/>
              </w:rPr>
              <w:t>Score</w:t>
            </w:r>
          </w:p>
        </w:tc>
        <w:tc>
          <w:tcPr>
            <w:tcW w:type="dxa" w:w="2520"/>
            <w:shd w:fill="1A1446" w:val="clear"/>
          </w:tcPr>
          <w:p>
            <w:r>
              <w:rPr>
                <w:rFonts w:ascii="Calibri" w:hAnsi="Calibri"/>
                <w:b/>
                <w:color w:val="FFFFFF"/>
                <w:sz w:val="18"/>
              </w:rPr>
              <w:t>Exposure</w:t>
            </w:r>
          </w:p>
        </w:tc>
        <w:tc>
          <w:tcPr>
            <w:tcW w:type="dxa" w:w="2520"/>
            <w:shd w:fill="1A1446" w:val="clear"/>
          </w:tcPr>
          <w:p>
            <w:r>
              <w:rPr>
                <w:rFonts w:ascii="Calibri" w:hAnsi="Calibri"/>
                <w:b/>
                <w:color w:val="FFFFFF"/>
                <w:sz w:val="18"/>
              </w:rPr>
              <w:t>Evidence</w:t>
            </w:r>
          </w:p>
        </w:tc>
      </w:tr>
      <w:tr>
        <w:tc>
          <w:tcPr>
            <w:tcW w:type="dxa" w:w="2520"/>
          </w:tcPr>
          <w:p>
            <w:r>
              <w:rPr>
                <w:rFonts w:ascii="Calibri" w:hAnsi="Calibri"/>
                <w:color w:val="333333"/>
                <w:sz w:val="18"/>
              </w:rPr>
              <w:t>Goodwill-Heavy Balance Sheet</w:t>
            </w:r>
          </w:p>
        </w:tc>
        <w:tc>
          <w:tcPr>
            <w:tcW w:type="dxa" w:w="2520"/>
          </w:tcPr>
          <w:p>
            <w:r>
              <w:rPr>
                <w:rFonts w:ascii="Calibri" w:hAnsi="Calibri"/>
                <w:color w:val="333333"/>
                <w:sz w:val="18"/>
              </w:rPr>
              <w:t>100</w:t>
            </w:r>
          </w:p>
        </w:tc>
        <w:tc>
          <w:tcPr>
            <w:tcW w:type="dxa" w:w="2520"/>
          </w:tcPr>
          <w:p>
            <w:r>
              <w:rPr>
                <w:rFonts w:ascii="Calibri" w:hAnsi="Calibri"/>
                <w:color w:val="333333"/>
                <w:sz w:val="18"/>
              </w:rPr>
              <w:t>CRITICAL</w:t>
            </w:r>
          </w:p>
        </w:tc>
        <w:tc>
          <w:tcPr>
            <w:tcW w:type="dxa" w:w="2520"/>
          </w:tcPr>
          <w:p>
            <w:r>
              <w:rPr>
                <w:rFonts w:ascii="Calibri" w:hAnsi="Calibri"/>
                <w:color w:val="333333"/>
                <w:sz w:val="18"/>
              </w:rPr>
              <w:t>Goodwill 33.3% of assets (HIGH -- impairment risk)</w:t>
            </w:r>
          </w:p>
        </w:tc>
      </w:tr>
      <w:tr>
        <w:tc>
          <w:tcPr>
            <w:tcW w:type="dxa" w:w="2520"/>
            <w:shd w:fill="F2F4F8" w:val="clear"/>
          </w:tcPr>
          <w:p>
            <w:r>
              <w:rPr>
                <w:rFonts w:ascii="Calibri" w:hAnsi="Calibri"/>
                <w:color w:val="333333"/>
                <w:sz w:val="18"/>
              </w:rPr>
              <w:t>Board Independence</w:t>
            </w:r>
          </w:p>
        </w:tc>
        <w:tc>
          <w:tcPr>
            <w:tcW w:type="dxa" w:w="2520"/>
            <w:shd w:fill="F2F4F8" w:val="clear"/>
          </w:tcPr>
          <w:p>
            <w:r>
              <w:rPr>
                <w:rFonts w:ascii="Calibri" w:hAnsi="Calibri"/>
                <w:color w:val="333333"/>
                <w:sz w:val="18"/>
              </w:rPr>
              <w:t>100</w:t>
            </w:r>
          </w:p>
        </w:tc>
        <w:tc>
          <w:tcPr>
            <w:tcW w:type="dxa" w:w="2520"/>
            <w:shd w:fill="F2F4F8" w:val="clear"/>
          </w:tcPr>
          <w:p>
            <w:r>
              <w:rPr>
                <w:rFonts w:ascii="Calibri" w:hAnsi="Calibri"/>
                <w:color w:val="333333"/>
                <w:sz w:val="18"/>
              </w:rPr>
              <w:t>CRITICAL</w:t>
            </w:r>
          </w:p>
        </w:tc>
        <w:tc>
          <w:tcPr>
            <w:tcW w:type="dxa" w:w="2520"/>
            <w:shd w:fill="F2F4F8" w:val="clear"/>
          </w:tcPr>
          <w:p>
            <w:r>
              <w:rPr>
                <w:rFonts w:ascii="Calibri" w:hAnsi="Calibri"/>
                <w:color w:val="333333"/>
                <w:sz w:val="18"/>
              </w:rPr>
              <w:t>Proxy: independence score 0.0; Estimated from related indicators.</w:t>
            </w:r>
          </w:p>
        </w:tc>
      </w:tr>
      <w:tr>
        <w:tc>
          <w:tcPr>
            <w:tcW w:type="dxa" w:w="2520"/>
          </w:tcPr>
          <w:p>
            <w:r>
              <w:rPr>
                <w:rFonts w:ascii="Calibri" w:hAnsi="Calibri"/>
                <w:color w:val="333333"/>
                <w:sz w:val="18"/>
              </w:rPr>
              <w:t>Industry Expertise Match</w:t>
            </w:r>
          </w:p>
        </w:tc>
        <w:tc>
          <w:tcPr>
            <w:tcW w:type="dxa" w:w="2520"/>
          </w:tcPr>
          <w:p>
            <w:r>
              <w:rPr>
                <w:rFonts w:ascii="Calibri" w:hAnsi="Calibri"/>
                <w:color w:val="333333"/>
                <w:sz w:val="18"/>
              </w:rPr>
              <w:t>67</w:t>
            </w:r>
          </w:p>
        </w:tc>
        <w:tc>
          <w:tcPr>
            <w:tcW w:type="dxa" w:w="2520"/>
          </w:tcPr>
          <w:p>
            <w:r>
              <w:rPr>
                <w:rFonts w:ascii="Calibri" w:hAnsi="Calibri"/>
                <w:color w:val="333333"/>
                <w:sz w:val="18"/>
              </w:rPr>
              <w:t>HIGH</w:t>
            </w:r>
          </w:p>
        </w:tc>
        <w:tc>
          <w:tcPr>
            <w:tcW w:type="dxa" w:w="2520"/>
          </w:tcPr>
          <w:p>
            <w:r>
              <w:rPr>
                <w:rFonts w:ascii="Calibri" w:hAnsi="Calibri"/>
                <w:color w:val="333333"/>
                <w:sz w:val="18"/>
              </w:rPr>
              <w:t>No executives with explicit CONS background in bios</w:t>
            </w:r>
          </w:p>
        </w:tc>
      </w:tr>
      <w:tr>
        <w:tc>
          <w:tcPr>
            <w:tcW w:type="dxa" w:w="2520"/>
            <w:shd w:fill="F2F4F8" w:val="clear"/>
          </w:tcPr>
          <w:p>
            <w:r>
              <w:rPr>
                <w:rFonts w:ascii="Calibri" w:hAnsi="Calibri"/>
                <w:color w:val="333333"/>
                <w:sz w:val="18"/>
              </w:rPr>
              <w:t>Combined CEO / Board Chair</w:t>
            </w:r>
          </w:p>
        </w:tc>
        <w:tc>
          <w:tcPr>
            <w:tcW w:type="dxa" w:w="2520"/>
            <w:shd w:fill="F2F4F8" w:val="clear"/>
          </w:tcPr>
          <w:p>
            <w:r>
              <w:rPr>
                <w:rFonts w:ascii="Calibri" w:hAnsi="Calibri"/>
                <w:color w:val="333333"/>
                <w:sz w:val="18"/>
              </w:rPr>
              <w:t>67</w:t>
            </w:r>
          </w:p>
        </w:tc>
        <w:tc>
          <w:tcPr>
            <w:tcW w:type="dxa" w:w="2520"/>
            <w:shd w:fill="F2F4F8" w:val="clear"/>
          </w:tcPr>
          <w:p>
            <w:r>
              <w:rPr>
                <w:rFonts w:ascii="Calibri" w:hAnsi="Calibri"/>
                <w:color w:val="333333"/>
                <w:sz w:val="18"/>
              </w:rPr>
              <w:t>HIGH</w:t>
            </w:r>
          </w:p>
        </w:tc>
        <w:tc>
          <w:tcPr>
            <w:tcW w:type="dxa" w:w="2520"/>
            <w:shd w:fill="F2F4F8" w:val="clear"/>
          </w:tcPr>
          <w:p>
            <w:r>
              <w:rPr>
                <w:rFonts w:ascii="Calibri" w:hAnsi="Calibri"/>
                <w:color w:val="333333"/>
                <w:sz w:val="18"/>
              </w:rPr>
              <w:t>CEO and Chair roles combined -- concentrated authority</w:t>
            </w:r>
          </w:p>
        </w:tc>
      </w:tr>
      <w:tr>
        <w:tc>
          <w:tcPr>
            <w:tcW w:type="dxa" w:w="2520"/>
          </w:tcPr>
          <w:p>
            <w:r>
              <w:rPr>
                <w:rFonts w:ascii="Calibri" w:hAnsi="Calibri"/>
                <w:color w:val="333333"/>
                <w:sz w:val="18"/>
              </w:rPr>
              <w:t>M&amp;A Activity</w:t>
            </w:r>
          </w:p>
        </w:tc>
        <w:tc>
          <w:tcPr>
            <w:tcW w:type="dxa" w:w="2520"/>
          </w:tcPr>
          <w:p>
            <w:r>
              <w:rPr>
                <w:rFonts w:ascii="Calibri" w:hAnsi="Calibri"/>
                <w:color w:val="333333"/>
                <w:sz w:val="18"/>
              </w:rPr>
              <w:t>60</w:t>
            </w:r>
          </w:p>
        </w:tc>
        <w:tc>
          <w:tcPr>
            <w:tcW w:type="dxa" w:w="2520"/>
          </w:tcPr>
          <w:p>
            <w:r>
              <w:rPr>
                <w:rFonts w:ascii="Calibri" w:hAnsi="Calibri"/>
                <w:color w:val="333333"/>
                <w:sz w:val="18"/>
              </w:rPr>
              <w:t>ELEVATED</w:t>
            </w:r>
          </w:p>
        </w:tc>
        <w:tc>
          <w:tcPr>
            <w:tcW w:type="dxa" w:w="2520"/>
          </w:tcPr>
          <w:p>
            <w:r>
              <w:rPr>
                <w:rFonts w:ascii="Calibri" w:hAnsi="Calibri"/>
                <w:color w:val="333333"/>
                <w:sz w:val="18"/>
              </w:rPr>
              <w:t>1 acquisition(s) noted; Goodwill 33.3% of assets (HIGH)</w:t>
            </w:r>
          </w:p>
        </w:tc>
      </w:tr>
      <w:tr>
        <w:tc>
          <w:tcPr>
            <w:tcW w:type="dxa" w:w="2520"/>
            <w:shd w:fill="F2F4F8" w:val="clear"/>
          </w:tcPr>
          <w:p>
            <w:r>
              <w:rPr>
                <w:rFonts w:ascii="Calibri" w:hAnsi="Calibri"/>
                <w:color w:val="333333"/>
                <w:sz w:val="18"/>
              </w:rPr>
              <w:t>IP Dependency</w:t>
            </w:r>
          </w:p>
        </w:tc>
        <w:tc>
          <w:tcPr>
            <w:tcW w:type="dxa" w:w="2520"/>
            <w:shd w:fill="F2F4F8" w:val="clear"/>
          </w:tcPr>
          <w:p>
            <w:r>
              <w:rPr>
                <w:rFonts w:ascii="Calibri" w:hAnsi="Calibri"/>
                <w:color w:val="333333"/>
                <w:sz w:val="18"/>
              </w:rPr>
              <w:t>50</w:t>
            </w:r>
          </w:p>
        </w:tc>
        <w:tc>
          <w:tcPr>
            <w:tcW w:type="dxa" w:w="2520"/>
            <w:shd w:fill="F2F4F8" w:val="clear"/>
          </w:tcPr>
          <w:p>
            <w:r>
              <w:rPr>
                <w:rFonts w:ascii="Calibri" w:hAnsi="Calibri"/>
                <w:color w:val="333333"/>
                <w:sz w:val="18"/>
              </w:rPr>
              <w:t>ELEVATED</w:t>
            </w:r>
          </w:p>
        </w:tc>
        <w:tc>
          <w:tcPr>
            <w:tcW w:type="dxa" w:w="2520"/>
            <w:shd w:fill="F2F4F8" w:val="clear"/>
          </w:tcPr>
          <w:p>
            <w:r>
              <w:rPr>
                <w:rFonts w:ascii="Calibri" w:hAnsi="Calibri"/>
                <w:color w:val="333333"/>
                <w:sz w:val="18"/>
              </w:rPr>
              <w:t>No data available — scored at baseline (MODERATE)</w:t>
            </w:r>
          </w:p>
        </w:tc>
      </w:tr>
      <w:tr>
        <w:tc>
          <w:tcPr>
            <w:tcW w:type="dxa" w:w="2520"/>
          </w:tcPr>
          <w:p>
            <w:r>
              <w:rPr>
                <w:rFonts w:ascii="Calibri" w:hAnsi="Calibri"/>
                <w:color w:val="333333"/>
                <w:sz w:val="18"/>
              </w:rPr>
              <w:t>Scale Experience Mismatch</w:t>
            </w:r>
          </w:p>
        </w:tc>
        <w:tc>
          <w:tcPr>
            <w:tcW w:type="dxa" w:w="2520"/>
          </w:tcPr>
          <w:p>
            <w:r>
              <w:rPr>
                <w:rFonts w:ascii="Calibri" w:hAnsi="Calibri"/>
                <w:color w:val="333333"/>
                <w:sz w:val="18"/>
              </w:rPr>
              <w:t>50</w:t>
            </w:r>
          </w:p>
        </w:tc>
        <w:tc>
          <w:tcPr>
            <w:tcW w:type="dxa" w:w="2520"/>
          </w:tcPr>
          <w:p>
            <w:r>
              <w:rPr>
                <w:rFonts w:ascii="Calibri" w:hAnsi="Calibri"/>
                <w:color w:val="333333"/>
                <w:sz w:val="18"/>
              </w:rPr>
              <w:t>ELEVATED</w:t>
            </w:r>
          </w:p>
        </w:tc>
        <w:tc>
          <w:tcPr>
            <w:tcW w:type="dxa" w:w="2520"/>
          </w:tcPr>
          <w:p>
            <w:r>
              <w:rPr>
                <w:rFonts w:ascii="Calibri" w:hAnsi="Calibri"/>
                <w:color w:val="333333"/>
                <w:sz w:val="18"/>
              </w:rPr>
              <w:t>Proxy: 1 scale/growth keyword hits in risk factors; Estimated from related indicators.</w:t>
            </w:r>
          </w:p>
        </w:tc>
      </w:tr>
      <w:tr>
        <w:tc>
          <w:tcPr>
            <w:tcW w:type="dxa" w:w="2520"/>
            <w:shd w:fill="F2F4F8" w:val="clear"/>
          </w:tcPr>
          <w:p>
            <w:r>
              <w:rPr>
                <w:rFonts w:ascii="Calibri" w:hAnsi="Calibri"/>
                <w:color w:val="333333"/>
                <w:sz w:val="18"/>
              </w:rPr>
              <w:t>Founder-Led vs Professional Management</w:t>
            </w:r>
          </w:p>
        </w:tc>
        <w:tc>
          <w:tcPr>
            <w:tcW w:type="dxa" w:w="2520"/>
            <w:shd w:fill="F2F4F8" w:val="clear"/>
          </w:tcPr>
          <w:p>
            <w:r>
              <w:rPr>
                <w:rFonts w:ascii="Calibri" w:hAnsi="Calibri"/>
                <w:color w:val="333333"/>
                <w:sz w:val="18"/>
              </w:rPr>
              <w:t>50</w:t>
            </w:r>
          </w:p>
        </w:tc>
        <w:tc>
          <w:tcPr>
            <w:tcW w:type="dxa" w:w="2520"/>
            <w:shd w:fill="F2F4F8" w:val="clear"/>
          </w:tcPr>
          <w:p>
            <w:r>
              <w:rPr>
                <w:rFonts w:ascii="Calibri" w:hAnsi="Calibri"/>
                <w:color w:val="333333"/>
                <w:sz w:val="18"/>
              </w:rPr>
              <w:t>ELEVATED</w:t>
            </w:r>
          </w:p>
        </w:tc>
        <w:tc>
          <w:tcPr>
            <w:tcW w:type="dxa" w:w="2520"/>
            <w:shd w:fill="F2F4F8" w:val="clear"/>
          </w:tcPr>
          <w:p>
            <w:r>
              <w:rPr>
                <w:rFonts w:ascii="Calibri" w:hAnsi="Calibri"/>
                <w:color w:val="333333"/>
                <w:sz w:val="18"/>
              </w:rPr>
              <w:t>No data available — scored at baseline (MODERATE)</w:t>
            </w:r>
          </w:p>
        </w:tc>
      </w:tr>
      <w:tr>
        <w:tc>
          <w:tcPr>
            <w:tcW w:type="dxa" w:w="2520"/>
          </w:tcPr>
          <w:p>
            <w:r>
              <w:rPr>
                <w:rFonts w:ascii="Calibri" w:hAnsi="Calibri"/>
                <w:color w:val="333333"/>
                <w:sz w:val="18"/>
              </w:rPr>
              <w:t>Management Turnover</w:t>
            </w:r>
          </w:p>
        </w:tc>
        <w:tc>
          <w:tcPr>
            <w:tcW w:type="dxa" w:w="2520"/>
          </w:tcPr>
          <w:p>
            <w:r>
              <w:rPr>
                <w:rFonts w:ascii="Calibri" w:hAnsi="Calibri"/>
                <w:color w:val="333333"/>
                <w:sz w:val="18"/>
              </w:rPr>
              <w:t>50</w:t>
            </w:r>
          </w:p>
        </w:tc>
        <w:tc>
          <w:tcPr>
            <w:tcW w:type="dxa" w:w="2520"/>
          </w:tcPr>
          <w:p>
            <w:r>
              <w:rPr>
                <w:rFonts w:ascii="Calibri" w:hAnsi="Calibri"/>
                <w:color w:val="333333"/>
                <w:sz w:val="18"/>
              </w:rPr>
              <w:t>ELEVATED</w:t>
            </w:r>
          </w:p>
        </w:tc>
        <w:tc>
          <w:tcPr>
            <w:tcW w:type="dxa" w:w="2520"/>
          </w:tcPr>
          <w:p>
            <w:r>
              <w:rPr>
                <w:rFonts w:ascii="Calibri" w:hAnsi="Calibri"/>
                <w:color w:val="333333"/>
                <w:sz w:val="18"/>
              </w:rPr>
              <w:t>No data available — scored at baseline (MODERATE)</w:t>
            </w:r>
          </w:p>
        </w:tc>
      </w:tr>
      <w:tr>
        <w:tc>
          <w:tcPr>
            <w:tcW w:type="dxa" w:w="2520"/>
            <w:shd w:fill="F2F4F8" w:val="clear"/>
          </w:tcPr>
          <w:p>
            <w:r>
              <w:rPr>
                <w:rFonts w:ascii="Calibri" w:hAnsi="Calibri"/>
                <w:color w:val="333333"/>
                <w:sz w:val="18"/>
              </w:rPr>
              <w:t>Off-Balance Sheet Arrangements</w:t>
            </w:r>
          </w:p>
        </w:tc>
        <w:tc>
          <w:tcPr>
            <w:tcW w:type="dxa" w:w="2520"/>
            <w:shd w:fill="F2F4F8" w:val="clear"/>
          </w:tcPr>
          <w:p>
            <w:r>
              <w:rPr>
                <w:rFonts w:ascii="Calibri" w:hAnsi="Calibri"/>
                <w:color w:val="333333"/>
                <w:sz w:val="18"/>
              </w:rPr>
              <w:t>50</w:t>
            </w:r>
          </w:p>
        </w:tc>
        <w:tc>
          <w:tcPr>
            <w:tcW w:type="dxa" w:w="2520"/>
            <w:shd w:fill="F2F4F8" w:val="clear"/>
          </w:tcPr>
          <w:p>
            <w:r>
              <w:rPr>
                <w:rFonts w:ascii="Calibri" w:hAnsi="Calibri"/>
                <w:color w:val="333333"/>
                <w:sz w:val="18"/>
              </w:rPr>
              <w:t>ELEVATED</w:t>
            </w:r>
          </w:p>
        </w:tc>
        <w:tc>
          <w:tcPr>
            <w:tcW w:type="dxa" w:w="2520"/>
            <w:shd w:fill="F2F4F8" w:val="clear"/>
          </w:tcPr>
          <w:p>
            <w:r>
              <w:rPr>
                <w:rFonts w:ascii="Calibri" w:hAnsi="Calibri"/>
                <w:color w:val="333333"/>
                <w:sz w:val="18"/>
              </w:rPr>
              <w:t>No data available — scored at baseline (MODERATE)</w:t>
            </w:r>
          </w:p>
        </w:tc>
      </w:tr>
      <w:tr>
        <w:tc>
          <w:tcPr>
            <w:tcW w:type="dxa" w:w="2520"/>
          </w:tcPr>
          <w:p>
            <w:r>
              <w:rPr>
                <w:rFonts w:ascii="Calibri" w:hAnsi="Calibri"/>
                <w:color w:val="333333"/>
                <w:sz w:val="18"/>
              </w:rPr>
              <w:t>Capital Markets Activity</w:t>
            </w:r>
          </w:p>
        </w:tc>
        <w:tc>
          <w:tcPr>
            <w:tcW w:type="dxa" w:w="2520"/>
          </w:tcPr>
          <w:p>
            <w:r>
              <w:rPr>
                <w:rFonts w:ascii="Calibri" w:hAnsi="Calibri"/>
                <w:color w:val="333333"/>
                <w:sz w:val="18"/>
              </w:rPr>
              <w:t>50</w:t>
            </w:r>
          </w:p>
        </w:tc>
        <w:tc>
          <w:tcPr>
            <w:tcW w:type="dxa" w:w="2520"/>
          </w:tcPr>
          <w:p>
            <w:r>
              <w:rPr>
                <w:rFonts w:ascii="Calibri" w:hAnsi="Calibri"/>
                <w:color w:val="333333"/>
                <w:sz w:val="18"/>
              </w:rPr>
              <w:t>ELEVATED</w:t>
            </w:r>
          </w:p>
        </w:tc>
        <w:tc>
          <w:tcPr>
            <w:tcW w:type="dxa" w:w="2520"/>
          </w:tcPr>
          <w:p>
            <w:r>
              <w:rPr>
                <w:rFonts w:ascii="Calibri" w:hAnsi="Calibri"/>
                <w:color w:val="333333"/>
                <w:sz w:val="18"/>
              </w:rPr>
              <w:t>No data available — scored at baseline (MODERATE)</w:t>
            </w:r>
          </w:p>
        </w:tc>
      </w:tr>
      <w:tr>
        <w:tc>
          <w:tcPr>
            <w:tcW w:type="dxa" w:w="2520"/>
            <w:shd w:fill="F2F4F8" w:val="clear"/>
          </w:tcPr>
          <w:p>
            <w:r>
              <w:rPr>
                <w:rFonts w:ascii="Calibri" w:hAnsi="Calibri"/>
                <w:color w:val="333333"/>
                <w:sz w:val="18"/>
              </w:rPr>
              <w:t>Audit Committee Quality</w:t>
            </w:r>
          </w:p>
        </w:tc>
        <w:tc>
          <w:tcPr>
            <w:tcW w:type="dxa" w:w="2520"/>
            <w:shd w:fill="F2F4F8" w:val="clear"/>
          </w:tcPr>
          <w:p>
            <w:r>
              <w:rPr>
                <w:rFonts w:ascii="Calibri" w:hAnsi="Calibri"/>
                <w:color w:val="333333"/>
                <w:sz w:val="18"/>
              </w:rPr>
              <w:t>50</w:t>
            </w:r>
          </w:p>
        </w:tc>
        <w:tc>
          <w:tcPr>
            <w:tcW w:type="dxa" w:w="2520"/>
            <w:shd w:fill="F2F4F8" w:val="clear"/>
          </w:tcPr>
          <w:p>
            <w:r>
              <w:rPr>
                <w:rFonts w:ascii="Calibri" w:hAnsi="Calibri"/>
                <w:color w:val="333333"/>
                <w:sz w:val="18"/>
              </w:rPr>
              <w:t>ELEVATED</w:t>
            </w:r>
          </w:p>
        </w:tc>
        <w:tc>
          <w:tcPr>
            <w:tcW w:type="dxa" w:w="2520"/>
            <w:shd w:fill="F2F4F8" w:val="clear"/>
          </w:tcPr>
          <w:p>
            <w:r>
              <w:rPr>
                <w:rFonts w:ascii="Calibri" w:hAnsi="Calibri"/>
                <w:color w:val="333333"/>
                <w:sz w:val="18"/>
              </w:rPr>
              <w:t>Committee quality score 0.0/10 (weak); Estimated from related indicators.</w:t>
            </w:r>
          </w:p>
        </w:tc>
      </w:tr>
      <w:tr>
        <w:tc>
          <w:tcPr>
            <w:tcW w:type="dxa" w:w="2520"/>
          </w:tcPr>
          <w:p>
            <w:r>
              <w:rPr>
                <w:rFonts w:ascii="Calibri" w:hAnsi="Calibri"/>
                <w:color w:val="333333"/>
                <w:sz w:val="18"/>
              </w:rPr>
              <w:t>Shareholder Rights</w:t>
            </w:r>
          </w:p>
        </w:tc>
        <w:tc>
          <w:tcPr>
            <w:tcW w:type="dxa" w:w="2520"/>
          </w:tcPr>
          <w:p>
            <w:r>
              <w:rPr>
                <w:rFonts w:ascii="Calibri" w:hAnsi="Calibri"/>
                <w:color w:val="333333"/>
                <w:sz w:val="18"/>
              </w:rPr>
              <w:t>50</w:t>
            </w:r>
          </w:p>
        </w:tc>
        <w:tc>
          <w:tcPr>
            <w:tcW w:type="dxa" w:w="2520"/>
          </w:tcPr>
          <w:p>
            <w:r>
              <w:rPr>
                <w:rFonts w:ascii="Calibri" w:hAnsi="Calibri"/>
                <w:color w:val="333333"/>
                <w:sz w:val="18"/>
              </w:rPr>
              <w:t>ELEVATED</w:t>
            </w:r>
          </w:p>
        </w:tc>
        <w:tc>
          <w:tcPr>
            <w:tcW w:type="dxa" w:w="2520"/>
          </w:tcPr>
          <w:p>
            <w:r>
              <w:rPr>
                <w:rFonts w:ascii="Calibri" w:hAnsi="Calibri"/>
                <w:color w:val="333333"/>
                <w:sz w:val="18"/>
              </w:rPr>
              <w:t>No data available — scored at baseline (MODERATE)</w:t>
            </w:r>
          </w:p>
        </w:tc>
      </w:tr>
      <w:tr>
        <w:tc>
          <w:tcPr>
            <w:tcW w:type="dxa" w:w="2520"/>
            <w:shd w:fill="F2F4F8" w:val="clear"/>
          </w:tcPr>
          <w:p>
            <w:r>
              <w:rPr>
                <w:rFonts w:ascii="Calibri" w:hAnsi="Calibri"/>
                <w:color w:val="333333"/>
                <w:sz w:val="18"/>
              </w:rPr>
              <w:t>IPO Recency</w:t>
            </w:r>
          </w:p>
        </w:tc>
        <w:tc>
          <w:tcPr>
            <w:tcW w:type="dxa" w:w="2520"/>
            <w:shd w:fill="F2F4F8" w:val="clear"/>
          </w:tcPr>
          <w:p>
            <w:r>
              <w:rPr>
                <w:rFonts w:ascii="Calibri" w:hAnsi="Calibri"/>
                <w:color w:val="333333"/>
                <w:sz w:val="18"/>
              </w:rPr>
              <w:t>50</w:t>
            </w:r>
          </w:p>
        </w:tc>
        <w:tc>
          <w:tcPr>
            <w:tcW w:type="dxa" w:w="2520"/>
            <w:shd w:fill="F2F4F8" w:val="clear"/>
          </w:tcPr>
          <w:p>
            <w:r>
              <w:rPr>
                <w:rFonts w:ascii="Calibri" w:hAnsi="Calibri"/>
                <w:color w:val="333333"/>
                <w:sz w:val="18"/>
              </w:rPr>
              <w:t>ELEVATED</w:t>
            </w:r>
          </w:p>
        </w:tc>
        <w:tc>
          <w:tcPr>
            <w:tcW w:type="dxa" w:w="2520"/>
            <w:shd w:fill="F2F4F8" w:val="clear"/>
          </w:tcPr>
          <w:p>
            <w:r>
              <w:rPr>
                <w:rFonts w:ascii="Calibri" w:hAnsi="Calibri"/>
                <w:color w:val="333333"/>
                <w:sz w:val="18"/>
              </w:rPr>
              <w:t>No data available — scored at baseline (MODERATE)</w:t>
            </w:r>
          </w:p>
        </w:tc>
      </w:tr>
      <w:tr>
        <w:tc>
          <w:tcPr>
            <w:tcW w:type="dxa" w:w="2520"/>
          </w:tcPr>
          <w:p>
            <w:r>
              <w:rPr>
                <w:rFonts w:ascii="Calibri" w:hAnsi="Calibri"/>
                <w:color w:val="333333"/>
                <w:sz w:val="18"/>
              </w:rPr>
              <w:t>Method of Going Public</w:t>
            </w:r>
          </w:p>
        </w:tc>
        <w:tc>
          <w:tcPr>
            <w:tcW w:type="dxa" w:w="2520"/>
          </w:tcPr>
          <w:p>
            <w:r>
              <w:rPr>
                <w:rFonts w:ascii="Calibri" w:hAnsi="Calibri"/>
                <w:color w:val="333333"/>
                <w:sz w:val="18"/>
              </w:rPr>
              <w:t>50</w:t>
            </w:r>
          </w:p>
        </w:tc>
        <w:tc>
          <w:tcPr>
            <w:tcW w:type="dxa" w:w="2520"/>
          </w:tcPr>
          <w:p>
            <w:r>
              <w:rPr>
                <w:rFonts w:ascii="Calibri" w:hAnsi="Calibri"/>
                <w:color w:val="333333"/>
                <w:sz w:val="18"/>
              </w:rPr>
              <w:t>ELEVATED</w:t>
            </w:r>
          </w:p>
        </w:tc>
        <w:tc>
          <w:tcPr>
            <w:tcW w:type="dxa" w:w="2520"/>
          </w:tcPr>
          <w:p>
            <w:r>
              <w:rPr>
                <w:rFonts w:ascii="Calibri" w:hAnsi="Calibri"/>
                <w:color w:val="333333"/>
                <w:sz w:val="18"/>
              </w:rPr>
              <w:t>No data available — scored at baseline (MODERATE)</w:t>
            </w:r>
          </w:p>
        </w:tc>
      </w:tr>
      <w:tr>
        <w:tc>
          <w:tcPr>
            <w:tcW w:type="dxa" w:w="2520"/>
            <w:shd w:fill="F2F4F8" w:val="clear"/>
          </w:tcPr>
          <w:p>
            <w:r>
              <w:rPr>
                <w:rFonts w:ascii="Calibri" w:hAnsi="Calibri"/>
                <w:color w:val="333333"/>
                <w:sz w:val="18"/>
              </w:rPr>
              <w:t>Seasoning &amp; Track Record</w:t>
            </w:r>
          </w:p>
        </w:tc>
        <w:tc>
          <w:tcPr>
            <w:tcW w:type="dxa" w:w="2520"/>
            <w:shd w:fill="F2F4F8" w:val="clear"/>
          </w:tcPr>
          <w:p>
            <w:r>
              <w:rPr>
                <w:rFonts w:ascii="Calibri" w:hAnsi="Calibri"/>
                <w:color w:val="333333"/>
                <w:sz w:val="18"/>
              </w:rPr>
              <w:t>50</w:t>
            </w:r>
          </w:p>
        </w:tc>
        <w:tc>
          <w:tcPr>
            <w:tcW w:type="dxa" w:w="2520"/>
            <w:shd w:fill="F2F4F8" w:val="clear"/>
          </w:tcPr>
          <w:p>
            <w:r>
              <w:rPr>
                <w:rFonts w:ascii="Calibri" w:hAnsi="Calibri"/>
                <w:color w:val="333333"/>
                <w:sz w:val="18"/>
              </w:rPr>
              <w:t>ELEVATED</w:t>
            </w:r>
          </w:p>
        </w:tc>
        <w:tc>
          <w:tcPr>
            <w:tcW w:type="dxa" w:w="2520"/>
            <w:shd w:fill="F2F4F8" w:val="clear"/>
          </w:tcPr>
          <w:p>
            <w:r>
              <w:rPr>
                <w:rFonts w:ascii="Calibri" w:hAnsi="Calibri"/>
                <w:color w:val="333333"/>
                <w:sz w:val="18"/>
              </w:rPr>
              <w:t>No data available — scored at baseline (MODERATE)</w:t>
            </w:r>
          </w:p>
        </w:tc>
      </w:tr>
      <w:tr>
        <w:tc>
          <w:tcPr>
            <w:tcW w:type="dxa" w:w="2520"/>
          </w:tcPr>
          <w:p>
            <w:r>
              <w:rPr>
                <w:rFonts w:ascii="Calibri" w:hAnsi="Calibri"/>
                <w:color w:val="333333"/>
                <w:sz w:val="18"/>
              </w:rPr>
              <w:t>Market Cycle Position</w:t>
            </w:r>
          </w:p>
        </w:tc>
        <w:tc>
          <w:tcPr>
            <w:tcW w:type="dxa" w:w="2520"/>
          </w:tcPr>
          <w:p>
            <w:r>
              <w:rPr>
                <w:rFonts w:ascii="Calibri" w:hAnsi="Calibri"/>
                <w:color w:val="333333"/>
                <w:sz w:val="18"/>
              </w:rPr>
              <w:t>50</w:t>
            </w:r>
          </w:p>
        </w:tc>
        <w:tc>
          <w:tcPr>
            <w:tcW w:type="dxa" w:w="2520"/>
          </w:tcPr>
          <w:p>
            <w:r>
              <w:rPr>
                <w:rFonts w:ascii="Calibri" w:hAnsi="Calibri"/>
                <w:color w:val="333333"/>
                <w:sz w:val="18"/>
              </w:rPr>
              <w:t>ELEVATED</w:t>
            </w:r>
          </w:p>
        </w:tc>
        <w:tc>
          <w:tcPr>
            <w:tcW w:type="dxa" w:w="2520"/>
          </w:tcPr>
          <w:p>
            <w:r>
              <w:rPr>
                <w:rFonts w:ascii="Calibri" w:hAnsi="Calibri"/>
                <w:color w:val="333333"/>
                <w:sz w:val="18"/>
              </w:rPr>
              <w:t>Market cycle scored at config default (moderate -- apply system-wide); Estimated from related indicators.</w:t>
            </w:r>
          </w:p>
        </w:tc>
      </w:tr>
      <w:tr>
        <w:tc>
          <w:tcPr>
            <w:tcW w:type="dxa" w:w="2520"/>
            <w:shd w:fill="F2F4F8" w:val="clear"/>
          </w:tcPr>
          <w:p>
            <w:r>
              <w:rPr>
                <w:rFonts w:ascii="Calibri" w:hAnsi="Calibri"/>
                <w:color w:val="333333"/>
                <w:sz w:val="18"/>
              </w:rPr>
              <w:t>Political &amp; Policy Environment</w:t>
            </w:r>
          </w:p>
        </w:tc>
        <w:tc>
          <w:tcPr>
            <w:tcW w:type="dxa" w:w="2520"/>
            <w:shd w:fill="F2F4F8" w:val="clear"/>
          </w:tcPr>
          <w:p>
            <w:r>
              <w:rPr>
                <w:rFonts w:ascii="Calibri" w:hAnsi="Calibri"/>
                <w:color w:val="333333"/>
                <w:sz w:val="18"/>
              </w:rPr>
              <w:t>50</w:t>
            </w:r>
          </w:p>
        </w:tc>
        <w:tc>
          <w:tcPr>
            <w:tcW w:type="dxa" w:w="2520"/>
            <w:shd w:fill="F2F4F8" w:val="clear"/>
          </w:tcPr>
          <w:p>
            <w:r>
              <w:rPr>
                <w:rFonts w:ascii="Calibri" w:hAnsi="Calibri"/>
                <w:color w:val="333333"/>
                <w:sz w:val="18"/>
              </w:rPr>
              <w:t>ELEVATED</w:t>
            </w:r>
          </w:p>
        </w:tc>
        <w:tc>
          <w:tcPr>
            <w:tcW w:type="dxa" w:w="2520"/>
            <w:shd w:fill="F2F4F8" w:val="clear"/>
          </w:tcPr>
          <w:p>
            <w:r>
              <w:rPr>
                <w:rFonts w:ascii="Calibri" w:hAnsi="Calibri"/>
                <w:color w:val="333333"/>
                <w:sz w:val="18"/>
              </w:rPr>
              <w:t>Political/policy environment at config default (moderate); Estimated from related indicators.</w:t>
            </w:r>
          </w:p>
        </w:tc>
      </w:tr>
      <w:tr>
        <w:tc>
          <w:tcPr>
            <w:tcW w:type="dxa" w:w="2520"/>
          </w:tcPr>
          <w:p>
            <w:r>
              <w:rPr>
                <w:rFonts w:ascii="Calibri" w:hAnsi="Calibri"/>
                <w:color w:val="333333"/>
                <w:sz w:val="18"/>
              </w:rPr>
              <w:t>Interest Rate Environment</w:t>
            </w:r>
          </w:p>
        </w:tc>
        <w:tc>
          <w:tcPr>
            <w:tcW w:type="dxa" w:w="2520"/>
          </w:tcPr>
          <w:p>
            <w:r>
              <w:rPr>
                <w:rFonts w:ascii="Calibri" w:hAnsi="Calibri"/>
                <w:color w:val="333333"/>
                <w:sz w:val="18"/>
              </w:rPr>
              <w:t>50</w:t>
            </w:r>
          </w:p>
        </w:tc>
        <w:tc>
          <w:tcPr>
            <w:tcW w:type="dxa" w:w="2520"/>
          </w:tcPr>
          <w:p>
            <w:r>
              <w:rPr>
                <w:rFonts w:ascii="Calibri" w:hAnsi="Calibri"/>
                <w:color w:val="333333"/>
                <w:sz w:val="18"/>
              </w:rPr>
              <w:t>ELEVATED</w:t>
            </w:r>
          </w:p>
        </w:tc>
        <w:tc>
          <w:tcPr>
            <w:tcW w:type="dxa" w:w="2520"/>
          </w:tcPr>
          <w:p>
            <w:r>
              <w:rPr>
                <w:rFonts w:ascii="Calibri" w:hAnsi="Calibri"/>
                <w:color w:val="333333"/>
                <w:sz w:val="18"/>
              </w:rPr>
              <w:t>Interest rate environment at config default; Estimated from related indicators.</w:t>
            </w:r>
          </w:p>
        </w:tc>
      </w:tr>
      <w:tr>
        <w:tc>
          <w:tcPr>
            <w:tcW w:type="dxa" w:w="2520"/>
            <w:shd w:fill="F2F4F8" w:val="clear"/>
          </w:tcPr>
          <w:p>
            <w:r>
              <w:rPr>
                <w:rFonts w:ascii="Calibri" w:hAnsi="Calibri"/>
                <w:color w:val="333333"/>
                <w:sz w:val="18"/>
              </w:rPr>
              <w:t>Plaintiff Attorney Activity</w:t>
            </w:r>
          </w:p>
        </w:tc>
        <w:tc>
          <w:tcPr>
            <w:tcW w:type="dxa" w:w="2520"/>
            <w:shd w:fill="F2F4F8" w:val="clear"/>
          </w:tcPr>
          <w:p>
            <w:r>
              <w:rPr>
                <w:rFonts w:ascii="Calibri" w:hAnsi="Calibri"/>
                <w:color w:val="333333"/>
                <w:sz w:val="18"/>
              </w:rPr>
              <w:t>50</w:t>
            </w:r>
          </w:p>
        </w:tc>
        <w:tc>
          <w:tcPr>
            <w:tcW w:type="dxa" w:w="2520"/>
            <w:shd w:fill="F2F4F8" w:val="clear"/>
          </w:tcPr>
          <w:p>
            <w:r>
              <w:rPr>
                <w:rFonts w:ascii="Calibri" w:hAnsi="Calibri"/>
                <w:color w:val="333333"/>
                <w:sz w:val="18"/>
              </w:rPr>
              <w:t>ELEVATED</w:t>
            </w:r>
          </w:p>
        </w:tc>
        <w:tc>
          <w:tcPr>
            <w:tcW w:type="dxa" w:w="2520"/>
            <w:shd w:fill="F2F4F8" w:val="clear"/>
          </w:tcPr>
          <w:p>
            <w:r>
              <w:rPr>
                <w:rFonts w:ascii="Calibri" w:hAnsi="Calibri"/>
                <w:color w:val="333333"/>
                <w:sz w:val="18"/>
              </w:rPr>
              <w:t>Plaintiff attorney activity at moderate baseline (no specific data); Estimated from related indicators.</w:t>
            </w:r>
          </w:p>
        </w:tc>
      </w:tr>
      <w:tr>
        <w:tc>
          <w:tcPr>
            <w:tcW w:type="dxa" w:w="2520"/>
          </w:tcPr>
          <w:p>
            <w:r>
              <w:rPr>
                <w:rFonts w:ascii="Calibri" w:hAnsi="Calibri"/>
                <w:color w:val="333333"/>
                <w:sz w:val="18"/>
              </w:rPr>
              <w:t>Crypto / Digital Asset Exposure</w:t>
            </w:r>
          </w:p>
        </w:tc>
        <w:tc>
          <w:tcPr>
            <w:tcW w:type="dxa" w:w="2520"/>
          </w:tcPr>
          <w:p>
            <w:r>
              <w:rPr>
                <w:rFonts w:ascii="Calibri" w:hAnsi="Calibri"/>
                <w:color w:val="333333"/>
                <w:sz w:val="18"/>
              </w:rPr>
              <w:t>50</w:t>
            </w:r>
          </w:p>
        </w:tc>
        <w:tc>
          <w:tcPr>
            <w:tcW w:type="dxa" w:w="2520"/>
          </w:tcPr>
          <w:p>
            <w:r>
              <w:rPr>
                <w:rFonts w:ascii="Calibri" w:hAnsi="Calibri"/>
                <w:color w:val="333333"/>
                <w:sz w:val="18"/>
              </w:rPr>
              <w:t>ELEVATED</w:t>
            </w:r>
          </w:p>
        </w:tc>
        <w:tc>
          <w:tcPr>
            <w:tcW w:type="dxa" w:w="2520"/>
          </w:tcPr>
          <w:p>
            <w:r>
              <w:rPr>
                <w:rFonts w:ascii="Calibri" w:hAnsi="Calibri"/>
                <w:color w:val="333333"/>
                <w:sz w:val="18"/>
              </w:rPr>
              <w:t>No data available — scored at baseline (MODERATE)</w:t>
            </w:r>
          </w:p>
        </w:tc>
      </w:tr>
      <w:tr>
        <w:tc>
          <w:tcPr>
            <w:tcW w:type="dxa" w:w="2520"/>
            <w:shd w:fill="F2F4F8" w:val="clear"/>
          </w:tcPr>
          <w:p>
            <w:r>
              <w:rPr>
                <w:rFonts w:ascii="Calibri" w:hAnsi="Calibri"/>
                <w:color w:val="333333"/>
                <w:sz w:val="18"/>
              </w:rPr>
              <w:t>Social Media / Public Persona Risk</w:t>
            </w:r>
          </w:p>
        </w:tc>
        <w:tc>
          <w:tcPr>
            <w:tcW w:type="dxa" w:w="2520"/>
            <w:shd w:fill="F2F4F8" w:val="clear"/>
          </w:tcPr>
          <w:p>
            <w:r>
              <w:rPr>
                <w:rFonts w:ascii="Calibri" w:hAnsi="Calibri"/>
                <w:color w:val="333333"/>
                <w:sz w:val="18"/>
              </w:rPr>
              <w:t>50</w:t>
            </w:r>
          </w:p>
        </w:tc>
        <w:tc>
          <w:tcPr>
            <w:tcW w:type="dxa" w:w="2520"/>
            <w:shd w:fill="F2F4F8" w:val="clear"/>
          </w:tcPr>
          <w:p>
            <w:r>
              <w:rPr>
                <w:rFonts w:ascii="Calibri" w:hAnsi="Calibri"/>
                <w:color w:val="333333"/>
                <w:sz w:val="18"/>
              </w:rPr>
              <w:t>ELEVATED</w:t>
            </w:r>
          </w:p>
        </w:tc>
        <w:tc>
          <w:tcPr>
            <w:tcW w:type="dxa" w:w="2520"/>
            <w:shd w:fill="F2F4F8" w:val="clear"/>
          </w:tcPr>
          <w:p>
            <w:r>
              <w:rPr>
                <w:rFonts w:ascii="Calibri" w:hAnsi="Calibri"/>
                <w:color w:val="333333"/>
                <w:sz w:val="18"/>
              </w:rPr>
              <w:t>No data available — scored at baseline (MODERATE)</w:t>
            </w:r>
          </w:p>
        </w:tc>
      </w:tr>
      <w:tr>
        <w:tc>
          <w:tcPr>
            <w:tcW w:type="dxa" w:w="2520"/>
          </w:tcPr>
          <w:p>
            <w:r>
              <w:rPr>
                <w:rFonts w:ascii="Calibri" w:hAnsi="Calibri"/>
                <w:color w:val="333333"/>
                <w:sz w:val="18"/>
              </w:rPr>
              <w:t>Workforce &amp; Labor Model</w:t>
            </w:r>
          </w:p>
        </w:tc>
        <w:tc>
          <w:tcPr>
            <w:tcW w:type="dxa" w:w="2520"/>
          </w:tcPr>
          <w:p>
            <w:r>
              <w:rPr>
                <w:rFonts w:ascii="Calibri" w:hAnsi="Calibri"/>
                <w:color w:val="333333"/>
                <w:sz w:val="18"/>
              </w:rPr>
              <w:t>50</w:t>
            </w:r>
          </w:p>
        </w:tc>
        <w:tc>
          <w:tcPr>
            <w:tcW w:type="dxa" w:w="2520"/>
          </w:tcPr>
          <w:p>
            <w:r>
              <w:rPr>
                <w:rFonts w:ascii="Calibri" w:hAnsi="Calibri"/>
                <w:color w:val="333333"/>
                <w:sz w:val="18"/>
              </w:rPr>
              <w:t>ELEVATED</w:t>
            </w:r>
          </w:p>
        </w:tc>
        <w:tc>
          <w:tcPr>
            <w:tcW w:type="dxa" w:w="2520"/>
          </w:tcPr>
          <w:p>
            <w:r>
              <w:rPr>
                <w:rFonts w:ascii="Calibri" w:hAnsi="Calibri"/>
                <w:color w:val="333333"/>
                <w:sz w:val="18"/>
              </w:rPr>
              <w:t>Workforce/labor keyword hits: FINANCIAL: Cost fluctuations and pressures, OPERATIONAL: Third-party reliance risks; Estimated from related indicators.</w:t>
            </w:r>
          </w:p>
        </w:tc>
      </w:tr>
    </w:tbl>
    <w:p>
      <w:pPr>
        <w:pStyle w:val="DOHeading3"/>
      </w:pPr>
      <w:r>
        <w:t>Interaction Effects</w:t>
      </w:r>
    </w:p>
    <w:p>
      <w:pPr>
        <w:pStyle w:val="DOBody"/>
      </w:pPr>
      <w:r>
        <w:rPr>
          <w:b/>
        </w:rPr>
        <w:t>Acquisition Machine (1.27x): Serial acquirer with goodwill-heavy balance sheet and integration risk</w:t>
      </w:r>
    </w:p>
    <w:p>
      <w:pPr>
        <w:pStyle w:val="DOBody"/>
      </w:pPr>
      <w:r>
        <w:rPr>
          <w:b/>
        </w:rPr>
        <w:t>Elevated Co-occurrence (1.05x): 5 dimensions scoring above 60% threshold</w:t>
      </w:r>
    </w:p>
    <w:p>
      <w:pPr>
        <w:pStyle w:val="DOHeading3"/>
      </w:pPr>
      <w:r>
        <w:t>All Hazard Dimensions (55 dimensions)</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1A1446" w:val="clear"/>
          </w:tcPr>
          <w:p>
            <w:r>
              <w:rPr>
                <w:rFonts w:ascii="Calibri" w:hAnsi="Calibri"/>
                <w:b/>
                <w:color w:val="FFFFFF"/>
                <w:sz w:val="18"/>
              </w:rPr>
              <w:t>Dimension</w:t>
            </w:r>
          </w:p>
        </w:tc>
        <w:tc>
          <w:tcPr>
            <w:tcW w:type="dxa" w:w="2016"/>
            <w:shd w:fill="1A1446" w:val="clear"/>
          </w:tcPr>
          <w:p>
            <w:r>
              <w:rPr>
                <w:rFonts w:ascii="Calibri" w:hAnsi="Calibri"/>
                <w:b/>
                <w:color w:val="FFFFFF"/>
                <w:sz w:val="18"/>
              </w:rPr>
              <w:t>Score</w:t>
            </w:r>
          </w:p>
        </w:tc>
        <w:tc>
          <w:tcPr>
            <w:tcW w:type="dxa" w:w="2016"/>
            <w:shd w:fill="1A1446" w:val="clear"/>
          </w:tcPr>
          <w:p>
            <w:r>
              <w:rPr>
                <w:rFonts w:ascii="Calibri" w:hAnsi="Calibri"/>
                <w:b/>
                <w:color w:val="FFFFFF"/>
                <w:sz w:val="18"/>
              </w:rPr>
              <w:t>Exposure</w:t>
            </w:r>
          </w:p>
        </w:tc>
        <w:tc>
          <w:tcPr>
            <w:tcW w:type="dxa" w:w="2016"/>
            <w:shd w:fill="1A1446" w:val="clear"/>
          </w:tcPr>
          <w:p>
            <w:r>
              <w:rPr>
                <w:rFonts w:ascii="Calibri" w:hAnsi="Calibri"/>
                <w:b/>
                <w:color w:val="FFFFFF"/>
                <w:sz w:val="18"/>
              </w:rPr>
              <w:t>Category</w:t>
            </w:r>
          </w:p>
        </w:tc>
        <w:tc>
          <w:tcPr>
            <w:tcW w:type="dxa" w:w="2016"/>
            <w:shd w:fill="1A1446" w:val="clear"/>
          </w:tcPr>
          <w:p>
            <w:r>
              <w:rPr>
                <w:rFonts w:ascii="Calibri" w:hAnsi="Calibri"/>
                <w:b/>
                <w:color w:val="FFFFFF"/>
                <w:sz w:val="18"/>
              </w:rPr>
              <w:t>Evidence</w:t>
            </w:r>
          </w:p>
        </w:tc>
      </w:tr>
      <w:tr>
        <w:tc>
          <w:tcPr>
            <w:tcW w:type="dxa" w:w="2016"/>
          </w:tcPr>
          <w:p>
            <w:r>
              <w:rPr>
                <w:rFonts w:ascii="Calibri" w:hAnsi="Calibri"/>
                <w:color w:val="333333"/>
                <w:sz w:val="18"/>
              </w:rPr>
              <w:t>Goodwill-Heavy Balance Sheet</w:t>
            </w:r>
          </w:p>
        </w:tc>
        <w:tc>
          <w:tcPr>
            <w:tcW w:type="dxa" w:w="2016"/>
          </w:tcPr>
          <w:p>
            <w:r>
              <w:rPr>
                <w:rFonts w:ascii="Calibri" w:hAnsi="Calibri"/>
                <w:color w:val="333333"/>
                <w:sz w:val="18"/>
              </w:rPr>
              <w:t>100</w:t>
            </w:r>
          </w:p>
        </w:tc>
        <w:tc>
          <w:tcPr>
            <w:tcW w:type="dxa" w:w="2016"/>
          </w:tcPr>
          <w:p>
            <w:r>
              <w:rPr>
                <w:rFonts w:ascii="Calibri" w:hAnsi="Calibri"/>
                <w:color w:val="333333"/>
                <w:sz w:val="18"/>
              </w:rPr>
              <w:t>CRITICAL</w:t>
            </w:r>
          </w:p>
        </w:tc>
        <w:tc>
          <w:tcPr>
            <w:tcW w:type="dxa" w:w="2016"/>
          </w:tcPr>
          <w:p>
            <w:r>
              <w:rPr>
                <w:rFonts w:ascii="Calibri" w:hAnsi="Calibri"/>
                <w:color w:val="333333"/>
                <w:sz w:val="18"/>
              </w:rPr>
              <w:t>Financial Structure</w:t>
            </w:r>
          </w:p>
        </w:tc>
        <w:tc>
          <w:tcPr>
            <w:tcW w:type="dxa" w:w="2016"/>
          </w:tcPr>
          <w:p>
            <w:r>
              <w:rPr>
                <w:rFonts w:ascii="Calibri" w:hAnsi="Calibri"/>
                <w:color w:val="333333"/>
                <w:sz w:val="18"/>
              </w:rPr>
              <w:t>Goodwill 33.3% of assets (HIGH -- impairment risk)</w:t>
            </w:r>
          </w:p>
        </w:tc>
      </w:tr>
      <w:tr>
        <w:tc>
          <w:tcPr>
            <w:tcW w:type="dxa" w:w="2016"/>
            <w:shd w:fill="F2F4F8" w:val="clear"/>
          </w:tcPr>
          <w:p>
            <w:r>
              <w:rPr>
                <w:rFonts w:ascii="Calibri" w:hAnsi="Calibri"/>
                <w:color w:val="333333"/>
                <w:sz w:val="18"/>
              </w:rPr>
              <w:t>Board Independence</w:t>
            </w:r>
          </w:p>
        </w:tc>
        <w:tc>
          <w:tcPr>
            <w:tcW w:type="dxa" w:w="2016"/>
            <w:shd w:fill="F2F4F8" w:val="clear"/>
          </w:tcPr>
          <w:p>
            <w:r>
              <w:rPr>
                <w:rFonts w:ascii="Calibri" w:hAnsi="Calibri"/>
                <w:color w:val="333333"/>
                <w:sz w:val="18"/>
              </w:rPr>
              <w:t>100</w:t>
            </w:r>
          </w:p>
        </w:tc>
        <w:tc>
          <w:tcPr>
            <w:tcW w:type="dxa" w:w="2016"/>
            <w:shd w:fill="F2F4F8" w:val="clear"/>
          </w:tcPr>
          <w:p>
            <w:r>
              <w:rPr>
                <w:rFonts w:ascii="Calibri" w:hAnsi="Calibri"/>
                <w:color w:val="333333"/>
                <w:sz w:val="18"/>
              </w:rPr>
              <w:t>CRITICAL</w:t>
            </w:r>
          </w:p>
        </w:tc>
        <w:tc>
          <w:tcPr>
            <w:tcW w:type="dxa" w:w="2016"/>
            <w:shd w:fill="F2F4F8" w:val="clear"/>
          </w:tcPr>
          <w:p>
            <w:r>
              <w:rPr>
                <w:rFonts w:ascii="Calibri" w:hAnsi="Calibri"/>
                <w:color w:val="333333"/>
                <w:sz w:val="18"/>
              </w:rPr>
              <w:t>Governance Structure</w:t>
            </w:r>
          </w:p>
        </w:tc>
        <w:tc>
          <w:tcPr>
            <w:tcW w:type="dxa" w:w="2016"/>
            <w:shd w:fill="F2F4F8" w:val="clear"/>
          </w:tcPr>
          <w:p>
            <w:r>
              <w:rPr>
                <w:rFonts w:ascii="Calibri" w:hAnsi="Calibri"/>
                <w:color w:val="333333"/>
                <w:sz w:val="18"/>
              </w:rPr>
              <w:t>Proxy: independence score 0.0</w:t>
            </w:r>
          </w:p>
        </w:tc>
      </w:tr>
      <w:tr>
        <w:tc>
          <w:tcPr>
            <w:tcW w:type="dxa" w:w="2016"/>
          </w:tcPr>
          <w:p>
            <w:r>
              <w:rPr>
                <w:rFonts w:ascii="Calibri" w:hAnsi="Calibri"/>
                <w:color w:val="333333"/>
                <w:sz w:val="18"/>
              </w:rPr>
              <w:t>Industry Expertise Match</w:t>
            </w:r>
          </w:p>
        </w:tc>
        <w:tc>
          <w:tcPr>
            <w:tcW w:type="dxa" w:w="2016"/>
          </w:tcPr>
          <w:p>
            <w:r>
              <w:rPr>
                <w:rFonts w:ascii="Calibri" w:hAnsi="Calibri"/>
                <w:color w:val="333333"/>
                <w:sz w:val="18"/>
              </w:rPr>
              <w:t>67</w:t>
            </w:r>
          </w:p>
        </w:tc>
        <w:tc>
          <w:tcPr>
            <w:tcW w:type="dxa" w:w="2016"/>
          </w:tcPr>
          <w:p>
            <w:r>
              <w:rPr>
                <w:rFonts w:ascii="Calibri" w:hAnsi="Calibri"/>
                <w:color w:val="333333"/>
                <w:sz w:val="18"/>
              </w:rPr>
              <w:t>HIGH</w:t>
            </w:r>
          </w:p>
        </w:tc>
        <w:tc>
          <w:tcPr>
            <w:tcW w:type="dxa" w:w="2016"/>
          </w:tcPr>
          <w:p>
            <w:r>
              <w:rPr>
                <w:rFonts w:ascii="Calibri" w:hAnsi="Calibri"/>
                <w:color w:val="333333"/>
                <w:sz w:val="18"/>
              </w:rPr>
              <w:t>People &amp; Management</w:t>
            </w:r>
          </w:p>
        </w:tc>
        <w:tc>
          <w:tcPr>
            <w:tcW w:type="dxa" w:w="2016"/>
          </w:tcPr>
          <w:p>
            <w:r>
              <w:rPr>
                <w:rFonts w:ascii="Calibri" w:hAnsi="Calibri"/>
                <w:color w:val="333333"/>
                <w:sz w:val="18"/>
              </w:rPr>
              <w:t>No executives with explicit CONS background in bios</w:t>
            </w:r>
          </w:p>
        </w:tc>
      </w:tr>
      <w:tr>
        <w:tc>
          <w:tcPr>
            <w:tcW w:type="dxa" w:w="2016"/>
            <w:shd w:fill="F2F4F8" w:val="clear"/>
          </w:tcPr>
          <w:p>
            <w:r>
              <w:rPr>
                <w:rFonts w:ascii="Calibri" w:hAnsi="Calibri"/>
                <w:color w:val="333333"/>
                <w:sz w:val="18"/>
              </w:rPr>
              <w:t>Combined CEO / Board Chair</w:t>
            </w:r>
          </w:p>
        </w:tc>
        <w:tc>
          <w:tcPr>
            <w:tcW w:type="dxa" w:w="2016"/>
            <w:shd w:fill="F2F4F8" w:val="clear"/>
          </w:tcPr>
          <w:p>
            <w:r>
              <w:rPr>
                <w:rFonts w:ascii="Calibri" w:hAnsi="Calibri"/>
                <w:color w:val="333333"/>
                <w:sz w:val="18"/>
              </w:rPr>
              <w:t>67</w:t>
            </w:r>
          </w:p>
        </w:tc>
        <w:tc>
          <w:tcPr>
            <w:tcW w:type="dxa" w:w="2016"/>
            <w:shd w:fill="F2F4F8" w:val="clear"/>
          </w:tcPr>
          <w:p>
            <w:r>
              <w:rPr>
                <w:rFonts w:ascii="Calibri" w:hAnsi="Calibri"/>
                <w:color w:val="333333"/>
                <w:sz w:val="18"/>
              </w:rPr>
              <w:t>HIGH</w:t>
            </w:r>
          </w:p>
        </w:tc>
        <w:tc>
          <w:tcPr>
            <w:tcW w:type="dxa" w:w="2016"/>
            <w:shd w:fill="F2F4F8" w:val="clear"/>
          </w:tcPr>
          <w:p>
            <w:r>
              <w:rPr>
                <w:rFonts w:ascii="Calibri" w:hAnsi="Calibri"/>
                <w:color w:val="333333"/>
                <w:sz w:val="18"/>
              </w:rPr>
              <w:t>Governance Structure</w:t>
            </w:r>
          </w:p>
        </w:tc>
        <w:tc>
          <w:tcPr>
            <w:tcW w:type="dxa" w:w="2016"/>
            <w:shd w:fill="F2F4F8" w:val="clear"/>
          </w:tcPr>
          <w:p>
            <w:r>
              <w:rPr>
                <w:rFonts w:ascii="Calibri" w:hAnsi="Calibri"/>
                <w:color w:val="333333"/>
                <w:sz w:val="18"/>
              </w:rPr>
              <w:t>CEO and Chair roles combined -- concentrated authority</w:t>
            </w:r>
          </w:p>
        </w:tc>
      </w:tr>
      <w:tr>
        <w:tc>
          <w:tcPr>
            <w:tcW w:type="dxa" w:w="2016"/>
          </w:tcPr>
          <w:p>
            <w:r>
              <w:rPr>
                <w:rFonts w:ascii="Calibri" w:hAnsi="Calibri"/>
                <w:color w:val="333333"/>
                <w:sz w:val="18"/>
              </w:rPr>
              <w:t>M&amp;A Activity</w:t>
            </w:r>
          </w:p>
        </w:tc>
        <w:tc>
          <w:tcPr>
            <w:tcW w:type="dxa" w:w="2016"/>
          </w:tcPr>
          <w:p>
            <w:r>
              <w:rPr>
                <w:rFonts w:ascii="Calibri" w:hAnsi="Calibri"/>
                <w:color w:val="333333"/>
                <w:sz w:val="18"/>
              </w:rPr>
              <w:t>60</w:t>
            </w:r>
          </w:p>
        </w:tc>
        <w:tc>
          <w:tcPr>
            <w:tcW w:type="dxa" w:w="2016"/>
          </w:tcPr>
          <w:p>
            <w:r>
              <w:rPr>
                <w:rFonts w:ascii="Calibri" w:hAnsi="Calibri"/>
                <w:color w:val="333333"/>
                <w:sz w:val="18"/>
              </w:rPr>
              <w:t>ELEVATED</w:t>
            </w:r>
          </w:p>
        </w:tc>
        <w:tc>
          <w:tcPr>
            <w:tcW w:type="dxa" w:w="2016"/>
          </w:tcPr>
          <w:p>
            <w:r>
              <w:rPr>
                <w:rFonts w:ascii="Calibri" w:hAnsi="Calibri"/>
                <w:color w:val="333333"/>
                <w:sz w:val="18"/>
              </w:rPr>
              <w:t>Business &amp; Operating Model</w:t>
            </w:r>
          </w:p>
        </w:tc>
        <w:tc>
          <w:tcPr>
            <w:tcW w:type="dxa" w:w="2016"/>
          </w:tcPr>
          <w:p>
            <w:r>
              <w:rPr>
                <w:rFonts w:ascii="Calibri" w:hAnsi="Calibri"/>
                <w:color w:val="333333"/>
                <w:sz w:val="18"/>
              </w:rPr>
              <w:t>1 acquisition(s) noted</w:t>
            </w:r>
          </w:p>
        </w:tc>
      </w:tr>
      <w:tr>
        <w:tc>
          <w:tcPr>
            <w:tcW w:type="dxa" w:w="2016"/>
            <w:shd w:fill="F2F4F8" w:val="clear"/>
          </w:tcPr>
          <w:p>
            <w:r>
              <w:rPr>
                <w:rFonts w:ascii="Calibri" w:hAnsi="Calibri"/>
                <w:color w:val="333333"/>
                <w:sz w:val="18"/>
              </w:rPr>
              <w:t>IP Dependency</w:t>
            </w:r>
          </w:p>
        </w:tc>
        <w:tc>
          <w:tcPr>
            <w:tcW w:type="dxa" w:w="2016"/>
            <w:shd w:fill="F2F4F8" w:val="clear"/>
          </w:tcPr>
          <w:p>
            <w:r>
              <w:rPr>
                <w:rFonts w:ascii="Calibri" w:hAnsi="Calibri"/>
                <w:color w:val="333333"/>
                <w:sz w:val="18"/>
              </w:rPr>
              <w:t>50</w:t>
            </w:r>
          </w:p>
        </w:tc>
        <w:tc>
          <w:tcPr>
            <w:tcW w:type="dxa" w:w="2016"/>
            <w:shd w:fill="F2F4F8" w:val="clear"/>
          </w:tcPr>
          <w:p>
            <w:r>
              <w:rPr>
                <w:rFonts w:ascii="Calibri" w:hAnsi="Calibri"/>
                <w:color w:val="333333"/>
                <w:sz w:val="18"/>
              </w:rPr>
              <w:t>ELEVATED</w:t>
            </w:r>
          </w:p>
        </w:tc>
        <w:tc>
          <w:tcPr>
            <w:tcW w:type="dxa" w:w="2016"/>
            <w:shd w:fill="F2F4F8" w:val="clear"/>
          </w:tcPr>
          <w:p>
            <w:r>
              <w:rPr>
                <w:rFonts w:ascii="Calibri" w:hAnsi="Calibri"/>
                <w:color w:val="333333"/>
                <w:sz w:val="18"/>
              </w:rPr>
              <w:t>Business &amp; Operating Model</w:t>
            </w:r>
          </w:p>
        </w:tc>
        <w:tc>
          <w:tcPr>
            <w:tcW w:type="dxa" w:w="2016"/>
            <w:shd w:fill="F2F4F8" w:val="clear"/>
          </w:tcPr>
          <w:p>
            <w:r>
              <w:rPr>
                <w:rFonts w:ascii="Calibri" w:hAnsi="Calibri"/>
                <w:color w:val="333333"/>
                <w:sz w:val="18"/>
              </w:rPr>
              <w:t>No data available — scored at baseline (MODERATE)</w:t>
            </w:r>
          </w:p>
        </w:tc>
      </w:tr>
      <w:tr>
        <w:tc>
          <w:tcPr>
            <w:tcW w:type="dxa" w:w="2016"/>
          </w:tcPr>
          <w:p>
            <w:r>
              <w:rPr>
                <w:rFonts w:ascii="Calibri" w:hAnsi="Calibri"/>
                <w:color w:val="333333"/>
                <w:sz w:val="18"/>
              </w:rPr>
              <w:t>Scale Experience Mismatch</w:t>
            </w:r>
          </w:p>
        </w:tc>
        <w:tc>
          <w:tcPr>
            <w:tcW w:type="dxa" w:w="2016"/>
          </w:tcPr>
          <w:p>
            <w:r>
              <w:rPr>
                <w:rFonts w:ascii="Calibri" w:hAnsi="Calibri"/>
                <w:color w:val="333333"/>
                <w:sz w:val="18"/>
              </w:rPr>
              <w:t>50</w:t>
            </w:r>
          </w:p>
        </w:tc>
        <w:tc>
          <w:tcPr>
            <w:tcW w:type="dxa" w:w="2016"/>
          </w:tcPr>
          <w:p>
            <w:r>
              <w:rPr>
                <w:rFonts w:ascii="Calibri" w:hAnsi="Calibri"/>
                <w:color w:val="333333"/>
                <w:sz w:val="18"/>
              </w:rPr>
              <w:t>ELEVATED</w:t>
            </w:r>
          </w:p>
        </w:tc>
        <w:tc>
          <w:tcPr>
            <w:tcW w:type="dxa" w:w="2016"/>
          </w:tcPr>
          <w:p>
            <w:r>
              <w:rPr>
                <w:rFonts w:ascii="Calibri" w:hAnsi="Calibri"/>
                <w:color w:val="333333"/>
                <w:sz w:val="18"/>
              </w:rPr>
              <w:t>People &amp; Management</w:t>
            </w:r>
          </w:p>
        </w:tc>
        <w:tc>
          <w:tcPr>
            <w:tcW w:type="dxa" w:w="2016"/>
          </w:tcPr>
          <w:p>
            <w:r>
              <w:rPr>
                <w:rFonts w:ascii="Calibri" w:hAnsi="Calibri"/>
                <w:color w:val="333333"/>
                <w:sz w:val="18"/>
              </w:rPr>
              <w:t>Proxy: 1 scale/growth keyword hits in risk factors</w:t>
            </w:r>
          </w:p>
        </w:tc>
      </w:tr>
      <w:tr>
        <w:tc>
          <w:tcPr>
            <w:tcW w:type="dxa" w:w="2016"/>
            <w:shd w:fill="F2F4F8" w:val="clear"/>
          </w:tcPr>
          <w:p>
            <w:r>
              <w:rPr>
                <w:rFonts w:ascii="Calibri" w:hAnsi="Calibri"/>
                <w:color w:val="333333"/>
                <w:sz w:val="18"/>
              </w:rPr>
              <w:t>Founder-Led vs Professional Management</w:t>
            </w:r>
          </w:p>
        </w:tc>
        <w:tc>
          <w:tcPr>
            <w:tcW w:type="dxa" w:w="2016"/>
            <w:shd w:fill="F2F4F8" w:val="clear"/>
          </w:tcPr>
          <w:p>
            <w:r>
              <w:rPr>
                <w:rFonts w:ascii="Calibri" w:hAnsi="Calibri"/>
                <w:color w:val="333333"/>
                <w:sz w:val="18"/>
              </w:rPr>
              <w:t>50</w:t>
            </w:r>
          </w:p>
        </w:tc>
        <w:tc>
          <w:tcPr>
            <w:tcW w:type="dxa" w:w="2016"/>
            <w:shd w:fill="F2F4F8" w:val="clear"/>
          </w:tcPr>
          <w:p>
            <w:r>
              <w:rPr>
                <w:rFonts w:ascii="Calibri" w:hAnsi="Calibri"/>
                <w:color w:val="333333"/>
                <w:sz w:val="18"/>
              </w:rPr>
              <w:t>ELEVATED</w:t>
            </w:r>
          </w:p>
        </w:tc>
        <w:tc>
          <w:tcPr>
            <w:tcW w:type="dxa" w:w="2016"/>
            <w:shd w:fill="F2F4F8" w:val="clear"/>
          </w:tcPr>
          <w:p>
            <w:r>
              <w:rPr>
                <w:rFonts w:ascii="Calibri" w:hAnsi="Calibri"/>
                <w:color w:val="333333"/>
                <w:sz w:val="18"/>
              </w:rPr>
              <w:t>People &amp; Management</w:t>
            </w:r>
          </w:p>
        </w:tc>
        <w:tc>
          <w:tcPr>
            <w:tcW w:type="dxa" w:w="2016"/>
            <w:shd w:fill="F2F4F8" w:val="clear"/>
          </w:tcPr>
          <w:p>
            <w:r>
              <w:rPr>
                <w:rFonts w:ascii="Calibri" w:hAnsi="Calibri"/>
                <w:color w:val="333333"/>
                <w:sz w:val="18"/>
              </w:rPr>
              <w:t>No data available — scored at baseline (MODERATE)</w:t>
            </w:r>
          </w:p>
        </w:tc>
      </w:tr>
      <w:tr>
        <w:tc>
          <w:tcPr>
            <w:tcW w:type="dxa" w:w="2016"/>
          </w:tcPr>
          <w:p>
            <w:r>
              <w:rPr>
                <w:rFonts w:ascii="Calibri" w:hAnsi="Calibri"/>
                <w:color w:val="333333"/>
                <w:sz w:val="18"/>
              </w:rPr>
              <w:t>Management Turnover</w:t>
            </w:r>
          </w:p>
        </w:tc>
        <w:tc>
          <w:tcPr>
            <w:tcW w:type="dxa" w:w="2016"/>
          </w:tcPr>
          <w:p>
            <w:r>
              <w:rPr>
                <w:rFonts w:ascii="Calibri" w:hAnsi="Calibri"/>
                <w:color w:val="333333"/>
                <w:sz w:val="18"/>
              </w:rPr>
              <w:t>50</w:t>
            </w:r>
          </w:p>
        </w:tc>
        <w:tc>
          <w:tcPr>
            <w:tcW w:type="dxa" w:w="2016"/>
          </w:tcPr>
          <w:p>
            <w:r>
              <w:rPr>
                <w:rFonts w:ascii="Calibri" w:hAnsi="Calibri"/>
                <w:color w:val="333333"/>
                <w:sz w:val="18"/>
              </w:rPr>
              <w:t>ELEVATED</w:t>
            </w:r>
          </w:p>
        </w:tc>
        <w:tc>
          <w:tcPr>
            <w:tcW w:type="dxa" w:w="2016"/>
          </w:tcPr>
          <w:p>
            <w:r>
              <w:rPr>
                <w:rFonts w:ascii="Calibri" w:hAnsi="Calibri"/>
                <w:color w:val="333333"/>
                <w:sz w:val="18"/>
              </w:rPr>
              <w:t>People &amp; Management</w:t>
            </w:r>
          </w:p>
        </w:tc>
        <w:tc>
          <w:tcPr>
            <w:tcW w:type="dxa" w:w="2016"/>
          </w:tcPr>
          <w:p>
            <w:r>
              <w:rPr>
                <w:rFonts w:ascii="Calibri" w:hAnsi="Calibri"/>
                <w:color w:val="333333"/>
                <w:sz w:val="18"/>
              </w:rPr>
              <w:t>No data available — scored at baseline (MODERATE)</w:t>
            </w:r>
          </w:p>
        </w:tc>
      </w:tr>
      <w:tr>
        <w:tc>
          <w:tcPr>
            <w:tcW w:type="dxa" w:w="2016"/>
            <w:shd w:fill="F2F4F8" w:val="clear"/>
          </w:tcPr>
          <w:p>
            <w:r>
              <w:rPr>
                <w:rFonts w:ascii="Calibri" w:hAnsi="Calibri"/>
                <w:color w:val="333333"/>
                <w:sz w:val="18"/>
              </w:rPr>
              <w:t>Off-Balance Sheet Arrangements</w:t>
            </w:r>
          </w:p>
        </w:tc>
        <w:tc>
          <w:tcPr>
            <w:tcW w:type="dxa" w:w="2016"/>
            <w:shd w:fill="F2F4F8" w:val="clear"/>
          </w:tcPr>
          <w:p>
            <w:r>
              <w:rPr>
                <w:rFonts w:ascii="Calibri" w:hAnsi="Calibri"/>
                <w:color w:val="333333"/>
                <w:sz w:val="18"/>
              </w:rPr>
              <w:t>50</w:t>
            </w:r>
          </w:p>
        </w:tc>
        <w:tc>
          <w:tcPr>
            <w:tcW w:type="dxa" w:w="2016"/>
            <w:shd w:fill="F2F4F8" w:val="clear"/>
          </w:tcPr>
          <w:p>
            <w:r>
              <w:rPr>
                <w:rFonts w:ascii="Calibri" w:hAnsi="Calibri"/>
                <w:color w:val="333333"/>
                <w:sz w:val="18"/>
              </w:rPr>
              <w:t>ELEVATED</w:t>
            </w:r>
          </w:p>
        </w:tc>
        <w:tc>
          <w:tcPr>
            <w:tcW w:type="dxa" w:w="2016"/>
            <w:shd w:fill="F2F4F8" w:val="clear"/>
          </w:tcPr>
          <w:p>
            <w:r>
              <w:rPr>
                <w:rFonts w:ascii="Calibri" w:hAnsi="Calibri"/>
                <w:color w:val="333333"/>
                <w:sz w:val="18"/>
              </w:rPr>
              <w:t>Financial Structure</w:t>
            </w:r>
          </w:p>
        </w:tc>
        <w:tc>
          <w:tcPr>
            <w:tcW w:type="dxa" w:w="2016"/>
            <w:shd w:fill="F2F4F8" w:val="clear"/>
          </w:tcPr>
          <w:p>
            <w:r>
              <w:rPr>
                <w:rFonts w:ascii="Calibri" w:hAnsi="Calibri"/>
                <w:color w:val="333333"/>
                <w:sz w:val="18"/>
              </w:rPr>
              <w:t>No data available — scored at baseline (MODERATE)</w:t>
            </w:r>
          </w:p>
        </w:tc>
      </w:tr>
      <w:tr>
        <w:tc>
          <w:tcPr>
            <w:tcW w:type="dxa" w:w="2016"/>
          </w:tcPr>
          <w:p>
            <w:r>
              <w:rPr>
                <w:rFonts w:ascii="Calibri" w:hAnsi="Calibri"/>
                <w:color w:val="333333"/>
                <w:sz w:val="18"/>
              </w:rPr>
              <w:t>Capital Markets Activity</w:t>
            </w:r>
          </w:p>
        </w:tc>
        <w:tc>
          <w:tcPr>
            <w:tcW w:type="dxa" w:w="2016"/>
          </w:tcPr>
          <w:p>
            <w:r>
              <w:rPr>
                <w:rFonts w:ascii="Calibri" w:hAnsi="Calibri"/>
                <w:color w:val="333333"/>
                <w:sz w:val="18"/>
              </w:rPr>
              <w:t>50</w:t>
            </w:r>
          </w:p>
        </w:tc>
        <w:tc>
          <w:tcPr>
            <w:tcW w:type="dxa" w:w="2016"/>
          </w:tcPr>
          <w:p>
            <w:r>
              <w:rPr>
                <w:rFonts w:ascii="Calibri" w:hAnsi="Calibri"/>
                <w:color w:val="333333"/>
                <w:sz w:val="18"/>
              </w:rPr>
              <w:t>ELEVATED</w:t>
            </w:r>
          </w:p>
        </w:tc>
        <w:tc>
          <w:tcPr>
            <w:tcW w:type="dxa" w:w="2016"/>
          </w:tcPr>
          <w:p>
            <w:r>
              <w:rPr>
                <w:rFonts w:ascii="Calibri" w:hAnsi="Calibri"/>
                <w:color w:val="333333"/>
                <w:sz w:val="18"/>
              </w:rPr>
              <w:t>Financial Structure</w:t>
            </w:r>
          </w:p>
        </w:tc>
        <w:tc>
          <w:tcPr>
            <w:tcW w:type="dxa" w:w="2016"/>
          </w:tcPr>
          <w:p>
            <w:r>
              <w:rPr>
                <w:rFonts w:ascii="Calibri" w:hAnsi="Calibri"/>
                <w:color w:val="333333"/>
                <w:sz w:val="18"/>
              </w:rPr>
              <w:t>No data available — scored at baseline (MODERATE)</w:t>
            </w:r>
          </w:p>
        </w:tc>
      </w:tr>
      <w:tr>
        <w:tc>
          <w:tcPr>
            <w:tcW w:type="dxa" w:w="2016"/>
            <w:shd w:fill="F2F4F8" w:val="clear"/>
          </w:tcPr>
          <w:p>
            <w:r>
              <w:rPr>
                <w:rFonts w:ascii="Calibri" w:hAnsi="Calibri"/>
                <w:color w:val="333333"/>
                <w:sz w:val="18"/>
              </w:rPr>
              <w:t>Audit Committee Quality</w:t>
            </w:r>
          </w:p>
        </w:tc>
        <w:tc>
          <w:tcPr>
            <w:tcW w:type="dxa" w:w="2016"/>
            <w:shd w:fill="F2F4F8" w:val="clear"/>
          </w:tcPr>
          <w:p>
            <w:r>
              <w:rPr>
                <w:rFonts w:ascii="Calibri" w:hAnsi="Calibri"/>
                <w:color w:val="333333"/>
                <w:sz w:val="18"/>
              </w:rPr>
              <w:t>50</w:t>
            </w:r>
          </w:p>
        </w:tc>
        <w:tc>
          <w:tcPr>
            <w:tcW w:type="dxa" w:w="2016"/>
            <w:shd w:fill="F2F4F8" w:val="clear"/>
          </w:tcPr>
          <w:p>
            <w:r>
              <w:rPr>
                <w:rFonts w:ascii="Calibri" w:hAnsi="Calibri"/>
                <w:color w:val="333333"/>
                <w:sz w:val="18"/>
              </w:rPr>
              <w:t>ELEVATED</w:t>
            </w:r>
          </w:p>
        </w:tc>
        <w:tc>
          <w:tcPr>
            <w:tcW w:type="dxa" w:w="2016"/>
            <w:shd w:fill="F2F4F8" w:val="clear"/>
          </w:tcPr>
          <w:p>
            <w:r>
              <w:rPr>
                <w:rFonts w:ascii="Calibri" w:hAnsi="Calibri"/>
                <w:color w:val="333333"/>
                <w:sz w:val="18"/>
              </w:rPr>
              <w:t>Governance Structure</w:t>
            </w:r>
          </w:p>
        </w:tc>
        <w:tc>
          <w:tcPr>
            <w:tcW w:type="dxa" w:w="2016"/>
            <w:shd w:fill="F2F4F8" w:val="clear"/>
          </w:tcPr>
          <w:p>
            <w:r>
              <w:rPr>
                <w:rFonts w:ascii="Calibri" w:hAnsi="Calibri"/>
                <w:color w:val="333333"/>
                <w:sz w:val="18"/>
              </w:rPr>
              <w:t>Committee quality score 0.0/10 (weak)</w:t>
            </w:r>
          </w:p>
        </w:tc>
      </w:tr>
      <w:tr>
        <w:tc>
          <w:tcPr>
            <w:tcW w:type="dxa" w:w="2016"/>
          </w:tcPr>
          <w:p>
            <w:r>
              <w:rPr>
                <w:rFonts w:ascii="Calibri" w:hAnsi="Calibri"/>
                <w:color w:val="333333"/>
                <w:sz w:val="18"/>
              </w:rPr>
              <w:t>Shareholder Rights</w:t>
            </w:r>
          </w:p>
        </w:tc>
        <w:tc>
          <w:tcPr>
            <w:tcW w:type="dxa" w:w="2016"/>
          </w:tcPr>
          <w:p>
            <w:r>
              <w:rPr>
                <w:rFonts w:ascii="Calibri" w:hAnsi="Calibri"/>
                <w:color w:val="333333"/>
                <w:sz w:val="18"/>
              </w:rPr>
              <w:t>50</w:t>
            </w:r>
          </w:p>
        </w:tc>
        <w:tc>
          <w:tcPr>
            <w:tcW w:type="dxa" w:w="2016"/>
          </w:tcPr>
          <w:p>
            <w:r>
              <w:rPr>
                <w:rFonts w:ascii="Calibri" w:hAnsi="Calibri"/>
                <w:color w:val="333333"/>
                <w:sz w:val="18"/>
              </w:rPr>
              <w:t>ELEVATED</w:t>
            </w:r>
          </w:p>
        </w:tc>
        <w:tc>
          <w:tcPr>
            <w:tcW w:type="dxa" w:w="2016"/>
          </w:tcPr>
          <w:p>
            <w:r>
              <w:rPr>
                <w:rFonts w:ascii="Calibri" w:hAnsi="Calibri"/>
                <w:color w:val="333333"/>
                <w:sz w:val="18"/>
              </w:rPr>
              <w:t>Governance Structure</w:t>
            </w:r>
          </w:p>
        </w:tc>
        <w:tc>
          <w:tcPr>
            <w:tcW w:type="dxa" w:w="2016"/>
          </w:tcPr>
          <w:p>
            <w:r>
              <w:rPr>
                <w:rFonts w:ascii="Calibri" w:hAnsi="Calibri"/>
                <w:color w:val="333333"/>
                <w:sz w:val="18"/>
              </w:rPr>
              <w:t>No data available — scored at baseline (MODERATE)</w:t>
            </w:r>
          </w:p>
        </w:tc>
      </w:tr>
      <w:tr>
        <w:tc>
          <w:tcPr>
            <w:tcW w:type="dxa" w:w="2016"/>
            <w:shd w:fill="F2F4F8" w:val="clear"/>
          </w:tcPr>
          <w:p>
            <w:r>
              <w:rPr>
                <w:rFonts w:ascii="Calibri" w:hAnsi="Calibri"/>
                <w:color w:val="333333"/>
                <w:sz w:val="18"/>
              </w:rPr>
              <w:t>IPO Recency</w:t>
            </w:r>
          </w:p>
        </w:tc>
        <w:tc>
          <w:tcPr>
            <w:tcW w:type="dxa" w:w="2016"/>
            <w:shd w:fill="F2F4F8" w:val="clear"/>
          </w:tcPr>
          <w:p>
            <w:r>
              <w:rPr>
                <w:rFonts w:ascii="Calibri" w:hAnsi="Calibri"/>
                <w:color w:val="333333"/>
                <w:sz w:val="18"/>
              </w:rPr>
              <w:t>50</w:t>
            </w:r>
          </w:p>
        </w:tc>
        <w:tc>
          <w:tcPr>
            <w:tcW w:type="dxa" w:w="2016"/>
            <w:shd w:fill="F2F4F8" w:val="clear"/>
          </w:tcPr>
          <w:p>
            <w:r>
              <w:rPr>
                <w:rFonts w:ascii="Calibri" w:hAnsi="Calibri"/>
                <w:color w:val="333333"/>
                <w:sz w:val="18"/>
              </w:rPr>
              <w:t>ELEVATED</w:t>
            </w:r>
          </w:p>
        </w:tc>
        <w:tc>
          <w:tcPr>
            <w:tcW w:type="dxa" w:w="2016"/>
            <w:shd w:fill="F2F4F8" w:val="clear"/>
          </w:tcPr>
          <w:p>
            <w:r>
              <w:rPr>
                <w:rFonts w:ascii="Calibri" w:hAnsi="Calibri"/>
                <w:color w:val="333333"/>
                <w:sz w:val="18"/>
              </w:rPr>
              <w:t>Public Company Maturity</w:t>
            </w:r>
          </w:p>
        </w:tc>
        <w:tc>
          <w:tcPr>
            <w:tcW w:type="dxa" w:w="2016"/>
            <w:shd w:fill="F2F4F8" w:val="clear"/>
          </w:tcPr>
          <w:p>
            <w:r>
              <w:rPr>
                <w:rFonts w:ascii="Calibri" w:hAnsi="Calibri"/>
                <w:color w:val="333333"/>
                <w:sz w:val="18"/>
              </w:rPr>
              <w:t>No data available — scored at baseline (MODERATE)</w:t>
            </w:r>
          </w:p>
        </w:tc>
      </w:tr>
      <w:tr>
        <w:tc>
          <w:tcPr>
            <w:tcW w:type="dxa" w:w="2016"/>
          </w:tcPr>
          <w:p>
            <w:r>
              <w:rPr>
                <w:rFonts w:ascii="Calibri" w:hAnsi="Calibri"/>
                <w:color w:val="333333"/>
                <w:sz w:val="18"/>
              </w:rPr>
              <w:t>Method of Going Public</w:t>
            </w:r>
          </w:p>
        </w:tc>
        <w:tc>
          <w:tcPr>
            <w:tcW w:type="dxa" w:w="2016"/>
          </w:tcPr>
          <w:p>
            <w:r>
              <w:rPr>
                <w:rFonts w:ascii="Calibri" w:hAnsi="Calibri"/>
                <w:color w:val="333333"/>
                <w:sz w:val="18"/>
              </w:rPr>
              <w:t>50</w:t>
            </w:r>
          </w:p>
        </w:tc>
        <w:tc>
          <w:tcPr>
            <w:tcW w:type="dxa" w:w="2016"/>
          </w:tcPr>
          <w:p>
            <w:r>
              <w:rPr>
                <w:rFonts w:ascii="Calibri" w:hAnsi="Calibri"/>
                <w:color w:val="333333"/>
                <w:sz w:val="18"/>
              </w:rPr>
              <w:t>ELEVATED</w:t>
            </w:r>
          </w:p>
        </w:tc>
        <w:tc>
          <w:tcPr>
            <w:tcW w:type="dxa" w:w="2016"/>
          </w:tcPr>
          <w:p>
            <w:r>
              <w:rPr>
                <w:rFonts w:ascii="Calibri" w:hAnsi="Calibri"/>
                <w:color w:val="333333"/>
                <w:sz w:val="18"/>
              </w:rPr>
              <w:t>Public Company Maturity</w:t>
            </w:r>
          </w:p>
        </w:tc>
        <w:tc>
          <w:tcPr>
            <w:tcW w:type="dxa" w:w="2016"/>
          </w:tcPr>
          <w:p>
            <w:r>
              <w:rPr>
                <w:rFonts w:ascii="Calibri" w:hAnsi="Calibri"/>
                <w:color w:val="333333"/>
                <w:sz w:val="18"/>
              </w:rPr>
              <w:t>No data available — scored at baseline (MODERATE)</w:t>
            </w:r>
          </w:p>
        </w:tc>
      </w:tr>
      <w:tr>
        <w:tc>
          <w:tcPr>
            <w:tcW w:type="dxa" w:w="2016"/>
            <w:shd w:fill="F2F4F8" w:val="clear"/>
          </w:tcPr>
          <w:p>
            <w:r>
              <w:rPr>
                <w:rFonts w:ascii="Calibri" w:hAnsi="Calibri"/>
                <w:color w:val="333333"/>
                <w:sz w:val="18"/>
              </w:rPr>
              <w:t>Seasoning &amp; Track Record</w:t>
            </w:r>
          </w:p>
        </w:tc>
        <w:tc>
          <w:tcPr>
            <w:tcW w:type="dxa" w:w="2016"/>
            <w:shd w:fill="F2F4F8" w:val="clear"/>
          </w:tcPr>
          <w:p>
            <w:r>
              <w:rPr>
                <w:rFonts w:ascii="Calibri" w:hAnsi="Calibri"/>
                <w:color w:val="333333"/>
                <w:sz w:val="18"/>
              </w:rPr>
              <w:t>50</w:t>
            </w:r>
          </w:p>
        </w:tc>
        <w:tc>
          <w:tcPr>
            <w:tcW w:type="dxa" w:w="2016"/>
            <w:shd w:fill="F2F4F8" w:val="clear"/>
          </w:tcPr>
          <w:p>
            <w:r>
              <w:rPr>
                <w:rFonts w:ascii="Calibri" w:hAnsi="Calibri"/>
                <w:color w:val="333333"/>
                <w:sz w:val="18"/>
              </w:rPr>
              <w:t>ELEVATED</w:t>
            </w:r>
          </w:p>
        </w:tc>
        <w:tc>
          <w:tcPr>
            <w:tcW w:type="dxa" w:w="2016"/>
            <w:shd w:fill="F2F4F8" w:val="clear"/>
          </w:tcPr>
          <w:p>
            <w:r>
              <w:rPr>
                <w:rFonts w:ascii="Calibri" w:hAnsi="Calibri"/>
                <w:color w:val="333333"/>
                <w:sz w:val="18"/>
              </w:rPr>
              <w:t>Public Company Maturity</w:t>
            </w:r>
          </w:p>
        </w:tc>
        <w:tc>
          <w:tcPr>
            <w:tcW w:type="dxa" w:w="2016"/>
            <w:shd w:fill="F2F4F8" w:val="clear"/>
          </w:tcPr>
          <w:p>
            <w:r>
              <w:rPr>
                <w:rFonts w:ascii="Calibri" w:hAnsi="Calibri"/>
                <w:color w:val="333333"/>
                <w:sz w:val="18"/>
              </w:rPr>
              <w:t>No data available — scored at baseline (MODERATE)</w:t>
            </w:r>
          </w:p>
        </w:tc>
      </w:tr>
      <w:tr>
        <w:tc>
          <w:tcPr>
            <w:tcW w:type="dxa" w:w="2016"/>
          </w:tcPr>
          <w:p>
            <w:r>
              <w:rPr>
                <w:rFonts w:ascii="Calibri" w:hAnsi="Calibri"/>
                <w:color w:val="333333"/>
                <w:sz w:val="18"/>
              </w:rPr>
              <w:t>Market Cycle Position</w:t>
            </w:r>
          </w:p>
        </w:tc>
        <w:tc>
          <w:tcPr>
            <w:tcW w:type="dxa" w:w="2016"/>
          </w:tcPr>
          <w:p>
            <w:r>
              <w:rPr>
                <w:rFonts w:ascii="Calibri" w:hAnsi="Calibri"/>
                <w:color w:val="333333"/>
                <w:sz w:val="18"/>
              </w:rPr>
              <w:t>50</w:t>
            </w:r>
          </w:p>
        </w:tc>
        <w:tc>
          <w:tcPr>
            <w:tcW w:type="dxa" w:w="2016"/>
          </w:tcPr>
          <w:p>
            <w:r>
              <w:rPr>
                <w:rFonts w:ascii="Calibri" w:hAnsi="Calibri"/>
                <w:color w:val="333333"/>
                <w:sz w:val="18"/>
              </w:rPr>
              <w:t>ELEVATED</w:t>
            </w:r>
          </w:p>
        </w:tc>
        <w:tc>
          <w:tcPr>
            <w:tcW w:type="dxa" w:w="2016"/>
          </w:tcPr>
          <w:p>
            <w:r>
              <w:rPr>
                <w:rFonts w:ascii="Calibri" w:hAnsi="Calibri"/>
                <w:color w:val="333333"/>
                <w:sz w:val="18"/>
              </w:rPr>
              <w:t>External Environment</w:t>
            </w:r>
          </w:p>
        </w:tc>
        <w:tc>
          <w:tcPr>
            <w:tcW w:type="dxa" w:w="2016"/>
          </w:tcPr>
          <w:p>
            <w:r>
              <w:rPr>
                <w:rFonts w:ascii="Calibri" w:hAnsi="Calibri"/>
                <w:color w:val="333333"/>
                <w:sz w:val="18"/>
              </w:rPr>
              <w:t>Market cycle scored at config default (moderate -- apply system-wide)</w:t>
            </w:r>
          </w:p>
        </w:tc>
      </w:tr>
      <w:tr>
        <w:tc>
          <w:tcPr>
            <w:tcW w:type="dxa" w:w="2016"/>
            <w:shd w:fill="F2F4F8" w:val="clear"/>
          </w:tcPr>
          <w:p>
            <w:r>
              <w:rPr>
                <w:rFonts w:ascii="Calibri" w:hAnsi="Calibri"/>
                <w:color w:val="333333"/>
                <w:sz w:val="18"/>
              </w:rPr>
              <w:t>Political &amp; Policy Environment</w:t>
            </w:r>
          </w:p>
        </w:tc>
        <w:tc>
          <w:tcPr>
            <w:tcW w:type="dxa" w:w="2016"/>
            <w:shd w:fill="F2F4F8" w:val="clear"/>
          </w:tcPr>
          <w:p>
            <w:r>
              <w:rPr>
                <w:rFonts w:ascii="Calibri" w:hAnsi="Calibri"/>
                <w:color w:val="333333"/>
                <w:sz w:val="18"/>
              </w:rPr>
              <w:t>50</w:t>
            </w:r>
          </w:p>
        </w:tc>
        <w:tc>
          <w:tcPr>
            <w:tcW w:type="dxa" w:w="2016"/>
            <w:shd w:fill="F2F4F8" w:val="clear"/>
          </w:tcPr>
          <w:p>
            <w:r>
              <w:rPr>
                <w:rFonts w:ascii="Calibri" w:hAnsi="Calibri"/>
                <w:color w:val="333333"/>
                <w:sz w:val="18"/>
              </w:rPr>
              <w:t>ELEVATED</w:t>
            </w:r>
          </w:p>
        </w:tc>
        <w:tc>
          <w:tcPr>
            <w:tcW w:type="dxa" w:w="2016"/>
            <w:shd w:fill="F2F4F8" w:val="clear"/>
          </w:tcPr>
          <w:p>
            <w:r>
              <w:rPr>
                <w:rFonts w:ascii="Calibri" w:hAnsi="Calibri"/>
                <w:color w:val="333333"/>
                <w:sz w:val="18"/>
              </w:rPr>
              <w:t>External Environment</w:t>
            </w:r>
          </w:p>
        </w:tc>
        <w:tc>
          <w:tcPr>
            <w:tcW w:type="dxa" w:w="2016"/>
            <w:shd w:fill="F2F4F8" w:val="clear"/>
          </w:tcPr>
          <w:p>
            <w:r>
              <w:rPr>
                <w:rFonts w:ascii="Calibri" w:hAnsi="Calibri"/>
                <w:color w:val="333333"/>
                <w:sz w:val="18"/>
              </w:rPr>
              <w:t>Political/policy environment at config default (moderate)</w:t>
            </w:r>
          </w:p>
        </w:tc>
      </w:tr>
      <w:tr>
        <w:tc>
          <w:tcPr>
            <w:tcW w:type="dxa" w:w="2016"/>
          </w:tcPr>
          <w:p>
            <w:r>
              <w:rPr>
                <w:rFonts w:ascii="Calibri" w:hAnsi="Calibri"/>
                <w:color w:val="333333"/>
                <w:sz w:val="18"/>
              </w:rPr>
              <w:t>Interest Rate Environment</w:t>
            </w:r>
          </w:p>
        </w:tc>
        <w:tc>
          <w:tcPr>
            <w:tcW w:type="dxa" w:w="2016"/>
          </w:tcPr>
          <w:p>
            <w:r>
              <w:rPr>
                <w:rFonts w:ascii="Calibri" w:hAnsi="Calibri"/>
                <w:color w:val="333333"/>
                <w:sz w:val="18"/>
              </w:rPr>
              <w:t>50</w:t>
            </w:r>
          </w:p>
        </w:tc>
        <w:tc>
          <w:tcPr>
            <w:tcW w:type="dxa" w:w="2016"/>
          </w:tcPr>
          <w:p>
            <w:r>
              <w:rPr>
                <w:rFonts w:ascii="Calibri" w:hAnsi="Calibri"/>
                <w:color w:val="333333"/>
                <w:sz w:val="18"/>
              </w:rPr>
              <w:t>ELEVATED</w:t>
            </w:r>
          </w:p>
        </w:tc>
        <w:tc>
          <w:tcPr>
            <w:tcW w:type="dxa" w:w="2016"/>
          </w:tcPr>
          <w:p>
            <w:r>
              <w:rPr>
                <w:rFonts w:ascii="Calibri" w:hAnsi="Calibri"/>
                <w:color w:val="333333"/>
                <w:sz w:val="18"/>
              </w:rPr>
              <w:t>External Environment</w:t>
            </w:r>
          </w:p>
        </w:tc>
        <w:tc>
          <w:tcPr>
            <w:tcW w:type="dxa" w:w="2016"/>
          </w:tcPr>
          <w:p>
            <w:r>
              <w:rPr>
                <w:rFonts w:ascii="Calibri" w:hAnsi="Calibri"/>
                <w:color w:val="333333"/>
                <w:sz w:val="18"/>
              </w:rPr>
              <w:t>Interest rate environment at config default</w:t>
            </w:r>
          </w:p>
        </w:tc>
      </w:tr>
      <w:tr>
        <w:tc>
          <w:tcPr>
            <w:tcW w:type="dxa" w:w="2016"/>
            <w:shd w:fill="F2F4F8" w:val="clear"/>
          </w:tcPr>
          <w:p>
            <w:r>
              <w:rPr>
                <w:rFonts w:ascii="Calibri" w:hAnsi="Calibri"/>
                <w:color w:val="333333"/>
                <w:sz w:val="18"/>
              </w:rPr>
              <w:t>Plaintiff Attorney Activity</w:t>
            </w:r>
          </w:p>
        </w:tc>
        <w:tc>
          <w:tcPr>
            <w:tcW w:type="dxa" w:w="2016"/>
            <w:shd w:fill="F2F4F8" w:val="clear"/>
          </w:tcPr>
          <w:p>
            <w:r>
              <w:rPr>
                <w:rFonts w:ascii="Calibri" w:hAnsi="Calibri"/>
                <w:color w:val="333333"/>
                <w:sz w:val="18"/>
              </w:rPr>
              <w:t>50</w:t>
            </w:r>
          </w:p>
        </w:tc>
        <w:tc>
          <w:tcPr>
            <w:tcW w:type="dxa" w:w="2016"/>
            <w:shd w:fill="F2F4F8" w:val="clear"/>
          </w:tcPr>
          <w:p>
            <w:r>
              <w:rPr>
                <w:rFonts w:ascii="Calibri" w:hAnsi="Calibri"/>
                <w:color w:val="333333"/>
                <w:sz w:val="18"/>
              </w:rPr>
              <w:t>ELEVATED</w:t>
            </w:r>
          </w:p>
        </w:tc>
        <w:tc>
          <w:tcPr>
            <w:tcW w:type="dxa" w:w="2016"/>
            <w:shd w:fill="F2F4F8" w:val="clear"/>
          </w:tcPr>
          <w:p>
            <w:r>
              <w:rPr>
                <w:rFonts w:ascii="Calibri" w:hAnsi="Calibri"/>
                <w:color w:val="333333"/>
                <w:sz w:val="18"/>
              </w:rPr>
              <w:t>External Environment</w:t>
            </w:r>
          </w:p>
        </w:tc>
        <w:tc>
          <w:tcPr>
            <w:tcW w:type="dxa" w:w="2016"/>
            <w:shd w:fill="F2F4F8" w:val="clear"/>
          </w:tcPr>
          <w:p>
            <w:r>
              <w:rPr>
                <w:rFonts w:ascii="Calibri" w:hAnsi="Calibri"/>
                <w:color w:val="333333"/>
                <w:sz w:val="18"/>
              </w:rPr>
              <w:t>Plaintiff attorney activity at moderate baseline (no specific data)</w:t>
            </w:r>
          </w:p>
        </w:tc>
      </w:tr>
      <w:tr>
        <w:tc>
          <w:tcPr>
            <w:tcW w:type="dxa" w:w="2016"/>
          </w:tcPr>
          <w:p>
            <w:r>
              <w:rPr>
                <w:rFonts w:ascii="Calibri" w:hAnsi="Calibri"/>
                <w:color w:val="333333"/>
                <w:sz w:val="18"/>
              </w:rPr>
              <w:t>Crypto / Digital Asset Exposure</w:t>
            </w:r>
          </w:p>
        </w:tc>
        <w:tc>
          <w:tcPr>
            <w:tcW w:type="dxa" w:w="2016"/>
          </w:tcPr>
          <w:p>
            <w:r>
              <w:rPr>
                <w:rFonts w:ascii="Calibri" w:hAnsi="Calibri"/>
                <w:color w:val="333333"/>
                <w:sz w:val="18"/>
              </w:rPr>
              <w:t>50</w:t>
            </w:r>
          </w:p>
        </w:tc>
        <w:tc>
          <w:tcPr>
            <w:tcW w:type="dxa" w:w="2016"/>
          </w:tcPr>
          <w:p>
            <w:r>
              <w:rPr>
                <w:rFonts w:ascii="Calibri" w:hAnsi="Calibri"/>
                <w:color w:val="333333"/>
                <w:sz w:val="18"/>
              </w:rPr>
              <w:t>ELEVATED</w:t>
            </w:r>
          </w:p>
        </w:tc>
        <w:tc>
          <w:tcPr>
            <w:tcW w:type="dxa" w:w="2016"/>
          </w:tcPr>
          <w:p>
            <w:r>
              <w:rPr>
                <w:rFonts w:ascii="Calibri" w:hAnsi="Calibri"/>
                <w:color w:val="333333"/>
                <w:sz w:val="18"/>
              </w:rPr>
              <w:t>Emerging / Modern Hazards</w:t>
            </w:r>
          </w:p>
        </w:tc>
        <w:tc>
          <w:tcPr>
            <w:tcW w:type="dxa" w:w="2016"/>
          </w:tcPr>
          <w:p>
            <w:r>
              <w:rPr>
                <w:rFonts w:ascii="Calibri" w:hAnsi="Calibri"/>
                <w:color w:val="333333"/>
                <w:sz w:val="18"/>
              </w:rPr>
              <w:t>No data available — scored at baseline (MODERATE)</w:t>
            </w:r>
          </w:p>
        </w:tc>
      </w:tr>
      <w:tr>
        <w:tc>
          <w:tcPr>
            <w:tcW w:type="dxa" w:w="2016"/>
            <w:shd w:fill="F2F4F8" w:val="clear"/>
          </w:tcPr>
          <w:p>
            <w:r>
              <w:rPr>
                <w:rFonts w:ascii="Calibri" w:hAnsi="Calibri"/>
                <w:color w:val="333333"/>
                <w:sz w:val="18"/>
              </w:rPr>
              <w:t>Social Media / Public Persona Risk</w:t>
            </w:r>
          </w:p>
        </w:tc>
        <w:tc>
          <w:tcPr>
            <w:tcW w:type="dxa" w:w="2016"/>
            <w:shd w:fill="F2F4F8" w:val="clear"/>
          </w:tcPr>
          <w:p>
            <w:r>
              <w:rPr>
                <w:rFonts w:ascii="Calibri" w:hAnsi="Calibri"/>
                <w:color w:val="333333"/>
                <w:sz w:val="18"/>
              </w:rPr>
              <w:t>50</w:t>
            </w:r>
          </w:p>
        </w:tc>
        <w:tc>
          <w:tcPr>
            <w:tcW w:type="dxa" w:w="2016"/>
            <w:shd w:fill="F2F4F8" w:val="clear"/>
          </w:tcPr>
          <w:p>
            <w:r>
              <w:rPr>
                <w:rFonts w:ascii="Calibri" w:hAnsi="Calibri"/>
                <w:color w:val="333333"/>
                <w:sz w:val="18"/>
              </w:rPr>
              <w:t>ELEVATED</w:t>
            </w:r>
          </w:p>
        </w:tc>
        <w:tc>
          <w:tcPr>
            <w:tcW w:type="dxa" w:w="2016"/>
            <w:shd w:fill="F2F4F8" w:val="clear"/>
          </w:tcPr>
          <w:p>
            <w:r>
              <w:rPr>
                <w:rFonts w:ascii="Calibri" w:hAnsi="Calibri"/>
                <w:color w:val="333333"/>
                <w:sz w:val="18"/>
              </w:rPr>
              <w:t>Emerging / Modern Hazards</w:t>
            </w:r>
          </w:p>
        </w:tc>
        <w:tc>
          <w:tcPr>
            <w:tcW w:type="dxa" w:w="2016"/>
            <w:shd w:fill="F2F4F8" w:val="clear"/>
          </w:tcPr>
          <w:p>
            <w:r>
              <w:rPr>
                <w:rFonts w:ascii="Calibri" w:hAnsi="Calibri"/>
                <w:color w:val="333333"/>
                <w:sz w:val="18"/>
              </w:rPr>
              <w:t>No data available — scored at baseline (MODERATE)</w:t>
            </w:r>
          </w:p>
        </w:tc>
      </w:tr>
      <w:tr>
        <w:tc>
          <w:tcPr>
            <w:tcW w:type="dxa" w:w="2016"/>
          </w:tcPr>
          <w:p>
            <w:r>
              <w:rPr>
                <w:rFonts w:ascii="Calibri" w:hAnsi="Calibri"/>
                <w:color w:val="333333"/>
                <w:sz w:val="18"/>
              </w:rPr>
              <w:t>Workforce &amp; Labor Model</w:t>
            </w:r>
          </w:p>
        </w:tc>
        <w:tc>
          <w:tcPr>
            <w:tcW w:type="dxa" w:w="2016"/>
          </w:tcPr>
          <w:p>
            <w:r>
              <w:rPr>
                <w:rFonts w:ascii="Calibri" w:hAnsi="Calibri"/>
                <w:color w:val="333333"/>
                <w:sz w:val="18"/>
              </w:rPr>
              <w:t>50</w:t>
            </w:r>
          </w:p>
        </w:tc>
        <w:tc>
          <w:tcPr>
            <w:tcW w:type="dxa" w:w="2016"/>
          </w:tcPr>
          <w:p>
            <w:r>
              <w:rPr>
                <w:rFonts w:ascii="Calibri" w:hAnsi="Calibri"/>
                <w:color w:val="333333"/>
                <w:sz w:val="18"/>
              </w:rPr>
              <w:t>ELEVATED</w:t>
            </w:r>
          </w:p>
        </w:tc>
        <w:tc>
          <w:tcPr>
            <w:tcW w:type="dxa" w:w="2016"/>
          </w:tcPr>
          <w:p>
            <w:r>
              <w:rPr>
                <w:rFonts w:ascii="Calibri" w:hAnsi="Calibri"/>
                <w:color w:val="333333"/>
                <w:sz w:val="18"/>
              </w:rPr>
              <w:t>Emerging / Modern Hazards</w:t>
            </w:r>
          </w:p>
        </w:tc>
        <w:tc>
          <w:tcPr>
            <w:tcW w:type="dxa" w:w="2016"/>
          </w:tcPr>
          <w:p>
            <w:r>
              <w:rPr>
                <w:rFonts w:ascii="Calibri" w:hAnsi="Calibri"/>
                <w:color w:val="333333"/>
                <w:sz w:val="18"/>
              </w:rPr>
              <w:t>Workforce/labor keyword hits: FINANCIAL: Cost fluctuations and pressures, OPERATIONAL: Third-party reliance risks</w:t>
            </w:r>
          </w:p>
        </w:tc>
      </w:tr>
      <w:tr>
        <w:tc>
          <w:tcPr>
            <w:tcW w:type="dxa" w:w="2016"/>
            <w:shd w:fill="F2F4F8" w:val="clear"/>
          </w:tcPr>
          <w:p>
            <w:r>
              <w:rPr>
                <w:rFonts w:ascii="Calibri" w:hAnsi="Calibri"/>
                <w:color w:val="333333"/>
                <w:sz w:val="18"/>
              </w:rPr>
              <w:t>Regulatory Intensity</w:t>
            </w:r>
          </w:p>
        </w:tc>
        <w:tc>
          <w:tcPr>
            <w:tcW w:type="dxa" w:w="2016"/>
            <w:shd w:fill="F2F4F8" w:val="clear"/>
          </w:tcPr>
          <w:p>
            <w:r>
              <w:rPr>
                <w:rFonts w:ascii="Calibri" w:hAnsi="Calibri"/>
                <w:color w:val="333333"/>
                <w:sz w:val="18"/>
              </w:rPr>
              <w:t>40</w:t>
            </w:r>
          </w:p>
        </w:tc>
        <w:tc>
          <w:tcPr>
            <w:tcW w:type="dxa" w:w="2016"/>
            <w:shd w:fill="F2F4F8" w:val="clear"/>
          </w:tcPr>
          <w:p>
            <w:r>
              <w:rPr>
                <w:rFonts w:ascii="Calibri" w:hAnsi="Calibri"/>
                <w:color w:val="333333"/>
                <w:sz w:val="18"/>
              </w:rPr>
              <w:t>MODERATE</w:t>
            </w:r>
          </w:p>
        </w:tc>
        <w:tc>
          <w:tcPr>
            <w:tcW w:type="dxa" w:w="2016"/>
            <w:shd w:fill="F2F4F8" w:val="clear"/>
          </w:tcPr>
          <w:p>
            <w:r>
              <w:rPr>
                <w:rFonts w:ascii="Calibri" w:hAnsi="Calibri"/>
                <w:color w:val="333333"/>
                <w:sz w:val="18"/>
              </w:rPr>
              <w:t>Business &amp; Operating Model</w:t>
            </w:r>
          </w:p>
        </w:tc>
        <w:tc>
          <w:tcPr>
            <w:tcW w:type="dxa" w:w="2016"/>
            <w:shd w:fill="F2F4F8" w:val="clear"/>
          </w:tcPr>
          <w:p>
            <w:r>
              <w:rPr>
                <w:rFonts w:ascii="Calibri" w:hAnsi="Calibri"/>
                <w:color w:val="333333"/>
                <w:sz w:val="18"/>
              </w:rPr>
              <w:t>Sector 'CONS' regulatory intensity: 2.0/5.0</w:t>
            </w:r>
          </w:p>
        </w:tc>
      </w:tr>
      <w:tr>
        <w:tc>
          <w:tcPr>
            <w:tcW w:type="dxa" w:w="2016"/>
          </w:tcPr>
          <w:p>
            <w:r>
              <w:rPr>
                <w:rFonts w:ascii="Calibri" w:hAnsi="Calibri"/>
                <w:color w:val="333333"/>
                <w:sz w:val="18"/>
              </w:rPr>
              <w:t>Industry Sector Risk Tier</w:t>
            </w:r>
          </w:p>
        </w:tc>
        <w:tc>
          <w:tcPr>
            <w:tcW w:type="dxa" w:w="2016"/>
          </w:tcPr>
          <w:p>
            <w:r>
              <w:rPr>
                <w:rFonts w:ascii="Calibri" w:hAnsi="Calibri"/>
                <w:color w:val="333333"/>
                <w:sz w:val="18"/>
              </w:rPr>
              <w:t>35</w:t>
            </w:r>
          </w:p>
        </w:tc>
        <w:tc>
          <w:tcPr>
            <w:tcW w:type="dxa" w:w="2016"/>
          </w:tcPr>
          <w:p>
            <w:r>
              <w:rPr>
                <w:rFonts w:ascii="Calibri" w:hAnsi="Calibri"/>
                <w:color w:val="333333"/>
                <w:sz w:val="18"/>
              </w:rPr>
              <w:t>MODERATE</w:t>
            </w:r>
          </w:p>
        </w:tc>
        <w:tc>
          <w:tcPr>
            <w:tcW w:type="dxa" w:w="2016"/>
          </w:tcPr>
          <w:p>
            <w:r>
              <w:rPr>
                <w:rFonts w:ascii="Calibri" w:hAnsi="Calibri"/>
                <w:color w:val="333333"/>
                <w:sz w:val="18"/>
              </w:rPr>
              <w:t>Business &amp; Operating Model</w:t>
            </w:r>
          </w:p>
        </w:tc>
        <w:tc>
          <w:tcPr>
            <w:tcW w:type="dxa" w:w="2016"/>
          </w:tcPr>
          <w:p>
            <w:r>
              <w:rPr>
                <w:rFonts w:ascii="Calibri" w:hAnsi="Calibri"/>
                <w:color w:val="333333"/>
                <w:sz w:val="18"/>
              </w:rPr>
              <w:t>Sector 'CONS' maps to risk score 3.5/10.0</w:t>
            </w:r>
          </w:p>
        </w:tc>
      </w:tr>
      <w:tr>
        <w:tc>
          <w:tcPr>
            <w:tcW w:type="dxa" w:w="2016"/>
            <w:shd w:fill="F2F4F8" w:val="clear"/>
          </w:tcPr>
          <w:p>
            <w:r>
              <w:rPr>
                <w:rFonts w:ascii="Calibri" w:hAnsi="Calibri"/>
                <w:color w:val="333333"/>
                <w:sz w:val="18"/>
              </w:rPr>
              <w:t>Related Party Transactions</w:t>
            </w:r>
          </w:p>
        </w:tc>
        <w:tc>
          <w:tcPr>
            <w:tcW w:type="dxa" w:w="2016"/>
            <w:shd w:fill="F2F4F8" w:val="clear"/>
          </w:tcPr>
          <w:p>
            <w:r>
              <w:rPr>
                <w:rFonts w:ascii="Calibri" w:hAnsi="Calibri"/>
                <w:color w:val="333333"/>
                <w:sz w:val="18"/>
              </w:rPr>
              <w:t>33</w:t>
            </w:r>
          </w:p>
        </w:tc>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Financial Structure</w:t>
            </w:r>
          </w:p>
        </w:tc>
        <w:tc>
          <w:tcPr>
            <w:tcW w:type="dxa" w:w="2016"/>
            <w:shd w:fill="F2F4F8" w:val="clear"/>
          </w:tcPr>
          <w:p>
            <w:r>
              <w:rPr>
                <w:rFonts w:ascii="Calibri" w:hAnsi="Calibri"/>
                <w:color w:val="333333"/>
                <w:sz w:val="18"/>
              </w:rPr>
              <w:t>1 related-party transaction(s) disclosed</w:t>
            </w:r>
          </w:p>
        </w:tc>
      </w:tr>
      <w:tr>
        <w:tc>
          <w:tcPr>
            <w:tcW w:type="dxa" w:w="2016"/>
          </w:tcPr>
          <w:p>
            <w:r>
              <w:rPr>
                <w:rFonts w:ascii="Calibri" w:hAnsi="Calibri"/>
                <w:color w:val="333333"/>
                <w:sz w:val="18"/>
              </w:rPr>
              <w:t>Industry Regulatory Spotlight</w:t>
            </w:r>
          </w:p>
        </w:tc>
        <w:tc>
          <w:tcPr>
            <w:tcW w:type="dxa" w:w="2016"/>
          </w:tcPr>
          <w:p>
            <w:r>
              <w:rPr>
                <w:rFonts w:ascii="Calibri" w:hAnsi="Calibri"/>
                <w:color w:val="333333"/>
                <w:sz w:val="18"/>
              </w:rPr>
              <w:t>33</w:t>
            </w:r>
          </w:p>
        </w:tc>
        <w:tc>
          <w:tcPr>
            <w:tcW w:type="dxa" w:w="2016"/>
          </w:tcPr>
          <w:p>
            <w:r>
              <w:rPr>
                <w:rFonts w:ascii="Calibri" w:hAnsi="Calibri"/>
                <w:color w:val="333333"/>
                <w:sz w:val="18"/>
              </w:rPr>
              <w:t>LOW</w:t>
            </w:r>
          </w:p>
        </w:tc>
        <w:tc>
          <w:tcPr>
            <w:tcW w:type="dxa" w:w="2016"/>
          </w:tcPr>
          <w:p>
            <w:r>
              <w:rPr>
                <w:rFonts w:ascii="Calibri" w:hAnsi="Calibri"/>
                <w:color w:val="333333"/>
                <w:sz w:val="18"/>
              </w:rPr>
              <w:t>External Environment</w:t>
            </w:r>
          </w:p>
        </w:tc>
        <w:tc>
          <w:tcPr>
            <w:tcW w:type="dxa" w:w="2016"/>
          </w:tcPr>
          <w:p>
            <w:r>
              <w:rPr>
                <w:rFonts w:ascii="Calibri" w:hAnsi="Calibri"/>
                <w:color w:val="333333"/>
                <w:sz w:val="18"/>
              </w:rPr>
              <w:t>Sector 'CONS' regulatory spotlight level: 1.0/3.0</w:t>
            </w:r>
          </w:p>
        </w:tc>
      </w:tr>
      <w:tr>
        <w:tc>
          <w:tcPr>
            <w:tcW w:type="dxa" w:w="2016"/>
            <w:shd w:fill="F2F4F8" w:val="clear"/>
          </w:tcPr>
          <w:p>
            <w:r>
              <w:rPr>
                <w:rFonts w:ascii="Calibri" w:hAnsi="Calibri"/>
                <w:color w:val="333333"/>
                <w:sz w:val="18"/>
              </w:rPr>
              <w:t>Technology Platform Dependency</w:t>
            </w:r>
          </w:p>
        </w:tc>
        <w:tc>
          <w:tcPr>
            <w:tcW w:type="dxa" w:w="2016"/>
            <w:shd w:fill="F2F4F8" w:val="clear"/>
          </w:tcPr>
          <w:p>
            <w:r>
              <w:rPr>
                <w:rFonts w:ascii="Calibri" w:hAnsi="Calibri"/>
                <w:color w:val="333333"/>
                <w:sz w:val="18"/>
              </w:rPr>
              <w:t>25</w:t>
            </w:r>
          </w:p>
        </w:tc>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Business &amp; Operating Model</w:t>
            </w:r>
          </w:p>
        </w:tc>
        <w:tc>
          <w:tcPr>
            <w:tcW w:type="dxa" w:w="2016"/>
            <w:shd w:fill="F2F4F8" w:val="clear"/>
          </w:tcPr>
          <w:p>
            <w:r>
              <w:rPr>
                <w:rFonts w:ascii="Calibri" w:hAnsi="Calibri"/>
                <w:color w:val="333333"/>
                <w:sz w:val="18"/>
              </w:rPr>
              <w:t>Low platform keyword count (2) for non-tech sector</w:t>
            </w:r>
          </w:p>
        </w:tc>
      </w:tr>
      <w:tr>
        <w:tc>
          <w:tcPr>
            <w:tcW w:type="dxa" w:w="2016"/>
          </w:tcPr>
          <w:p>
            <w:r>
              <w:rPr>
                <w:rFonts w:ascii="Calibri" w:hAnsi="Calibri"/>
                <w:color w:val="333333"/>
                <w:sz w:val="18"/>
              </w:rPr>
              <w:t>State of Incorporation</w:t>
            </w:r>
          </w:p>
        </w:tc>
        <w:tc>
          <w:tcPr>
            <w:tcW w:type="dxa" w:w="2016"/>
          </w:tcPr>
          <w:p>
            <w:r>
              <w:rPr>
                <w:rFonts w:ascii="Calibri" w:hAnsi="Calibri"/>
                <w:color w:val="333333"/>
                <w:sz w:val="18"/>
              </w:rPr>
              <w:t>25</w:t>
            </w:r>
          </w:p>
        </w:tc>
        <w:tc>
          <w:tcPr>
            <w:tcW w:type="dxa" w:w="2016"/>
          </w:tcPr>
          <w:p>
            <w:r>
              <w:rPr>
                <w:rFonts w:ascii="Calibri" w:hAnsi="Calibri"/>
                <w:color w:val="333333"/>
                <w:sz w:val="18"/>
              </w:rPr>
              <w:t>LOW</w:t>
            </w:r>
          </w:p>
        </w:tc>
        <w:tc>
          <w:tcPr>
            <w:tcW w:type="dxa" w:w="2016"/>
          </w:tcPr>
          <w:p>
            <w:r>
              <w:rPr>
                <w:rFonts w:ascii="Calibri" w:hAnsi="Calibri"/>
                <w:color w:val="333333"/>
                <w:sz w:val="18"/>
              </w:rPr>
              <w:t>Governance Structure</w:t>
            </w:r>
          </w:p>
        </w:tc>
        <w:tc>
          <w:tcPr>
            <w:tcW w:type="dxa" w:w="2016"/>
          </w:tcPr>
          <w:p>
            <w:r>
              <w:rPr>
                <w:rFonts w:ascii="Calibri" w:hAnsi="Calibri"/>
                <w:color w:val="333333"/>
                <w:sz w:val="18"/>
              </w:rPr>
              <w:t>Incorporated in OH</w:t>
            </w:r>
          </w:p>
        </w:tc>
      </w:tr>
      <w:tr>
        <w:tc>
          <w:tcPr>
            <w:tcW w:type="dxa" w:w="2016"/>
            <w:shd w:fill="F2F4F8" w:val="clear"/>
          </w:tcPr>
          <w:p>
            <w:r>
              <w:rPr>
                <w:rFonts w:ascii="Calibri" w:hAnsi="Calibri"/>
                <w:color w:val="333333"/>
                <w:sz w:val="18"/>
              </w:rPr>
              <w:t>Geopolitical Risk</w:t>
            </w:r>
          </w:p>
        </w:tc>
        <w:tc>
          <w:tcPr>
            <w:tcW w:type="dxa" w:w="2016"/>
            <w:shd w:fill="F2F4F8" w:val="clear"/>
          </w:tcPr>
          <w:p>
            <w:r>
              <w:rPr>
                <w:rFonts w:ascii="Calibri" w:hAnsi="Calibri"/>
                <w:color w:val="333333"/>
                <w:sz w:val="18"/>
              </w:rPr>
              <w:t>25</w:t>
            </w:r>
          </w:p>
        </w:tc>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External Environment</w:t>
            </w:r>
          </w:p>
        </w:tc>
        <w:tc>
          <w:tcPr>
            <w:tcW w:type="dxa" w:w="2016"/>
            <w:shd w:fill="F2F4F8" w:val="clear"/>
          </w:tcPr>
          <w:p>
            <w:r>
              <w:rPr>
                <w:rFonts w:ascii="Calibri" w:hAnsi="Calibri"/>
                <w:color w:val="333333"/>
                <w:sz w:val="18"/>
              </w:rPr>
              <w:t>2 geographic regions (limited international)</w:t>
            </w:r>
          </w:p>
        </w:tc>
      </w:tr>
      <w:tr>
        <w:tc>
          <w:tcPr>
            <w:tcW w:type="dxa" w:w="2016"/>
          </w:tcPr>
          <w:p>
            <w:r>
              <w:rPr>
                <w:rFonts w:ascii="Calibri" w:hAnsi="Calibri"/>
                <w:color w:val="333333"/>
                <w:sz w:val="18"/>
              </w:rPr>
              <w:t>AI Adoption &amp; Governance</w:t>
            </w:r>
          </w:p>
        </w:tc>
        <w:tc>
          <w:tcPr>
            <w:tcW w:type="dxa" w:w="2016"/>
          </w:tcPr>
          <w:p>
            <w:r>
              <w:rPr>
                <w:rFonts w:ascii="Calibri" w:hAnsi="Calibri"/>
                <w:color w:val="333333"/>
                <w:sz w:val="18"/>
              </w:rPr>
              <w:t>25</w:t>
            </w:r>
          </w:p>
        </w:tc>
        <w:tc>
          <w:tcPr>
            <w:tcW w:type="dxa" w:w="2016"/>
          </w:tcPr>
          <w:p>
            <w:r>
              <w:rPr>
                <w:rFonts w:ascii="Calibri" w:hAnsi="Calibri"/>
                <w:color w:val="333333"/>
                <w:sz w:val="18"/>
              </w:rPr>
              <w:t>LOW</w:t>
            </w:r>
          </w:p>
        </w:tc>
        <w:tc>
          <w:tcPr>
            <w:tcW w:type="dxa" w:w="2016"/>
          </w:tcPr>
          <w:p>
            <w:r>
              <w:rPr>
                <w:rFonts w:ascii="Calibri" w:hAnsi="Calibri"/>
                <w:color w:val="333333"/>
                <w:sz w:val="18"/>
              </w:rPr>
              <w:t>Emerging / Modern Hazards</w:t>
            </w:r>
          </w:p>
        </w:tc>
        <w:tc>
          <w:tcPr>
            <w:tcW w:type="dxa" w:w="2016"/>
          </w:tcPr>
          <w:p>
            <w:r>
              <w:rPr>
                <w:rFonts w:ascii="Calibri" w:hAnsi="Calibri"/>
                <w:color w:val="333333"/>
                <w:sz w:val="18"/>
              </w:rPr>
              <w:t>AI risk score 0/100 (LOW)</w:t>
            </w:r>
          </w:p>
        </w:tc>
      </w:tr>
      <w:tr>
        <w:tc>
          <w:tcPr>
            <w:tcW w:type="dxa" w:w="2016"/>
            <w:shd w:fill="F2F4F8" w:val="clear"/>
          </w:tcPr>
          <w:p>
            <w:r>
              <w:rPr>
                <w:rFonts w:ascii="Calibri" w:hAnsi="Calibri"/>
                <w:color w:val="333333"/>
                <w:sz w:val="18"/>
              </w:rPr>
              <w:t>Geographic Complexity</w:t>
            </w:r>
          </w:p>
        </w:tc>
        <w:tc>
          <w:tcPr>
            <w:tcW w:type="dxa" w:w="2016"/>
            <w:shd w:fill="F2F4F8" w:val="clear"/>
          </w:tcPr>
          <w:p>
            <w:r>
              <w:rPr>
                <w:rFonts w:ascii="Calibri" w:hAnsi="Calibri"/>
                <w:color w:val="333333"/>
                <w:sz w:val="18"/>
              </w:rPr>
              <w:t>20</w:t>
            </w:r>
          </w:p>
        </w:tc>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Business &amp; Operating Model</w:t>
            </w:r>
          </w:p>
        </w:tc>
        <w:tc>
          <w:tcPr>
            <w:tcW w:type="dxa" w:w="2016"/>
            <w:shd w:fill="F2F4F8" w:val="clear"/>
          </w:tcPr>
          <w:p>
            <w:r>
              <w:rPr>
                <w:rFonts w:ascii="Calibri" w:hAnsi="Calibri"/>
                <w:color w:val="333333"/>
                <w:sz w:val="18"/>
              </w:rPr>
              <w:t>2 regions (LOW)</w:t>
            </w:r>
          </w:p>
        </w:tc>
      </w:tr>
      <w:tr>
        <w:tc>
          <w:tcPr>
            <w:tcW w:type="dxa" w:w="2016"/>
          </w:tcPr>
          <w:p>
            <w:r>
              <w:rPr>
                <w:rFonts w:ascii="Calibri" w:hAnsi="Calibri"/>
                <w:color w:val="333333"/>
                <w:sz w:val="18"/>
              </w:rPr>
              <w:t>Non-GAAP Reliance</w:t>
            </w:r>
          </w:p>
        </w:tc>
        <w:tc>
          <w:tcPr>
            <w:tcW w:type="dxa" w:w="2016"/>
          </w:tcPr>
          <w:p>
            <w:r>
              <w:rPr>
                <w:rFonts w:ascii="Calibri" w:hAnsi="Calibri"/>
                <w:color w:val="333333"/>
                <w:sz w:val="18"/>
              </w:rPr>
              <w:t>17</w:t>
            </w:r>
          </w:p>
        </w:tc>
        <w:tc>
          <w:tcPr>
            <w:tcW w:type="dxa" w:w="2016"/>
          </w:tcPr>
          <w:p>
            <w:r>
              <w:rPr>
                <w:rFonts w:ascii="Calibri" w:hAnsi="Calibri"/>
                <w:color w:val="333333"/>
                <w:sz w:val="18"/>
              </w:rPr>
              <w:t>LOW</w:t>
            </w:r>
          </w:p>
        </w:tc>
        <w:tc>
          <w:tcPr>
            <w:tcW w:type="dxa" w:w="2016"/>
          </w:tcPr>
          <w:p>
            <w:r>
              <w:rPr>
                <w:rFonts w:ascii="Calibri" w:hAnsi="Calibri"/>
                <w:color w:val="333333"/>
                <w:sz w:val="18"/>
              </w:rPr>
              <w:t>Business &amp; Operating Model</w:t>
            </w:r>
          </w:p>
        </w:tc>
        <w:tc>
          <w:tcPr>
            <w:tcW w:type="dxa" w:w="2016"/>
          </w:tcPr>
          <w:p>
            <w:r>
              <w:rPr>
                <w:rFonts w:ascii="Calibri" w:hAnsi="Calibri"/>
                <w:color w:val="333333"/>
                <w:sz w:val="18"/>
              </w:rPr>
              <w:t>No non-GAAP reliance indicators found</w:t>
            </w:r>
          </w:p>
        </w:tc>
      </w:tr>
      <w:tr>
        <w:tc>
          <w:tcPr>
            <w:tcW w:type="dxa" w:w="2016"/>
            <w:shd w:fill="F2F4F8" w:val="clear"/>
          </w:tcPr>
          <w:p>
            <w:r>
              <w:rPr>
                <w:rFonts w:ascii="Calibri" w:hAnsi="Calibri"/>
                <w:color w:val="333333"/>
                <w:sz w:val="18"/>
              </w:rPr>
              <w:t>Key Person Dependency</w:t>
            </w:r>
          </w:p>
        </w:tc>
        <w:tc>
          <w:tcPr>
            <w:tcW w:type="dxa" w:w="2016"/>
            <w:shd w:fill="F2F4F8" w:val="clear"/>
          </w:tcPr>
          <w:p>
            <w:r>
              <w:rPr>
                <w:rFonts w:ascii="Calibri" w:hAnsi="Calibri"/>
                <w:color w:val="333333"/>
                <w:sz w:val="18"/>
              </w:rPr>
              <w:t>17</w:t>
            </w:r>
          </w:p>
        </w:tc>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People &amp; Management</w:t>
            </w:r>
          </w:p>
        </w:tc>
        <w:tc>
          <w:tcPr>
            <w:tcW w:type="dxa" w:w="2016"/>
            <w:shd w:fill="F2F4F8" w:val="clear"/>
          </w:tcPr>
          <w:p>
            <w:r>
              <w:rPr>
                <w:rFonts w:ascii="Calibri" w:hAnsi="Calibri"/>
                <w:color w:val="333333"/>
                <w:sz w:val="18"/>
              </w:rPr>
              <w:t>Proxy: 1 key person dependency mentions in risk factors</w:t>
            </w:r>
          </w:p>
        </w:tc>
      </w:tr>
      <w:tr>
        <w:tc>
          <w:tcPr>
            <w:tcW w:type="dxa" w:w="2016"/>
          </w:tcPr>
          <w:p>
            <w:r>
              <w:rPr>
                <w:rFonts w:ascii="Calibri" w:hAnsi="Calibri"/>
                <w:color w:val="333333"/>
                <w:sz w:val="18"/>
              </w:rPr>
              <w:t>Cash Flow vs Earnings Divergence</w:t>
            </w:r>
          </w:p>
        </w:tc>
        <w:tc>
          <w:tcPr>
            <w:tcW w:type="dxa" w:w="2016"/>
          </w:tcPr>
          <w:p>
            <w:r>
              <w:rPr>
                <w:rFonts w:ascii="Calibri" w:hAnsi="Calibri"/>
                <w:color w:val="333333"/>
                <w:sz w:val="18"/>
              </w:rPr>
              <w:t>17</w:t>
            </w:r>
          </w:p>
        </w:tc>
        <w:tc>
          <w:tcPr>
            <w:tcW w:type="dxa" w:w="2016"/>
          </w:tcPr>
          <w:p>
            <w:r>
              <w:rPr>
                <w:rFonts w:ascii="Calibri" w:hAnsi="Calibri"/>
                <w:color w:val="333333"/>
                <w:sz w:val="18"/>
              </w:rPr>
              <w:t>LOW</w:t>
            </w:r>
          </w:p>
        </w:tc>
        <w:tc>
          <w:tcPr>
            <w:tcW w:type="dxa" w:w="2016"/>
          </w:tcPr>
          <w:p>
            <w:r>
              <w:rPr>
                <w:rFonts w:ascii="Calibri" w:hAnsi="Calibri"/>
                <w:color w:val="333333"/>
                <w:sz w:val="18"/>
              </w:rPr>
              <w:t>Financial Structure</w:t>
            </w:r>
          </w:p>
        </w:tc>
        <w:tc>
          <w:tcPr>
            <w:tcW w:type="dxa" w:w="2016"/>
          </w:tcPr>
          <w:p>
            <w:r>
              <w:rPr>
                <w:rFonts w:ascii="Calibri" w:hAnsi="Calibri"/>
                <w:color w:val="333333"/>
                <w:sz w:val="18"/>
              </w:rPr>
              <w:t>OCF/NI ratio 1.12 -- aligned</w:t>
            </w:r>
          </w:p>
        </w:tc>
      </w:tr>
      <w:tr>
        <w:tc>
          <w:tcPr>
            <w:tcW w:type="dxa" w:w="2016"/>
            <w:shd w:fill="F2F4F8" w:val="clear"/>
          </w:tcPr>
          <w:p>
            <w:r>
              <w:rPr>
                <w:rFonts w:ascii="Calibri" w:hAnsi="Calibri"/>
                <w:color w:val="333333"/>
                <w:sz w:val="18"/>
              </w:rPr>
              <w:t>Industry Litigation Wave</w:t>
            </w:r>
          </w:p>
        </w:tc>
        <w:tc>
          <w:tcPr>
            <w:tcW w:type="dxa" w:w="2016"/>
            <w:shd w:fill="F2F4F8" w:val="clear"/>
          </w:tcPr>
          <w:p>
            <w:r>
              <w:rPr>
                <w:rFonts w:ascii="Calibri" w:hAnsi="Calibri"/>
                <w:color w:val="333333"/>
                <w:sz w:val="18"/>
              </w:rPr>
              <w:t>17</w:t>
            </w:r>
          </w:p>
        </w:tc>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External Environment</w:t>
            </w:r>
          </w:p>
        </w:tc>
        <w:tc>
          <w:tcPr>
            <w:tcW w:type="dxa" w:w="2016"/>
            <w:shd w:fill="F2F4F8" w:val="clear"/>
          </w:tcPr>
          <w:p>
            <w:r>
              <w:rPr>
                <w:rFonts w:ascii="Calibri" w:hAnsi="Calibri"/>
                <w:color w:val="333333"/>
                <w:sz w:val="18"/>
              </w:rPr>
              <w:t>Sector 'CONS' litigation wave level: 0.5/3.0</w:t>
            </w:r>
          </w:p>
        </w:tc>
      </w:tr>
      <w:tr>
        <w:tc>
          <w:tcPr>
            <w:tcW w:type="dxa" w:w="2016"/>
          </w:tcPr>
          <w:p>
            <w:r>
              <w:rPr>
                <w:rFonts w:ascii="Calibri" w:hAnsi="Calibri"/>
                <w:color w:val="333333"/>
                <w:sz w:val="18"/>
              </w:rPr>
              <w:t>Cybersecurity Governance</w:t>
            </w:r>
          </w:p>
        </w:tc>
        <w:tc>
          <w:tcPr>
            <w:tcW w:type="dxa" w:w="2016"/>
          </w:tcPr>
          <w:p>
            <w:r>
              <w:rPr>
                <w:rFonts w:ascii="Calibri" w:hAnsi="Calibri"/>
                <w:color w:val="333333"/>
                <w:sz w:val="18"/>
              </w:rPr>
              <w:t>17</w:t>
            </w:r>
          </w:p>
        </w:tc>
        <w:tc>
          <w:tcPr>
            <w:tcW w:type="dxa" w:w="2016"/>
          </w:tcPr>
          <w:p>
            <w:r>
              <w:rPr>
                <w:rFonts w:ascii="Calibri" w:hAnsi="Calibri"/>
                <w:color w:val="333333"/>
                <w:sz w:val="18"/>
              </w:rPr>
              <w:t>LOW</w:t>
            </w:r>
          </w:p>
        </w:tc>
        <w:tc>
          <w:tcPr>
            <w:tcW w:type="dxa" w:w="2016"/>
          </w:tcPr>
          <w:p>
            <w:r>
              <w:rPr>
                <w:rFonts w:ascii="Calibri" w:hAnsi="Calibri"/>
                <w:color w:val="333333"/>
                <w:sz w:val="18"/>
              </w:rPr>
              <w:t>Emerging / Modern Hazards</w:t>
            </w:r>
          </w:p>
        </w:tc>
        <w:tc>
          <w:tcPr>
            <w:tcW w:type="dxa" w:w="2016"/>
          </w:tcPr>
          <w:p>
            <w:r>
              <w:rPr>
                <w:rFonts w:ascii="Calibri" w:hAnsi="Calibri"/>
                <w:color w:val="333333"/>
                <w:sz w:val="18"/>
              </w:rPr>
              <w:t>Minimal cybersecurity disclosure (1 mention)</w:t>
            </w:r>
          </w:p>
        </w:tc>
      </w:tr>
      <w:tr>
        <w:tc>
          <w:tcPr>
            <w:tcW w:type="dxa" w:w="2016"/>
            <w:shd w:fill="F2F4F8" w:val="clear"/>
          </w:tcPr>
          <w:p>
            <w:r>
              <w:rPr>
                <w:rFonts w:ascii="Calibri" w:hAnsi="Calibri"/>
                <w:color w:val="333333"/>
                <w:sz w:val="18"/>
              </w:rPr>
              <w:t>Customer &amp; Supplier Concentration</w:t>
            </w:r>
          </w:p>
        </w:tc>
        <w:tc>
          <w:tcPr>
            <w:tcW w:type="dxa" w:w="2016"/>
            <w:shd w:fill="F2F4F8" w:val="clear"/>
          </w:tcPr>
          <w:p>
            <w:r>
              <w:rPr>
                <w:rFonts w:ascii="Calibri" w:hAnsi="Calibri"/>
                <w:color w:val="333333"/>
                <w:sz w:val="18"/>
              </w:rPr>
              <w:t>12</w:t>
            </w:r>
          </w:p>
        </w:tc>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Business &amp; Operating Model</w:t>
            </w:r>
          </w:p>
        </w:tc>
        <w:tc>
          <w:tcPr>
            <w:tcW w:type="dxa" w:w="2016"/>
            <w:shd w:fill="F2F4F8" w:val="clear"/>
          </w:tcPr>
          <w:p>
            <w:r>
              <w:rPr>
                <w:rFonts w:ascii="Calibri" w:hAnsi="Calibri"/>
                <w:color w:val="333333"/>
                <w:sz w:val="18"/>
              </w:rPr>
              <w:t>1 material supplier(s) disclosed</w:t>
            </w:r>
          </w:p>
        </w:tc>
      </w:tr>
      <w:tr>
        <w:tc>
          <w:tcPr>
            <w:tcW w:type="dxa" w:w="2016"/>
          </w:tcPr>
          <w:p>
            <w:r>
              <w:rPr>
                <w:rFonts w:ascii="Calibri" w:hAnsi="Calibri"/>
                <w:color w:val="333333"/>
                <w:sz w:val="18"/>
              </w:rPr>
              <w:t>Speed of Growth</w:t>
            </w:r>
          </w:p>
        </w:tc>
        <w:tc>
          <w:tcPr>
            <w:tcW w:type="dxa" w:w="2016"/>
          </w:tcPr>
          <w:p>
            <w:r>
              <w:rPr>
                <w:rFonts w:ascii="Calibri" w:hAnsi="Calibri"/>
                <w:color w:val="333333"/>
                <w:sz w:val="18"/>
              </w:rPr>
              <w:t>10</w:t>
            </w:r>
          </w:p>
        </w:tc>
        <w:tc>
          <w:tcPr>
            <w:tcW w:type="dxa" w:w="2016"/>
          </w:tcPr>
          <w:p>
            <w:r>
              <w:rPr>
                <w:rFonts w:ascii="Calibri" w:hAnsi="Calibri"/>
                <w:color w:val="333333"/>
                <w:sz w:val="18"/>
              </w:rPr>
              <w:t>LOW</w:t>
            </w:r>
          </w:p>
        </w:tc>
        <w:tc>
          <w:tcPr>
            <w:tcW w:type="dxa" w:w="2016"/>
          </w:tcPr>
          <w:p>
            <w:r>
              <w:rPr>
                <w:rFonts w:ascii="Calibri" w:hAnsi="Calibri"/>
                <w:color w:val="333333"/>
                <w:sz w:val="18"/>
              </w:rPr>
              <w:t>Business &amp; Operating Model</w:t>
            </w:r>
          </w:p>
        </w:tc>
        <w:tc>
          <w:tcPr>
            <w:tcW w:type="dxa" w:w="2016"/>
          </w:tcPr>
          <w:p>
            <w:r>
              <w:rPr>
                <w:rFonts w:ascii="Calibri" w:hAnsi="Calibri"/>
                <w:color w:val="333333"/>
                <w:sz w:val="18"/>
              </w:rPr>
              <w:t>Revenue growth 0.3% (STABLE)</w:t>
            </w:r>
          </w:p>
        </w:tc>
      </w:tr>
      <w:tr>
        <w:tc>
          <w:tcPr>
            <w:tcW w:type="dxa" w:w="2016"/>
            <w:shd w:fill="F2F4F8" w:val="clear"/>
          </w:tcPr>
          <w:p>
            <w:r>
              <w:rPr>
                <w:rFonts w:ascii="Calibri" w:hAnsi="Calibri"/>
                <w:color w:val="333333"/>
                <w:sz w:val="18"/>
              </w:rPr>
              <w:t>Business Model Complexity</w:t>
            </w:r>
          </w:p>
        </w:tc>
        <w:tc>
          <w:tcPr>
            <w:tcW w:type="dxa" w:w="2016"/>
            <w:shd w:fill="F2F4F8" w:val="clear"/>
          </w:tcPr>
          <w:p>
            <w:r>
              <w:rPr>
                <w:rFonts w:ascii="Calibri" w:hAnsi="Calibri"/>
                <w:color w:val="333333"/>
                <w:sz w:val="18"/>
              </w:rPr>
              <w:t>0</w:t>
            </w:r>
          </w:p>
        </w:tc>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Business &amp; Operating Model</w:t>
            </w:r>
          </w:p>
        </w:tc>
        <w:tc>
          <w:tcPr>
            <w:tcW w:type="dxa" w:w="2016"/>
            <w:shd w:fill="F2F4F8" w:val="clear"/>
          </w:tcPr>
          <w:p>
            <w:r>
              <w:rPr>
                <w:rFonts w:ascii="Calibri" w:hAnsi="Calibri"/>
                <w:color w:val="333333"/>
                <w:sz w:val="18"/>
              </w:rPr>
            </w:r>
          </w:p>
        </w:tc>
      </w:tr>
      <w:tr>
        <w:tc>
          <w:tcPr>
            <w:tcW w:type="dxa" w:w="2016"/>
          </w:tcPr>
          <w:p>
            <w:r>
              <w:rPr>
                <w:rFonts w:ascii="Calibri" w:hAnsi="Calibri"/>
                <w:color w:val="333333"/>
                <w:sz w:val="18"/>
              </w:rPr>
              <w:t>Revenue Model Manipulation Surface</w:t>
            </w:r>
          </w:p>
        </w:tc>
        <w:tc>
          <w:tcPr>
            <w:tcW w:type="dxa" w:w="2016"/>
          </w:tcPr>
          <w:p>
            <w:r>
              <w:rPr>
                <w:rFonts w:ascii="Calibri" w:hAnsi="Calibri"/>
                <w:color w:val="333333"/>
                <w:sz w:val="18"/>
              </w:rPr>
              <w:t>0</w:t>
            </w:r>
          </w:p>
        </w:tc>
        <w:tc>
          <w:tcPr>
            <w:tcW w:type="dxa" w:w="2016"/>
          </w:tcPr>
          <w:p>
            <w:r>
              <w:rPr>
                <w:rFonts w:ascii="Calibri" w:hAnsi="Calibri"/>
                <w:color w:val="333333"/>
                <w:sz w:val="18"/>
              </w:rPr>
              <w:t>LOW</w:t>
            </w:r>
          </w:p>
        </w:tc>
        <w:tc>
          <w:tcPr>
            <w:tcW w:type="dxa" w:w="2016"/>
          </w:tcPr>
          <w:p>
            <w:r>
              <w:rPr>
                <w:rFonts w:ascii="Calibri" w:hAnsi="Calibri"/>
                <w:color w:val="333333"/>
                <w:sz w:val="18"/>
              </w:rPr>
              <w:t>Business &amp; Operating Model</w:t>
            </w:r>
          </w:p>
        </w:tc>
        <w:tc>
          <w:tcPr>
            <w:tcW w:type="dxa" w:w="2016"/>
          </w:tcPr>
          <w:p>
            <w:r>
              <w:rPr>
                <w:rFonts w:ascii="Calibri" w:hAnsi="Calibri"/>
                <w:color w:val="333333"/>
                <w:sz w:val="18"/>
              </w:rPr>
            </w:r>
          </w:p>
        </w:tc>
      </w:tr>
      <w:tr>
        <w:tc>
          <w:tcPr>
            <w:tcW w:type="dxa" w:w="2016"/>
            <w:shd w:fill="F2F4F8" w:val="clear"/>
          </w:tcPr>
          <w:p>
            <w:r>
              <w:rPr>
                <w:rFonts w:ascii="Calibri" w:hAnsi="Calibri"/>
                <w:color w:val="333333"/>
                <w:sz w:val="18"/>
              </w:rPr>
              <w:t>Capital Intensity</w:t>
            </w:r>
          </w:p>
        </w:tc>
        <w:tc>
          <w:tcPr>
            <w:tcW w:type="dxa" w:w="2016"/>
            <w:shd w:fill="F2F4F8" w:val="clear"/>
          </w:tcPr>
          <w:p>
            <w:r>
              <w:rPr>
                <w:rFonts w:ascii="Calibri" w:hAnsi="Calibri"/>
                <w:color w:val="333333"/>
                <w:sz w:val="18"/>
              </w:rPr>
              <w:t>0</w:t>
            </w:r>
          </w:p>
        </w:tc>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Business &amp; Operating Model</w:t>
            </w:r>
          </w:p>
        </w:tc>
        <w:tc>
          <w:tcPr>
            <w:tcW w:type="dxa" w:w="2016"/>
            <w:shd w:fill="F2F4F8" w:val="clear"/>
          </w:tcPr>
          <w:p>
            <w:r>
              <w:rPr>
                <w:rFonts w:ascii="Calibri" w:hAnsi="Calibri"/>
                <w:color w:val="333333"/>
                <w:sz w:val="18"/>
              </w:rPr>
              <w:t>CapEx/Revenue 4.5% (LOW)</w:t>
            </w:r>
          </w:p>
        </w:tc>
      </w:tr>
      <w:tr>
        <w:tc>
          <w:tcPr>
            <w:tcW w:type="dxa" w:w="2016"/>
          </w:tcPr>
          <w:p>
            <w:r>
              <w:rPr>
                <w:rFonts w:ascii="Calibri" w:hAnsi="Calibri"/>
                <w:color w:val="333333"/>
                <w:sz w:val="18"/>
              </w:rPr>
              <w:t>Dual-Class Structure</w:t>
            </w:r>
          </w:p>
        </w:tc>
        <w:tc>
          <w:tcPr>
            <w:tcW w:type="dxa" w:w="2016"/>
          </w:tcPr>
          <w:p>
            <w:r>
              <w:rPr>
                <w:rFonts w:ascii="Calibri" w:hAnsi="Calibri"/>
                <w:color w:val="333333"/>
                <w:sz w:val="18"/>
              </w:rPr>
              <w:t>0</w:t>
            </w:r>
          </w:p>
        </w:tc>
        <w:tc>
          <w:tcPr>
            <w:tcW w:type="dxa" w:w="2016"/>
          </w:tcPr>
          <w:p>
            <w:r>
              <w:rPr>
                <w:rFonts w:ascii="Calibri" w:hAnsi="Calibri"/>
                <w:color w:val="333333"/>
                <w:sz w:val="18"/>
              </w:rPr>
              <w:t>LOW</w:t>
            </w:r>
          </w:p>
        </w:tc>
        <w:tc>
          <w:tcPr>
            <w:tcW w:type="dxa" w:w="2016"/>
          </w:tcPr>
          <w:p>
            <w:r>
              <w:rPr>
                <w:rFonts w:ascii="Calibri" w:hAnsi="Calibri"/>
                <w:color w:val="333333"/>
                <w:sz w:val="18"/>
              </w:rPr>
              <w:t>Business &amp; Operating Model</w:t>
            </w:r>
          </w:p>
        </w:tc>
        <w:tc>
          <w:tcPr>
            <w:tcW w:type="dxa" w:w="2016"/>
          </w:tcPr>
          <w:p>
            <w:r>
              <w:rPr>
                <w:rFonts w:ascii="Calibri" w:hAnsi="Calibri"/>
                <w:color w:val="333333"/>
                <w:sz w:val="18"/>
              </w:rPr>
            </w:r>
          </w:p>
        </w:tc>
      </w:tr>
      <w:tr>
        <w:tc>
          <w:tcPr>
            <w:tcW w:type="dxa" w:w="2016"/>
            <w:shd w:fill="F2F4F8" w:val="clear"/>
          </w:tcPr>
          <w:p>
            <w:r>
              <w:rPr>
                <w:rFonts w:ascii="Calibri" w:hAnsi="Calibri"/>
                <w:color w:val="333333"/>
                <w:sz w:val="18"/>
              </w:rPr>
              <w:t>Management Public Company Experience</w:t>
            </w:r>
          </w:p>
        </w:tc>
        <w:tc>
          <w:tcPr>
            <w:tcW w:type="dxa" w:w="2016"/>
            <w:shd w:fill="F2F4F8" w:val="clear"/>
          </w:tcPr>
          <w:p>
            <w:r>
              <w:rPr>
                <w:rFonts w:ascii="Calibri" w:hAnsi="Calibri"/>
                <w:color w:val="333333"/>
                <w:sz w:val="18"/>
              </w:rPr>
              <w:t>0</w:t>
            </w:r>
          </w:p>
        </w:tc>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People &amp; Management</w:t>
            </w:r>
          </w:p>
        </w:tc>
        <w:tc>
          <w:tcPr>
            <w:tcW w:type="dxa" w:w="2016"/>
            <w:shd w:fill="F2F4F8" w:val="clear"/>
          </w:tcPr>
          <w:p>
            <w:r>
              <w:rPr>
                <w:rFonts w:ascii="Calibri" w:hAnsi="Calibri"/>
                <w:color w:val="333333"/>
                <w:sz w:val="18"/>
              </w:rPr>
            </w:r>
          </w:p>
        </w:tc>
      </w:tr>
      <w:tr>
        <w:tc>
          <w:tcPr>
            <w:tcW w:type="dxa" w:w="2016"/>
          </w:tcPr>
          <w:p>
            <w:r>
              <w:rPr>
                <w:rFonts w:ascii="Calibri" w:hAnsi="Calibri"/>
                <w:color w:val="333333"/>
                <w:sz w:val="18"/>
              </w:rPr>
              <w:t>Board Governance Experience &amp; Quality</w:t>
            </w:r>
          </w:p>
        </w:tc>
        <w:tc>
          <w:tcPr>
            <w:tcW w:type="dxa" w:w="2016"/>
          </w:tcPr>
          <w:p>
            <w:r>
              <w:rPr>
                <w:rFonts w:ascii="Calibri" w:hAnsi="Calibri"/>
                <w:color w:val="333333"/>
                <w:sz w:val="18"/>
              </w:rPr>
              <w:t>0</w:t>
            </w:r>
          </w:p>
        </w:tc>
        <w:tc>
          <w:tcPr>
            <w:tcW w:type="dxa" w:w="2016"/>
          </w:tcPr>
          <w:p>
            <w:r>
              <w:rPr>
                <w:rFonts w:ascii="Calibri" w:hAnsi="Calibri"/>
                <w:color w:val="333333"/>
                <w:sz w:val="18"/>
              </w:rPr>
              <w:t>LOW</w:t>
            </w:r>
          </w:p>
        </w:tc>
        <w:tc>
          <w:tcPr>
            <w:tcW w:type="dxa" w:w="2016"/>
          </w:tcPr>
          <w:p>
            <w:r>
              <w:rPr>
                <w:rFonts w:ascii="Calibri" w:hAnsi="Calibri"/>
                <w:color w:val="333333"/>
                <w:sz w:val="18"/>
              </w:rPr>
              <w:t>People &amp; Management</w:t>
            </w:r>
          </w:p>
        </w:tc>
        <w:tc>
          <w:tcPr>
            <w:tcW w:type="dxa" w:w="2016"/>
          </w:tcPr>
          <w:p>
            <w:r>
              <w:rPr>
                <w:rFonts w:ascii="Calibri" w:hAnsi="Calibri"/>
                <w:color w:val="333333"/>
                <w:sz w:val="18"/>
              </w:rPr>
            </w:r>
          </w:p>
        </w:tc>
      </w:tr>
      <w:tr>
        <w:tc>
          <w:tcPr>
            <w:tcW w:type="dxa" w:w="2016"/>
            <w:shd w:fill="F2F4F8" w:val="clear"/>
          </w:tcPr>
          <w:p>
            <w:r>
              <w:rPr>
                <w:rFonts w:ascii="Calibri" w:hAnsi="Calibri"/>
                <w:color w:val="333333"/>
                <w:sz w:val="18"/>
              </w:rPr>
              <w:t>Tone at the Top</w:t>
            </w:r>
          </w:p>
        </w:tc>
        <w:tc>
          <w:tcPr>
            <w:tcW w:type="dxa" w:w="2016"/>
            <w:shd w:fill="F2F4F8" w:val="clear"/>
          </w:tcPr>
          <w:p>
            <w:r>
              <w:rPr>
                <w:rFonts w:ascii="Calibri" w:hAnsi="Calibri"/>
                <w:color w:val="333333"/>
                <w:sz w:val="18"/>
              </w:rPr>
              <w:t>0</w:t>
            </w:r>
          </w:p>
        </w:tc>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People &amp; Management</w:t>
            </w:r>
          </w:p>
        </w:tc>
        <w:tc>
          <w:tcPr>
            <w:tcW w:type="dxa" w:w="2016"/>
            <w:shd w:fill="F2F4F8" w:val="clear"/>
          </w:tcPr>
          <w:p>
            <w:r>
              <w:rPr>
                <w:rFonts w:ascii="Calibri" w:hAnsi="Calibri"/>
                <w:color w:val="333333"/>
                <w:sz w:val="18"/>
              </w:rPr>
              <w:t>Estimated from related indicators.</w:t>
            </w:r>
          </w:p>
        </w:tc>
      </w:tr>
      <w:tr>
        <w:tc>
          <w:tcPr>
            <w:tcW w:type="dxa" w:w="2016"/>
          </w:tcPr>
          <w:p>
            <w:r>
              <w:rPr>
                <w:rFonts w:ascii="Calibri" w:hAnsi="Calibri"/>
                <w:color w:val="333333"/>
                <w:sz w:val="18"/>
              </w:rPr>
              <w:t>Leverage &amp; Capital Structure</w:t>
            </w:r>
          </w:p>
        </w:tc>
        <w:tc>
          <w:tcPr>
            <w:tcW w:type="dxa" w:w="2016"/>
          </w:tcPr>
          <w:p>
            <w:r>
              <w:rPr>
                <w:rFonts w:ascii="Calibri" w:hAnsi="Calibri"/>
                <w:color w:val="333333"/>
                <w:sz w:val="18"/>
              </w:rPr>
              <w:t>0</w:t>
            </w:r>
          </w:p>
        </w:tc>
        <w:tc>
          <w:tcPr>
            <w:tcW w:type="dxa" w:w="2016"/>
          </w:tcPr>
          <w:p>
            <w:r>
              <w:rPr>
                <w:rFonts w:ascii="Calibri" w:hAnsi="Calibri"/>
                <w:color w:val="333333"/>
                <w:sz w:val="18"/>
              </w:rPr>
              <w:t>LOW</w:t>
            </w:r>
          </w:p>
        </w:tc>
        <w:tc>
          <w:tcPr>
            <w:tcW w:type="dxa" w:w="2016"/>
          </w:tcPr>
          <w:p>
            <w:r>
              <w:rPr>
                <w:rFonts w:ascii="Calibri" w:hAnsi="Calibri"/>
                <w:color w:val="333333"/>
                <w:sz w:val="18"/>
              </w:rPr>
              <w:t>Financial Structure</w:t>
            </w:r>
          </w:p>
        </w:tc>
        <w:tc>
          <w:tcPr>
            <w:tcW w:type="dxa" w:w="2016"/>
          </w:tcPr>
          <w:p>
            <w:r>
              <w:rPr>
                <w:rFonts w:ascii="Calibri" w:hAnsi="Calibri"/>
                <w:color w:val="333333"/>
                <w:sz w:val="18"/>
              </w:rPr>
            </w:r>
          </w:p>
        </w:tc>
      </w:tr>
      <w:tr>
        <w:tc>
          <w:tcPr>
            <w:tcW w:type="dxa" w:w="2016"/>
            <w:shd w:fill="F2F4F8" w:val="clear"/>
          </w:tcPr>
          <w:p>
            <w:r>
              <w:rPr>
                <w:rFonts w:ascii="Calibri" w:hAnsi="Calibri"/>
                <w:color w:val="333333"/>
                <w:sz w:val="18"/>
              </w:rPr>
              <w:t>Earnings Quality Characteristics</w:t>
            </w:r>
          </w:p>
        </w:tc>
        <w:tc>
          <w:tcPr>
            <w:tcW w:type="dxa" w:w="2016"/>
            <w:shd w:fill="F2F4F8" w:val="clear"/>
          </w:tcPr>
          <w:p>
            <w:r>
              <w:rPr>
                <w:rFonts w:ascii="Calibri" w:hAnsi="Calibri"/>
                <w:color w:val="333333"/>
                <w:sz w:val="18"/>
              </w:rPr>
              <w:t>0</w:t>
            </w:r>
          </w:p>
        </w:tc>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Financial Structure</w:t>
            </w:r>
          </w:p>
        </w:tc>
        <w:tc>
          <w:tcPr>
            <w:tcW w:type="dxa" w:w="2016"/>
            <w:shd w:fill="F2F4F8" w:val="clear"/>
          </w:tcPr>
          <w:p>
            <w:r>
              <w:rPr>
                <w:rFonts w:ascii="Calibri" w:hAnsi="Calibri"/>
                <w:color w:val="333333"/>
                <w:sz w:val="18"/>
              </w:rPr>
              <w:t>Beneish M-Score -3.06 -- safe zone</w:t>
            </w:r>
          </w:p>
        </w:tc>
      </w:tr>
      <w:tr>
        <w:tc>
          <w:tcPr>
            <w:tcW w:type="dxa" w:w="2016"/>
          </w:tcPr>
          <w:p>
            <w:r>
              <w:rPr>
                <w:rFonts w:ascii="Calibri" w:hAnsi="Calibri"/>
                <w:color w:val="333333"/>
                <w:sz w:val="18"/>
              </w:rPr>
              <w:t>Pre-Revenue / Cash Burn</w:t>
            </w:r>
          </w:p>
        </w:tc>
        <w:tc>
          <w:tcPr>
            <w:tcW w:type="dxa" w:w="2016"/>
          </w:tcPr>
          <w:p>
            <w:r>
              <w:rPr>
                <w:rFonts w:ascii="Calibri" w:hAnsi="Calibri"/>
                <w:color w:val="333333"/>
                <w:sz w:val="18"/>
              </w:rPr>
              <w:t>0</w:t>
            </w:r>
          </w:p>
        </w:tc>
        <w:tc>
          <w:tcPr>
            <w:tcW w:type="dxa" w:w="2016"/>
          </w:tcPr>
          <w:p>
            <w:r>
              <w:rPr>
                <w:rFonts w:ascii="Calibri" w:hAnsi="Calibri"/>
                <w:color w:val="333333"/>
                <w:sz w:val="18"/>
              </w:rPr>
              <w:t>LOW</w:t>
            </w:r>
          </w:p>
        </w:tc>
        <w:tc>
          <w:tcPr>
            <w:tcW w:type="dxa" w:w="2016"/>
          </w:tcPr>
          <w:p>
            <w:r>
              <w:rPr>
                <w:rFonts w:ascii="Calibri" w:hAnsi="Calibri"/>
                <w:color w:val="333333"/>
                <w:sz w:val="18"/>
              </w:rPr>
              <w:t>Financial Structure</w:t>
            </w:r>
          </w:p>
        </w:tc>
        <w:tc>
          <w:tcPr>
            <w:tcW w:type="dxa" w:w="2016"/>
          </w:tcPr>
          <w:p>
            <w:r>
              <w:rPr>
                <w:rFonts w:ascii="Calibri" w:hAnsi="Calibri"/>
                <w:color w:val="333333"/>
                <w:sz w:val="18"/>
              </w:rPr>
              <w:t>Revenue-generating company with positive cash flow profile</w:t>
            </w:r>
          </w:p>
        </w:tc>
      </w:tr>
      <w:tr>
        <w:tc>
          <w:tcPr>
            <w:tcW w:type="dxa" w:w="2016"/>
            <w:shd w:fill="F2F4F8" w:val="clear"/>
          </w:tcPr>
          <w:p>
            <w:r>
              <w:rPr>
                <w:rFonts w:ascii="Calibri" w:hAnsi="Calibri"/>
                <w:color w:val="333333"/>
                <w:sz w:val="18"/>
              </w:rPr>
              <w:t>Anti-Takeover Provisions</w:t>
            </w:r>
          </w:p>
        </w:tc>
        <w:tc>
          <w:tcPr>
            <w:tcW w:type="dxa" w:w="2016"/>
            <w:shd w:fill="F2F4F8" w:val="clear"/>
          </w:tcPr>
          <w:p>
            <w:r>
              <w:rPr>
                <w:rFonts w:ascii="Calibri" w:hAnsi="Calibri"/>
                <w:color w:val="333333"/>
                <w:sz w:val="18"/>
              </w:rPr>
              <w:t>0</w:t>
            </w:r>
          </w:p>
        </w:tc>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Governance Structure</w:t>
            </w:r>
          </w:p>
        </w:tc>
        <w:tc>
          <w:tcPr>
            <w:tcW w:type="dxa" w:w="2016"/>
            <w:shd w:fill="F2F4F8" w:val="clear"/>
          </w:tcPr>
          <w:p>
            <w:r>
              <w:rPr>
                <w:rFonts w:ascii="Calibri" w:hAnsi="Calibri"/>
                <w:color w:val="333333"/>
                <w:sz w:val="18"/>
              </w:rPr>
              <w:t>Estimated from related indicators.</w:t>
            </w:r>
          </w:p>
        </w:tc>
      </w:tr>
      <w:tr>
        <w:tc>
          <w:tcPr>
            <w:tcW w:type="dxa" w:w="2016"/>
          </w:tcPr>
          <w:p>
            <w:r>
              <w:rPr>
                <w:rFonts w:ascii="Calibri" w:hAnsi="Calibri"/>
                <w:color w:val="333333"/>
                <w:sz w:val="18"/>
              </w:rPr>
              <w:t>Compensation Structure</w:t>
            </w:r>
          </w:p>
        </w:tc>
        <w:tc>
          <w:tcPr>
            <w:tcW w:type="dxa" w:w="2016"/>
          </w:tcPr>
          <w:p>
            <w:r>
              <w:rPr>
                <w:rFonts w:ascii="Calibri" w:hAnsi="Calibri"/>
                <w:color w:val="333333"/>
                <w:sz w:val="18"/>
              </w:rPr>
              <w:t>0</w:t>
            </w:r>
          </w:p>
        </w:tc>
        <w:tc>
          <w:tcPr>
            <w:tcW w:type="dxa" w:w="2016"/>
          </w:tcPr>
          <w:p>
            <w:r>
              <w:rPr>
                <w:rFonts w:ascii="Calibri" w:hAnsi="Calibri"/>
                <w:color w:val="333333"/>
                <w:sz w:val="18"/>
              </w:rPr>
              <w:t>LOW</w:t>
            </w:r>
          </w:p>
        </w:tc>
        <w:tc>
          <w:tcPr>
            <w:tcW w:type="dxa" w:w="2016"/>
          </w:tcPr>
          <w:p>
            <w:r>
              <w:rPr>
                <w:rFonts w:ascii="Calibri" w:hAnsi="Calibri"/>
                <w:color w:val="333333"/>
                <w:sz w:val="18"/>
              </w:rPr>
              <w:t>Governance Structure</w:t>
            </w:r>
          </w:p>
        </w:tc>
        <w:tc>
          <w:tcPr>
            <w:tcW w:type="dxa" w:w="2016"/>
          </w:tcPr>
          <w:p>
            <w:r>
              <w:rPr>
                <w:rFonts w:ascii="Calibri" w:hAnsi="Calibri"/>
                <w:color w:val="333333"/>
                <w:sz w:val="18"/>
              </w:rPr>
              <w:t>Clawback policy in place</w:t>
            </w:r>
          </w:p>
        </w:tc>
      </w:tr>
      <w:tr>
        <w:tc>
          <w:tcPr>
            <w:tcW w:type="dxa" w:w="2016"/>
            <w:shd w:fill="F2F4F8" w:val="clear"/>
          </w:tcPr>
          <w:p>
            <w:r>
              <w:rPr>
                <w:rFonts w:ascii="Calibri" w:hAnsi="Calibri"/>
                <w:color w:val="333333"/>
                <w:sz w:val="18"/>
              </w:rPr>
              <w:t>Compliance Infrastructure</w:t>
            </w:r>
          </w:p>
        </w:tc>
        <w:tc>
          <w:tcPr>
            <w:tcW w:type="dxa" w:w="2016"/>
            <w:shd w:fill="F2F4F8" w:val="clear"/>
          </w:tcPr>
          <w:p>
            <w:r>
              <w:rPr>
                <w:rFonts w:ascii="Calibri" w:hAnsi="Calibri"/>
                <w:color w:val="333333"/>
                <w:sz w:val="18"/>
              </w:rPr>
              <w:t>0</w:t>
            </w:r>
          </w:p>
        </w:tc>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Governance Structure</w:t>
            </w:r>
          </w:p>
        </w:tc>
        <w:tc>
          <w:tcPr>
            <w:tcW w:type="dxa" w:w="2016"/>
            <w:shd w:fill="F2F4F8" w:val="clear"/>
          </w:tcPr>
          <w:p>
            <w:r>
              <w:rPr>
                <w:rFonts w:ascii="Calibri" w:hAnsi="Calibri"/>
                <w:color w:val="333333"/>
                <w:sz w:val="18"/>
              </w:rPr>
              <w:t>No material weaknesses or going concern issues identified</w:t>
            </w:r>
          </w:p>
        </w:tc>
      </w:tr>
      <w:tr>
        <w:tc>
          <w:tcPr>
            <w:tcW w:type="dxa" w:w="2016"/>
          </w:tcPr>
          <w:p>
            <w:r>
              <w:rPr>
                <w:rFonts w:ascii="Calibri" w:hAnsi="Calibri"/>
                <w:color w:val="333333"/>
                <w:sz w:val="18"/>
              </w:rPr>
              <w:t>Exchange &amp; Index Membership</w:t>
            </w:r>
          </w:p>
        </w:tc>
        <w:tc>
          <w:tcPr>
            <w:tcW w:type="dxa" w:w="2016"/>
          </w:tcPr>
          <w:p>
            <w:r>
              <w:rPr>
                <w:rFonts w:ascii="Calibri" w:hAnsi="Calibri"/>
                <w:color w:val="333333"/>
                <w:sz w:val="18"/>
              </w:rPr>
              <w:t>0</w:t>
            </w:r>
          </w:p>
        </w:tc>
        <w:tc>
          <w:tcPr>
            <w:tcW w:type="dxa" w:w="2016"/>
          </w:tcPr>
          <w:p>
            <w:r>
              <w:rPr>
                <w:rFonts w:ascii="Calibri" w:hAnsi="Calibri"/>
                <w:color w:val="333333"/>
                <w:sz w:val="18"/>
              </w:rPr>
              <w:t>LOW</w:t>
            </w:r>
          </w:p>
        </w:tc>
        <w:tc>
          <w:tcPr>
            <w:tcW w:type="dxa" w:w="2016"/>
          </w:tcPr>
          <w:p>
            <w:r>
              <w:rPr>
                <w:rFonts w:ascii="Calibri" w:hAnsi="Calibri"/>
                <w:color w:val="333333"/>
                <w:sz w:val="18"/>
              </w:rPr>
              <w:t>Public Company Maturity</w:t>
            </w:r>
          </w:p>
        </w:tc>
        <w:tc>
          <w:tcPr>
            <w:tcW w:type="dxa" w:w="2016"/>
          </w:tcPr>
          <w:p>
            <w:r>
              <w:rPr>
                <w:rFonts w:ascii="Calibri" w:hAnsi="Calibri"/>
                <w:color w:val="333333"/>
                <w:sz w:val="18"/>
              </w:rPr>
              <w:t>Listed on NYSE (major exchange -- standard oversight)</w:t>
            </w:r>
          </w:p>
        </w:tc>
      </w:tr>
      <w:tr>
        <w:tc>
          <w:tcPr>
            <w:tcW w:type="dxa" w:w="2016"/>
            <w:shd w:fill="F2F4F8" w:val="clear"/>
          </w:tcPr>
          <w:p>
            <w:r>
              <w:rPr>
                <w:rFonts w:ascii="Calibri" w:hAnsi="Calibri"/>
                <w:color w:val="333333"/>
                <w:sz w:val="18"/>
              </w:rPr>
              <w:t>FPI / ADR Status</w:t>
            </w:r>
          </w:p>
        </w:tc>
        <w:tc>
          <w:tcPr>
            <w:tcW w:type="dxa" w:w="2016"/>
            <w:shd w:fill="F2F4F8" w:val="clear"/>
          </w:tcPr>
          <w:p>
            <w:r>
              <w:rPr>
                <w:rFonts w:ascii="Calibri" w:hAnsi="Calibri"/>
                <w:color w:val="333333"/>
                <w:sz w:val="18"/>
              </w:rPr>
              <w:t>0</w:t>
            </w:r>
          </w:p>
        </w:tc>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Public Company Maturity</w:t>
            </w:r>
          </w:p>
        </w:tc>
        <w:tc>
          <w:tcPr>
            <w:tcW w:type="dxa" w:w="2016"/>
            <w:shd w:fill="F2F4F8" w:val="clear"/>
          </w:tcPr>
          <w:p>
            <w:r>
              <w:rPr>
                <w:rFonts w:ascii="Calibri" w:hAnsi="Calibri"/>
                <w:color w:val="333333"/>
                <w:sz w:val="18"/>
              </w:rPr>
              <w:t>Domestic issuer (standard SEC reporting)</w:t>
            </w:r>
          </w:p>
        </w:tc>
      </w:tr>
      <w:tr>
        <w:tc>
          <w:tcPr>
            <w:tcW w:type="dxa" w:w="2016"/>
          </w:tcPr>
          <w:p>
            <w:r>
              <w:rPr>
                <w:rFonts w:ascii="Calibri" w:hAnsi="Calibri"/>
                <w:color w:val="333333"/>
                <w:sz w:val="18"/>
              </w:rPr>
              <w:t>ESG / Climate Exposure</w:t>
            </w:r>
          </w:p>
        </w:tc>
        <w:tc>
          <w:tcPr>
            <w:tcW w:type="dxa" w:w="2016"/>
          </w:tcPr>
          <w:p>
            <w:r>
              <w:rPr>
                <w:rFonts w:ascii="Calibri" w:hAnsi="Calibri"/>
                <w:color w:val="333333"/>
                <w:sz w:val="18"/>
              </w:rPr>
              <w:t>0</w:t>
            </w:r>
          </w:p>
        </w:tc>
        <w:tc>
          <w:tcPr>
            <w:tcW w:type="dxa" w:w="2016"/>
          </w:tcPr>
          <w:p>
            <w:r>
              <w:rPr>
                <w:rFonts w:ascii="Calibri" w:hAnsi="Calibri"/>
                <w:color w:val="333333"/>
                <w:sz w:val="18"/>
              </w:rPr>
              <w:t>LOW</w:t>
            </w:r>
          </w:p>
        </w:tc>
        <w:tc>
          <w:tcPr>
            <w:tcW w:type="dxa" w:w="2016"/>
          </w:tcPr>
          <w:p>
            <w:r>
              <w:rPr>
                <w:rFonts w:ascii="Calibri" w:hAnsi="Calibri"/>
                <w:color w:val="333333"/>
                <w:sz w:val="18"/>
              </w:rPr>
              <w:t>Emerging / Modern Hazards</w:t>
            </w:r>
          </w:p>
        </w:tc>
        <w:tc>
          <w:tcPr>
            <w:tcW w:type="dxa" w:w="2016"/>
          </w:tcPr>
          <w:p>
            <w:r>
              <w:rPr>
                <w:rFonts w:ascii="Calibri" w:hAnsi="Calibri"/>
                <w:color w:val="333333"/>
                <w:sz w:val="18"/>
              </w:rPr>
              <w:t>No ESG/climate exposure indicators found</w:t>
            </w:r>
          </w:p>
        </w:tc>
      </w:tr>
    </w:tbl>
    <w:p>
      <w:pPr>
        <w:pStyle w:val="DOHeading3"/>
      </w:pPr>
      <w:r>
        <w:t>Category Summary</w:t>
      </w:r>
    </w:p>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680"/>
            <w:shd w:fill="1A1446" w:val="clear"/>
          </w:tcPr>
          <w:p>
            <w:r>
              <w:rPr>
                <w:rFonts w:ascii="Calibri" w:hAnsi="Calibri"/>
                <w:b/>
                <w:color w:val="FFFFFF"/>
                <w:sz w:val="18"/>
              </w:rPr>
              <w:t>Category</w:t>
            </w:r>
          </w:p>
        </w:tc>
        <w:tc>
          <w:tcPr>
            <w:tcW w:type="dxa" w:w="1680"/>
            <w:shd w:fill="1A1446" w:val="clear"/>
          </w:tcPr>
          <w:p>
            <w:r>
              <w:rPr>
                <w:rFonts w:ascii="Calibri" w:hAnsi="Calibri"/>
                <w:b/>
                <w:color w:val="FFFFFF"/>
                <w:sz w:val="18"/>
              </w:rPr>
              <w:t>Weight</w:t>
            </w:r>
          </w:p>
        </w:tc>
        <w:tc>
          <w:tcPr>
            <w:tcW w:type="dxa" w:w="1680"/>
            <w:shd w:fill="1A1446" w:val="clear"/>
          </w:tcPr>
          <w:p>
            <w:r>
              <w:rPr>
                <w:rFonts w:ascii="Calibri" w:hAnsi="Calibri"/>
                <w:b/>
                <w:color w:val="FFFFFF"/>
                <w:sz w:val="18"/>
              </w:rPr>
              <w:t>Score</w:t>
            </w:r>
          </w:p>
        </w:tc>
        <w:tc>
          <w:tcPr>
            <w:tcW w:type="dxa" w:w="1680"/>
            <w:shd w:fill="1A1446" w:val="clear"/>
          </w:tcPr>
          <w:p>
            <w:r>
              <w:rPr>
                <w:rFonts w:ascii="Calibri" w:hAnsi="Calibri"/>
                <w:b/>
                <w:color w:val="FFFFFF"/>
                <w:sz w:val="18"/>
              </w:rPr>
              <w:t>Weighted</w:t>
            </w:r>
          </w:p>
        </w:tc>
        <w:tc>
          <w:tcPr>
            <w:tcW w:type="dxa" w:w="1680"/>
            <w:shd w:fill="1A1446" w:val="clear"/>
          </w:tcPr>
          <w:p>
            <w:r>
              <w:rPr>
                <w:rFonts w:ascii="Calibri" w:hAnsi="Calibri"/>
                <w:b/>
                <w:color w:val="FFFFFF"/>
                <w:sz w:val="18"/>
              </w:rPr>
              <w:t>Dims Scored</w:t>
            </w:r>
          </w:p>
        </w:tc>
        <w:tc>
          <w:tcPr>
            <w:tcW w:type="dxa" w:w="1680"/>
            <w:shd w:fill="1A1446" w:val="clear"/>
          </w:tcPr>
          <w:p>
            <w:r>
              <w:rPr>
                <w:rFonts w:ascii="Calibri" w:hAnsi="Calibri"/>
                <w:b/>
                <w:color w:val="FFFFFF"/>
                <w:sz w:val="18"/>
              </w:rPr>
              <w:t>Coverage</w:t>
            </w:r>
          </w:p>
        </w:tc>
      </w:tr>
      <w:tr>
        <w:tc>
          <w:tcPr>
            <w:tcW w:type="dxa" w:w="1680"/>
          </w:tcPr>
          <w:p>
            <w:r>
              <w:rPr>
                <w:rFonts w:ascii="Calibri" w:hAnsi="Calibri"/>
                <w:color w:val="333333"/>
                <w:sz w:val="18"/>
              </w:rPr>
              <w:t>Business &amp; Operating Model</w:t>
            </w:r>
          </w:p>
        </w:tc>
        <w:tc>
          <w:tcPr>
            <w:tcW w:type="dxa" w:w="1680"/>
          </w:tcPr>
          <w:p>
            <w:r>
              <w:rPr>
                <w:rFonts w:ascii="Calibri" w:hAnsi="Calibri"/>
                <w:color w:val="333333"/>
                <w:sz w:val="18"/>
              </w:rPr>
              <w:t>32.5%</w:t>
            </w:r>
          </w:p>
        </w:tc>
        <w:tc>
          <w:tcPr>
            <w:tcW w:type="dxa" w:w="1680"/>
          </w:tcPr>
          <w:p>
            <w:r>
              <w:rPr>
                <w:rFonts w:ascii="Calibri" w:hAnsi="Calibri"/>
                <w:color w:val="333333"/>
                <w:sz w:val="18"/>
              </w:rPr>
              <w:t>20.7</w:t>
            </w:r>
          </w:p>
        </w:tc>
        <w:tc>
          <w:tcPr>
            <w:tcW w:type="dxa" w:w="1680"/>
          </w:tcPr>
          <w:p>
            <w:r>
              <w:rPr>
                <w:rFonts w:ascii="Calibri" w:hAnsi="Calibri"/>
                <w:color w:val="333333"/>
                <w:sz w:val="18"/>
              </w:rPr>
              <w:t>6.7</w:t>
            </w:r>
          </w:p>
        </w:tc>
        <w:tc>
          <w:tcPr>
            <w:tcW w:type="dxa" w:w="1680"/>
          </w:tcPr>
          <w:p>
            <w:r>
              <w:rPr>
                <w:rFonts w:ascii="Calibri" w:hAnsi="Calibri"/>
                <w:color w:val="333333"/>
                <w:sz w:val="18"/>
              </w:rPr>
              <w:t>12/13</w:t>
            </w:r>
          </w:p>
        </w:tc>
        <w:tc>
          <w:tcPr>
            <w:tcW w:type="dxa" w:w="1680"/>
          </w:tcPr>
          <w:p>
            <w:r>
              <w:rPr>
                <w:rFonts w:ascii="Calibri" w:hAnsi="Calibri"/>
                <w:color w:val="333333"/>
                <w:sz w:val="18"/>
              </w:rPr>
              <w:t>92%</w:t>
            </w:r>
          </w:p>
        </w:tc>
      </w:tr>
      <w:tr>
        <w:tc>
          <w:tcPr>
            <w:tcW w:type="dxa" w:w="1680"/>
            <w:shd w:fill="F2F4F8" w:val="clear"/>
          </w:tcPr>
          <w:p>
            <w:r>
              <w:rPr>
                <w:rFonts w:ascii="Calibri" w:hAnsi="Calibri"/>
                <w:color w:val="333333"/>
                <w:sz w:val="18"/>
              </w:rPr>
              <w:t>People &amp; Management</w:t>
            </w:r>
          </w:p>
        </w:tc>
        <w:tc>
          <w:tcPr>
            <w:tcW w:type="dxa" w:w="1680"/>
            <w:shd w:fill="F2F4F8" w:val="clear"/>
          </w:tcPr>
          <w:p>
            <w:r>
              <w:rPr>
                <w:rFonts w:ascii="Calibri" w:hAnsi="Calibri"/>
                <w:color w:val="333333"/>
                <w:sz w:val="18"/>
              </w:rPr>
              <w:t>15.0%</w:t>
            </w:r>
          </w:p>
        </w:tc>
        <w:tc>
          <w:tcPr>
            <w:tcW w:type="dxa" w:w="1680"/>
            <w:shd w:fill="F2F4F8" w:val="clear"/>
          </w:tcPr>
          <w:p>
            <w:r>
              <w:rPr>
                <w:rFonts w:ascii="Calibri" w:hAnsi="Calibri"/>
                <w:color w:val="333333"/>
                <w:sz w:val="18"/>
              </w:rPr>
              <w:t>29.2</w:t>
            </w:r>
          </w:p>
        </w:tc>
        <w:tc>
          <w:tcPr>
            <w:tcW w:type="dxa" w:w="1680"/>
            <w:shd w:fill="F2F4F8" w:val="clear"/>
          </w:tcPr>
          <w:p>
            <w:r>
              <w:rPr>
                <w:rFonts w:ascii="Calibri" w:hAnsi="Calibri"/>
                <w:color w:val="333333"/>
                <w:sz w:val="18"/>
              </w:rPr>
              <w:t>4.4</w:t>
            </w:r>
          </w:p>
        </w:tc>
        <w:tc>
          <w:tcPr>
            <w:tcW w:type="dxa" w:w="1680"/>
            <w:shd w:fill="F2F4F8" w:val="clear"/>
          </w:tcPr>
          <w:p>
            <w:r>
              <w:rPr>
                <w:rFonts w:ascii="Calibri" w:hAnsi="Calibri"/>
                <w:color w:val="333333"/>
                <w:sz w:val="18"/>
              </w:rPr>
              <w:t>6/8</w:t>
            </w:r>
          </w:p>
        </w:tc>
        <w:tc>
          <w:tcPr>
            <w:tcW w:type="dxa" w:w="1680"/>
            <w:shd w:fill="F2F4F8" w:val="clear"/>
          </w:tcPr>
          <w:p>
            <w:r>
              <w:rPr>
                <w:rFonts w:ascii="Calibri" w:hAnsi="Calibri"/>
                <w:color w:val="333333"/>
                <w:sz w:val="18"/>
              </w:rPr>
              <w:t>75%</w:t>
            </w:r>
          </w:p>
        </w:tc>
      </w:tr>
      <w:tr>
        <w:tc>
          <w:tcPr>
            <w:tcW w:type="dxa" w:w="1680"/>
          </w:tcPr>
          <w:p>
            <w:r>
              <w:rPr>
                <w:rFonts w:ascii="Calibri" w:hAnsi="Calibri"/>
                <w:color w:val="333333"/>
                <w:sz w:val="18"/>
              </w:rPr>
              <w:t>Financial Structure</w:t>
            </w:r>
          </w:p>
        </w:tc>
        <w:tc>
          <w:tcPr>
            <w:tcW w:type="dxa" w:w="1680"/>
          </w:tcPr>
          <w:p>
            <w:r>
              <w:rPr>
                <w:rFonts w:ascii="Calibri" w:hAnsi="Calibri"/>
                <w:color w:val="333333"/>
                <w:sz w:val="18"/>
              </w:rPr>
              <w:t>15.0%</w:t>
            </w:r>
          </w:p>
        </w:tc>
        <w:tc>
          <w:tcPr>
            <w:tcW w:type="dxa" w:w="1680"/>
          </w:tcPr>
          <w:p>
            <w:r>
              <w:rPr>
                <w:rFonts w:ascii="Calibri" w:hAnsi="Calibri"/>
                <w:color w:val="333333"/>
                <w:sz w:val="18"/>
              </w:rPr>
              <w:t>31.2</w:t>
            </w:r>
          </w:p>
        </w:tc>
        <w:tc>
          <w:tcPr>
            <w:tcW w:type="dxa" w:w="1680"/>
          </w:tcPr>
          <w:p>
            <w:r>
              <w:rPr>
                <w:rFonts w:ascii="Calibri" w:hAnsi="Calibri"/>
                <w:color w:val="333333"/>
                <w:sz w:val="18"/>
              </w:rPr>
              <w:t>4.7</w:t>
            </w:r>
          </w:p>
        </w:tc>
        <w:tc>
          <w:tcPr>
            <w:tcW w:type="dxa" w:w="1680"/>
          </w:tcPr>
          <w:p>
            <w:r>
              <w:rPr>
                <w:rFonts w:ascii="Calibri" w:hAnsi="Calibri"/>
                <w:color w:val="333333"/>
                <w:sz w:val="18"/>
              </w:rPr>
              <w:t>6/8</w:t>
            </w:r>
          </w:p>
        </w:tc>
        <w:tc>
          <w:tcPr>
            <w:tcW w:type="dxa" w:w="1680"/>
          </w:tcPr>
          <w:p>
            <w:r>
              <w:rPr>
                <w:rFonts w:ascii="Calibri" w:hAnsi="Calibri"/>
                <w:color w:val="333333"/>
                <w:sz w:val="18"/>
              </w:rPr>
              <w:t>75%</w:t>
            </w:r>
          </w:p>
        </w:tc>
      </w:tr>
      <w:tr>
        <w:tc>
          <w:tcPr>
            <w:tcW w:type="dxa" w:w="1680"/>
            <w:shd w:fill="F2F4F8" w:val="clear"/>
          </w:tcPr>
          <w:p>
            <w:r>
              <w:rPr>
                <w:rFonts w:ascii="Calibri" w:hAnsi="Calibri"/>
                <w:color w:val="333333"/>
                <w:sz w:val="18"/>
              </w:rPr>
              <w:t>Governance Structure</w:t>
            </w:r>
          </w:p>
        </w:tc>
        <w:tc>
          <w:tcPr>
            <w:tcW w:type="dxa" w:w="1680"/>
            <w:shd w:fill="F2F4F8" w:val="clear"/>
          </w:tcPr>
          <w:p>
            <w:r>
              <w:rPr>
                <w:rFonts w:ascii="Calibri" w:hAnsi="Calibri"/>
                <w:color w:val="333333"/>
                <w:sz w:val="18"/>
              </w:rPr>
              <w:t>7.5%</w:t>
            </w:r>
          </w:p>
        </w:tc>
        <w:tc>
          <w:tcPr>
            <w:tcW w:type="dxa" w:w="1680"/>
            <w:shd w:fill="F2F4F8" w:val="clear"/>
          </w:tcPr>
          <w:p>
            <w:r>
              <w:rPr>
                <w:rFonts w:ascii="Calibri" w:hAnsi="Calibri"/>
                <w:color w:val="333333"/>
                <w:sz w:val="18"/>
              </w:rPr>
              <w:t>36.5</w:t>
            </w:r>
          </w:p>
        </w:tc>
        <w:tc>
          <w:tcPr>
            <w:tcW w:type="dxa" w:w="1680"/>
            <w:shd w:fill="F2F4F8" w:val="clear"/>
          </w:tcPr>
          <w:p>
            <w:r>
              <w:rPr>
                <w:rFonts w:ascii="Calibri" w:hAnsi="Calibri"/>
                <w:color w:val="333333"/>
                <w:sz w:val="18"/>
              </w:rPr>
              <w:t>2.7</w:t>
            </w:r>
          </w:p>
        </w:tc>
        <w:tc>
          <w:tcPr>
            <w:tcW w:type="dxa" w:w="1680"/>
            <w:shd w:fill="F2F4F8" w:val="clear"/>
          </w:tcPr>
          <w:p>
            <w:r>
              <w:rPr>
                <w:rFonts w:ascii="Calibri" w:hAnsi="Calibri"/>
                <w:color w:val="333333"/>
                <w:sz w:val="18"/>
              </w:rPr>
              <w:t>7/8</w:t>
            </w:r>
          </w:p>
        </w:tc>
        <w:tc>
          <w:tcPr>
            <w:tcW w:type="dxa" w:w="1680"/>
            <w:shd w:fill="F2F4F8" w:val="clear"/>
          </w:tcPr>
          <w:p>
            <w:r>
              <w:rPr>
                <w:rFonts w:ascii="Calibri" w:hAnsi="Calibri"/>
                <w:color w:val="333333"/>
                <w:sz w:val="18"/>
              </w:rPr>
              <w:t>88%</w:t>
            </w:r>
          </w:p>
        </w:tc>
      </w:tr>
      <w:tr>
        <w:tc>
          <w:tcPr>
            <w:tcW w:type="dxa" w:w="1680"/>
          </w:tcPr>
          <w:p>
            <w:r>
              <w:rPr>
                <w:rFonts w:ascii="Calibri" w:hAnsi="Calibri"/>
                <w:color w:val="333333"/>
                <w:sz w:val="18"/>
              </w:rPr>
              <w:t>Public Company Maturity</w:t>
            </w:r>
          </w:p>
        </w:tc>
        <w:tc>
          <w:tcPr>
            <w:tcW w:type="dxa" w:w="1680"/>
          </w:tcPr>
          <w:p>
            <w:r>
              <w:rPr>
                <w:rFonts w:ascii="Calibri" w:hAnsi="Calibri"/>
                <w:color w:val="333333"/>
                <w:sz w:val="18"/>
              </w:rPr>
              <w:t>10.0%</w:t>
            </w:r>
          </w:p>
        </w:tc>
        <w:tc>
          <w:tcPr>
            <w:tcW w:type="dxa" w:w="1680"/>
          </w:tcPr>
          <w:p>
            <w:r>
              <w:rPr>
                <w:rFonts w:ascii="Calibri" w:hAnsi="Calibri"/>
                <w:color w:val="333333"/>
                <w:sz w:val="18"/>
              </w:rPr>
              <w:t>30.0</w:t>
            </w:r>
          </w:p>
        </w:tc>
        <w:tc>
          <w:tcPr>
            <w:tcW w:type="dxa" w:w="1680"/>
          </w:tcPr>
          <w:p>
            <w:r>
              <w:rPr>
                <w:rFonts w:ascii="Calibri" w:hAnsi="Calibri"/>
                <w:color w:val="333333"/>
                <w:sz w:val="18"/>
              </w:rPr>
              <w:t>3.0</w:t>
            </w:r>
          </w:p>
        </w:tc>
        <w:tc>
          <w:tcPr>
            <w:tcW w:type="dxa" w:w="1680"/>
          </w:tcPr>
          <w:p>
            <w:r>
              <w:rPr>
                <w:rFonts w:ascii="Calibri" w:hAnsi="Calibri"/>
                <w:color w:val="333333"/>
                <w:sz w:val="18"/>
              </w:rPr>
              <w:t>2/5</w:t>
            </w:r>
          </w:p>
        </w:tc>
        <w:tc>
          <w:tcPr>
            <w:tcW w:type="dxa" w:w="1680"/>
          </w:tcPr>
          <w:p>
            <w:r>
              <w:rPr>
                <w:rFonts w:ascii="Calibri" w:hAnsi="Calibri"/>
                <w:color w:val="333333"/>
                <w:sz w:val="18"/>
              </w:rPr>
              <w:t>40%</w:t>
            </w:r>
          </w:p>
        </w:tc>
      </w:tr>
      <w:tr>
        <w:tc>
          <w:tcPr>
            <w:tcW w:type="dxa" w:w="1680"/>
            <w:shd w:fill="F2F4F8" w:val="clear"/>
          </w:tcPr>
          <w:p>
            <w:r>
              <w:rPr>
                <w:rFonts w:ascii="Calibri" w:hAnsi="Calibri"/>
                <w:color w:val="333333"/>
                <w:sz w:val="18"/>
              </w:rPr>
              <w:t>External Environment</w:t>
            </w:r>
          </w:p>
        </w:tc>
        <w:tc>
          <w:tcPr>
            <w:tcW w:type="dxa" w:w="1680"/>
            <w:shd w:fill="F2F4F8" w:val="clear"/>
          </w:tcPr>
          <w:p>
            <w:r>
              <w:rPr>
                <w:rFonts w:ascii="Calibri" w:hAnsi="Calibri"/>
                <w:color w:val="333333"/>
                <w:sz w:val="18"/>
              </w:rPr>
              <w:t>10.0%</w:t>
            </w:r>
          </w:p>
        </w:tc>
        <w:tc>
          <w:tcPr>
            <w:tcW w:type="dxa" w:w="1680"/>
            <w:shd w:fill="F2F4F8" w:val="clear"/>
          </w:tcPr>
          <w:p>
            <w:r>
              <w:rPr>
                <w:rFonts w:ascii="Calibri" w:hAnsi="Calibri"/>
                <w:color w:val="333333"/>
                <w:sz w:val="18"/>
              </w:rPr>
              <w:t>39.3</w:t>
            </w:r>
          </w:p>
        </w:tc>
        <w:tc>
          <w:tcPr>
            <w:tcW w:type="dxa" w:w="1680"/>
            <w:shd w:fill="F2F4F8" w:val="clear"/>
          </w:tcPr>
          <w:p>
            <w:r>
              <w:rPr>
                <w:rFonts w:ascii="Calibri" w:hAnsi="Calibri"/>
                <w:color w:val="333333"/>
                <w:sz w:val="18"/>
              </w:rPr>
              <w:t>3.9</w:t>
            </w:r>
          </w:p>
        </w:tc>
        <w:tc>
          <w:tcPr>
            <w:tcW w:type="dxa" w:w="1680"/>
            <w:shd w:fill="F2F4F8" w:val="clear"/>
          </w:tcPr>
          <w:p>
            <w:r>
              <w:rPr>
                <w:rFonts w:ascii="Calibri" w:hAnsi="Calibri"/>
                <w:color w:val="333333"/>
                <w:sz w:val="18"/>
              </w:rPr>
              <w:t>7/7</w:t>
            </w:r>
          </w:p>
        </w:tc>
        <w:tc>
          <w:tcPr>
            <w:tcW w:type="dxa" w:w="1680"/>
            <w:shd w:fill="F2F4F8" w:val="clear"/>
          </w:tcPr>
          <w:p>
            <w:r>
              <w:rPr>
                <w:rFonts w:ascii="Calibri" w:hAnsi="Calibri"/>
                <w:color w:val="333333"/>
                <w:sz w:val="18"/>
              </w:rPr>
              <w:t>100%</w:t>
            </w:r>
          </w:p>
        </w:tc>
      </w:tr>
      <w:tr>
        <w:tc>
          <w:tcPr>
            <w:tcW w:type="dxa" w:w="1680"/>
          </w:tcPr>
          <w:p>
            <w:r>
              <w:rPr>
                <w:rFonts w:ascii="Calibri" w:hAnsi="Calibri"/>
                <w:color w:val="333333"/>
                <w:sz w:val="18"/>
              </w:rPr>
              <w:t>Emerging / Modern Hazards</w:t>
            </w:r>
          </w:p>
        </w:tc>
        <w:tc>
          <w:tcPr>
            <w:tcW w:type="dxa" w:w="1680"/>
          </w:tcPr>
          <w:p>
            <w:r>
              <w:rPr>
                <w:rFonts w:ascii="Calibri" w:hAnsi="Calibri"/>
                <w:color w:val="333333"/>
                <w:sz w:val="18"/>
              </w:rPr>
              <w:t>10.0%</w:t>
            </w:r>
          </w:p>
        </w:tc>
        <w:tc>
          <w:tcPr>
            <w:tcW w:type="dxa" w:w="1680"/>
          </w:tcPr>
          <w:p>
            <w:r>
              <w:rPr>
                <w:rFonts w:ascii="Calibri" w:hAnsi="Calibri"/>
                <w:color w:val="333333"/>
                <w:sz w:val="18"/>
              </w:rPr>
              <w:t>31.9</w:t>
            </w:r>
          </w:p>
        </w:tc>
        <w:tc>
          <w:tcPr>
            <w:tcW w:type="dxa" w:w="1680"/>
          </w:tcPr>
          <w:p>
            <w:r>
              <w:rPr>
                <w:rFonts w:ascii="Calibri" w:hAnsi="Calibri"/>
                <w:color w:val="333333"/>
                <w:sz w:val="18"/>
              </w:rPr>
              <w:t>3.2</w:t>
            </w:r>
          </w:p>
        </w:tc>
        <w:tc>
          <w:tcPr>
            <w:tcW w:type="dxa" w:w="1680"/>
          </w:tcPr>
          <w:p>
            <w:r>
              <w:rPr>
                <w:rFonts w:ascii="Calibri" w:hAnsi="Calibri"/>
                <w:color w:val="333333"/>
                <w:sz w:val="18"/>
              </w:rPr>
              <w:t>4/6</w:t>
            </w:r>
          </w:p>
        </w:tc>
        <w:tc>
          <w:tcPr>
            <w:tcW w:type="dxa" w:w="1680"/>
          </w:tcPr>
          <w:p>
            <w:r>
              <w:rPr>
                <w:rFonts w:ascii="Calibri" w:hAnsi="Calibri"/>
                <w:color w:val="333333"/>
                <w:sz w:val="18"/>
              </w:rPr>
              <w:t>67%</w:t>
            </w:r>
          </w:p>
        </w:tc>
      </w:tr>
    </w:tbl>
    <w:p>
      <w:pPr>
        <w:pStyle w:val="DOHeading2"/>
      </w:pPr>
      <w:r>
        <w:t>Risk Factors (D&amp;O-Relevant)</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1A1446" w:val="clear"/>
          </w:tcPr>
          <w:p>
            <w:r>
              <w:rPr>
                <w:rFonts w:ascii="Calibri" w:hAnsi="Calibri"/>
                <w:b/>
                <w:color w:val="FFFFFF"/>
                <w:sz w:val="18"/>
              </w:rPr>
              <w:t>Risk Factor</w:t>
            </w:r>
          </w:p>
        </w:tc>
        <w:tc>
          <w:tcPr>
            <w:tcW w:type="dxa" w:w="2016"/>
            <w:shd w:fill="1A1446" w:val="clear"/>
          </w:tcPr>
          <w:p>
            <w:r>
              <w:rPr>
                <w:rFonts w:ascii="Calibri" w:hAnsi="Calibri"/>
                <w:b/>
                <w:color w:val="FFFFFF"/>
                <w:sz w:val="18"/>
              </w:rPr>
              <w:t>Category</w:t>
            </w:r>
          </w:p>
        </w:tc>
        <w:tc>
          <w:tcPr>
            <w:tcW w:type="dxa" w:w="2016"/>
            <w:shd w:fill="1A1446" w:val="clear"/>
          </w:tcPr>
          <w:p>
            <w:r>
              <w:rPr>
                <w:rFonts w:ascii="Calibri" w:hAnsi="Calibri"/>
                <w:b/>
                <w:color w:val="FFFFFF"/>
                <w:sz w:val="18"/>
              </w:rPr>
              <w:t>Severity</w:t>
            </w:r>
          </w:p>
        </w:tc>
        <w:tc>
          <w:tcPr>
            <w:tcW w:type="dxa" w:w="2016"/>
            <w:shd w:fill="1A1446" w:val="clear"/>
          </w:tcPr>
          <w:p>
            <w:r>
              <w:rPr>
                <w:rFonts w:ascii="Calibri" w:hAnsi="Calibri"/>
                <w:b/>
                <w:color w:val="FFFFFF"/>
                <w:sz w:val="18"/>
              </w:rPr>
              <w:t>D&amp;O Relevance</w:t>
            </w:r>
          </w:p>
        </w:tc>
        <w:tc>
          <w:tcPr>
            <w:tcW w:type="dxa" w:w="2016"/>
            <w:shd w:fill="1A1446" w:val="clear"/>
          </w:tcPr>
          <w:p>
            <w:r>
              <w:rPr>
                <w:rFonts w:ascii="Calibri" w:hAnsi="Calibri"/>
                <w:b/>
                <w:color w:val="FFFFFF"/>
                <w:sz w:val="18"/>
              </w:rPr>
              <w:t>Source Passage</w:t>
            </w:r>
          </w:p>
        </w:tc>
      </w:tr>
      <w:tr>
        <w:tc>
          <w:tcPr>
            <w:tcW w:type="dxa" w:w="2016"/>
          </w:tcPr>
          <w:p>
            <w:r>
              <w:rPr>
                <w:rFonts w:ascii="Calibri" w:hAnsi="Calibri"/>
                <w:color w:val="333333"/>
                <w:sz w:val="18"/>
              </w:rPr>
              <w:t>Cybersecurity and IT/OT incidents</w:t>
            </w:r>
          </w:p>
        </w:tc>
        <w:tc>
          <w:tcPr>
            <w:tcW w:type="dxa" w:w="2016"/>
          </w:tcPr>
          <w:p>
            <w:r>
              <w:rPr>
                <w:rFonts w:ascii="Calibri" w:hAnsi="Calibri"/>
                <w:color w:val="333333"/>
                <w:sz w:val="18"/>
              </w:rPr>
              <w:t>CYBER</w:t>
            </w:r>
          </w:p>
        </w:tc>
        <w:tc>
          <w:tcPr>
            <w:tcW w:type="dxa" w:w="2016"/>
          </w:tcPr>
          <w:p>
            <w:r>
              <w:rPr>
                <w:rFonts w:ascii="Calibri" w:hAnsi="Calibri"/>
                <w:color w:val="333333"/>
                <w:sz w:val="18"/>
              </w:rPr>
              <w:t>HIGH</w:t>
            </w:r>
          </w:p>
        </w:tc>
        <w:tc>
          <w:tcPr>
            <w:tcW w:type="dxa" w:w="2016"/>
          </w:tcPr>
          <w:p>
            <w:r>
              <w:rPr>
                <w:rFonts w:ascii="Calibri" w:hAnsi="Calibri"/>
                <w:color w:val="333333"/>
                <w:sz w:val="18"/>
              </w:rPr>
              <w:t>MEDIUM</w:t>
            </w:r>
          </w:p>
        </w:tc>
        <w:tc>
          <w:tcPr>
            <w:tcW w:type="dxa" w:w="2016"/>
          </w:tcPr>
          <w:p>
            <w:r>
              <w:rPr>
                <w:rFonts w:ascii="Calibri" w:hAnsi="Calibri"/>
                <w:color w:val="333333"/>
                <w:sz w:val="18"/>
              </w:rPr>
              <w:t>A significant information security or operational technology incident, including a cybersecurity incident, or the failure of one or more key information or operations technology systems, networks, hardware, processes and/or associated sites involving the Company or one of its service providers could have a material adverse impact on our business or reputation.</w:t>
            </w:r>
          </w:p>
        </w:tc>
      </w:tr>
      <w:tr>
        <w:tc>
          <w:tcPr>
            <w:tcW w:type="dxa" w:w="2016"/>
            <w:shd w:fill="F2F4F8" w:val="clear"/>
          </w:tcPr>
          <w:p>
            <w:r>
              <w:rPr>
                <w:rFonts w:ascii="Calibri" w:hAnsi="Calibri"/>
                <w:color w:val="333333"/>
                <w:sz w:val="18"/>
              </w:rPr>
              <w:t>Supply chain disruptions</w:t>
            </w:r>
          </w:p>
        </w:tc>
        <w:tc>
          <w:tcPr>
            <w:tcW w:type="dxa" w:w="2016"/>
            <w:shd w:fill="F2F4F8" w:val="clear"/>
          </w:tcPr>
          <w:p>
            <w:r>
              <w:rPr>
                <w:rFonts w:ascii="Calibri" w:hAnsi="Calibri"/>
                <w:color w:val="333333"/>
                <w:sz w:val="18"/>
              </w:rPr>
              <w:t>OPERATIONAL</w:t>
            </w:r>
          </w:p>
        </w:tc>
        <w:tc>
          <w:tcPr>
            <w:tcW w:type="dxa" w:w="2016"/>
            <w:shd w:fill="F2F4F8" w:val="clear"/>
          </w:tcPr>
          <w:p>
            <w:r>
              <w:rPr>
                <w:rFonts w:ascii="Calibri" w:hAnsi="Calibri"/>
                <w:color w:val="333333"/>
                <w:sz w:val="18"/>
              </w:rPr>
              <w:t>HIGH</w:t>
            </w:r>
          </w:p>
        </w:tc>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Our ability to meet our customers' needs and achieve cost targets depends on our ability to maintain key manufacturing and supply arrangements... The loss or disruption of such manufacturing and supply arrangements... could have an adverse impact on our business.</w:t>
            </w:r>
          </w:p>
        </w:tc>
      </w:tr>
      <w:tr>
        <w:tc>
          <w:tcPr>
            <w:tcW w:type="dxa" w:w="2016"/>
          </w:tcPr>
          <w:p>
            <w:r>
              <w:rPr>
                <w:rFonts w:ascii="Calibri" w:hAnsi="Calibri"/>
                <w:color w:val="333333"/>
                <w:sz w:val="18"/>
              </w:rPr>
              <w:t>Reputation and brand erosion</w:t>
            </w:r>
          </w:p>
        </w:tc>
        <w:tc>
          <w:tcPr>
            <w:tcW w:type="dxa" w:w="2016"/>
          </w:tcPr>
          <w:p>
            <w:r>
              <w:rPr>
                <w:rFonts w:ascii="Calibri" w:hAnsi="Calibri"/>
                <w:color w:val="333333"/>
                <w:sz w:val="18"/>
              </w:rPr>
              <w:t>OPERATIONAL</w:t>
            </w:r>
          </w:p>
        </w:tc>
        <w:tc>
          <w:tcPr>
            <w:tcW w:type="dxa" w:w="2016"/>
          </w:tcPr>
          <w:p>
            <w:r>
              <w:rPr>
                <w:rFonts w:ascii="Calibri" w:hAnsi="Calibri"/>
                <w:color w:val="333333"/>
                <w:sz w:val="18"/>
              </w:rPr>
              <w:t>HIGH</w:t>
            </w:r>
          </w:p>
        </w:tc>
        <w:tc>
          <w:tcPr>
            <w:tcW w:type="dxa" w:w="2016"/>
          </w:tcPr>
          <w:p>
            <w:r>
              <w:rPr>
                <w:rFonts w:ascii="Calibri" w:hAnsi="Calibri"/>
                <w:color w:val="333333"/>
                <w:sz w:val="18"/>
              </w:rPr>
              <w:t>LOW</w:t>
            </w:r>
          </w:p>
        </w:tc>
        <w:tc>
          <w:tcPr>
            <w:tcW w:type="dxa" w:w="2016"/>
          </w:tcPr>
          <w:p>
            <w:r>
              <w:rPr>
                <w:rFonts w:ascii="Calibri" w:hAnsi="Calibri"/>
                <w:color w:val="333333"/>
                <w:sz w:val="18"/>
              </w:rPr>
              <w:t>The Company's reputation, and the reputation of our brands, form the foundation of our relationships with key stakeholders... Our results of operations or cash flows could also be negatively impacted if the Company or one of our brands suffers substantial harm to its reputation.</w:t>
            </w:r>
          </w:p>
        </w:tc>
      </w:tr>
      <w:tr>
        <w:tc>
          <w:tcPr>
            <w:tcW w:type="dxa" w:w="2016"/>
            <w:shd w:fill="F2F4F8" w:val="clear"/>
          </w:tcPr>
          <w:p>
            <w:r>
              <w:rPr>
                <w:rFonts w:ascii="Calibri" w:hAnsi="Calibri"/>
                <w:color w:val="333333"/>
                <w:sz w:val="18"/>
              </w:rPr>
              <w:t>Changing political and geopolitical conditions</w:t>
            </w:r>
          </w:p>
        </w:tc>
        <w:tc>
          <w:tcPr>
            <w:tcW w:type="dxa" w:w="2016"/>
            <w:shd w:fill="F2F4F8" w:val="clear"/>
          </w:tcPr>
          <w:p>
            <w:r>
              <w:rPr>
                <w:rFonts w:ascii="Calibri" w:hAnsi="Calibri"/>
                <w:color w:val="333333"/>
                <w:sz w:val="18"/>
              </w:rPr>
              <w:t>REGULATORY</w:t>
            </w:r>
          </w:p>
        </w:tc>
        <w:tc>
          <w:tcPr>
            <w:tcW w:type="dxa" w:w="2016"/>
            <w:shd w:fill="F2F4F8" w:val="clear"/>
          </w:tcPr>
          <w:p>
            <w:r>
              <w:rPr>
                <w:rFonts w:ascii="Calibri" w:hAnsi="Calibri"/>
                <w:color w:val="333333"/>
                <w:sz w:val="18"/>
              </w:rPr>
              <w:t>HIGH</w:t>
            </w:r>
          </w:p>
        </w:tc>
        <w:tc>
          <w:tcPr>
            <w:tcW w:type="dxa" w:w="2016"/>
            <w:shd w:fill="F2F4F8" w:val="clear"/>
          </w:tcPr>
          <w:p>
            <w:r>
              <w:rPr>
                <w:rFonts w:ascii="Calibri" w:hAnsi="Calibri"/>
                <w:color w:val="333333"/>
                <w:sz w:val="18"/>
              </w:rPr>
              <w:t>HIGH</w:t>
            </w:r>
          </w:p>
        </w:tc>
        <w:tc>
          <w:tcPr>
            <w:tcW w:type="dxa" w:w="2016"/>
            <w:shd w:fill="F2F4F8" w:val="clear"/>
          </w:tcPr>
          <w:p>
            <w:r>
              <w:rPr>
                <w:rFonts w:ascii="Calibri" w:hAnsi="Calibri"/>
                <w:color w:val="333333"/>
                <w:sz w:val="18"/>
              </w:rPr>
              <w:t>Changes in the political conditions in markets in which we manufacture, sell or distribute our products, as well as changing geopolitical conditions, may be difficult to predict and may adversely affect our business and financial results.</w:t>
            </w:r>
          </w:p>
        </w:tc>
      </w:tr>
      <w:tr>
        <w:tc>
          <w:tcPr>
            <w:tcW w:type="dxa" w:w="2016"/>
          </w:tcPr>
          <w:p>
            <w:r>
              <w:rPr>
                <w:rFonts w:ascii="Calibri" w:hAnsi="Calibri"/>
                <w:color w:val="333333"/>
                <w:sz w:val="18"/>
              </w:rPr>
              <w:t>Compliance with expanding laws and regulations</w:t>
            </w:r>
          </w:p>
        </w:tc>
        <w:tc>
          <w:tcPr>
            <w:tcW w:type="dxa" w:w="2016"/>
          </w:tcPr>
          <w:p>
            <w:r>
              <w:rPr>
                <w:rFonts w:ascii="Calibri" w:hAnsi="Calibri"/>
                <w:color w:val="333333"/>
                <w:sz w:val="18"/>
              </w:rPr>
              <w:t>REGULATORY</w:t>
            </w:r>
          </w:p>
        </w:tc>
        <w:tc>
          <w:tcPr>
            <w:tcW w:type="dxa" w:w="2016"/>
          </w:tcPr>
          <w:p>
            <w:r>
              <w:rPr>
                <w:rFonts w:ascii="Calibri" w:hAnsi="Calibri"/>
                <w:color w:val="333333"/>
                <w:sz w:val="18"/>
              </w:rPr>
              <w:t>HIGH</w:t>
            </w:r>
          </w:p>
        </w:tc>
        <w:tc>
          <w:tcPr>
            <w:tcW w:type="dxa" w:w="2016"/>
          </w:tcPr>
          <w:p>
            <w:r>
              <w:rPr>
                <w:rFonts w:ascii="Calibri" w:hAnsi="Calibri"/>
                <w:color w:val="333333"/>
                <w:sz w:val="18"/>
              </w:rPr>
              <w:t>HIGH</w:t>
            </w:r>
          </w:p>
        </w:tc>
        <w:tc>
          <w:tcPr>
            <w:tcW w:type="dxa" w:w="2016"/>
          </w:tcPr>
          <w:p>
            <w:r>
              <w:rPr>
                <w:rFonts w:ascii="Calibri" w:hAnsi="Calibri"/>
                <w:color w:val="333333"/>
                <w:sz w:val="18"/>
              </w:rPr>
              <w:t>Our business is subject to a wide variety of laws, regulations, policies and related interpretations across the countries in which we do business... These and other rapidly changing laws, regulations, policies and related interpretations as well as increased enforcement actions... create challenges for the Company.</w:t>
            </w:r>
          </w:p>
        </w:tc>
      </w:tr>
      <w:tr>
        <w:tc>
          <w:tcPr>
            <w:tcW w:type="dxa" w:w="2016"/>
            <w:shd w:fill="F2F4F8" w:val="clear"/>
          </w:tcPr>
          <w:p>
            <w:r>
              <w:rPr>
                <w:rFonts w:ascii="Calibri" w:hAnsi="Calibri"/>
                <w:color w:val="333333"/>
                <w:sz w:val="18"/>
              </w:rPr>
              <w:t>Foreign currency fluctuations and exchange controls</w:t>
            </w:r>
          </w:p>
        </w:tc>
        <w:tc>
          <w:tcPr>
            <w:tcW w:type="dxa" w:w="2016"/>
            <w:shd w:fill="F2F4F8" w:val="clear"/>
          </w:tcPr>
          <w:p>
            <w:r>
              <w:rPr>
                <w:rFonts w:ascii="Calibri" w:hAnsi="Calibri"/>
                <w:color w:val="333333"/>
                <w:sz w:val="18"/>
              </w:rPr>
              <w:t>FINANCIAL</w:t>
            </w:r>
          </w:p>
        </w:tc>
        <w:tc>
          <w:tcPr>
            <w:tcW w:type="dxa" w:w="2016"/>
            <w:shd w:fill="F2F4F8" w:val="clear"/>
          </w:tcPr>
          <w:p>
            <w:r>
              <w:rPr>
                <w:rFonts w:ascii="Calibri" w:hAnsi="Calibri"/>
                <w:color w:val="333333"/>
                <w:sz w:val="18"/>
              </w:rPr>
              <w:t>MEDIUM</w:t>
            </w:r>
          </w:p>
        </w:tc>
        <w:tc>
          <w:tcPr>
            <w:tcW w:type="dxa" w:w="2016"/>
            <w:shd w:fill="F2F4F8" w:val="clear"/>
          </w:tcPr>
          <w:p>
            <w:r>
              <w:rPr>
                <w:rFonts w:ascii="Calibri" w:hAnsi="Calibri"/>
                <w:color w:val="333333"/>
                <w:sz w:val="18"/>
              </w:rPr>
              <w:t>MEDIUM</w:t>
            </w:r>
          </w:p>
        </w:tc>
        <w:tc>
          <w:tcPr>
            <w:tcW w:type="dxa" w:w="2016"/>
            <w:shd w:fill="F2F4F8" w:val="clear"/>
          </w:tcPr>
          <w:p>
            <w:r>
              <w:rPr>
                <w:rFonts w:ascii="Calibri" w:hAnsi="Calibri"/>
                <w:color w:val="333333"/>
                <w:sz w:val="18"/>
              </w:rPr>
              <w:t>We are a global company, with operations in about 70 countries and products sold in about 180 countries and territories around the world. Fluctuations in exchange rates for foreign currencies have and could continue to reduce the U.S. dollar value of sales, earnings and cash flows we receive from non-U.S. markets.</w:t>
            </w:r>
          </w:p>
        </w:tc>
      </w:tr>
      <w:tr>
        <w:tc>
          <w:tcPr>
            <w:tcW w:type="dxa" w:w="2016"/>
          </w:tcPr>
          <w:p>
            <w:r>
              <w:rPr>
                <w:rFonts w:ascii="Calibri" w:hAnsi="Calibri"/>
                <w:color w:val="333333"/>
                <w:sz w:val="18"/>
              </w:rPr>
              <w:t>Economic or social disruptions reducing demand</w:t>
            </w:r>
          </w:p>
        </w:tc>
        <w:tc>
          <w:tcPr>
            <w:tcW w:type="dxa" w:w="2016"/>
          </w:tcPr>
          <w:p>
            <w:r>
              <w:rPr>
                <w:rFonts w:ascii="Calibri" w:hAnsi="Calibri"/>
                <w:color w:val="333333"/>
                <w:sz w:val="18"/>
              </w:rPr>
              <w:t>FINANCIAL</w:t>
            </w:r>
          </w:p>
        </w:tc>
        <w:tc>
          <w:tcPr>
            <w:tcW w:type="dxa" w:w="2016"/>
          </w:tcPr>
          <w:p>
            <w:r>
              <w:rPr>
                <w:rFonts w:ascii="Calibri" w:hAnsi="Calibri"/>
                <w:color w:val="333333"/>
                <w:sz w:val="18"/>
              </w:rPr>
              <w:t>MEDIUM</w:t>
            </w:r>
          </w:p>
        </w:tc>
        <w:tc>
          <w:tcPr>
            <w:tcW w:type="dxa" w:w="2016"/>
          </w:tcPr>
          <w:p>
            <w:r>
              <w:rPr>
                <w:rFonts w:ascii="Calibri" w:hAnsi="Calibri"/>
                <w:color w:val="333333"/>
                <w:sz w:val="18"/>
              </w:rPr>
              <w:t>MEDIUM</w:t>
            </w:r>
          </w:p>
        </w:tc>
        <w:tc>
          <w:tcPr>
            <w:tcW w:type="dxa" w:w="2016"/>
          </w:tcPr>
          <w:p>
            <w:r>
              <w:rPr>
                <w:rFonts w:ascii="Calibri" w:hAnsi="Calibri"/>
                <w:color w:val="333333"/>
                <w:sz w:val="18"/>
              </w:rPr>
              <w:t>Our business could be negatively impacted by reduced demand for our products related to one or more significant local, regional or global economic or social disruptions.</w:t>
            </w:r>
          </w:p>
        </w:tc>
      </w:tr>
      <w:tr>
        <w:tc>
          <w:tcPr>
            <w:tcW w:type="dxa" w:w="2016"/>
            <w:shd w:fill="F2F4F8" w:val="clear"/>
          </w:tcPr>
          <w:p>
            <w:r>
              <w:rPr>
                <w:rFonts w:ascii="Calibri" w:hAnsi="Calibri"/>
                <w:color w:val="333333"/>
                <w:sz w:val="18"/>
              </w:rPr>
              <w:t>Disruptions in credit markets or banking partners</w:t>
            </w:r>
          </w:p>
        </w:tc>
        <w:tc>
          <w:tcPr>
            <w:tcW w:type="dxa" w:w="2016"/>
            <w:shd w:fill="F2F4F8" w:val="clear"/>
          </w:tcPr>
          <w:p>
            <w:r>
              <w:rPr>
                <w:rFonts w:ascii="Calibri" w:hAnsi="Calibri"/>
                <w:color w:val="333333"/>
                <w:sz w:val="18"/>
              </w:rPr>
              <w:t>FINANCIAL</w:t>
            </w:r>
          </w:p>
        </w:tc>
        <w:tc>
          <w:tcPr>
            <w:tcW w:type="dxa" w:w="2016"/>
            <w:shd w:fill="F2F4F8" w:val="clear"/>
          </w:tcPr>
          <w:p>
            <w:r>
              <w:rPr>
                <w:rFonts w:ascii="Calibri" w:hAnsi="Calibri"/>
                <w:color w:val="333333"/>
                <w:sz w:val="18"/>
              </w:rPr>
              <w:t>MEDIUM</w:t>
            </w:r>
          </w:p>
        </w:tc>
        <w:tc>
          <w:tcPr>
            <w:tcW w:type="dxa" w:w="2016"/>
            <w:shd w:fill="F2F4F8" w:val="clear"/>
          </w:tcPr>
          <w:p>
            <w:r>
              <w:rPr>
                <w:rFonts w:ascii="Calibri" w:hAnsi="Calibri"/>
                <w:color w:val="333333"/>
                <w:sz w:val="18"/>
              </w:rPr>
              <w:t>MEDIUM</w:t>
            </w:r>
          </w:p>
        </w:tc>
        <w:tc>
          <w:tcPr>
            <w:tcW w:type="dxa" w:w="2016"/>
            <w:shd w:fill="F2F4F8" w:val="clear"/>
          </w:tcPr>
          <w:p>
            <w:r>
              <w:rPr>
                <w:rFonts w:ascii="Calibri" w:hAnsi="Calibri"/>
                <w:color w:val="333333"/>
                <w:sz w:val="18"/>
              </w:rPr>
              <w:t>A disruption in the credit markets or a downgrade of our current credit rating could increase our future borrowing costs and impair our ability to access capital and credit markets on terms commercially acceptable to us.</w:t>
            </w:r>
          </w:p>
        </w:tc>
      </w:tr>
      <w:tr>
        <w:tc>
          <w:tcPr>
            <w:tcW w:type="dxa" w:w="2016"/>
          </w:tcPr>
          <w:p>
            <w:r>
              <w:rPr>
                <w:rFonts w:ascii="Calibri" w:hAnsi="Calibri"/>
                <w:color w:val="333333"/>
                <w:sz w:val="18"/>
              </w:rPr>
              <w:t>Cost fluctuations and pressures</w:t>
            </w:r>
          </w:p>
        </w:tc>
        <w:tc>
          <w:tcPr>
            <w:tcW w:type="dxa" w:w="2016"/>
          </w:tcPr>
          <w:p>
            <w:r>
              <w:rPr>
                <w:rFonts w:ascii="Calibri" w:hAnsi="Calibri"/>
                <w:color w:val="333333"/>
                <w:sz w:val="18"/>
              </w:rPr>
              <w:t>FINANCIAL</w:t>
            </w:r>
          </w:p>
        </w:tc>
        <w:tc>
          <w:tcPr>
            <w:tcW w:type="dxa" w:w="2016"/>
          </w:tcPr>
          <w:p>
            <w:r>
              <w:rPr>
                <w:rFonts w:ascii="Calibri" w:hAnsi="Calibri"/>
                <w:color w:val="333333"/>
                <w:sz w:val="18"/>
              </w:rPr>
              <w:t>MEDIUM</w:t>
            </w:r>
          </w:p>
        </w:tc>
        <w:tc>
          <w:tcPr>
            <w:tcW w:type="dxa" w:w="2016"/>
          </w:tcPr>
          <w:p>
            <w:r>
              <w:rPr>
                <w:rFonts w:ascii="Calibri" w:hAnsi="Calibri"/>
                <w:color w:val="333333"/>
                <w:sz w:val="18"/>
              </w:rPr>
              <w:t>MEDIUM</w:t>
            </w:r>
          </w:p>
        </w:tc>
        <w:tc>
          <w:tcPr>
            <w:tcW w:type="dxa" w:w="2016"/>
          </w:tcPr>
          <w:p>
            <w:r>
              <w:rPr>
                <w:rFonts w:ascii="Calibri" w:hAnsi="Calibri"/>
                <w:color w:val="333333"/>
                <w:sz w:val="18"/>
              </w:rPr>
              <w:t>Our costs are subject to fluctuations, particularly due to changes in the prices of commodities, raw and packaging materials and the costs of labor, tariffs, transportation, energy, pensions and healthcare.</w:t>
            </w:r>
          </w:p>
        </w:tc>
      </w:tr>
      <w:tr>
        <w:tc>
          <w:tcPr>
            <w:tcW w:type="dxa" w:w="2016"/>
            <w:shd w:fill="F2F4F8" w:val="clear"/>
          </w:tcPr>
          <w:p>
            <w:r>
              <w:rPr>
                <w:rFonts w:ascii="Calibri" w:hAnsi="Calibri"/>
                <w:color w:val="333333"/>
                <w:sz w:val="18"/>
              </w:rPr>
              <w:t>Acquisition, joint venture and divestiture risks</w:t>
            </w:r>
          </w:p>
        </w:tc>
        <w:tc>
          <w:tcPr>
            <w:tcW w:type="dxa" w:w="2016"/>
            <w:shd w:fill="F2F4F8" w:val="clear"/>
          </w:tcPr>
          <w:p>
            <w:r>
              <w:rPr>
                <w:rFonts w:ascii="Calibri" w:hAnsi="Calibri"/>
                <w:color w:val="333333"/>
                <w:sz w:val="18"/>
              </w:rPr>
              <w:t>FINANCIAL</w:t>
            </w:r>
          </w:p>
        </w:tc>
        <w:tc>
          <w:tcPr>
            <w:tcW w:type="dxa" w:w="2016"/>
            <w:shd w:fill="F2F4F8" w:val="clear"/>
          </w:tcPr>
          <w:p>
            <w:r>
              <w:rPr>
                <w:rFonts w:ascii="Calibri" w:hAnsi="Calibri"/>
                <w:color w:val="333333"/>
                <w:sz w:val="18"/>
              </w:rPr>
              <w:t>MEDIUM</w:t>
            </w:r>
          </w:p>
        </w:tc>
        <w:tc>
          <w:tcPr>
            <w:tcW w:type="dxa" w:w="2016"/>
            <w:shd w:fill="F2F4F8" w:val="clear"/>
          </w:tcPr>
          <w:p>
            <w:r>
              <w:rPr>
                <w:rFonts w:ascii="Calibri" w:hAnsi="Calibri"/>
                <w:color w:val="333333"/>
                <w:sz w:val="18"/>
              </w:rPr>
              <w:t>MEDIUM</w:t>
            </w:r>
          </w:p>
        </w:tc>
        <w:tc>
          <w:tcPr>
            <w:tcW w:type="dxa" w:w="2016"/>
            <w:shd w:fill="F2F4F8" w:val="clear"/>
          </w:tcPr>
          <w:p>
            <w:r>
              <w:rPr>
                <w:rFonts w:ascii="Calibri" w:hAnsi="Calibri"/>
                <w:color w:val="333333"/>
                <w:sz w:val="18"/>
              </w:rPr>
              <w:t>Our financial results have been, and in the future could be, adversely impacted by the dilutive impacts from the loss of earnings associated with divested brands or dissolution of joint ventures.</w:t>
            </w:r>
          </w:p>
        </w:tc>
      </w:tr>
      <w:tr>
        <w:tc>
          <w:tcPr>
            <w:tcW w:type="dxa" w:w="2016"/>
          </w:tcPr>
          <w:p>
            <w:r>
              <w:rPr>
                <w:rFonts w:ascii="Calibri" w:hAnsi="Calibri"/>
                <w:color w:val="333333"/>
                <w:sz w:val="18"/>
              </w:rPr>
              <w:t>Tax law changes and disputes</w:t>
            </w:r>
          </w:p>
        </w:tc>
        <w:tc>
          <w:tcPr>
            <w:tcW w:type="dxa" w:w="2016"/>
          </w:tcPr>
          <w:p>
            <w:r>
              <w:rPr>
                <w:rFonts w:ascii="Calibri" w:hAnsi="Calibri"/>
                <w:color w:val="333333"/>
                <w:sz w:val="18"/>
              </w:rPr>
              <w:t>REGULATORY</w:t>
            </w:r>
          </w:p>
        </w:tc>
        <w:tc>
          <w:tcPr>
            <w:tcW w:type="dxa" w:w="2016"/>
          </w:tcPr>
          <w:p>
            <w:r>
              <w:rPr>
                <w:rFonts w:ascii="Calibri" w:hAnsi="Calibri"/>
                <w:color w:val="333333"/>
                <w:sz w:val="18"/>
              </w:rPr>
              <w:t>MEDIUM</w:t>
            </w:r>
          </w:p>
        </w:tc>
        <w:tc>
          <w:tcPr>
            <w:tcW w:type="dxa" w:w="2016"/>
          </w:tcPr>
          <w:p>
            <w:r>
              <w:rPr>
                <w:rFonts w:ascii="Calibri" w:hAnsi="Calibri"/>
                <w:color w:val="333333"/>
                <w:sz w:val="18"/>
              </w:rPr>
              <w:t>HIGH</w:t>
            </w:r>
          </w:p>
        </w:tc>
        <w:tc>
          <w:tcPr>
            <w:tcW w:type="dxa" w:w="2016"/>
          </w:tcPr>
          <w:p>
            <w:r>
              <w:rPr>
                <w:rFonts w:ascii="Calibri" w:hAnsi="Calibri"/>
                <w:color w:val="333333"/>
                <w:sz w:val="18"/>
              </w:rPr>
              <w:t>The Company is subject to taxation in the U.S. and numerous foreign jurisdictions. Changes in the various tax laws can and do occur... The final outcome of tax audits and related litigation... may differ materially from the tax amounts recorded in our Consolidated Financial Statements.</w:t>
            </w:r>
          </w:p>
        </w:tc>
      </w:tr>
    </w:tbl>
    <w:p>
      <w:pPr>
        <w:pStyle w:val="DOCaption"/>
      </w:pPr>
      <w:r>
        <w:t>11 D&amp;O-relevant risk factors (0 new this year, 5 high severity).</w:t>
      </w:r>
    </w:p>
    <w:p>
      <w:pPr>
        <w:spacing w:before="120" w:after="40"/>
        <w:pBdr>
          <w:bottom w:val="single" w:sz="6" w:space="1" w:color="FFD000"/>
        </w:pBdr>
      </w:pPr>
    </w:p>
    <w:p>
      <w:pPr>
        <w:pStyle w:val="DOBody"/>
        <w:spacing w:before="40" w:after="80"/>
      </w:pPr>
      <w:r>
        <w:rPr>
          <w:b/>
          <w:color w:val="CC0000"/>
          <w:sz w:val="20"/>
        </w:rPr>
        <w:t>CRITICAL RISK</w:t>
      </w:r>
    </w:p>
    <w:p>
      <w:pPr>
        <w:pStyle w:val="DOBody"/>
        <w:spacing w:before="40" w:after="120"/>
      </w:pPr>
      <w:r>
        <w:rPr>
          <w:color w:val="333333"/>
          <w:sz w:val="20"/>
        </w:rPr>
        <w:t>PG’s stock has fallen 18.12% from its 52-week high of $174.80 to a current price of $143.12, with a material single-day drop of 5.01% on April 4, 2025, triggered directly by an 8-K filing. That specific disclosure event creates a clear *Dura Pharmaceuticals* loss causation anchor for any shareholder complaint, directly linking the alleged misstatement to the economic loss. Insider activity shows net selling, with $55.6 million in total sales and zero 10b5-1 plan usage across five clustered events, which a plaintiff’s bar will aggressively frame as unusual and indicative of scienter under *Tellabs*, arguing the concentrated, non-planned sales demonstrate foresight of the April drop. This combination of a clear, disclosure-driven 5.01% stock drop coinciding with $55.6 million in unplanned insider liquidation constructs a compelling narrative of scienter, making a motion to dismiss far harder to win. While the short interest is low at 0.99% of the float and the analyst consensus remains a buy, the underwriting story here is about litigation optics: the plaintiffs have a ready-made timeline from the April 8-K and a motive argument from the insider sales, heightening the probability of an SCA filing within the next 12 months.</w:t>
      </w:r>
    </w:p>
    <w:p>
      <w:pPr>
        <w:pStyle w:val="DOHeading1"/>
      </w:pPr>
      <w:r>
        <w:t>Section 4: Market &amp; Trading Analysis</w:t>
      </w:r>
    </w:p>
    <w:p>
      <w:pPr>
        <w:pStyle w:val="DOBody"/>
      </w:pPr>
      <w:r>
        <w:rPr>
          <w:rFonts w:ascii="Calibri" w:hAnsi="Calibri"/>
          <w:color w:val="333333"/>
          <w:sz w:val="20"/>
        </w:rPr>
        <w:t>The stock trades 18.1% below its 52-week high ($175 to current $143), entering the range where SCA filings become economically viable. Worst single-day decline: 5.0% on 2025-04-04 triggered by 8-K_filing. Short interest of 1.0% of float is low (6-month trend: DECLINING). Analyst consensus: BUY.</w:t>
      </w:r>
    </w:p>
    <w:p>
      <w:pPr>
        <w:pStyle w:val="DOHeading2"/>
      </w:pPr>
      <w:r>
        <w:t>Stock Performance</w:t>
      </w:r>
    </w:p>
    <w:p>
      <w:r>
        <w:drawing>
          <wp:inline xmlns:a="http://schemas.openxmlformats.org/drawingml/2006/main" xmlns:pic="http://schemas.openxmlformats.org/drawingml/2006/picture">
            <wp:extent cx="5943600" cy="3878747"/>
            <wp:docPr id="2" name="Picture 2"/>
            <wp:cNvGraphicFramePr>
              <a:graphicFrameLocks noChangeAspect="1"/>
            </wp:cNvGraphicFramePr>
            <a:graphic>
              <a:graphicData uri="http://schemas.openxmlformats.org/drawingml/2006/picture">
                <pic:pic>
                  <pic:nvPicPr>
                    <pic:cNvPr id="0" name="stock_1y.png"/>
                    <pic:cNvPicPr/>
                  </pic:nvPicPr>
                  <pic:blipFill>
                    <a:blip r:embed="rId12"/>
                    <a:stretch>
                      <a:fillRect/>
                    </a:stretch>
                  </pic:blipFill>
                  <pic:spPr>
                    <a:xfrm>
                      <a:off x="0" y="0"/>
                      <a:ext cx="5943600" cy="3878747"/>
                    </a:xfrm>
                    <a:prstGeom prst="rect"/>
                  </pic:spPr>
                </pic:pic>
              </a:graphicData>
            </a:graphic>
          </wp:inline>
        </w:drawing>
      </w:r>
    </w:p>
    <w:p>
      <w:pPr>
        <w:pStyle w:val="DOCaption"/>
      </w:pPr>
      <w:r>
        <w:t>1-Year Performance (Indexed to 100). Red triangles mark single-day drops &gt;= 8%. Orange bands mark multi-day declines &gt;= 15%.</w:t>
      </w:r>
    </w:p>
    <w:p>
      <w:r>
        <w:drawing>
          <wp:inline xmlns:a="http://schemas.openxmlformats.org/drawingml/2006/main" xmlns:pic="http://schemas.openxmlformats.org/drawingml/2006/picture">
            <wp:extent cx="5943600" cy="3878747"/>
            <wp:docPr id="3" name="Picture 3"/>
            <wp:cNvGraphicFramePr>
              <a:graphicFrameLocks noChangeAspect="1"/>
            </wp:cNvGraphicFramePr>
            <a:graphic>
              <a:graphicData uri="http://schemas.openxmlformats.org/drawingml/2006/picture">
                <pic:pic>
                  <pic:nvPicPr>
                    <pic:cNvPr id="0" name="stock_5y.png"/>
                    <pic:cNvPicPr/>
                  </pic:nvPicPr>
                  <pic:blipFill>
                    <a:blip r:embed="rId13"/>
                    <a:stretch>
                      <a:fillRect/>
                    </a:stretch>
                  </pic:blipFill>
                  <pic:spPr>
                    <a:xfrm>
                      <a:off x="0" y="0"/>
                      <a:ext cx="5943600" cy="3878747"/>
                    </a:xfrm>
                    <a:prstGeom prst="rect"/>
                  </pic:spPr>
                </pic:pic>
              </a:graphicData>
            </a:graphic>
          </wp:inline>
        </w:drawing>
      </w:r>
    </w:p>
    <w:p>
      <w:pPr>
        <w:pStyle w:val="DOCaption"/>
      </w:pPr>
      <w:r>
        <w:t>5-Year Performance (Indexed to 100)</w:t>
      </w:r>
    </w:p>
    <w:p>
      <w:r>
        <w:drawing>
          <wp:inline xmlns:a="http://schemas.openxmlformats.org/drawingml/2006/main" xmlns:pic="http://schemas.openxmlformats.org/drawingml/2006/picture">
            <wp:extent cx="5943600" cy="3782291"/>
            <wp:docPr id="4" name="Picture 4"/>
            <wp:cNvGraphicFramePr>
              <a:graphicFrameLocks noChangeAspect="1"/>
            </wp:cNvGraphicFramePr>
            <a:graphic>
              <a:graphicData uri="http://schemas.openxmlformats.org/drawingml/2006/picture">
                <pic:pic>
                  <pic:nvPicPr>
                    <pic:cNvPr id="0" name="drop_analysis_1y.png"/>
                    <pic:cNvPicPr/>
                  </pic:nvPicPr>
                  <pic:blipFill>
                    <a:blip r:embed="rId14"/>
                    <a:stretch>
                      <a:fillRect/>
                    </a:stretch>
                  </pic:blipFill>
                  <pic:spPr>
                    <a:xfrm>
                      <a:off x="0" y="0"/>
                      <a:ext cx="5943600" cy="3782291"/>
                    </a:xfrm>
                    <a:prstGeom prst="rect"/>
                  </pic:spPr>
                </pic:pic>
              </a:graphicData>
            </a:graphic>
          </wp:inline>
        </w:drawing>
      </w:r>
    </w:p>
    <w:p>
      <w:pPr>
        <w:pStyle w:val="DOCaption"/>
      </w:pPr>
      <w:r>
        <w:t>Drop Event Analysis (12 Months)</w:t>
      </w:r>
    </w:p>
    <w:p>
      <w:r>
        <w:drawing>
          <wp:inline xmlns:a="http://schemas.openxmlformats.org/drawingml/2006/main" xmlns:pic="http://schemas.openxmlformats.org/drawingml/2006/picture">
            <wp:extent cx="5943600" cy="3046095"/>
            <wp:docPr id="5" name="Picture 5"/>
            <wp:cNvGraphicFramePr>
              <a:graphicFrameLocks noChangeAspect="1"/>
            </wp:cNvGraphicFramePr>
            <a:graphic>
              <a:graphicData uri="http://schemas.openxmlformats.org/drawingml/2006/picture">
                <pic:pic>
                  <pic:nvPicPr>
                    <pic:cNvPr id="0" name="drop_analysis_5y.png"/>
                    <pic:cNvPicPr/>
                  </pic:nvPicPr>
                  <pic:blipFill>
                    <a:blip r:embed="rId15"/>
                    <a:stretch>
                      <a:fillRect/>
                    </a:stretch>
                  </pic:blipFill>
                  <pic:spPr>
                    <a:xfrm>
                      <a:off x="0" y="0"/>
                      <a:ext cx="5943600" cy="3046095"/>
                    </a:xfrm>
                    <a:prstGeom prst="rect"/>
                  </pic:spPr>
                </pic:pic>
              </a:graphicData>
            </a:graphic>
          </wp:inline>
        </w:drawing>
      </w:r>
    </w:p>
    <w:p>
      <w:pPr>
        <w:pStyle w:val="DOCaption"/>
      </w:pPr>
      <w:r>
        <w:t>Drop Event Analysis (5 Years)</w:t>
      </w:r>
    </w:p>
    <w:p>
      <w:r>
        <w:drawing>
          <wp:inline xmlns:a="http://schemas.openxmlformats.org/drawingml/2006/main" xmlns:pic="http://schemas.openxmlformats.org/drawingml/2006/picture">
            <wp:extent cx="5943600" cy="3194685"/>
            <wp:docPr id="6" name="Picture 6"/>
            <wp:cNvGraphicFramePr>
              <a:graphicFrameLocks noChangeAspect="1"/>
            </wp:cNvGraphicFramePr>
            <a:graphic>
              <a:graphicData uri="http://schemas.openxmlformats.org/drawingml/2006/picture">
                <pic:pic>
                  <pic:nvPicPr>
                    <pic:cNvPr id="0" name="drop_scatter_1y.png"/>
                    <pic:cNvPicPr/>
                  </pic:nvPicPr>
                  <pic:blipFill>
                    <a:blip r:embed="rId16"/>
                    <a:stretch>
                      <a:fillRect/>
                    </a:stretch>
                  </pic:blipFill>
                  <pic:spPr>
                    <a:xfrm>
                      <a:off x="0" y="0"/>
                      <a:ext cx="5943600" cy="3194685"/>
                    </a:xfrm>
                    <a:prstGeom prst="rect"/>
                  </pic:spPr>
                </pic:pic>
              </a:graphicData>
            </a:graphic>
          </wp:inline>
        </w:drawing>
      </w:r>
    </w:p>
    <w:p>
      <w:pPr>
        <w:pStyle w:val="DOCaption"/>
      </w:pPr>
      <w:r>
        <w:t>Drop Events: Company vs Sector (12 Months)</w:t>
      </w:r>
    </w:p>
    <w:p>
      <w:r>
        <w:drawing>
          <wp:inline xmlns:a="http://schemas.openxmlformats.org/drawingml/2006/main" xmlns:pic="http://schemas.openxmlformats.org/drawingml/2006/picture">
            <wp:extent cx="5943600" cy="2403800"/>
            <wp:docPr id="7" name="Picture 7"/>
            <wp:cNvGraphicFramePr>
              <a:graphicFrameLocks noChangeAspect="1"/>
            </wp:cNvGraphicFramePr>
            <a:graphic>
              <a:graphicData uri="http://schemas.openxmlformats.org/drawingml/2006/picture">
                <pic:pic>
                  <pic:nvPicPr>
                    <pic:cNvPr id="0" name="drawdown_1y.png"/>
                    <pic:cNvPicPr/>
                  </pic:nvPicPr>
                  <pic:blipFill>
                    <a:blip r:embed="rId17"/>
                    <a:stretch>
                      <a:fillRect/>
                    </a:stretch>
                  </pic:blipFill>
                  <pic:spPr>
                    <a:xfrm>
                      <a:off x="0" y="0"/>
                      <a:ext cx="5943600" cy="2403800"/>
                    </a:xfrm>
                    <a:prstGeom prst="rect"/>
                  </pic:spPr>
                </pic:pic>
              </a:graphicData>
            </a:graphic>
          </wp:inline>
        </w:drawing>
      </w:r>
    </w:p>
    <w:p>
      <w:pPr>
        <w:pStyle w:val="DOCaption"/>
      </w:pPr>
      <w:r>
        <w:t>Drawdown Analysis (12 Months)</w:t>
      </w:r>
    </w:p>
    <w:p>
      <w:r>
        <w:drawing>
          <wp:inline xmlns:a="http://schemas.openxmlformats.org/drawingml/2006/main" xmlns:pic="http://schemas.openxmlformats.org/drawingml/2006/picture">
            <wp:extent cx="5943600" cy="2428159"/>
            <wp:docPr id="8" name="Picture 8"/>
            <wp:cNvGraphicFramePr>
              <a:graphicFrameLocks noChangeAspect="1"/>
            </wp:cNvGraphicFramePr>
            <a:graphic>
              <a:graphicData uri="http://schemas.openxmlformats.org/drawingml/2006/picture">
                <pic:pic>
                  <pic:nvPicPr>
                    <pic:cNvPr id="0" name="drawdown_5y.png"/>
                    <pic:cNvPicPr/>
                  </pic:nvPicPr>
                  <pic:blipFill>
                    <a:blip r:embed="rId18"/>
                    <a:stretch>
                      <a:fillRect/>
                    </a:stretch>
                  </pic:blipFill>
                  <pic:spPr>
                    <a:xfrm>
                      <a:off x="0" y="0"/>
                      <a:ext cx="5943600" cy="2428159"/>
                    </a:xfrm>
                    <a:prstGeom prst="rect"/>
                  </pic:spPr>
                </pic:pic>
              </a:graphicData>
            </a:graphic>
          </wp:inline>
        </w:drawing>
      </w:r>
    </w:p>
    <w:p>
      <w:pPr>
        <w:pStyle w:val="DOCaption"/>
      </w:pPr>
      <w:r>
        <w:t>Drawdown Analysis (5 Years)</w:t>
      </w:r>
    </w:p>
    <w:p>
      <w:r>
        <w:drawing>
          <wp:inline xmlns:a="http://schemas.openxmlformats.org/drawingml/2006/main" xmlns:pic="http://schemas.openxmlformats.org/drawingml/2006/picture">
            <wp:extent cx="5943600" cy="4360536"/>
            <wp:docPr id="9" name="Picture 9"/>
            <wp:cNvGraphicFramePr>
              <a:graphicFrameLocks noChangeAspect="1"/>
            </wp:cNvGraphicFramePr>
            <a:graphic>
              <a:graphicData uri="http://schemas.openxmlformats.org/drawingml/2006/picture">
                <pic:pic>
                  <pic:nvPicPr>
                    <pic:cNvPr id="0" name="volatility_1y.png"/>
                    <pic:cNvPicPr/>
                  </pic:nvPicPr>
                  <pic:blipFill>
                    <a:blip r:embed="rId19"/>
                    <a:stretch>
                      <a:fillRect/>
                    </a:stretch>
                  </pic:blipFill>
                  <pic:spPr>
                    <a:xfrm>
                      <a:off x="0" y="0"/>
                      <a:ext cx="5943600" cy="4360536"/>
                    </a:xfrm>
                    <a:prstGeom prst="rect"/>
                  </pic:spPr>
                </pic:pic>
              </a:graphicData>
            </a:graphic>
          </wp:inline>
        </w:drawing>
      </w:r>
    </w:p>
    <w:p>
      <w:pPr>
        <w:pStyle w:val="DOCaption"/>
      </w:pPr>
      <w:r>
        <w:t>Volatility &amp; Beta Analysis (12 Months)</w:t>
      </w:r>
    </w:p>
    <w:p>
      <w:r>
        <w:drawing>
          <wp:inline xmlns:a="http://schemas.openxmlformats.org/drawingml/2006/main" xmlns:pic="http://schemas.openxmlformats.org/drawingml/2006/picture">
            <wp:extent cx="5943600" cy="3043276"/>
            <wp:docPr id="10" name="Picture 10"/>
            <wp:cNvGraphicFramePr>
              <a:graphicFrameLocks noChangeAspect="1"/>
            </wp:cNvGraphicFramePr>
            <a:graphic>
              <a:graphicData uri="http://schemas.openxmlformats.org/drawingml/2006/picture">
                <pic:pic>
                  <pic:nvPicPr>
                    <pic:cNvPr id="0" name="relative_1y.png"/>
                    <pic:cNvPicPr/>
                  </pic:nvPicPr>
                  <pic:blipFill>
                    <a:blip r:embed="rId20"/>
                    <a:stretch>
                      <a:fillRect/>
                    </a:stretch>
                  </pic:blipFill>
                  <pic:spPr>
                    <a:xfrm>
                      <a:off x="0" y="0"/>
                      <a:ext cx="5943600" cy="3043276"/>
                    </a:xfrm>
                    <a:prstGeom prst="rect"/>
                  </pic:spPr>
                </pic:pic>
              </a:graphicData>
            </a:graphic>
          </wp:inline>
        </w:drawing>
      </w:r>
    </w:p>
    <w:p>
      <w:pPr>
        <w:pStyle w:val="DOCaption"/>
      </w:pPr>
      <w:r>
        <w:t>Relative Performance (12 Months)</w:t>
      </w:r>
    </w:p>
    <w:p>
      <w:r>
        <w:drawing>
          <wp:inline xmlns:a="http://schemas.openxmlformats.org/drawingml/2006/main" xmlns:pic="http://schemas.openxmlformats.org/drawingml/2006/picture">
            <wp:extent cx="5943600" cy="3043276"/>
            <wp:docPr id="11" name="Picture 11"/>
            <wp:cNvGraphicFramePr>
              <a:graphicFrameLocks noChangeAspect="1"/>
            </wp:cNvGraphicFramePr>
            <a:graphic>
              <a:graphicData uri="http://schemas.openxmlformats.org/drawingml/2006/picture">
                <pic:pic>
                  <pic:nvPicPr>
                    <pic:cNvPr id="0" name="relative_5y.png"/>
                    <pic:cNvPicPr/>
                  </pic:nvPicPr>
                  <pic:blipFill>
                    <a:blip r:embed="rId21"/>
                    <a:stretch>
                      <a:fillRect/>
                    </a:stretch>
                  </pic:blipFill>
                  <pic:spPr>
                    <a:xfrm>
                      <a:off x="0" y="0"/>
                      <a:ext cx="5943600" cy="3043276"/>
                    </a:xfrm>
                    <a:prstGeom prst="rect"/>
                  </pic:spPr>
                </pic:pic>
              </a:graphicData>
            </a:graphic>
          </wp:inline>
        </w:drawing>
      </w:r>
    </w:p>
    <w:p>
      <w:pPr>
        <w:pStyle w:val="DOCaption"/>
      </w:pPr>
      <w:r>
        <w:t>Relative Performance (5 Years)</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Metric</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Current Price</w:t>
            </w:r>
          </w:p>
        </w:tc>
        <w:tc>
          <w:tcPr>
            <w:tcW w:type="dxa" w:w="5040"/>
          </w:tcPr>
          <w:p>
            <w:r>
              <w:rPr>
                <w:rFonts w:ascii="Calibri" w:hAnsi="Calibri"/>
                <w:color w:val="333333"/>
                <w:sz w:val="18"/>
              </w:rPr>
              <w:t>$143.12</w:t>
            </w:r>
          </w:p>
        </w:tc>
      </w:tr>
      <w:tr>
        <w:tc>
          <w:tcPr>
            <w:tcW w:type="dxa" w:w="5040"/>
            <w:shd w:fill="F2F4F8" w:val="clear"/>
          </w:tcPr>
          <w:p>
            <w:r>
              <w:rPr>
                <w:rFonts w:ascii="Calibri" w:hAnsi="Calibri"/>
                <w:color w:val="333333"/>
                <w:sz w:val="18"/>
              </w:rPr>
              <w:t>52-Week High</w:t>
            </w:r>
          </w:p>
        </w:tc>
        <w:tc>
          <w:tcPr>
            <w:tcW w:type="dxa" w:w="5040"/>
            <w:shd w:fill="F2F4F8" w:val="clear"/>
          </w:tcPr>
          <w:p>
            <w:r>
              <w:rPr>
                <w:rFonts w:ascii="Calibri" w:hAnsi="Calibri"/>
                <w:color w:val="333333"/>
                <w:sz w:val="18"/>
              </w:rPr>
              <w:t>$174.80</w:t>
            </w:r>
          </w:p>
        </w:tc>
      </w:tr>
      <w:tr>
        <w:tc>
          <w:tcPr>
            <w:tcW w:type="dxa" w:w="5040"/>
          </w:tcPr>
          <w:p>
            <w:r>
              <w:rPr>
                <w:rFonts w:ascii="Calibri" w:hAnsi="Calibri"/>
                <w:color w:val="333333"/>
                <w:sz w:val="18"/>
              </w:rPr>
              <w:t>52-Week Low</w:t>
            </w:r>
          </w:p>
        </w:tc>
        <w:tc>
          <w:tcPr>
            <w:tcW w:type="dxa" w:w="5040"/>
          </w:tcPr>
          <w:p>
            <w:r>
              <w:rPr>
                <w:rFonts w:ascii="Calibri" w:hAnsi="Calibri"/>
                <w:color w:val="333333"/>
                <w:sz w:val="18"/>
              </w:rPr>
              <w:t>$137.62</w:t>
            </w:r>
          </w:p>
        </w:tc>
      </w:tr>
      <w:tr>
        <w:tc>
          <w:tcPr>
            <w:tcW w:type="dxa" w:w="5040"/>
            <w:shd w:fill="F2F4F8" w:val="clear"/>
          </w:tcPr>
          <w:p>
            <w:r>
              <w:rPr>
                <w:rFonts w:ascii="Calibri" w:hAnsi="Calibri"/>
                <w:color w:val="333333"/>
                <w:sz w:val="18"/>
              </w:rPr>
              <w:t>1-Year Return</w:t>
            </w:r>
          </w:p>
        </w:tc>
        <w:tc>
          <w:tcPr>
            <w:tcW w:type="dxa" w:w="5040"/>
            <w:shd w:fill="F2F4F8" w:val="clear"/>
          </w:tcPr>
          <w:p>
            <w:r>
              <w:rPr>
                <w:rFonts w:ascii="Calibri" w:hAnsi="Calibri"/>
                <w:color w:val="333333"/>
                <w:sz w:val="18"/>
              </w:rPr>
              <w:t>-14.7%</w:t>
            </w:r>
          </w:p>
        </w:tc>
      </w:tr>
      <w:tr>
        <w:tc>
          <w:tcPr>
            <w:tcW w:type="dxa" w:w="5040"/>
          </w:tcPr>
          <w:p>
            <w:r>
              <w:rPr>
                <w:rFonts w:ascii="Calibri" w:hAnsi="Calibri"/>
                <w:color w:val="333333"/>
                <w:sz w:val="18"/>
              </w:rPr>
              <w:t>Max Drawdown (1Y)</w:t>
            </w:r>
          </w:p>
        </w:tc>
        <w:tc>
          <w:tcPr>
            <w:tcW w:type="dxa" w:w="5040"/>
          </w:tcPr>
          <w:p>
            <w:r>
              <w:rPr>
                <w:rFonts w:ascii="Calibri" w:hAnsi="Calibri"/>
                <w:color w:val="333333"/>
                <w:sz w:val="18"/>
              </w:rPr>
              <w:t>-18.3%</w:t>
            </w:r>
          </w:p>
        </w:tc>
      </w:tr>
      <w:tr>
        <w:tc>
          <w:tcPr>
            <w:tcW w:type="dxa" w:w="5040"/>
            <w:shd w:fill="F2F4F8" w:val="clear"/>
          </w:tcPr>
          <w:p>
            <w:r>
              <w:rPr>
                <w:rFonts w:ascii="Calibri" w:hAnsi="Calibri"/>
                <w:color w:val="333333"/>
                <w:sz w:val="18"/>
              </w:rPr>
              <w:t>90-Day Volatility</w:t>
            </w:r>
          </w:p>
        </w:tc>
        <w:tc>
          <w:tcPr>
            <w:tcW w:type="dxa" w:w="5040"/>
            <w:shd w:fill="F2F4F8" w:val="clear"/>
          </w:tcPr>
          <w:p>
            <w:r>
              <w:rPr>
                <w:rFonts w:ascii="Calibri" w:hAnsi="Calibri"/>
                <w:color w:val="333333"/>
                <w:sz w:val="18"/>
              </w:rPr>
              <w:t>20.3% (Ranks at the 0th percentile among 0 peers (peer median: 2.5%))</w:t>
            </w:r>
          </w:p>
        </w:tc>
      </w:tr>
      <w:tr>
        <w:tc>
          <w:tcPr>
            <w:tcW w:type="dxa" w:w="5040"/>
          </w:tcPr>
          <w:p>
            <w:r>
              <w:rPr>
                <w:rFonts w:ascii="Calibri" w:hAnsi="Calibri"/>
                <w:color w:val="333333"/>
                <w:sz w:val="18"/>
              </w:rPr>
              <w:t>Beta (vs S&amp;P 500)</w:t>
            </w:r>
          </w:p>
        </w:tc>
        <w:tc>
          <w:tcPr>
            <w:tcW w:type="dxa" w:w="5040"/>
          </w:tcPr>
          <w:p>
            <w:r>
              <w:rPr>
                <w:rFonts w:ascii="Calibri" w:hAnsi="Calibri"/>
                <w:color w:val="333333"/>
                <w:sz w:val="18"/>
              </w:rPr>
              <w:t>0.34</w:t>
            </w:r>
          </w:p>
        </w:tc>
      </w:tr>
    </w:tbl>
    <w:p>
      <w:pPr>
        <w:pStyle w:val="DOBody"/>
      </w:pPr>
      <w:r>
        <w:t>1 significant stock decline event detected in the 1Y period: 1 notable (5-10%). 1 was company-specific, 1 was market-wide.</w:t>
      </w:r>
    </w:p>
    <w:tbl>
      <w:tblPr>
        <w:tblStyle w:val="TableGrid"/>
        <w:tblW w:type="auto" w:w="0"/>
        <w:tblLook w:firstColumn="1" w:firstRow="1" w:lastColumn="0" w:lastRow="0" w:noHBand="0" w:noVBand="1" w:val="04A0"/>
      </w:tblPr>
      <w:tblGrid>
        <w:gridCol w:w="1440"/>
        <w:gridCol w:w="1440"/>
        <w:gridCol w:w="1440"/>
        <w:gridCol w:w="1440"/>
        <w:gridCol w:w="1440"/>
        <w:gridCol w:w="1440"/>
        <w:gridCol w:w="1440"/>
      </w:tblGrid>
      <w:tr>
        <w:tc>
          <w:tcPr>
            <w:tcW w:type="dxa" w:w="1440"/>
            <w:shd w:fill="1A1446" w:val="clear"/>
          </w:tcPr>
          <w:p>
            <w:r>
              <w:rPr>
                <w:rFonts w:ascii="Calibri" w:hAnsi="Calibri"/>
                <w:b/>
                <w:color w:val="FFFFFF"/>
                <w:sz w:val="18"/>
              </w:rPr>
              <w:t>Date</w:t>
            </w:r>
          </w:p>
        </w:tc>
        <w:tc>
          <w:tcPr>
            <w:tcW w:type="dxa" w:w="1440"/>
            <w:shd w:fill="1A1446" w:val="clear"/>
          </w:tcPr>
          <w:p>
            <w:r>
              <w:rPr>
                <w:rFonts w:ascii="Calibri" w:hAnsi="Calibri"/>
                <w:b/>
                <w:color w:val="FFFFFF"/>
                <w:sz w:val="18"/>
              </w:rPr>
              <w:t>Drop %</w:t>
            </w:r>
          </w:p>
        </w:tc>
        <w:tc>
          <w:tcPr>
            <w:tcW w:type="dxa" w:w="1440"/>
            <w:shd w:fill="1A1446" w:val="clear"/>
          </w:tcPr>
          <w:p>
            <w:r>
              <w:rPr>
                <w:rFonts w:ascii="Calibri" w:hAnsi="Calibri"/>
                <w:b/>
                <w:color w:val="FFFFFF"/>
                <w:sz w:val="18"/>
              </w:rPr>
              <w:t>Recency</w:t>
            </w:r>
          </w:p>
        </w:tc>
        <w:tc>
          <w:tcPr>
            <w:tcW w:type="dxa" w:w="1440"/>
            <w:shd w:fill="1A1446" w:val="clear"/>
          </w:tcPr>
          <w:p>
            <w:r>
              <w:rPr>
                <w:rFonts w:ascii="Calibri" w:hAnsi="Calibri"/>
                <w:b/>
                <w:color w:val="FFFFFF"/>
                <w:sz w:val="18"/>
              </w:rPr>
              <w:t>Recovery</w:t>
            </w:r>
          </w:p>
        </w:tc>
        <w:tc>
          <w:tcPr>
            <w:tcW w:type="dxa" w:w="1440"/>
            <w:shd w:fill="1A1446" w:val="clear"/>
          </w:tcPr>
          <w:p>
            <w:r>
              <w:rPr>
                <w:rFonts w:ascii="Calibri" w:hAnsi="Calibri"/>
                <w:b/>
                <w:color w:val="FFFFFF"/>
                <w:sz w:val="18"/>
              </w:rPr>
              <w:t>Trigger Event</w:t>
            </w:r>
          </w:p>
        </w:tc>
        <w:tc>
          <w:tcPr>
            <w:tcW w:type="dxa" w:w="1440"/>
            <w:shd w:fill="1A1446" w:val="clear"/>
          </w:tcPr>
          <w:p>
            <w:r>
              <w:rPr>
                <w:rFonts w:ascii="Calibri" w:hAnsi="Calibri"/>
                <w:b/>
                <w:color w:val="FFFFFF"/>
                <w:sz w:val="18"/>
              </w:rPr>
              <w:t>Type</w:t>
            </w:r>
          </w:p>
        </w:tc>
        <w:tc>
          <w:tcPr>
            <w:tcW w:type="dxa" w:w="1440"/>
            <w:shd w:fill="1A1446" w:val="clear"/>
          </w:tcPr>
          <w:p>
            <w:r>
              <w:rPr>
                <w:rFonts w:ascii="Calibri" w:hAnsi="Calibri"/>
                <w:b/>
                <w:color w:val="FFFFFF"/>
                <w:sz w:val="18"/>
              </w:rPr>
              <w:t>Source</w:t>
            </w:r>
          </w:p>
        </w:tc>
      </w:tr>
      <w:tr>
        <w:tc>
          <w:tcPr>
            <w:tcW w:type="dxa" w:w="1440"/>
            <w:shd w:fill="FFF3CD" w:val="clear"/>
          </w:tcPr>
          <w:p>
            <w:r>
              <w:rPr>
                <w:rFonts w:ascii="Calibri" w:hAnsi="Calibri"/>
                <w:color w:val="333333"/>
                <w:sz w:val="18"/>
              </w:rPr>
              <w:t>2025-04-04</w:t>
            </w:r>
          </w:p>
        </w:tc>
        <w:tc>
          <w:tcPr>
            <w:tcW w:type="dxa" w:w="1440"/>
            <w:shd w:fill="FFF3CD" w:val="clear"/>
          </w:tcPr>
          <w:p>
            <w:r>
              <w:rPr>
                <w:rFonts w:ascii="Calibri" w:hAnsi="Calibri"/>
                <w:color w:val="333333"/>
                <w:sz w:val="18"/>
              </w:rPr>
              <w:t>-5.0%</w:t>
            </w:r>
          </w:p>
        </w:tc>
        <w:tc>
          <w:tcPr>
            <w:tcW w:type="dxa" w:w="1440"/>
            <w:shd w:fill="FFF3CD" w:val="clear"/>
          </w:tcPr>
          <w:p>
            <w:r>
              <w:rPr>
                <w:rFonts w:ascii="Calibri" w:hAnsi="Calibri"/>
                <w:color w:val="333333"/>
                <w:sz w:val="18"/>
              </w:rPr>
              <w:t>25%</w:t>
            </w:r>
          </w:p>
        </w:tc>
        <w:tc>
          <w:tcPr>
            <w:tcW w:type="dxa" w:w="1440"/>
            <w:shd w:fill="FFF3CD" w:val="clear"/>
          </w:tcPr>
          <w:p>
            <w:r>
              <w:rPr>
                <w:rFonts w:ascii="Calibri" w:hAnsi="Calibri"/>
                <w:color w:val="333333"/>
                <w:sz w:val="18"/>
              </w:rPr>
              <w:t>Not recovered</w:t>
            </w:r>
          </w:p>
        </w:tc>
        <w:tc>
          <w:tcPr>
            <w:tcW w:type="dxa" w:w="1440"/>
            <w:shd w:fill="FFF3CD" w:val="clear"/>
          </w:tcPr>
          <w:p>
            <w:r>
              <w:rPr>
                <w:rFonts w:ascii="Calibri" w:hAnsi="Calibri"/>
                <w:color w:val="333333"/>
                <w:sz w:val="18"/>
              </w:rPr>
              <w:t>8-K Filing</w:t>
            </w:r>
          </w:p>
        </w:tc>
        <w:tc>
          <w:tcPr>
            <w:tcW w:type="dxa" w:w="1440"/>
            <w:shd w:fill="FFF3CD" w:val="clear"/>
          </w:tcPr>
          <w:p>
            <w:r>
              <w:rPr>
                <w:rFonts w:ascii="Calibri" w:hAnsi="Calibri"/>
                <w:color w:val="333333"/>
                <w:sz w:val="18"/>
              </w:rPr>
              <w:t>Market-Wide Event</w:t>
            </w:r>
          </w:p>
        </w:tc>
        <w:tc>
          <w:tcPr>
            <w:tcW w:type="dxa" w:w="1440"/>
            <w:shd w:fill="FFF3CD" w:val="clear"/>
          </w:tcPr>
          <w:p>
            <w:r>
              <w:rPr>
                <w:rFonts w:ascii="Calibri" w:hAnsi="Calibri"/>
                <w:color w:val="333333"/>
                <w:sz w:val="18"/>
              </w:rPr>
              <w:t>https://www.sec.gov/cgi-bin/browse-edgar?action...</w:t>
            </w:r>
          </w:p>
        </w:tc>
      </w:tr>
    </w:tbl>
    <w:p>
      <w:pPr>
        <w:pStyle w:val="DOHeading2"/>
      </w:pPr>
      <w:r>
        <w:t>Short Interest</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Metric</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Short % of Float</w:t>
            </w:r>
          </w:p>
        </w:tc>
        <w:tc>
          <w:tcPr>
            <w:tcW w:type="dxa" w:w="5040"/>
          </w:tcPr>
          <w:p>
            <w:r>
              <w:rPr>
                <w:rFonts w:ascii="Calibri" w:hAnsi="Calibri"/>
                <w:color w:val="333333"/>
                <w:sz w:val="18"/>
              </w:rPr>
              <w:t>1.0% (Ranks at the 91st percentile among 0 peers (peer median: 5.5%))</w:t>
            </w:r>
          </w:p>
        </w:tc>
      </w:tr>
      <w:tr>
        <w:tc>
          <w:tcPr>
            <w:tcW w:type="dxa" w:w="5040"/>
            <w:shd w:fill="F2F4F8" w:val="clear"/>
          </w:tcPr>
          <w:p>
            <w:r>
              <w:rPr>
                <w:rFonts w:ascii="Calibri" w:hAnsi="Calibri"/>
                <w:color w:val="333333"/>
                <w:sz w:val="18"/>
              </w:rPr>
              <w:t>Days to Cover</w:t>
            </w:r>
          </w:p>
        </w:tc>
        <w:tc>
          <w:tcPr>
            <w:tcW w:type="dxa" w:w="5040"/>
            <w:shd w:fill="F2F4F8" w:val="clear"/>
          </w:tcPr>
          <w:p>
            <w:r>
              <w:rPr>
                <w:rFonts w:ascii="Calibri" w:hAnsi="Calibri"/>
                <w:color w:val="333333"/>
                <w:sz w:val="18"/>
              </w:rPr>
              <w:t>2.22</w:t>
            </w:r>
          </w:p>
        </w:tc>
      </w:tr>
      <w:tr>
        <w:tc>
          <w:tcPr>
            <w:tcW w:type="dxa" w:w="5040"/>
          </w:tcPr>
          <w:p>
            <w:r>
              <w:rPr>
                <w:rFonts w:ascii="Calibri" w:hAnsi="Calibri"/>
                <w:color w:val="333333"/>
                <w:sz w:val="18"/>
              </w:rPr>
              <w:t>6-Month Trend</w:t>
            </w:r>
          </w:p>
        </w:tc>
        <w:tc>
          <w:tcPr>
            <w:tcW w:type="dxa" w:w="5040"/>
          </w:tcPr>
          <w:p>
            <w:r>
              <w:rPr>
                <w:rFonts w:ascii="Calibri" w:hAnsi="Calibri"/>
                <w:color w:val="333333"/>
                <w:sz w:val="18"/>
              </w:rPr>
              <w:t>DECLINING</w:t>
            </w:r>
          </w:p>
        </w:tc>
      </w:tr>
      <w:tr>
        <w:tc>
          <w:tcPr>
            <w:tcW w:type="dxa" w:w="5040"/>
            <w:shd w:fill="F2F4F8" w:val="clear"/>
          </w:tcPr>
          <w:p>
            <w:r>
              <w:rPr>
                <w:rFonts w:ascii="Calibri" w:hAnsi="Calibri"/>
                <w:color w:val="333333"/>
                <w:sz w:val="18"/>
              </w:rPr>
              <w:t>vs Sector Ratio</w:t>
            </w:r>
          </w:p>
        </w:tc>
        <w:tc>
          <w:tcPr>
            <w:tcW w:type="dxa" w:w="5040"/>
            <w:shd w:fill="F2F4F8" w:val="clear"/>
          </w:tcPr>
          <w:p>
            <w:r>
              <w:rPr>
                <w:rFonts w:ascii="Calibri" w:hAnsi="Calibri"/>
                <w:color w:val="333333"/>
                <w:sz w:val="18"/>
              </w:rPr>
              <w:t>N/A</w:t>
            </w:r>
          </w:p>
        </w:tc>
      </w:tr>
    </w:tbl>
    <w:p>
      <w:pPr>
        <w:pStyle w:val="DOHeading2"/>
      </w:pPr>
      <w:r>
        <w:t>Earnings Guidance Track Record</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Metric</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Beat Rate</w:t>
            </w:r>
          </w:p>
        </w:tc>
        <w:tc>
          <w:tcPr>
            <w:tcW w:type="dxa" w:w="5040"/>
          </w:tcPr>
          <w:p>
            <w:r>
              <w:rPr>
                <w:rFonts w:ascii="Calibri" w:hAnsi="Calibri"/>
                <w:color w:val="333333"/>
                <w:sz w:val="18"/>
              </w:rPr>
              <w:t>0.8%</w:t>
            </w:r>
          </w:p>
        </w:tc>
      </w:tr>
      <w:tr>
        <w:tc>
          <w:tcPr>
            <w:tcW w:type="dxa" w:w="5040"/>
            <w:shd w:fill="F2F4F8" w:val="clear"/>
          </w:tcPr>
          <w:p>
            <w:r>
              <w:rPr>
                <w:rFonts w:ascii="Calibri" w:hAnsi="Calibri"/>
                <w:color w:val="333333"/>
                <w:sz w:val="18"/>
              </w:rPr>
              <w:t>Consecutive Misses</w:t>
            </w:r>
          </w:p>
        </w:tc>
        <w:tc>
          <w:tcPr>
            <w:tcW w:type="dxa" w:w="5040"/>
            <w:shd w:fill="F2F4F8" w:val="clear"/>
          </w:tcPr>
          <w:p>
            <w:r>
              <w:rPr>
                <w:rFonts w:ascii="Calibri" w:hAnsi="Calibri"/>
                <w:color w:val="333333"/>
                <w:sz w:val="18"/>
              </w:rPr>
              <w:t>1</w:t>
            </w:r>
          </w:p>
        </w:tc>
      </w:tr>
      <w:tr>
        <w:tc>
          <w:tcPr>
            <w:tcW w:type="dxa" w:w="5040"/>
          </w:tcPr>
          <w:p>
            <w:r>
              <w:rPr>
                <w:rFonts w:ascii="Calibri" w:hAnsi="Calibri"/>
                <w:color w:val="333333"/>
                <w:sz w:val="18"/>
              </w:rPr>
              <w:t>Guidance Withdrawals</w:t>
            </w:r>
          </w:p>
        </w:tc>
        <w:tc>
          <w:tcPr>
            <w:tcW w:type="dxa" w:w="5040"/>
          </w:tcPr>
          <w:p>
            <w:r>
              <w:rPr>
                <w:rFonts w:ascii="Calibri" w:hAnsi="Calibri"/>
                <w:color w:val="333333"/>
                <w:sz w:val="18"/>
              </w:rPr>
              <w:t>0</w:t>
            </w:r>
          </w:p>
        </w:tc>
      </w:tr>
      <w:tr>
        <w:tc>
          <w:tcPr>
            <w:tcW w:type="dxa" w:w="5040"/>
            <w:shd w:fill="F2F4F8" w:val="clear"/>
          </w:tcPr>
          <w:p>
            <w:r>
              <w:rPr>
                <w:rFonts w:ascii="Calibri" w:hAnsi="Calibri"/>
                <w:color w:val="333333"/>
                <w:sz w:val="18"/>
              </w:rPr>
              <w:t>Philosophy</w:t>
            </w:r>
          </w:p>
        </w:tc>
        <w:tc>
          <w:tcPr>
            <w:tcW w:type="dxa" w:w="5040"/>
            <w:shd w:fill="F2F4F8" w:val="clear"/>
          </w:tcPr>
          <w:p>
            <w:r>
              <w:rPr>
                <w:rFonts w:ascii="Calibri" w:hAnsi="Calibri"/>
                <w:color w:val="333333"/>
                <w:sz w:val="18"/>
              </w:rPr>
              <w:t>CONSERVATIVE</w:t>
            </w:r>
          </w:p>
        </w:tc>
      </w:tr>
    </w:tbl>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680"/>
            <w:shd w:fill="1A1446" w:val="clear"/>
          </w:tcPr>
          <w:p>
            <w:r>
              <w:rPr>
                <w:rFonts w:ascii="Calibri" w:hAnsi="Calibri"/>
                <w:b/>
                <w:color w:val="FFFFFF"/>
                <w:sz w:val="18"/>
              </w:rPr>
              <w:t>Quarter</w:t>
            </w:r>
          </w:p>
        </w:tc>
        <w:tc>
          <w:tcPr>
            <w:tcW w:type="dxa" w:w="1680"/>
            <w:shd w:fill="1A1446" w:val="clear"/>
          </w:tcPr>
          <w:p>
            <w:r>
              <w:rPr>
                <w:rFonts w:ascii="Calibri" w:hAnsi="Calibri"/>
                <w:b/>
                <w:color w:val="FFFFFF"/>
                <w:sz w:val="18"/>
              </w:rPr>
              <w:t>Est. EPS</w:t>
            </w:r>
          </w:p>
        </w:tc>
        <w:tc>
          <w:tcPr>
            <w:tcW w:type="dxa" w:w="1680"/>
            <w:shd w:fill="1A1446" w:val="clear"/>
          </w:tcPr>
          <w:p>
            <w:r>
              <w:rPr>
                <w:rFonts w:ascii="Calibri" w:hAnsi="Calibri"/>
                <w:b/>
                <w:color w:val="FFFFFF"/>
                <w:sz w:val="18"/>
              </w:rPr>
              <w:t>Actual EPS</w:t>
            </w:r>
          </w:p>
        </w:tc>
        <w:tc>
          <w:tcPr>
            <w:tcW w:type="dxa" w:w="1680"/>
            <w:shd w:fill="1A1446" w:val="clear"/>
          </w:tcPr>
          <w:p>
            <w:r>
              <w:rPr>
                <w:rFonts w:ascii="Calibri" w:hAnsi="Calibri"/>
                <w:b/>
                <w:color w:val="FFFFFF"/>
                <w:sz w:val="18"/>
              </w:rPr>
              <w:t>Result</w:t>
            </w:r>
          </w:p>
        </w:tc>
        <w:tc>
          <w:tcPr>
            <w:tcW w:type="dxa" w:w="1680"/>
            <w:shd w:fill="1A1446" w:val="clear"/>
          </w:tcPr>
          <w:p>
            <w:r>
              <w:rPr>
                <w:rFonts w:ascii="Calibri" w:hAnsi="Calibri"/>
                <w:b/>
                <w:color w:val="FFFFFF"/>
                <w:sz w:val="18"/>
              </w:rPr>
              <w:t>Miss Magnitude</w:t>
            </w:r>
          </w:p>
        </w:tc>
        <w:tc>
          <w:tcPr>
            <w:tcW w:type="dxa" w:w="1680"/>
            <w:shd w:fill="1A1446" w:val="clear"/>
          </w:tcPr>
          <w:p>
            <w:r>
              <w:rPr>
                <w:rFonts w:ascii="Calibri" w:hAnsi="Calibri"/>
                <w:b/>
                <w:color w:val="FFFFFF"/>
                <w:sz w:val="18"/>
              </w:rPr>
              <w:t>Stock Reaction</w:t>
            </w:r>
          </w:p>
        </w:tc>
      </w:tr>
      <w:tr>
        <w:tc>
          <w:tcPr>
            <w:tcW w:type="dxa" w:w="1680"/>
          </w:tcPr>
          <w:p>
            <w:r>
              <w:rPr>
                <w:rFonts w:ascii="Calibri" w:hAnsi="Calibri"/>
                <w:color w:val="333333"/>
                <w:sz w:val="18"/>
              </w:rPr>
              <w:t>Q1 2026</w:t>
            </w:r>
          </w:p>
        </w:tc>
        <w:tc>
          <w:tcPr>
            <w:tcW w:type="dxa" w:w="1680"/>
          </w:tcPr>
          <w:p>
            <w:r>
              <w:rPr>
                <w:rFonts w:ascii="Calibri" w:hAnsi="Calibri"/>
                <w:color w:val="333333"/>
                <w:sz w:val="18"/>
              </w:rPr>
              <w:t>$1.83</w:t>
            </w:r>
          </w:p>
        </w:tc>
        <w:tc>
          <w:tcPr>
            <w:tcW w:type="dxa" w:w="1680"/>
          </w:tcPr>
          <w:p>
            <w:r>
              <w:rPr>
                <w:rFonts w:ascii="Calibri" w:hAnsi="Calibri"/>
                <w:color w:val="333333"/>
                <w:sz w:val="18"/>
              </w:rPr>
              <w:t>$1.78</w:t>
            </w:r>
          </w:p>
        </w:tc>
        <w:tc>
          <w:tcPr>
            <w:tcW w:type="dxa" w:w="1680"/>
            <w:shd w:fill="FCE8E6" w:val="clear"/>
          </w:tcPr>
          <w:p>
            <w:r>
              <w:rPr>
                <w:rFonts w:ascii="Calibri" w:hAnsi="Calibri"/>
                <w:color w:val="333333"/>
                <w:sz w:val="18"/>
              </w:rPr>
              <w:t>MISS</w:t>
            </w:r>
          </w:p>
        </w:tc>
        <w:tc>
          <w:tcPr>
            <w:tcW w:type="dxa" w:w="1680"/>
          </w:tcPr>
          <w:p>
            <w:r>
              <w:rPr>
                <w:rFonts w:ascii="Calibri" w:hAnsi="Calibri"/>
                <w:color w:val="333333"/>
                <w:sz w:val="18"/>
              </w:rPr>
              <w:t>+2.7%</w:t>
            </w:r>
          </w:p>
        </w:tc>
        <w:tc>
          <w:tcPr>
            <w:tcW w:type="dxa" w:w="1680"/>
          </w:tcPr>
          <w:p>
            <w:r>
              <w:rPr>
                <w:rFonts w:ascii="Calibri" w:hAnsi="Calibri"/>
                <w:color w:val="333333"/>
                <w:sz w:val="18"/>
              </w:rPr>
              <w:t>-2.5%</w:t>
            </w:r>
          </w:p>
        </w:tc>
      </w:tr>
      <w:tr>
        <w:tc>
          <w:tcPr>
            <w:tcW w:type="dxa" w:w="1680"/>
            <w:shd w:fill="F2F4F8" w:val="clear"/>
          </w:tcPr>
          <w:p>
            <w:r>
              <w:rPr>
                <w:rFonts w:ascii="Calibri" w:hAnsi="Calibri"/>
                <w:color w:val="333333"/>
                <w:sz w:val="18"/>
              </w:rPr>
              <w:t>Q4 2025</w:t>
            </w:r>
          </w:p>
        </w:tc>
        <w:tc>
          <w:tcPr>
            <w:tcW w:type="dxa" w:w="1680"/>
            <w:shd w:fill="F2F4F8" w:val="clear"/>
          </w:tcPr>
          <w:p>
            <w:r>
              <w:rPr>
                <w:rFonts w:ascii="Calibri" w:hAnsi="Calibri"/>
                <w:color w:val="333333"/>
                <w:sz w:val="18"/>
              </w:rPr>
              <w:t>$1.90</w:t>
            </w:r>
          </w:p>
        </w:tc>
        <w:tc>
          <w:tcPr>
            <w:tcW w:type="dxa" w:w="1680"/>
            <w:shd w:fill="F2F4F8" w:val="clear"/>
          </w:tcPr>
          <w:p>
            <w:r>
              <w:rPr>
                <w:rFonts w:ascii="Calibri" w:hAnsi="Calibri"/>
                <w:color w:val="333333"/>
                <w:sz w:val="18"/>
              </w:rPr>
              <w:t>$1.99</w:t>
            </w:r>
          </w:p>
        </w:tc>
        <w:tc>
          <w:tcPr>
            <w:tcW w:type="dxa" w:w="1680"/>
            <w:shd w:fill="F2F4F8" w:val="clear"/>
            <w:shd w:fill="DCEEF8" w:val="clear"/>
          </w:tcPr>
          <w:p>
            <w:r>
              <w:rPr>
                <w:rFonts w:ascii="Calibri" w:hAnsi="Calibri"/>
                <w:color w:val="333333"/>
                <w:sz w:val="18"/>
              </w:rPr>
              <w:t>BEAT</w:t>
            </w:r>
          </w:p>
        </w:tc>
        <w:tc>
          <w:tcPr>
            <w:tcW w:type="dxa" w:w="1680"/>
            <w:shd w:fill="F2F4F8" w:val="clear"/>
          </w:tcPr>
          <w:p>
            <w:r>
              <w:rPr>
                <w:rFonts w:ascii="Calibri" w:hAnsi="Calibri"/>
                <w:color w:val="333333"/>
                <w:sz w:val="18"/>
              </w:rPr>
              <w:t>N/A</w:t>
            </w:r>
          </w:p>
        </w:tc>
        <w:tc>
          <w:tcPr>
            <w:tcW w:type="dxa" w:w="1680"/>
            <w:shd w:fill="F2F4F8" w:val="clear"/>
          </w:tcPr>
          <w:p>
            <w:r>
              <w:rPr>
                <w:rFonts w:ascii="Calibri" w:hAnsi="Calibri"/>
                <w:color w:val="333333"/>
                <w:sz w:val="18"/>
              </w:rPr>
              <w:t>+4.9%</w:t>
            </w:r>
          </w:p>
        </w:tc>
      </w:tr>
      <w:tr>
        <w:tc>
          <w:tcPr>
            <w:tcW w:type="dxa" w:w="1680"/>
          </w:tcPr>
          <w:p>
            <w:r>
              <w:rPr>
                <w:rFonts w:ascii="Calibri" w:hAnsi="Calibri"/>
                <w:color w:val="333333"/>
                <w:sz w:val="18"/>
              </w:rPr>
              <w:t>Q3 2025</w:t>
            </w:r>
          </w:p>
        </w:tc>
        <w:tc>
          <w:tcPr>
            <w:tcW w:type="dxa" w:w="1680"/>
          </w:tcPr>
          <w:p>
            <w:r>
              <w:rPr>
                <w:rFonts w:ascii="Calibri" w:hAnsi="Calibri"/>
                <w:color w:val="333333"/>
                <w:sz w:val="18"/>
              </w:rPr>
              <w:t>$1.42</w:t>
            </w:r>
          </w:p>
        </w:tc>
        <w:tc>
          <w:tcPr>
            <w:tcW w:type="dxa" w:w="1680"/>
          </w:tcPr>
          <w:p>
            <w:r>
              <w:rPr>
                <w:rFonts w:ascii="Calibri" w:hAnsi="Calibri"/>
                <w:color w:val="333333"/>
                <w:sz w:val="18"/>
              </w:rPr>
              <w:t>$1.48</w:t>
            </w:r>
          </w:p>
        </w:tc>
        <w:tc>
          <w:tcPr>
            <w:tcW w:type="dxa" w:w="1680"/>
            <w:shd w:fill="DCEEF8" w:val="clear"/>
          </w:tcPr>
          <w:p>
            <w:r>
              <w:rPr>
                <w:rFonts w:ascii="Calibri" w:hAnsi="Calibri"/>
                <w:color w:val="333333"/>
                <w:sz w:val="18"/>
              </w:rPr>
              <w:t>BEAT</w:t>
            </w:r>
          </w:p>
        </w:tc>
        <w:tc>
          <w:tcPr>
            <w:tcW w:type="dxa" w:w="1680"/>
          </w:tcPr>
          <w:p>
            <w:r>
              <w:rPr>
                <w:rFonts w:ascii="Calibri" w:hAnsi="Calibri"/>
                <w:color w:val="333333"/>
                <w:sz w:val="18"/>
              </w:rPr>
              <w:t>N/A</w:t>
            </w:r>
          </w:p>
        </w:tc>
        <w:tc>
          <w:tcPr>
            <w:tcW w:type="dxa" w:w="1680"/>
          </w:tcPr>
          <w:p>
            <w:r>
              <w:rPr>
                <w:rFonts w:ascii="Calibri" w:hAnsi="Calibri"/>
                <w:color w:val="333333"/>
                <w:sz w:val="18"/>
              </w:rPr>
              <w:t>+4.1%</w:t>
            </w:r>
          </w:p>
        </w:tc>
      </w:tr>
      <w:tr>
        <w:tc>
          <w:tcPr>
            <w:tcW w:type="dxa" w:w="1680"/>
            <w:shd w:fill="F2F4F8" w:val="clear"/>
          </w:tcPr>
          <w:p>
            <w:r>
              <w:rPr>
                <w:rFonts w:ascii="Calibri" w:hAnsi="Calibri"/>
                <w:color w:val="333333"/>
                <w:sz w:val="18"/>
              </w:rPr>
              <w:t>Q2 2025</w:t>
            </w:r>
          </w:p>
        </w:tc>
        <w:tc>
          <w:tcPr>
            <w:tcW w:type="dxa" w:w="1680"/>
            <w:shd w:fill="F2F4F8" w:val="clear"/>
          </w:tcPr>
          <w:p>
            <w:r>
              <w:rPr>
                <w:rFonts w:ascii="Calibri" w:hAnsi="Calibri"/>
                <w:color w:val="333333"/>
                <w:sz w:val="18"/>
              </w:rPr>
              <w:t>$1.53</w:t>
            </w:r>
          </w:p>
        </w:tc>
        <w:tc>
          <w:tcPr>
            <w:tcW w:type="dxa" w:w="1680"/>
            <w:shd w:fill="F2F4F8" w:val="clear"/>
          </w:tcPr>
          <w:p>
            <w:r>
              <w:rPr>
                <w:rFonts w:ascii="Calibri" w:hAnsi="Calibri"/>
                <w:color w:val="333333"/>
                <w:sz w:val="18"/>
              </w:rPr>
              <w:t>$1.54</w:t>
            </w:r>
          </w:p>
        </w:tc>
        <w:tc>
          <w:tcPr>
            <w:tcW w:type="dxa" w:w="1680"/>
            <w:shd w:fill="F2F4F8" w:val="clear"/>
          </w:tcPr>
          <w:p>
            <w:r>
              <w:rPr>
                <w:rFonts w:ascii="Calibri" w:hAnsi="Calibri"/>
                <w:color w:val="333333"/>
                <w:sz w:val="18"/>
              </w:rPr>
              <w:t>MEET</w:t>
            </w:r>
          </w:p>
        </w:tc>
        <w:tc>
          <w:tcPr>
            <w:tcW w:type="dxa" w:w="1680"/>
            <w:shd w:fill="F2F4F8" w:val="clear"/>
          </w:tcPr>
          <w:p>
            <w:r>
              <w:rPr>
                <w:rFonts w:ascii="Calibri" w:hAnsi="Calibri"/>
                <w:color w:val="333333"/>
                <w:sz w:val="18"/>
              </w:rPr>
              <w:t>N/A</w:t>
            </w:r>
          </w:p>
        </w:tc>
        <w:tc>
          <w:tcPr>
            <w:tcW w:type="dxa" w:w="1680"/>
            <w:shd w:fill="F2F4F8" w:val="clear"/>
          </w:tcPr>
          <w:p>
            <w:r>
              <w:rPr>
                <w:rFonts w:ascii="Calibri" w:hAnsi="Calibri"/>
                <w:color w:val="333333"/>
                <w:sz w:val="18"/>
              </w:rPr>
              <w:t>+0.9%</w:t>
            </w:r>
          </w:p>
        </w:tc>
      </w:tr>
      <w:tr>
        <w:tc>
          <w:tcPr>
            <w:tcW w:type="dxa" w:w="1680"/>
          </w:tcPr>
          <w:p>
            <w:r>
              <w:rPr>
                <w:rFonts w:ascii="Calibri" w:hAnsi="Calibri"/>
                <w:color w:val="333333"/>
                <w:sz w:val="18"/>
              </w:rPr>
              <w:t>Q1 2025</w:t>
            </w:r>
          </w:p>
        </w:tc>
        <w:tc>
          <w:tcPr>
            <w:tcW w:type="dxa" w:w="1680"/>
          </w:tcPr>
          <w:p>
            <w:r>
              <w:rPr>
                <w:rFonts w:ascii="Calibri" w:hAnsi="Calibri"/>
                <w:color w:val="333333"/>
                <w:sz w:val="18"/>
              </w:rPr>
              <w:t>$1.86</w:t>
            </w:r>
          </w:p>
        </w:tc>
        <w:tc>
          <w:tcPr>
            <w:tcW w:type="dxa" w:w="1680"/>
          </w:tcPr>
          <w:p>
            <w:r>
              <w:rPr>
                <w:rFonts w:ascii="Calibri" w:hAnsi="Calibri"/>
                <w:color w:val="333333"/>
                <w:sz w:val="18"/>
              </w:rPr>
              <w:t>$1.88</w:t>
            </w:r>
          </w:p>
        </w:tc>
        <w:tc>
          <w:tcPr>
            <w:tcW w:type="dxa" w:w="1680"/>
            <w:shd w:fill="DCEEF8" w:val="clear"/>
          </w:tcPr>
          <w:p>
            <w:r>
              <w:rPr>
                <w:rFonts w:ascii="Calibri" w:hAnsi="Calibri"/>
                <w:color w:val="333333"/>
                <w:sz w:val="18"/>
              </w:rPr>
              <w:t>BEAT</w:t>
            </w:r>
          </w:p>
        </w:tc>
        <w:tc>
          <w:tcPr>
            <w:tcW w:type="dxa" w:w="1680"/>
          </w:tcPr>
          <w:p>
            <w:r>
              <w:rPr>
                <w:rFonts w:ascii="Calibri" w:hAnsi="Calibri"/>
                <w:color w:val="333333"/>
                <w:sz w:val="18"/>
              </w:rPr>
              <w:t>N/A</w:t>
            </w:r>
          </w:p>
        </w:tc>
        <w:tc>
          <w:tcPr>
            <w:tcW w:type="dxa" w:w="1680"/>
          </w:tcPr>
          <w:p>
            <w:r>
              <w:rPr>
                <w:rFonts w:ascii="Calibri" w:hAnsi="Calibri"/>
                <w:color w:val="333333"/>
                <w:sz w:val="18"/>
              </w:rPr>
              <w:t>+1.1%</w:t>
            </w:r>
          </w:p>
        </w:tc>
      </w:tr>
      <w:tr>
        <w:tc>
          <w:tcPr>
            <w:tcW w:type="dxa" w:w="1680"/>
            <w:shd w:fill="F2F4F8" w:val="clear"/>
          </w:tcPr>
          <w:p>
            <w:r>
              <w:rPr>
                <w:rFonts w:ascii="Calibri" w:hAnsi="Calibri"/>
                <w:color w:val="333333"/>
                <w:sz w:val="18"/>
              </w:rPr>
              <w:t>Q4 2024</w:t>
            </w:r>
          </w:p>
        </w:tc>
        <w:tc>
          <w:tcPr>
            <w:tcW w:type="dxa" w:w="1680"/>
            <w:shd w:fill="F2F4F8" w:val="clear"/>
          </w:tcPr>
          <w:p>
            <w:r>
              <w:rPr>
                <w:rFonts w:ascii="Calibri" w:hAnsi="Calibri"/>
                <w:color w:val="333333"/>
                <w:sz w:val="18"/>
              </w:rPr>
              <w:t>$1.90</w:t>
            </w:r>
          </w:p>
        </w:tc>
        <w:tc>
          <w:tcPr>
            <w:tcW w:type="dxa" w:w="1680"/>
            <w:shd w:fill="F2F4F8" w:val="clear"/>
          </w:tcPr>
          <w:p>
            <w:r>
              <w:rPr>
                <w:rFonts w:ascii="Calibri" w:hAnsi="Calibri"/>
                <w:color w:val="333333"/>
                <w:sz w:val="18"/>
              </w:rPr>
              <w:t>$1.93</w:t>
            </w:r>
          </w:p>
        </w:tc>
        <w:tc>
          <w:tcPr>
            <w:tcW w:type="dxa" w:w="1680"/>
            <w:shd w:fill="F2F4F8" w:val="clear"/>
            <w:shd w:fill="DCEEF8" w:val="clear"/>
          </w:tcPr>
          <w:p>
            <w:r>
              <w:rPr>
                <w:rFonts w:ascii="Calibri" w:hAnsi="Calibri"/>
                <w:color w:val="333333"/>
                <w:sz w:val="18"/>
              </w:rPr>
              <w:t>BEAT</w:t>
            </w:r>
          </w:p>
        </w:tc>
        <w:tc>
          <w:tcPr>
            <w:tcW w:type="dxa" w:w="1680"/>
            <w:shd w:fill="F2F4F8" w:val="clear"/>
          </w:tcPr>
          <w:p>
            <w:r>
              <w:rPr>
                <w:rFonts w:ascii="Calibri" w:hAnsi="Calibri"/>
                <w:color w:val="333333"/>
                <w:sz w:val="18"/>
              </w:rPr>
              <w:t>N/A</w:t>
            </w:r>
          </w:p>
        </w:tc>
        <w:tc>
          <w:tcPr>
            <w:tcW w:type="dxa" w:w="1680"/>
            <w:shd w:fill="F2F4F8" w:val="clear"/>
          </w:tcPr>
          <w:p>
            <w:r>
              <w:rPr>
                <w:rFonts w:ascii="Calibri" w:hAnsi="Calibri"/>
                <w:color w:val="333333"/>
                <w:sz w:val="18"/>
              </w:rPr>
              <w:t>+1.8%</w:t>
            </w:r>
          </w:p>
        </w:tc>
      </w:tr>
      <w:tr>
        <w:tc>
          <w:tcPr>
            <w:tcW w:type="dxa" w:w="1680"/>
          </w:tcPr>
          <w:p>
            <w:r>
              <w:rPr>
                <w:rFonts w:ascii="Calibri" w:hAnsi="Calibri"/>
                <w:color w:val="333333"/>
                <w:sz w:val="18"/>
              </w:rPr>
              <w:t>Q3 2024</w:t>
            </w:r>
          </w:p>
        </w:tc>
        <w:tc>
          <w:tcPr>
            <w:tcW w:type="dxa" w:w="1680"/>
          </w:tcPr>
          <w:p>
            <w:r>
              <w:rPr>
                <w:rFonts w:ascii="Calibri" w:hAnsi="Calibri"/>
                <w:color w:val="333333"/>
                <w:sz w:val="18"/>
              </w:rPr>
              <w:t>$1.37</w:t>
            </w:r>
          </w:p>
        </w:tc>
        <w:tc>
          <w:tcPr>
            <w:tcW w:type="dxa" w:w="1680"/>
          </w:tcPr>
          <w:p>
            <w:r>
              <w:rPr>
                <w:rFonts w:ascii="Calibri" w:hAnsi="Calibri"/>
                <w:color w:val="333333"/>
                <w:sz w:val="18"/>
              </w:rPr>
              <w:t>$1.40</w:t>
            </w:r>
          </w:p>
        </w:tc>
        <w:tc>
          <w:tcPr>
            <w:tcW w:type="dxa" w:w="1680"/>
            <w:shd w:fill="DCEEF8" w:val="clear"/>
          </w:tcPr>
          <w:p>
            <w:r>
              <w:rPr>
                <w:rFonts w:ascii="Calibri" w:hAnsi="Calibri"/>
                <w:color w:val="333333"/>
                <w:sz w:val="18"/>
              </w:rPr>
              <w:t>BEAT</w:t>
            </w:r>
          </w:p>
        </w:tc>
        <w:tc>
          <w:tcPr>
            <w:tcW w:type="dxa" w:w="1680"/>
          </w:tcPr>
          <w:p>
            <w:r>
              <w:rPr>
                <w:rFonts w:ascii="Calibri" w:hAnsi="Calibri"/>
                <w:color w:val="333333"/>
                <w:sz w:val="18"/>
              </w:rPr>
              <w:t>N/A</w:t>
            </w:r>
          </w:p>
        </w:tc>
        <w:tc>
          <w:tcPr>
            <w:tcW w:type="dxa" w:w="1680"/>
          </w:tcPr>
          <w:p>
            <w:r>
              <w:rPr>
                <w:rFonts w:ascii="Calibri" w:hAnsi="Calibri"/>
                <w:color w:val="333333"/>
                <w:sz w:val="18"/>
              </w:rPr>
              <w:t>+1.9%</w:t>
            </w:r>
          </w:p>
        </w:tc>
      </w:tr>
      <w:tr>
        <w:tc>
          <w:tcPr>
            <w:tcW w:type="dxa" w:w="1680"/>
            <w:shd w:fill="F2F4F8" w:val="clear"/>
          </w:tcPr>
          <w:p>
            <w:r>
              <w:rPr>
                <w:rFonts w:ascii="Calibri" w:hAnsi="Calibri"/>
                <w:color w:val="333333"/>
                <w:sz w:val="18"/>
              </w:rPr>
              <w:t>Q2 2024</w:t>
            </w:r>
          </w:p>
        </w:tc>
        <w:tc>
          <w:tcPr>
            <w:tcW w:type="dxa" w:w="1680"/>
            <w:shd w:fill="F2F4F8" w:val="clear"/>
          </w:tcPr>
          <w:p>
            <w:r>
              <w:rPr>
                <w:rFonts w:ascii="Calibri" w:hAnsi="Calibri"/>
                <w:color w:val="333333"/>
                <w:sz w:val="18"/>
              </w:rPr>
              <w:t>$1.41</w:t>
            </w:r>
          </w:p>
        </w:tc>
        <w:tc>
          <w:tcPr>
            <w:tcW w:type="dxa" w:w="1680"/>
            <w:shd w:fill="F2F4F8" w:val="clear"/>
          </w:tcPr>
          <w:p>
            <w:r>
              <w:rPr>
                <w:rFonts w:ascii="Calibri" w:hAnsi="Calibri"/>
                <w:color w:val="333333"/>
                <w:sz w:val="18"/>
              </w:rPr>
              <w:t>$1.52</w:t>
            </w:r>
          </w:p>
        </w:tc>
        <w:tc>
          <w:tcPr>
            <w:tcW w:type="dxa" w:w="1680"/>
            <w:shd w:fill="F2F4F8" w:val="clear"/>
            <w:shd w:fill="DCEEF8" w:val="clear"/>
          </w:tcPr>
          <w:p>
            <w:r>
              <w:rPr>
                <w:rFonts w:ascii="Calibri" w:hAnsi="Calibri"/>
                <w:color w:val="333333"/>
                <w:sz w:val="18"/>
              </w:rPr>
              <w:t>BEAT</w:t>
            </w:r>
          </w:p>
        </w:tc>
        <w:tc>
          <w:tcPr>
            <w:tcW w:type="dxa" w:w="1680"/>
            <w:shd w:fill="F2F4F8" w:val="clear"/>
          </w:tcPr>
          <w:p>
            <w:r>
              <w:rPr>
                <w:rFonts w:ascii="Calibri" w:hAnsi="Calibri"/>
                <w:color w:val="333333"/>
                <w:sz w:val="18"/>
              </w:rPr>
              <w:t>N/A</w:t>
            </w:r>
          </w:p>
        </w:tc>
        <w:tc>
          <w:tcPr>
            <w:tcW w:type="dxa" w:w="1680"/>
            <w:shd w:fill="F2F4F8" w:val="clear"/>
          </w:tcPr>
          <w:p>
            <w:r>
              <w:rPr>
                <w:rFonts w:ascii="Calibri" w:hAnsi="Calibri"/>
                <w:color w:val="333333"/>
                <w:sz w:val="18"/>
              </w:rPr>
              <w:t>+7.5%</w:t>
            </w:r>
          </w:p>
        </w:tc>
      </w:tr>
      <w:tr>
        <w:tc>
          <w:tcPr>
            <w:tcW w:type="dxa" w:w="1680"/>
          </w:tcPr>
          <w:p>
            <w:r>
              <w:rPr>
                <w:rFonts w:ascii="Calibri" w:hAnsi="Calibri"/>
                <w:color w:val="333333"/>
                <w:sz w:val="18"/>
              </w:rPr>
              <w:t>Q1 2024</w:t>
            </w:r>
          </w:p>
        </w:tc>
        <w:tc>
          <w:tcPr>
            <w:tcW w:type="dxa" w:w="1680"/>
          </w:tcPr>
          <w:p>
            <w:r>
              <w:rPr>
                <w:rFonts w:ascii="Calibri" w:hAnsi="Calibri"/>
                <w:color w:val="333333"/>
                <w:sz w:val="18"/>
              </w:rPr>
              <w:t>$1.70</w:t>
            </w:r>
          </w:p>
        </w:tc>
        <w:tc>
          <w:tcPr>
            <w:tcW w:type="dxa" w:w="1680"/>
          </w:tcPr>
          <w:p>
            <w:r>
              <w:rPr>
                <w:rFonts w:ascii="Calibri" w:hAnsi="Calibri"/>
                <w:color w:val="333333"/>
                <w:sz w:val="18"/>
              </w:rPr>
              <w:t>$1.84</w:t>
            </w:r>
          </w:p>
        </w:tc>
        <w:tc>
          <w:tcPr>
            <w:tcW w:type="dxa" w:w="1680"/>
            <w:shd w:fill="DCEEF8" w:val="clear"/>
          </w:tcPr>
          <w:p>
            <w:r>
              <w:rPr>
                <w:rFonts w:ascii="Calibri" w:hAnsi="Calibri"/>
                <w:color w:val="333333"/>
                <w:sz w:val="18"/>
              </w:rPr>
              <w:t>BEAT</w:t>
            </w:r>
          </w:p>
        </w:tc>
        <w:tc>
          <w:tcPr>
            <w:tcW w:type="dxa" w:w="1680"/>
          </w:tcPr>
          <w:p>
            <w:r>
              <w:rPr>
                <w:rFonts w:ascii="Calibri" w:hAnsi="Calibri"/>
                <w:color w:val="333333"/>
                <w:sz w:val="18"/>
              </w:rPr>
              <w:t>N/A</w:t>
            </w:r>
          </w:p>
        </w:tc>
        <w:tc>
          <w:tcPr>
            <w:tcW w:type="dxa" w:w="1680"/>
          </w:tcPr>
          <w:p>
            <w:r>
              <w:rPr>
                <w:rFonts w:ascii="Calibri" w:hAnsi="Calibri"/>
                <w:color w:val="333333"/>
                <w:sz w:val="18"/>
              </w:rPr>
              <w:t>+8.3%</w:t>
            </w:r>
          </w:p>
        </w:tc>
      </w:tr>
      <w:tr>
        <w:tc>
          <w:tcPr>
            <w:tcW w:type="dxa" w:w="1680"/>
            <w:shd w:fill="F2F4F8" w:val="clear"/>
          </w:tcPr>
          <w:p>
            <w:r>
              <w:rPr>
                <w:rFonts w:ascii="Calibri" w:hAnsi="Calibri"/>
                <w:color w:val="333333"/>
                <w:sz w:val="18"/>
              </w:rPr>
              <w:t>Q4 2023</w:t>
            </w:r>
          </w:p>
        </w:tc>
        <w:tc>
          <w:tcPr>
            <w:tcW w:type="dxa" w:w="1680"/>
            <w:shd w:fill="F2F4F8" w:val="clear"/>
          </w:tcPr>
          <w:p>
            <w:r>
              <w:rPr>
                <w:rFonts w:ascii="Calibri" w:hAnsi="Calibri"/>
                <w:color w:val="333333"/>
                <w:sz w:val="18"/>
              </w:rPr>
              <w:t>$1.72</w:t>
            </w:r>
          </w:p>
        </w:tc>
        <w:tc>
          <w:tcPr>
            <w:tcW w:type="dxa" w:w="1680"/>
            <w:shd w:fill="F2F4F8" w:val="clear"/>
          </w:tcPr>
          <w:p>
            <w:r>
              <w:rPr>
                <w:rFonts w:ascii="Calibri" w:hAnsi="Calibri"/>
                <w:color w:val="333333"/>
                <w:sz w:val="18"/>
              </w:rPr>
              <w:t>$1.83</w:t>
            </w:r>
          </w:p>
        </w:tc>
        <w:tc>
          <w:tcPr>
            <w:tcW w:type="dxa" w:w="1680"/>
            <w:shd w:fill="F2F4F8" w:val="clear"/>
            <w:shd w:fill="DCEEF8" w:val="clear"/>
          </w:tcPr>
          <w:p>
            <w:r>
              <w:rPr>
                <w:rFonts w:ascii="Calibri" w:hAnsi="Calibri"/>
                <w:color w:val="333333"/>
                <w:sz w:val="18"/>
              </w:rPr>
              <w:t>BEAT</w:t>
            </w:r>
          </w:p>
        </w:tc>
        <w:tc>
          <w:tcPr>
            <w:tcW w:type="dxa" w:w="1680"/>
            <w:shd w:fill="F2F4F8" w:val="clear"/>
          </w:tcPr>
          <w:p>
            <w:r>
              <w:rPr>
                <w:rFonts w:ascii="Calibri" w:hAnsi="Calibri"/>
                <w:color w:val="333333"/>
                <w:sz w:val="18"/>
              </w:rPr>
              <w:t>N/A</w:t>
            </w:r>
          </w:p>
        </w:tc>
        <w:tc>
          <w:tcPr>
            <w:tcW w:type="dxa" w:w="1680"/>
            <w:shd w:fill="F2F4F8" w:val="clear"/>
          </w:tcPr>
          <w:p>
            <w:r>
              <w:rPr>
                <w:rFonts w:ascii="Calibri" w:hAnsi="Calibri"/>
                <w:color w:val="333333"/>
                <w:sz w:val="18"/>
              </w:rPr>
              <w:t>+6.3%</w:t>
            </w:r>
          </w:p>
        </w:tc>
      </w:tr>
      <w:tr>
        <w:tc>
          <w:tcPr>
            <w:tcW w:type="dxa" w:w="1680"/>
          </w:tcPr>
          <w:p>
            <w:r>
              <w:rPr>
                <w:rFonts w:ascii="Calibri" w:hAnsi="Calibri"/>
                <w:color w:val="333333"/>
                <w:sz w:val="18"/>
              </w:rPr>
              <w:t>Q3 2023</w:t>
            </w:r>
          </w:p>
        </w:tc>
        <w:tc>
          <w:tcPr>
            <w:tcW w:type="dxa" w:w="1680"/>
          </w:tcPr>
          <w:p>
            <w:r>
              <w:rPr>
                <w:rFonts w:ascii="Calibri" w:hAnsi="Calibri"/>
                <w:color w:val="333333"/>
                <w:sz w:val="18"/>
              </w:rPr>
              <w:t>$1.32</w:t>
            </w:r>
          </w:p>
        </w:tc>
        <w:tc>
          <w:tcPr>
            <w:tcW w:type="dxa" w:w="1680"/>
          </w:tcPr>
          <w:p>
            <w:r>
              <w:rPr>
                <w:rFonts w:ascii="Calibri" w:hAnsi="Calibri"/>
                <w:color w:val="333333"/>
                <w:sz w:val="18"/>
              </w:rPr>
              <w:t>$1.37</w:t>
            </w:r>
          </w:p>
        </w:tc>
        <w:tc>
          <w:tcPr>
            <w:tcW w:type="dxa" w:w="1680"/>
            <w:shd w:fill="DCEEF8" w:val="clear"/>
          </w:tcPr>
          <w:p>
            <w:r>
              <w:rPr>
                <w:rFonts w:ascii="Calibri" w:hAnsi="Calibri"/>
                <w:color w:val="333333"/>
                <w:sz w:val="18"/>
              </w:rPr>
              <w:t>BEAT</w:t>
            </w:r>
          </w:p>
        </w:tc>
        <w:tc>
          <w:tcPr>
            <w:tcW w:type="dxa" w:w="1680"/>
          </w:tcPr>
          <w:p>
            <w:r>
              <w:rPr>
                <w:rFonts w:ascii="Calibri" w:hAnsi="Calibri"/>
                <w:color w:val="333333"/>
                <w:sz w:val="18"/>
              </w:rPr>
              <w:t>N/A</w:t>
            </w:r>
          </w:p>
        </w:tc>
        <w:tc>
          <w:tcPr>
            <w:tcW w:type="dxa" w:w="1680"/>
          </w:tcPr>
          <w:p>
            <w:r>
              <w:rPr>
                <w:rFonts w:ascii="Calibri" w:hAnsi="Calibri"/>
                <w:color w:val="333333"/>
                <w:sz w:val="18"/>
              </w:rPr>
              <w:t>+3.5%</w:t>
            </w:r>
          </w:p>
        </w:tc>
      </w:tr>
      <w:tr>
        <w:tc>
          <w:tcPr>
            <w:tcW w:type="dxa" w:w="1680"/>
            <w:shd w:fill="F2F4F8" w:val="clear"/>
          </w:tcPr>
          <w:p>
            <w:r>
              <w:rPr>
                <w:rFonts w:ascii="Calibri" w:hAnsi="Calibri"/>
                <w:color w:val="333333"/>
                <w:sz w:val="18"/>
              </w:rPr>
              <w:t>Q2 2023</w:t>
            </w:r>
          </w:p>
        </w:tc>
        <w:tc>
          <w:tcPr>
            <w:tcW w:type="dxa" w:w="1680"/>
            <w:shd w:fill="F2F4F8" w:val="clear"/>
          </w:tcPr>
          <w:p>
            <w:r>
              <w:rPr>
                <w:rFonts w:ascii="Calibri" w:hAnsi="Calibri"/>
                <w:color w:val="333333"/>
                <w:sz w:val="18"/>
              </w:rPr>
              <w:t>$1.32</w:t>
            </w:r>
          </w:p>
        </w:tc>
        <w:tc>
          <w:tcPr>
            <w:tcW w:type="dxa" w:w="1680"/>
            <w:shd w:fill="F2F4F8" w:val="clear"/>
          </w:tcPr>
          <w:p>
            <w:r>
              <w:rPr>
                <w:rFonts w:ascii="Calibri" w:hAnsi="Calibri"/>
                <w:color w:val="333333"/>
                <w:sz w:val="18"/>
              </w:rPr>
              <w:t>$1.37</w:t>
            </w:r>
          </w:p>
        </w:tc>
        <w:tc>
          <w:tcPr>
            <w:tcW w:type="dxa" w:w="1680"/>
            <w:shd w:fill="F2F4F8" w:val="clear"/>
            <w:shd w:fill="DCEEF8" w:val="clear"/>
          </w:tcPr>
          <w:p>
            <w:r>
              <w:rPr>
                <w:rFonts w:ascii="Calibri" w:hAnsi="Calibri"/>
                <w:color w:val="333333"/>
                <w:sz w:val="18"/>
              </w:rPr>
              <w:t>BEAT</w:t>
            </w:r>
          </w:p>
        </w:tc>
        <w:tc>
          <w:tcPr>
            <w:tcW w:type="dxa" w:w="1680"/>
            <w:shd w:fill="F2F4F8" w:val="clear"/>
          </w:tcPr>
          <w:p>
            <w:r>
              <w:rPr>
                <w:rFonts w:ascii="Calibri" w:hAnsi="Calibri"/>
                <w:color w:val="333333"/>
                <w:sz w:val="18"/>
              </w:rPr>
              <w:t>N/A</w:t>
            </w:r>
          </w:p>
        </w:tc>
        <w:tc>
          <w:tcPr>
            <w:tcW w:type="dxa" w:w="1680"/>
            <w:shd w:fill="F2F4F8" w:val="clear"/>
          </w:tcPr>
          <w:p>
            <w:r>
              <w:rPr>
                <w:rFonts w:ascii="Calibri" w:hAnsi="Calibri"/>
                <w:color w:val="333333"/>
                <w:sz w:val="18"/>
              </w:rPr>
              <w:t>+3.5%</w:t>
            </w:r>
          </w:p>
        </w:tc>
      </w:tr>
      <w:tr>
        <w:tc>
          <w:tcPr>
            <w:tcW w:type="dxa" w:w="1680"/>
          </w:tcPr>
          <w:p>
            <w:r>
              <w:rPr>
                <w:rFonts w:ascii="Calibri" w:hAnsi="Calibri"/>
                <w:color w:val="333333"/>
                <w:sz w:val="18"/>
              </w:rPr>
              <w:t>Q1 2023</w:t>
            </w:r>
          </w:p>
        </w:tc>
        <w:tc>
          <w:tcPr>
            <w:tcW w:type="dxa" w:w="1680"/>
          </w:tcPr>
          <w:p>
            <w:r>
              <w:rPr>
                <w:rFonts w:ascii="Calibri" w:hAnsi="Calibri"/>
                <w:color w:val="333333"/>
                <w:sz w:val="18"/>
              </w:rPr>
              <w:t>$1.59</w:t>
            </w:r>
          </w:p>
        </w:tc>
        <w:tc>
          <w:tcPr>
            <w:tcW w:type="dxa" w:w="1680"/>
          </w:tcPr>
          <w:p>
            <w:r>
              <w:rPr>
                <w:rFonts w:ascii="Calibri" w:hAnsi="Calibri"/>
                <w:color w:val="333333"/>
                <w:sz w:val="18"/>
              </w:rPr>
              <w:t>$1.59</w:t>
            </w:r>
          </w:p>
        </w:tc>
        <w:tc>
          <w:tcPr>
            <w:tcW w:type="dxa" w:w="1680"/>
          </w:tcPr>
          <w:p>
            <w:r>
              <w:rPr>
                <w:rFonts w:ascii="Calibri" w:hAnsi="Calibri"/>
                <w:color w:val="333333"/>
                <w:sz w:val="18"/>
              </w:rPr>
              <w:t>MEET</w:t>
            </w:r>
          </w:p>
        </w:tc>
        <w:tc>
          <w:tcPr>
            <w:tcW w:type="dxa" w:w="1680"/>
          </w:tcPr>
          <w:p>
            <w:r>
              <w:rPr>
                <w:rFonts w:ascii="Calibri" w:hAnsi="Calibri"/>
                <w:color w:val="333333"/>
                <w:sz w:val="18"/>
              </w:rPr>
              <w:t>N/A</w:t>
            </w:r>
          </w:p>
        </w:tc>
        <w:tc>
          <w:tcPr>
            <w:tcW w:type="dxa" w:w="1680"/>
          </w:tcPr>
          <w:p>
            <w:r>
              <w:rPr>
                <w:rFonts w:ascii="Calibri" w:hAnsi="Calibri"/>
                <w:color w:val="333333"/>
                <w:sz w:val="18"/>
              </w:rPr>
              <w:t>-0.0%</w:t>
            </w:r>
          </w:p>
        </w:tc>
      </w:tr>
      <w:tr>
        <w:tc>
          <w:tcPr>
            <w:tcW w:type="dxa" w:w="1680"/>
            <w:shd w:fill="F2F4F8" w:val="clear"/>
          </w:tcPr>
          <w:p>
            <w:r>
              <w:rPr>
                <w:rFonts w:ascii="Calibri" w:hAnsi="Calibri"/>
                <w:color w:val="333333"/>
                <w:sz w:val="18"/>
              </w:rPr>
              <w:t>Q4 2022</w:t>
            </w:r>
          </w:p>
        </w:tc>
        <w:tc>
          <w:tcPr>
            <w:tcW w:type="dxa" w:w="1680"/>
            <w:shd w:fill="F2F4F8" w:val="clear"/>
          </w:tcPr>
          <w:p>
            <w:r>
              <w:rPr>
                <w:rFonts w:ascii="Calibri" w:hAnsi="Calibri"/>
                <w:color w:val="333333"/>
                <w:sz w:val="18"/>
              </w:rPr>
              <w:t>$1.55</w:t>
            </w:r>
          </w:p>
        </w:tc>
        <w:tc>
          <w:tcPr>
            <w:tcW w:type="dxa" w:w="1680"/>
            <w:shd w:fill="F2F4F8" w:val="clear"/>
          </w:tcPr>
          <w:p>
            <w:r>
              <w:rPr>
                <w:rFonts w:ascii="Calibri" w:hAnsi="Calibri"/>
                <w:color w:val="333333"/>
                <w:sz w:val="18"/>
              </w:rPr>
              <w:t>$1.57</w:t>
            </w:r>
          </w:p>
        </w:tc>
        <w:tc>
          <w:tcPr>
            <w:tcW w:type="dxa" w:w="1680"/>
            <w:shd w:fill="F2F4F8" w:val="clear"/>
            <w:shd w:fill="DCEEF8" w:val="clear"/>
          </w:tcPr>
          <w:p>
            <w:r>
              <w:rPr>
                <w:rFonts w:ascii="Calibri" w:hAnsi="Calibri"/>
                <w:color w:val="333333"/>
                <w:sz w:val="18"/>
              </w:rPr>
              <w:t>BEAT</w:t>
            </w:r>
          </w:p>
        </w:tc>
        <w:tc>
          <w:tcPr>
            <w:tcW w:type="dxa" w:w="1680"/>
            <w:shd w:fill="F2F4F8" w:val="clear"/>
          </w:tcPr>
          <w:p>
            <w:r>
              <w:rPr>
                <w:rFonts w:ascii="Calibri" w:hAnsi="Calibri"/>
                <w:color w:val="333333"/>
                <w:sz w:val="18"/>
              </w:rPr>
              <w:t>N/A</w:t>
            </w:r>
          </w:p>
        </w:tc>
        <w:tc>
          <w:tcPr>
            <w:tcW w:type="dxa" w:w="1680"/>
            <w:shd w:fill="F2F4F8" w:val="clear"/>
          </w:tcPr>
          <w:p>
            <w:r>
              <w:rPr>
                <w:rFonts w:ascii="Calibri" w:hAnsi="Calibri"/>
                <w:color w:val="333333"/>
                <w:sz w:val="18"/>
              </w:rPr>
              <w:t>+1.4%</w:t>
            </w:r>
          </w:p>
        </w:tc>
      </w:tr>
      <w:tr>
        <w:tc>
          <w:tcPr>
            <w:tcW w:type="dxa" w:w="1680"/>
          </w:tcPr>
          <w:p>
            <w:r>
              <w:rPr>
                <w:rFonts w:ascii="Calibri" w:hAnsi="Calibri"/>
                <w:color w:val="333333"/>
                <w:sz w:val="18"/>
              </w:rPr>
              <w:t>Q3 2022</w:t>
            </w:r>
          </w:p>
        </w:tc>
        <w:tc>
          <w:tcPr>
            <w:tcW w:type="dxa" w:w="1680"/>
          </w:tcPr>
          <w:p>
            <w:r>
              <w:rPr>
                <w:rFonts w:ascii="Calibri" w:hAnsi="Calibri"/>
                <w:color w:val="333333"/>
                <w:sz w:val="18"/>
              </w:rPr>
              <w:t>$1.23</w:t>
            </w:r>
          </w:p>
        </w:tc>
        <w:tc>
          <w:tcPr>
            <w:tcW w:type="dxa" w:w="1680"/>
          </w:tcPr>
          <w:p>
            <w:r>
              <w:rPr>
                <w:rFonts w:ascii="Calibri" w:hAnsi="Calibri"/>
                <w:color w:val="333333"/>
                <w:sz w:val="18"/>
              </w:rPr>
              <w:t>$1.21</w:t>
            </w:r>
          </w:p>
        </w:tc>
        <w:tc>
          <w:tcPr>
            <w:tcW w:type="dxa" w:w="1680"/>
            <w:shd w:fill="FCE8E6" w:val="clear"/>
          </w:tcPr>
          <w:p>
            <w:r>
              <w:rPr>
                <w:rFonts w:ascii="Calibri" w:hAnsi="Calibri"/>
                <w:color w:val="333333"/>
                <w:sz w:val="18"/>
              </w:rPr>
              <w:t>MISS</w:t>
            </w:r>
          </w:p>
        </w:tc>
        <w:tc>
          <w:tcPr>
            <w:tcW w:type="dxa" w:w="1680"/>
          </w:tcPr>
          <w:p>
            <w:r>
              <w:rPr>
                <w:rFonts w:ascii="Calibri" w:hAnsi="Calibri"/>
                <w:color w:val="333333"/>
                <w:sz w:val="18"/>
              </w:rPr>
              <w:t>+1.6%</w:t>
            </w:r>
          </w:p>
        </w:tc>
        <w:tc>
          <w:tcPr>
            <w:tcW w:type="dxa" w:w="1680"/>
          </w:tcPr>
          <w:p>
            <w:r>
              <w:rPr>
                <w:rFonts w:ascii="Calibri" w:hAnsi="Calibri"/>
                <w:color w:val="333333"/>
                <w:sz w:val="18"/>
              </w:rPr>
              <w:t>-1.4%</w:t>
            </w:r>
          </w:p>
        </w:tc>
      </w:tr>
      <w:tr>
        <w:tc>
          <w:tcPr>
            <w:tcW w:type="dxa" w:w="1680"/>
            <w:shd w:fill="F2F4F8" w:val="clear"/>
          </w:tcPr>
          <w:p>
            <w:r>
              <w:rPr>
                <w:rFonts w:ascii="Calibri" w:hAnsi="Calibri"/>
                <w:color w:val="333333"/>
                <w:sz w:val="18"/>
              </w:rPr>
              <w:t>Q2 2022</w:t>
            </w:r>
          </w:p>
        </w:tc>
        <w:tc>
          <w:tcPr>
            <w:tcW w:type="dxa" w:w="1680"/>
            <w:shd w:fill="F2F4F8" w:val="clear"/>
          </w:tcPr>
          <w:p>
            <w:r>
              <w:rPr>
                <w:rFonts w:ascii="Calibri" w:hAnsi="Calibri"/>
                <w:color w:val="333333"/>
                <w:sz w:val="18"/>
              </w:rPr>
              <w:t>$1.29</w:t>
            </w:r>
          </w:p>
        </w:tc>
        <w:tc>
          <w:tcPr>
            <w:tcW w:type="dxa" w:w="1680"/>
            <w:shd w:fill="F2F4F8" w:val="clear"/>
          </w:tcPr>
          <w:p>
            <w:r>
              <w:rPr>
                <w:rFonts w:ascii="Calibri" w:hAnsi="Calibri"/>
                <w:color w:val="333333"/>
                <w:sz w:val="18"/>
              </w:rPr>
              <w:t>$1.33</w:t>
            </w:r>
          </w:p>
        </w:tc>
        <w:tc>
          <w:tcPr>
            <w:tcW w:type="dxa" w:w="1680"/>
            <w:shd w:fill="F2F4F8" w:val="clear"/>
            <w:shd w:fill="DCEEF8" w:val="clear"/>
          </w:tcPr>
          <w:p>
            <w:r>
              <w:rPr>
                <w:rFonts w:ascii="Calibri" w:hAnsi="Calibri"/>
                <w:color w:val="333333"/>
                <w:sz w:val="18"/>
              </w:rPr>
              <w:t>BEAT</w:t>
            </w:r>
          </w:p>
        </w:tc>
        <w:tc>
          <w:tcPr>
            <w:tcW w:type="dxa" w:w="1680"/>
            <w:shd w:fill="F2F4F8" w:val="clear"/>
          </w:tcPr>
          <w:p>
            <w:r>
              <w:rPr>
                <w:rFonts w:ascii="Calibri" w:hAnsi="Calibri"/>
                <w:color w:val="333333"/>
                <w:sz w:val="18"/>
              </w:rPr>
              <w:t>N/A</w:t>
            </w:r>
          </w:p>
        </w:tc>
        <w:tc>
          <w:tcPr>
            <w:tcW w:type="dxa" w:w="1680"/>
            <w:shd w:fill="F2F4F8" w:val="clear"/>
          </w:tcPr>
          <w:p>
            <w:r>
              <w:rPr>
                <w:rFonts w:ascii="Calibri" w:hAnsi="Calibri"/>
                <w:color w:val="333333"/>
                <w:sz w:val="18"/>
              </w:rPr>
              <w:t>+2.9%</w:t>
            </w:r>
          </w:p>
        </w:tc>
      </w:tr>
    </w:tbl>
    <w:p>
      <w:pPr>
        <w:pStyle w:val="DOHeading2"/>
      </w:pPr>
      <w:r>
        <w:t>Analyst Consensus</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Metric</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Analyst Coverage</w:t>
            </w:r>
          </w:p>
        </w:tc>
        <w:tc>
          <w:tcPr>
            <w:tcW w:type="dxa" w:w="5040"/>
          </w:tcPr>
          <w:p>
            <w:r>
              <w:rPr>
                <w:rFonts w:ascii="Calibri" w:hAnsi="Calibri"/>
                <w:color w:val="333333"/>
                <w:sz w:val="18"/>
              </w:rPr>
              <w:t>22</w:t>
            </w:r>
          </w:p>
        </w:tc>
      </w:tr>
      <w:tr>
        <w:tc>
          <w:tcPr>
            <w:tcW w:type="dxa" w:w="5040"/>
            <w:shd w:fill="F2F4F8" w:val="clear"/>
          </w:tcPr>
          <w:p>
            <w:r>
              <w:rPr>
                <w:rFonts w:ascii="Calibri" w:hAnsi="Calibri"/>
                <w:color w:val="333333"/>
                <w:sz w:val="18"/>
              </w:rPr>
              <w:t>Consensus Rating</w:t>
            </w:r>
          </w:p>
        </w:tc>
        <w:tc>
          <w:tcPr>
            <w:tcW w:type="dxa" w:w="5040"/>
            <w:shd w:fill="F2F4F8" w:val="clear"/>
          </w:tcPr>
          <w:p>
            <w:r>
              <w:rPr>
                <w:rFonts w:ascii="Calibri" w:hAnsi="Calibri"/>
                <w:color w:val="333333"/>
                <w:sz w:val="18"/>
              </w:rPr>
              <w:t>BUY</w:t>
            </w:r>
          </w:p>
        </w:tc>
      </w:tr>
      <w:tr>
        <w:tc>
          <w:tcPr>
            <w:tcW w:type="dxa" w:w="5040"/>
          </w:tcPr>
          <w:p>
            <w:r>
              <w:rPr>
                <w:rFonts w:ascii="Calibri" w:hAnsi="Calibri"/>
                <w:color w:val="333333"/>
                <w:sz w:val="18"/>
              </w:rPr>
              <w:t>Mean Recommendation</w:t>
            </w:r>
          </w:p>
        </w:tc>
        <w:tc>
          <w:tcPr>
            <w:tcW w:type="dxa" w:w="5040"/>
          </w:tcPr>
          <w:p>
            <w:r>
              <w:rPr>
                <w:rFonts w:ascii="Calibri" w:hAnsi="Calibri"/>
                <w:color w:val="333333"/>
                <w:sz w:val="18"/>
              </w:rPr>
              <w:t>2.08 (1=Strong Buy, 5=Sell)</w:t>
            </w:r>
          </w:p>
        </w:tc>
      </w:tr>
      <w:tr>
        <w:tc>
          <w:tcPr>
            <w:tcW w:type="dxa" w:w="5040"/>
            <w:shd w:fill="F2F4F8" w:val="clear"/>
          </w:tcPr>
          <w:p>
            <w:r>
              <w:rPr>
                <w:rFonts w:ascii="Calibri" w:hAnsi="Calibri"/>
                <w:color w:val="333333"/>
                <w:sz w:val="18"/>
              </w:rPr>
              <w:t>Mean Target Price</w:t>
            </w:r>
          </w:p>
        </w:tc>
        <w:tc>
          <w:tcPr>
            <w:tcW w:type="dxa" w:w="5040"/>
            <w:shd w:fill="F2F4F8" w:val="clear"/>
          </w:tcPr>
          <w:p>
            <w:r>
              <w:rPr>
                <w:rFonts w:ascii="Calibri" w:hAnsi="Calibri"/>
                <w:color w:val="333333"/>
                <w:sz w:val="18"/>
              </w:rPr>
              <w:t>$167</w:t>
            </w:r>
          </w:p>
        </w:tc>
      </w:tr>
      <w:tr>
        <w:tc>
          <w:tcPr>
            <w:tcW w:type="dxa" w:w="5040"/>
          </w:tcPr>
          <w:p>
            <w:r>
              <w:rPr>
                <w:rFonts w:ascii="Calibri" w:hAnsi="Calibri"/>
                <w:color w:val="333333"/>
                <w:sz w:val="18"/>
              </w:rPr>
              <w:t>Target Price High</w:t>
            </w:r>
          </w:p>
        </w:tc>
        <w:tc>
          <w:tcPr>
            <w:tcW w:type="dxa" w:w="5040"/>
          </w:tcPr>
          <w:p>
            <w:r>
              <w:rPr>
                <w:rFonts w:ascii="Calibri" w:hAnsi="Calibri"/>
                <w:color w:val="333333"/>
                <w:sz w:val="18"/>
              </w:rPr>
              <w:t>$186</w:t>
            </w:r>
          </w:p>
        </w:tc>
      </w:tr>
      <w:tr>
        <w:tc>
          <w:tcPr>
            <w:tcW w:type="dxa" w:w="5040"/>
            <w:shd w:fill="F2F4F8" w:val="clear"/>
          </w:tcPr>
          <w:p>
            <w:r>
              <w:rPr>
                <w:rFonts w:ascii="Calibri" w:hAnsi="Calibri"/>
                <w:color w:val="333333"/>
                <w:sz w:val="18"/>
              </w:rPr>
              <w:t>Target Price Low</w:t>
            </w:r>
          </w:p>
        </w:tc>
        <w:tc>
          <w:tcPr>
            <w:tcW w:type="dxa" w:w="5040"/>
            <w:shd w:fill="F2F4F8" w:val="clear"/>
          </w:tcPr>
          <w:p>
            <w:r>
              <w:rPr>
                <w:rFonts w:ascii="Calibri" w:hAnsi="Calibri"/>
                <w:color w:val="333333"/>
                <w:sz w:val="18"/>
              </w:rPr>
              <w:t>$142</w:t>
            </w:r>
          </w:p>
        </w:tc>
      </w:tr>
    </w:tbl>
    <w:p>
      <w:pPr>
        <w:pStyle w:val="DOHeading2"/>
      </w:pPr>
      <w:r>
        <w:t>Stock Drop Analysis</w:t>
      </w:r>
    </w:p>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680"/>
            <w:shd w:fill="1A1446" w:val="clear"/>
          </w:tcPr>
          <w:p>
            <w:r>
              <w:rPr>
                <w:rFonts w:ascii="Calibri" w:hAnsi="Calibri"/>
                <w:b/>
                <w:color w:val="FFFFFF"/>
                <w:sz w:val="18"/>
              </w:rPr>
              <w:t>Date</w:t>
            </w:r>
          </w:p>
        </w:tc>
        <w:tc>
          <w:tcPr>
            <w:tcW w:type="dxa" w:w="1680"/>
            <w:shd w:fill="1A1446" w:val="clear"/>
          </w:tcPr>
          <w:p>
            <w:r>
              <w:rPr>
                <w:rFonts w:ascii="Calibri" w:hAnsi="Calibri"/>
                <w:b/>
                <w:color w:val="FFFFFF"/>
                <w:sz w:val="18"/>
              </w:rPr>
              <w:t>Magnitude</w:t>
            </w:r>
          </w:p>
        </w:tc>
        <w:tc>
          <w:tcPr>
            <w:tcW w:type="dxa" w:w="1680"/>
            <w:shd w:fill="1A1446" w:val="clear"/>
          </w:tcPr>
          <w:p>
            <w:r>
              <w:rPr>
                <w:rFonts w:ascii="Calibri" w:hAnsi="Calibri"/>
                <w:b/>
                <w:color w:val="FFFFFF"/>
                <w:sz w:val="18"/>
              </w:rPr>
              <w:t>Type</w:t>
            </w:r>
          </w:p>
        </w:tc>
        <w:tc>
          <w:tcPr>
            <w:tcW w:type="dxa" w:w="1680"/>
            <w:shd w:fill="1A1446" w:val="clear"/>
          </w:tcPr>
          <w:p>
            <w:r>
              <w:rPr>
                <w:rFonts w:ascii="Calibri" w:hAnsi="Calibri"/>
                <w:b/>
                <w:color w:val="FFFFFF"/>
                <w:sz w:val="18"/>
              </w:rPr>
              <w:t>Trigger / Attribution</w:t>
            </w:r>
          </w:p>
        </w:tc>
        <w:tc>
          <w:tcPr>
            <w:tcW w:type="dxa" w:w="1680"/>
            <w:shd w:fill="1A1446" w:val="clear"/>
          </w:tcPr>
          <w:p>
            <w:r>
              <w:rPr>
                <w:rFonts w:ascii="Calibri" w:hAnsi="Calibri"/>
                <w:b/>
                <w:color w:val="FFFFFF"/>
                <w:sz w:val="18"/>
              </w:rPr>
              <w:t>Sector Return</w:t>
            </w:r>
          </w:p>
        </w:tc>
        <w:tc>
          <w:tcPr>
            <w:tcW w:type="dxa" w:w="1680"/>
            <w:shd w:fill="1A1446" w:val="clear"/>
          </w:tcPr>
          <w:p>
            <w:r>
              <w:rPr>
                <w:rFonts w:ascii="Calibri" w:hAnsi="Calibri"/>
                <w:b/>
                <w:color w:val="FFFFFF"/>
                <w:sz w:val="18"/>
              </w:rPr>
              <w:t>Company-Specific</w:t>
            </w:r>
          </w:p>
        </w:tc>
      </w:tr>
      <w:tr>
        <w:tc>
          <w:tcPr>
            <w:tcW w:type="dxa" w:w="1680"/>
          </w:tcPr>
          <w:p>
            <w:r>
              <w:rPr>
                <w:rFonts w:ascii="Calibri" w:hAnsi="Calibri"/>
                <w:color w:val="333333"/>
                <w:sz w:val="18"/>
              </w:rPr>
              <w:t>2025-04-04</w:t>
            </w:r>
          </w:p>
        </w:tc>
        <w:tc>
          <w:tcPr>
            <w:tcW w:type="dxa" w:w="1680"/>
          </w:tcPr>
          <w:p>
            <w:r>
              <w:rPr>
                <w:rFonts w:ascii="Calibri" w:hAnsi="Calibri"/>
                <w:color w:val="333333"/>
                <w:sz w:val="18"/>
              </w:rPr>
              <w:t>-5.0%</w:t>
            </w:r>
          </w:p>
        </w:tc>
        <w:tc>
          <w:tcPr>
            <w:tcW w:type="dxa" w:w="1680"/>
          </w:tcPr>
          <w:p>
            <w:r>
              <w:rPr>
                <w:rFonts w:ascii="Calibri" w:hAnsi="Calibri"/>
                <w:color w:val="333333"/>
                <w:sz w:val="18"/>
              </w:rPr>
              <w:t>SINGLE_DAY</w:t>
            </w:r>
          </w:p>
        </w:tc>
        <w:tc>
          <w:tcPr>
            <w:tcW w:type="dxa" w:w="1680"/>
          </w:tcPr>
          <w:p>
            <w:r>
              <w:rPr>
                <w:rFonts w:ascii="Calibri" w:hAnsi="Calibri"/>
                <w:color w:val="333333"/>
                <w:sz w:val="18"/>
              </w:rPr>
              <w:t>8-K_filing</w:t>
            </w:r>
          </w:p>
        </w:tc>
        <w:tc>
          <w:tcPr>
            <w:tcW w:type="dxa" w:w="1680"/>
          </w:tcPr>
          <w:p>
            <w:r>
              <w:rPr>
                <w:rFonts w:ascii="Calibri" w:hAnsi="Calibri"/>
                <w:color w:val="333333"/>
                <w:sz w:val="18"/>
              </w:rPr>
              <w:t>-4.3%</w:t>
            </w:r>
          </w:p>
        </w:tc>
        <w:tc>
          <w:tcPr>
            <w:tcW w:type="dxa" w:w="1680"/>
            <w:shd w:fill="FFF3CD" w:val="clear"/>
          </w:tcPr>
          <w:p>
            <w:r>
              <w:rPr>
                <w:rFonts w:ascii="Calibri" w:hAnsi="Calibri"/>
                <w:color w:val="333333"/>
                <w:sz w:val="18"/>
              </w:rPr>
              <w:t>Yes</w:t>
            </w:r>
          </w:p>
        </w:tc>
      </w:tr>
    </w:tbl>
    <w:p>
      <w:pPr>
        <w:pStyle w:val="DOBody"/>
      </w:pPr>
      <w:r>
        <w:t>Company-Specific Drops: 1 event(s) exceeded sector movement. While individually moderate, a pattern of company-specific drops may indicate emerging D&amp;O litigation risk.</w:t>
      </w:r>
      <w:r>
        <w:rPr>
          <w:b/>
          <w:color w:val="EAB308"/>
          <w:sz w:val="18"/>
        </w:rPr>
        <w:t xml:space="preserve"> [ELEVATED]</w:t>
      </w:r>
    </w:p>
    <w:p>
      <w:pPr>
        <w:pStyle w:val="DOHeading2"/>
      </w:pPr>
      <w:r>
        <w:t>Insider Trading Analysis</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Metric</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Net Direction (12mo)</w:t>
            </w:r>
          </w:p>
        </w:tc>
        <w:tc>
          <w:tcPr>
            <w:tcW w:type="dxa" w:w="5040"/>
          </w:tcPr>
          <w:p>
            <w:r>
              <w:rPr>
                <w:rFonts w:ascii="Calibri" w:hAnsi="Calibri"/>
                <w:color w:val="333333"/>
                <w:sz w:val="18"/>
              </w:rPr>
              <w:t>NET_SELLING</w:t>
            </w:r>
          </w:p>
        </w:tc>
      </w:tr>
      <w:tr>
        <w:tc>
          <w:tcPr>
            <w:tcW w:type="dxa" w:w="5040"/>
            <w:shd w:fill="F2F4F8" w:val="clear"/>
          </w:tcPr>
          <w:p>
            <w:r>
              <w:rPr>
                <w:rFonts w:ascii="Calibri" w:hAnsi="Calibri"/>
                <w:color w:val="333333"/>
                <w:sz w:val="18"/>
              </w:rPr>
              <w:t>10b5-1 Plan %</w:t>
            </w:r>
          </w:p>
        </w:tc>
        <w:tc>
          <w:tcPr>
            <w:tcW w:type="dxa" w:w="5040"/>
            <w:shd w:fill="F2F4F8" w:val="clear"/>
          </w:tcPr>
          <w:p>
            <w:r>
              <w:rPr>
                <w:rFonts w:ascii="Calibri" w:hAnsi="Calibri"/>
                <w:color w:val="333333"/>
                <w:sz w:val="18"/>
              </w:rPr>
              <w:t>0.0%</w:t>
            </w:r>
          </w:p>
        </w:tc>
      </w:tr>
      <w:tr>
        <w:tc>
          <w:tcPr>
            <w:tcW w:type="dxa" w:w="5040"/>
          </w:tcPr>
          <w:p>
            <w:r>
              <w:rPr>
                <w:rFonts w:ascii="Calibri" w:hAnsi="Calibri"/>
                <w:color w:val="333333"/>
                <w:sz w:val="18"/>
              </w:rPr>
              <w:t>Buy Transactions</w:t>
            </w:r>
          </w:p>
        </w:tc>
        <w:tc>
          <w:tcPr>
            <w:tcW w:type="dxa" w:w="5040"/>
          </w:tcPr>
          <w:p>
            <w:r>
              <w:rPr>
                <w:rFonts w:ascii="Calibri" w:hAnsi="Calibri"/>
                <w:color w:val="333333"/>
                <w:sz w:val="18"/>
              </w:rPr>
              <w:t>0</w:t>
            </w:r>
          </w:p>
        </w:tc>
      </w:tr>
      <w:tr>
        <w:tc>
          <w:tcPr>
            <w:tcW w:type="dxa" w:w="5040"/>
            <w:shd w:fill="F2F4F8" w:val="clear"/>
          </w:tcPr>
          <w:p>
            <w:r>
              <w:rPr>
                <w:rFonts w:ascii="Calibri" w:hAnsi="Calibri"/>
                <w:color w:val="333333"/>
                <w:sz w:val="18"/>
              </w:rPr>
              <w:t>Sell Transactions</w:t>
            </w:r>
          </w:p>
        </w:tc>
        <w:tc>
          <w:tcPr>
            <w:tcW w:type="dxa" w:w="5040"/>
            <w:shd w:fill="F2F4F8" w:val="clear"/>
          </w:tcPr>
          <w:p>
            <w:r>
              <w:rPr>
                <w:rFonts w:ascii="Calibri" w:hAnsi="Calibri"/>
                <w:color w:val="333333"/>
                <w:sz w:val="18"/>
              </w:rPr>
              <w:t>14</w:t>
            </w:r>
          </w:p>
        </w:tc>
      </w:tr>
      <w:tr>
        <w:tc>
          <w:tcPr>
            <w:tcW w:type="dxa" w:w="5040"/>
          </w:tcPr>
          <w:p>
            <w:r>
              <w:rPr>
                <w:rFonts w:ascii="Calibri" w:hAnsi="Calibri"/>
                <w:color w:val="333333"/>
                <w:sz w:val="18"/>
              </w:rPr>
              <w:t>Cluster Events</w:t>
            </w:r>
          </w:p>
        </w:tc>
        <w:tc>
          <w:tcPr>
            <w:tcW w:type="dxa" w:w="5040"/>
          </w:tcPr>
          <w:p>
            <w:r>
              <w:rPr>
                <w:rFonts w:ascii="Calibri" w:hAnsi="Calibri"/>
                <w:color w:val="333333"/>
                <w:sz w:val="18"/>
              </w:rPr>
              <w:t>5</w:t>
            </w:r>
          </w:p>
        </w:tc>
      </w:tr>
    </w:tbl>
    <w:p>
      <w:pPr>
        <w:pStyle w:val="DOHeading3"/>
      </w:pPr>
      <w:r>
        <w:t>Transaction Detail</w:t>
      </w:r>
    </w:p>
    <w:tbl>
      <w:tblPr>
        <w:tblStyle w:val="TableGrid"/>
        <w:tblW w:type="auto" w:w="0"/>
        <w:tblLook w:firstColumn="1" w:firstRow="1" w:lastColumn="0" w:lastRow="0" w:noHBand="0" w:noVBand="1" w:val="04A0"/>
      </w:tblPr>
      <w:tblGrid>
        <w:gridCol w:w="1440"/>
        <w:gridCol w:w="1440"/>
        <w:gridCol w:w="1440"/>
        <w:gridCol w:w="1440"/>
        <w:gridCol w:w="1440"/>
        <w:gridCol w:w="1440"/>
        <w:gridCol w:w="1440"/>
      </w:tblGrid>
      <w:tr>
        <w:tc>
          <w:tcPr>
            <w:tcW w:type="dxa" w:w="1440"/>
            <w:shd w:fill="1A1446" w:val="clear"/>
          </w:tcPr>
          <w:p>
            <w:r>
              <w:rPr>
                <w:rFonts w:ascii="Calibri" w:hAnsi="Calibri"/>
                <w:b/>
                <w:color w:val="FFFFFF"/>
                <w:sz w:val="18"/>
              </w:rPr>
              <w:t>Date</w:t>
            </w:r>
          </w:p>
        </w:tc>
        <w:tc>
          <w:tcPr>
            <w:tcW w:type="dxa" w:w="1440"/>
            <w:shd w:fill="1A1446" w:val="clear"/>
          </w:tcPr>
          <w:p>
            <w:r>
              <w:rPr>
                <w:rFonts w:ascii="Calibri" w:hAnsi="Calibri"/>
                <w:b/>
                <w:color w:val="FFFFFF"/>
                <w:sz w:val="18"/>
              </w:rPr>
              <w:t>Insider</w:t>
            </w:r>
          </w:p>
        </w:tc>
        <w:tc>
          <w:tcPr>
            <w:tcW w:type="dxa" w:w="1440"/>
            <w:shd w:fill="1A1446" w:val="clear"/>
          </w:tcPr>
          <w:p>
            <w:r>
              <w:rPr>
                <w:rFonts w:ascii="Calibri" w:hAnsi="Calibri"/>
                <w:b/>
                <w:color w:val="FFFFFF"/>
                <w:sz w:val="18"/>
              </w:rPr>
              <w:t>Title</w:t>
            </w:r>
          </w:p>
        </w:tc>
        <w:tc>
          <w:tcPr>
            <w:tcW w:type="dxa" w:w="1440"/>
            <w:shd w:fill="1A1446" w:val="clear"/>
          </w:tcPr>
          <w:p>
            <w:r>
              <w:rPr>
                <w:rFonts w:ascii="Calibri" w:hAnsi="Calibri"/>
                <w:b/>
                <w:color w:val="FFFFFF"/>
                <w:sz w:val="18"/>
              </w:rPr>
              <w:t>Type</w:t>
            </w:r>
          </w:p>
        </w:tc>
        <w:tc>
          <w:tcPr>
            <w:tcW w:type="dxa" w:w="1440"/>
            <w:shd w:fill="1A1446" w:val="clear"/>
          </w:tcPr>
          <w:p>
            <w:r>
              <w:rPr>
                <w:rFonts w:ascii="Calibri" w:hAnsi="Calibri"/>
                <w:b/>
                <w:color w:val="FFFFFF"/>
                <w:sz w:val="18"/>
              </w:rPr>
              <w:t>Shares</w:t>
            </w:r>
          </w:p>
        </w:tc>
        <w:tc>
          <w:tcPr>
            <w:tcW w:type="dxa" w:w="1440"/>
            <w:shd w:fill="1A1446" w:val="clear"/>
          </w:tcPr>
          <w:p>
            <w:r>
              <w:rPr>
                <w:rFonts w:ascii="Calibri" w:hAnsi="Calibri"/>
                <w:b/>
                <w:color w:val="FFFFFF"/>
                <w:sz w:val="18"/>
              </w:rPr>
              <w:t>Value</w:t>
            </w:r>
          </w:p>
        </w:tc>
        <w:tc>
          <w:tcPr>
            <w:tcW w:type="dxa" w:w="1440"/>
            <w:shd w:fill="1A1446" w:val="clear"/>
          </w:tcPr>
          <w:p>
            <w:r>
              <w:rPr>
                <w:rFonts w:ascii="Calibri" w:hAnsi="Calibri"/>
                <w:b/>
                <w:color w:val="FFFFFF"/>
                <w:sz w:val="18"/>
              </w:rPr>
              <w:t>10b5-1</w:t>
            </w:r>
          </w:p>
        </w:tc>
      </w:tr>
      <w:tr>
        <w:tc>
          <w:tcPr>
            <w:tcW w:type="dxa" w:w="1440"/>
          </w:tcPr>
          <w:p>
            <w:r>
              <w:rPr>
                <w:rFonts w:ascii="Calibri" w:hAnsi="Calibri"/>
                <w:color w:val="333333"/>
                <w:sz w:val="18"/>
              </w:rPr>
              <w:t>2026-03-10</w:t>
            </w:r>
          </w:p>
        </w:tc>
        <w:tc>
          <w:tcPr>
            <w:tcW w:type="dxa" w:w="1440"/>
          </w:tcPr>
          <w:p>
            <w:r>
              <w:rPr>
                <w:rFonts w:ascii="Calibri" w:hAnsi="Calibri"/>
                <w:color w:val="333333"/>
                <w:sz w:val="18"/>
              </w:rPr>
              <w:t>Portman Robert Jones</w:t>
            </w:r>
          </w:p>
        </w:tc>
        <w:tc>
          <w:tcPr>
            <w:tcW w:type="dxa" w:w="1440"/>
          </w:tcPr>
          <w:p>
            <w:r>
              <w:rPr>
                <w:rFonts w:ascii="Calibri" w:hAnsi="Calibri"/>
                <w:color w:val="333333"/>
                <w:sz w:val="18"/>
              </w:rPr>
              <w:t>Director</w:t>
            </w:r>
          </w:p>
        </w:tc>
        <w:tc>
          <w:tcPr>
            <w:tcW w:type="dxa" w:w="1440"/>
          </w:tcPr>
          <w:p>
            <w:r>
              <w:rPr>
                <w:rFonts w:ascii="Calibri" w:hAnsi="Calibri"/>
                <w:color w:val="333333"/>
                <w:sz w:val="18"/>
              </w:rPr>
              <w:t>GRANT</w:t>
            </w:r>
          </w:p>
        </w:tc>
        <w:tc>
          <w:tcPr>
            <w:tcW w:type="dxa" w:w="1440"/>
          </w:tcPr>
          <w:p>
            <w:r>
              <w:rPr>
                <w:rFonts w:ascii="Calibri" w:hAnsi="Calibri"/>
                <w:color w:val="333333"/>
                <w:sz w:val="18"/>
              </w:rPr>
              <w:t>49</w:t>
            </w:r>
          </w:p>
        </w:tc>
        <w:tc>
          <w:tcPr>
            <w:tcW w:type="dxa" w:w="1440"/>
          </w:tcPr>
          <w:p>
            <w:r>
              <w:rPr>
                <w:rFonts w:ascii="Calibri" w:hAnsi="Calibri"/>
                <w:color w:val="333333"/>
                <w:sz w:val="18"/>
              </w:rPr>
              <w:t>$0</w:t>
            </w:r>
          </w:p>
        </w:tc>
        <w:tc>
          <w:tcPr>
            <w:tcW w:type="dxa" w:w="1440"/>
          </w:tcPr>
          <w:p>
            <w:r>
              <w:rPr>
                <w:rFonts w:ascii="Calibri" w:hAnsi="Calibri"/>
                <w:color w:val="333333"/>
                <w:sz w:val="18"/>
              </w:rPr>
              <w:t>No (Discretionary)</w:t>
            </w:r>
          </w:p>
        </w:tc>
      </w:tr>
      <w:tr>
        <w:tc>
          <w:tcPr>
            <w:tcW w:type="dxa" w:w="1440"/>
            <w:shd w:fill="F2F4F8" w:val="clear"/>
          </w:tcPr>
          <w:p>
            <w:r>
              <w:rPr>
                <w:rFonts w:ascii="Calibri" w:hAnsi="Calibri"/>
                <w:color w:val="333333"/>
                <w:sz w:val="18"/>
              </w:rPr>
              <w:t>2026-03-10</w:t>
            </w:r>
          </w:p>
        </w:tc>
        <w:tc>
          <w:tcPr>
            <w:tcW w:type="dxa" w:w="1440"/>
            <w:shd w:fill="F2F4F8" w:val="clear"/>
          </w:tcPr>
          <w:p>
            <w:r>
              <w:rPr>
                <w:rFonts w:ascii="Calibri" w:hAnsi="Calibri"/>
                <w:color w:val="333333"/>
                <w:sz w:val="18"/>
              </w:rPr>
              <w:t>Portman Robert Jones</w:t>
            </w:r>
          </w:p>
        </w:tc>
        <w:tc>
          <w:tcPr>
            <w:tcW w:type="dxa" w:w="1440"/>
            <w:shd w:fill="F2F4F8" w:val="clear"/>
          </w:tcPr>
          <w:p>
            <w:r>
              <w:rPr>
                <w:rFonts w:ascii="Calibri" w:hAnsi="Calibri"/>
                <w:color w:val="333333"/>
                <w:sz w:val="18"/>
              </w:rPr>
              <w:t>Director</w:t>
            </w:r>
          </w:p>
        </w:tc>
        <w:tc>
          <w:tcPr>
            <w:tcW w:type="dxa" w:w="1440"/>
            <w:shd w:fill="F2F4F8" w:val="clear"/>
          </w:tcPr>
          <w:p>
            <w:r>
              <w:rPr>
                <w:rFonts w:ascii="Calibri" w:hAnsi="Calibri"/>
                <w:color w:val="333333"/>
                <w:sz w:val="18"/>
              </w:rPr>
              <w:t>GRANT</w:t>
            </w:r>
          </w:p>
        </w:tc>
        <w:tc>
          <w:tcPr>
            <w:tcW w:type="dxa" w:w="1440"/>
            <w:shd w:fill="F2F4F8" w:val="clear"/>
          </w:tcPr>
          <w:p>
            <w:r>
              <w:rPr>
                <w:rFonts w:ascii="Calibri" w:hAnsi="Calibri"/>
                <w:color w:val="333333"/>
                <w:sz w:val="18"/>
              </w:rPr>
              <w:t>193</w:t>
            </w:r>
          </w:p>
        </w:tc>
        <w:tc>
          <w:tcPr>
            <w:tcW w:type="dxa" w:w="1440"/>
            <w:shd w:fill="F2F4F8" w:val="clear"/>
          </w:tcPr>
          <w:p>
            <w:r>
              <w:rPr>
                <w:rFonts w:ascii="Calibri" w:hAnsi="Calibri"/>
                <w:color w:val="333333"/>
                <w:sz w:val="18"/>
              </w:rPr>
              <w:t>$0</w:t>
            </w:r>
          </w:p>
        </w:tc>
        <w:tc>
          <w:tcPr>
            <w:tcW w:type="dxa" w:w="1440"/>
            <w:shd w:fill="F2F4F8" w:val="clear"/>
          </w:tcPr>
          <w:p>
            <w:r>
              <w:rPr>
                <w:rFonts w:ascii="Calibri" w:hAnsi="Calibri"/>
                <w:color w:val="333333"/>
                <w:sz w:val="18"/>
              </w:rPr>
              <w:t>No (Discretionary)</w:t>
            </w:r>
          </w:p>
        </w:tc>
      </w:tr>
      <w:tr>
        <w:tc>
          <w:tcPr>
            <w:tcW w:type="dxa" w:w="1440"/>
          </w:tcPr>
          <w:p>
            <w:r>
              <w:rPr>
                <w:rFonts w:ascii="Calibri" w:hAnsi="Calibri"/>
                <w:color w:val="333333"/>
                <w:sz w:val="18"/>
              </w:rPr>
              <w:t>2026-03-10</w:t>
            </w:r>
          </w:p>
        </w:tc>
        <w:tc>
          <w:tcPr>
            <w:tcW w:type="dxa" w:w="1440"/>
          </w:tcPr>
          <w:p>
            <w:r>
              <w:rPr>
                <w:rFonts w:ascii="Calibri" w:hAnsi="Calibri"/>
                <w:color w:val="333333"/>
                <w:sz w:val="18"/>
              </w:rPr>
              <w:t>McEvoy Ashley</w:t>
            </w:r>
          </w:p>
        </w:tc>
        <w:tc>
          <w:tcPr>
            <w:tcW w:type="dxa" w:w="1440"/>
          </w:tcPr>
          <w:p>
            <w:r>
              <w:rPr>
                <w:rFonts w:ascii="Calibri" w:hAnsi="Calibri"/>
                <w:color w:val="333333"/>
                <w:sz w:val="18"/>
              </w:rPr>
              <w:t>Director</w:t>
            </w:r>
          </w:p>
        </w:tc>
        <w:tc>
          <w:tcPr>
            <w:tcW w:type="dxa" w:w="1440"/>
          </w:tcPr>
          <w:p>
            <w:r>
              <w:rPr>
                <w:rFonts w:ascii="Calibri" w:hAnsi="Calibri"/>
                <w:color w:val="333333"/>
                <w:sz w:val="18"/>
              </w:rPr>
              <w:t>GRANT</w:t>
            </w:r>
          </w:p>
        </w:tc>
        <w:tc>
          <w:tcPr>
            <w:tcW w:type="dxa" w:w="1440"/>
          </w:tcPr>
          <w:p>
            <w:r>
              <w:rPr>
                <w:rFonts w:ascii="Calibri" w:hAnsi="Calibri"/>
                <w:color w:val="333333"/>
                <w:sz w:val="18"/>
              </w:rPr>
              <w:t>161</w:t>
            </w:r>
          </w:p>
        </w:tc>
        <w:tc>
          <w:tcPr>
            <w:tcW w:type="dxa" w:w="1440"/>
          </w:tcPr>
          <w:p>
            <w:r>
              <w:rPr>
                <w:rFonts w:ascii="Calibri" w:hAnsi="Calibri"/>
                <w:color w:val="333333"/>
                <w:sz w:val="18"/>
              </w:rPr>
              <w:t>$0</w:t>
            </w:r>
          </w:p>
        </w:tc>
        <w:tc>
          <w:tcPr>
            <w:tcW w:type="dxa" w:w="1440"/>
          </w:tcPr>
          <w:p>
            <w:r>
              <w:rPr>
                <w:rFonts w:ascii="Calibri" w:hAnsi="Calibri"/>
                <w:color w:val="333333"/>
                <w:sz w:val="18"/>
              </w:rPr>
              <w:t>No (Discretionary)</w:t>
            </w:r>
          </w:p>
        </w:tc>
      </w:tr>
      <w:tr>
        <w:tc>
          <w:tcPr>
            <w:tcW w:type="dxa" w:w="1440"/>
            <w:shd w:fill="F2F4F8" w:val="clear"/>
          </w:tcPr>
          <w:p>
            <w:r>
              <w:rPr>
                <w:rFonts w:ascii="Calibri" w:hAnsi="Calibri"/>
                <w:color w:val="333333"/>
                <w:sz w:val="18"/>
              </w:rPr>
              <w:t>2026-03-10</w:t>
            </w:r>
          </w:p>
        </w:tc>
        <w:tc>
          <w:tcPr>
            <w:tcW w:type="dxa" w:w="1440"/>
            <w:shd w:fill="F2F4F8" w:val="clear"/>
          </w:tcPr>
          <w:p>
            <w:r>
              <w:rPr>
                <w:rFonts w:ascii="Calibri" w:hAnsi="Calibri"/>
                <w:color w:val="333333"/>
                <w:sz w:val="18"/>
              </w:rPr>
              <w:t>McCarthy Christine M</w:t>
            </w:r>
          </w:p>
        </w:tc>
        <w:tc>
          <w:tcPr>
            <w:tcW w:type="dxa" w:w="1440"/>
            <w:shd w:fill="F2F4F8" w:val="clear"/>
          </w:tcPr>
          <w:p>
            <w:r>
              <w:rPr>
                <w:rFonts w:ascii="Calibri" w:hAnsi="Calibri"/>
                <w:color w:val="333333"/>
                <w:sz w:val="18"/>
              </w:rPr>
              <w:t>Director</w:t>
            </w:r>
          </w:p>
        </w:tc>
        <w:tc>
          <w:tcPr>
            <w:tcW w:type="dxa" w:w="1440"/>
            <w:shd w:fill="F2F4F8" w:val="clear"/>
          </w:tcPr>
          <w:p>
            <w:r>
              <w:rPr>
                <w:rFonts w:ascii="Calibri" w:hAnsi="Calibri"/>
                <w:color w:val="333333"/>
                <w:sz w:val="18"/>
              </w:rPr>
              <w:t>GRANT</w:t>
            </w:r>
          </w:p>
        </w:tc>
        <w:tc>
          <w:tcPr>
            <w:tcW w:type="dxa" w:w="1440"/>
            <w:shd w:fill="F2F4F8" w:val="clear"/>
          </w:tcPr>
          <w:p>
            <w:r>
              <w:rPr>
                <w:rFonts w:ascii="Calibri" w:hAnsi="Calibri"/>
                <w:color w:val="333333"/>
                <w:sz w:val="18"/>
              </w:rPr>
              <w:t>209</w:t>
            </w:r>
          </w:p>
        </w:tc>
        <w:tc>
          <w:tcPr>
            <w:tcW w:type="dxa" w:w="1440"/>
            <w:shd w:fill="F2F4F8" w:val="clear"/>
          </w:tcPr>
          <w:p>
            <w:r>
              <w:rPr>
                <w:rFonts w:ascii="Calibri" w:hAnsi="Calibri"/>
                <w:color w:val="333333"/>
                <w:sz w:val="18"/>
              </w:rPr>
              <w:t>$0</w:t>
            </w:r>
          </w:p>
        </w:tc>
        <w:tc>
          <w:tcPr>
            <w:tcW w:type="dxa" w:w="1440"/>
            <w:shd w:fill="F2F4F8" w:val="clear"/>
          </w:tcPr>
          <w:p>
            <w:r>
              <w:rPr>
                <w:rFonts w:ascii="Calibri" w:hAnsi="Calibri"/>
                <w:color w:val="333333"/>
                <w:sz w:val="18"/>
              </w:rPr>
              <w:t>No (Discretionary)</w:t>
            </w:r>
          </w:p>
        </w:tc>
      </w:tr>
      <w:tr>
        <w:tc>
          <w:tcPr>
            <w:tcW w:type="dxa" w:w="1440"/>
          </w:tcPr>
          <w:p>
            <w:r>
              <w:rPr>
                <w:rFonts w:ascii="Calibri" w:hAnsi="Calibri"/>
                <w:color w:val="333333"/>
                <w:sz w:val="18"/>
              </w:rPr>
              <w:t>2026-03-10</w:t>
            </w:r>
          </w:p>
        </w:tc>
        <w:tc>
          <w:tcPr>
            <w:tcW w:type="dxa" w:w="1440"/>
          </w:tcPr>
          <w:p>
            <w:r>
              <w:rPr>
                <w:rFonts w:ascii="Calibri" w:hAnsi="Calibri"/>
                <w:color w:val="333333"/>
                <w:sz w:val="18"/>
              </w:rPr>
              <w:t>Kempczinski Christopher J</w:t>
            </w:r>
          </w:p>
        </w:tc>
        <w:tc>
          <w:tcPr>
            <w:tcW w:type="dxa" w:w="1440"/>
          </w:tcPr>
          <w:p>
            <w:r>
              <w:rPr>
                <w:rFonts w:ascii="Calibri" w:hAnsi="Calibri"/>
                <w:color w:val="333333"/>
                <w:sz w:val="18"/>
              </w:rPr>
              <w:t>Director</w:t>
            </w:r>
          </w:p>
        </w:tc>
        <w:tc>
          <w:tcPr>
            <w:tcW w:type="dxa" w:w="1440"/>
          </w:tcPr>
          <w:p>
            <w:r>
              <w:rPr>
                <w:rFonts w:ascii="Calibri" w:hAnsi="Calibri"/>
                <w:color w:val="333333"/>
                <w:sz w:val="18"/>
              </w:rPr>
              <w:t>GRANT</w:t>
            </w:r>
          </w:p>
        </w:tc>
        <w:tc>
          <w:tcPr>
            <w:tcW w:type="dxa" w:w="1440"/>
          </w:tcPr>
          <w:p>
            <w:r>
              <w:rPr>
                <w:rFonts w:ascii="Calibri" w:hAnsi="Calibri"/>
                <w:color w:val="333333"/>
                <w:sz w:val="18"/>
              </w:rPr>
              <w:t>201</w:t>
            </w:r>
          </w:p>
        </w:tc>
        <w:tc>
          <w:tcPr>
            <w:tcW w:type="dxa" w:w="1440"/>
          </w:tcPr>
          <w:p>
            <w:r>
              <w:rPr>
                <w:rFonts w:ascii="Calibri" w:hAnsi="Calibri"/>
                <w:color w:val="333333"/>
                <w:sz w:val="18"/>
              </w:rPr>
              <w:t>$0</w:t>
            </w:r>
          </w:p>
        </w:tc>
        <w:tc>
          <w:tcPr>
            <w:tcW w:type="dxa" w:w="1440"/>
          </w:tcPr>
          <w:p>
            <w:r>
              <w:rPr>
                <w:rFonts w:ascii="Calibri" w:hAnsi="Calibri"/>
                <w:color w:val="333333"/>
                <w:sz w:val="18"/>
              </w:rPr>
              <w:t>No (Discretionary)</w:t>
            </w:r>
          </w:p>
        </w:tc>
      </w:tr>
      <w:tr>
        <w:tc>
          <w:tcPr>
            <w:tcW w:type="dxa" w:w="1440"/>
            <w:shd w:fill="F2F4F8" w:val="clear"/>
          </w:tcPr>
          <w:p>
            <w:r>
              <w:rPr>
                <w:rFonts w:ascii="Calibri" w:hAnsi="Calibri"/>
                <w:color w:val="333333"/>
                <w:sz w:val="18"/>
              </w:rPr>
              <w:t>2026-03-10</w:t>
            </w:r>
          </w:p>
        </w:tc>
        <w:tc>
          <w:tcPr>
            <w:tcW w:type="dxa" w:w="1440"/>
            <w:shd w:fill="F2F4F8" w:val="clear"/>
          </w:tcPr>
          <w:p>
            <w:r>
              <w:rPr>
                <w:rFonts w:ascii="Calibri" w:hAnsi="Calibri"/>
                <w:color w:val="333333"/>
                <w:sz w:val="18"/>
              </w:rPr>
              <w:t>JIMENEZ JOSEPH</w:t>
            </w:r>
          </w:p>
        </w:tc>
        <w:tc>
          <w:tcPr>
            <w:tcW w:type="dxa" w:w="1440"/>
            <w:shd w:fill="F2F4F8" w:val="clear"/>
          </w:tcPr>
          <w:p>
            <w:r>
              <w:rPr>
                <w:rFonts w:ascii="Calibri" w:hAnsi="Calibri"/>
                <w:color w:val="333333"/>
                <w:sz w:val="18"/>
              </w:rPr>
              <w:t>Director</w:t>
            </w:r>
          </w:p>
        </w:tc>
        <w:tc>
          <w:tcPr>
            <w:tcW w:type="dxa" w:w="1440"/>
            <w:shd w:fill="F2F4F8" w:val="clear"/>
          </w:tcPr>
          <w:p>
            <w:r>
              <w:rPr>
                <w:rFonts w:ascii="Calibri" w:hAnsi="Calibri"/>
                <w:color w:val="333333"/>
                <w:sz w:val="18"/>
              </w:rPr>
              <w:t>GRANT</w:t>
            </w:r>
          </w:p>
        </w:tc>
        <w:tc>
          <w:tcPr>
            <w:tcW w:type="dxa" w:w="1440"/>
            <w:shd w:fill="F2F4F8" w:val="clear"/>
          </w:tcPr>
          <w:p>
            <w:r>
              <w:rPr>
                <w:rFonts w:ascii="Calibri" w:hAnsi="Calibri"/>
                <w:color w:val="333333"/>
                <w:sz w:val="18"/>
              </w:rPr>
              <w:t>273</w:t>
            </w:r>
          </w:p>
        </w:tc>
        <w:tc>
          <w:tcPr>
            <w:tcW w:type="dxa" w:w="1440"/>
            <w:shd w:fill="F2F4F8" w:val="clear"/>
          </w:tcPr>
          <w:p>
            <w:r>
              <w:rPr>
                <w:rFonts w:ascii="Calibri" w:hAnsi="Calibri"/>
                <w:color w:val="333333"/>
                <w:sz w:val="18"/>
              </w:rPr>
              <w:t>$0</w:t>
            </w:r>
          </w:p>
        </w:tc>
        <w:tc>
          <w:tcPr>
            <w:tcW w:type="dxa" w:w="1440"/>
            <w:shd w:fill="F2F4F8" w:val="clear"/>
          </w:tcPr>
          <w:p>
            <w:r>
              <w:rPr>
                <w:rFonts w:ascii="Calibri" w:hAnsi="Calibri"/>
                <w:color w:val="333333"/>
                <w:sz w:val="18"/>
              </w:rPr>
              <w:t>No (Discretionary)</w:t>
            </w:r>
          </w:p>
        </w:tc>
      </w:tr>
      <w:tr>
        <w:tc>
          <w:tcPr>
            <w:tcW w:type="dxa" w:w="1440"/>
          </w:tcPr>
          <w:p>
            <w:r>
              <w:rPr>
                <w:rFonts w:ascii="Calibri" w:hAnsi="Calibri"/>
                <w:color w:val="333333"/>
                <w:sz w:val="18"/>
              </w:rPr>
              <w:t>2026-03-10</w:t>
            </w:r>
          </w:p>
        </w:tc>
        <w:tc>
          <w:tcPr>
            <w:tcW w:type="dxa" w:w="1440"/>
          </w:tcPr>
          <w:p>
            <w:r>
              <w:rPr>
                <w:rFonts w:ascii="Calibri" w:hAnsi="Calibri"/>
                <w:color w:val="333333"/>
                <w:sz w:val="18"/>
              </w:rPr>
              <w:t>ARNOLD CRAIG</w:t>
            </w:r>
          </w:p>
        </w:tc>
        <w:tc>
          <w:tcPr>
            <w:tcW w:type="dxa" w:w="1440"/>
          </w:tcPr>
          <w:p>
            <w:r>
              <w:rPr>
                <w:rFonts w:ascii="Calibri" w:hAnsi="Calibri"/>
                <w:color w:val="333333"/>
                <w:sz w:val="18"/>
              </w:rPr>
              <w:t>Director</w:t>
            </w:r>
          </w:p>
        </w:tc>
        <w:tc>
          <w:tcPr>
            <w:tcW w:type="dxa" w:w="1440"/>
          </w:tcPr>
          <w:p>
            <w:r>
              <w:rPr>
                <w:rFonts w:ascii="Calibri" w:hAnsi="Calibri"/>
                <w:color w:val="333333"/>
                <w:sz w:val="18"/>
              </w:rPr>
              <w:t>GRANT</w:t>
            </w:r>
          </w:p>
        </w:tc>
        <w:tc>
          <w:tcPr>
            <w:tcW w:type="dxa" w:w="1440"/>
          </w:tcPr>
          <w:p>
            <w:r>
              <w:rPr>
                <w:rFonts w:ascii="Calibri" w:hAnsi="Calibri"/>
                <w:color w:val="333333"/>
                <w:sz w:val="18"/>
              </w:rPr>
              <w:t>161</w:t>
            </w:r>
          </w:p>
        </w:tc>
        <w:tc>
          <w:tcPr>
            <w:tcW w:type="dxa" w:w="1440"/>
          </w:tcPr>
          <w:p>
            <w:r>
              <w:rPr>
                <w:rFonts w:ascii="Calibri" w:hAnsi="Calibri"/>
                <w:color w:val="333333"/>
                <w:sz w:val="18"/>
              </w:rPr>
              <w:t>$0</w:t>
            </w:r>
          </w:p>
        </w:tc>
        <w:tc>
          <w:tcPr>
            <w:tcW w:type="dxa" w:w="1440"/>
          </w:tcPr>
          <w:p>
            <w:r>
              <w:rPr>
                <w:rFonts w:ascii="Calibri" w:hAnsi="Calibri"/>
                <w:color w:val="333333"/>
                <w:sz w:val="18"/>
              </w:rPr>
              <w:t>No (Discretionary)</w:t>
            </w:r>
          </w:p>
        </w:tc>
      </w:tr>
      <w:tr>
        <w:tc>
          <w:tcPr>
            <w:tcW w:type="dxa" w:w="1440"/>
            <w:shd w:fill="F2F4F8" w:val="clear"/>
          </w:tcPr>
          <w:p>
            <w:r>
              <w:rPr>
                <w:rFonts w:ascii="Calibri" w:hAnsi="Calibri"/>
                <w:color w:val="333333"/>
                <w:sz w:val="18"/>
              </w:rPr>
              <w:t>2026-02-27</w:t>
            </w:r>
          </w:p>
        </w:tc>
        <w:tc>
          <w:tcPr>
            <w:tcW w:type="dxa" w:w="1440"/>
            <w:shd w:fill="F2F4F8" w:val="clear"/>
          </w:tcPr>
          <w:p>
            <w:r>
              <w:rPr>
                <w:rFonts w:ascii="Calibri" w:hAnsi="Calibri"/>
                <w:color w:val="333333"/>
                <w:sz w:val="18"/>
              </w:rPr>
              <w:t>Francisco Ma. Fatima</w:t>
            </w:r>
          </w:p>
        </w:tc>
        <w:tc>
          <w:tcPr>
            <w:tcW w:type="dxa" w:w="1440"/>
            <w:shd w:fill="F2F4F8" w:val="clear"/>
          </w:tcPr>
          <w:p>
            <w:r>
              <w:rPr>
                <w:rFonts w:ascii="Calibri" w:hAnsi="Calibri"/>
                <w:color w:val="333333"/>
                <w:sz w:val="18"/>
              </w:rPr>
              <w:t>CEO - Baby, Fem &amp; Family Care</w:t>
            </w:r>
          </w:p>
        </w:tc>
        <w:tc>
          <w:tcPr>
            <w:tcW w:type="dxa" w:w="1440"/>
            <w:shd w:fill="F2F4F8" w:val="clear"/>
          </w:tcPr>
          <w:p>
            <w:r>
              <w:rPr>
                <w:rFonts w:ascii="Calibri" w:hAnsi="Calibri"/>
                <w:color w:val="333333"/>
                <w:sz w:val="18"/>
              </w:rPr>
              <w:t>SELL</w:t>
            </w:r>
          </w:p>
        </w:tc>
        <w:tc>
          <w:tcPr>
            <w:tcW w:type="dxa" w:w="1440"/>
            <w:shd w:fill="F2F4F8" w:val="clear"/>
          </w:tcPr>
          <w:p>
            <w:r>
              <w:rPr>
                <w:rFonts w:ascii="Calibri" w:hAnsi="Calibri"/>
                <w:color w:val="333333"/>
                <w:sz w:val="18"/>
              </w:rPr>
              <w:t>5,249</w:t>
            </w:r>
          </w:p>
        </w:tc>
        <w:tc>
          <w:tcPr>
            <w:tcW w:type="dxa" w:w="1440"/>
            <w:shd w:fill="F2F4F8" w:val="clear"/>
          </w:tcPr>
          <w:p>
            <w:r>
              <w:rPr>
                <w:rFonts w:ascii="Calibri" w:hAnsi="Calibri"/>
                <w:color w:val="333333"/>
                <w:sz w:val="18"/>
              </w:rPr>
              <w:t>$867.6K</w:t>
            </w:r>
          </w:p>
        </w:tc>
        <w:tc>
          <w:tcPr>
            <w:tcW w:type="dxa" w:w="1440"/>
            <w:shd w:fill="F2F4F8" w:val="clear"/>
            <w:shd w:fill="FFF3CD" w:val="clear"/>
          </w:tcPr>
          <w:p>
            <w:r>
              <w:rPr>
                <w:rFonts w:ascii="Calibri" w:hAnsi="Calibri"/>
                <w:color w:val="333333"/>
                <w:sz w:val="18"/>
              </w:rPr>
              <w:t>No (Discretionary)</w:t>
            </w:r>
          </w:p>
        </w:tc>
      </w:tr>
      <w:tr>
        <w:tc>
          <w:tcPr>
            <w:tcW w:type="dxa" w:w="1440"/>
          </w:tcPr>
          <w:p>
            <w:r>
              <w:rPr>
                <w:rFonts w:ascii="Calibri" w:hAnsi="Calibri"/>
                <w:color w:val="333333"/>
                <w:sz w:val="18"/>
              </w:rPr>
              <w:t>2026-02-27</w:t>
            </w:r>
          </w:p>
        </w:tc>
        <w:tc>
          <w:tcPr>
            <w:tcW w:type="dxa" w:w="1440"/>
          </w:tcPr>
          <w:p>
            <w:r>
              <w:rPr>
                <w:rFonts w:ascii="Calibri" w:hAnsi="Calibri"/>
                <w:color w:val="333333"/>
                <w:sz w:val="18"/>
              </w:rPr>
              <w:t>Francisco Ma. Fatima</w:t>
            </w:r>
          </w:p>
        </w:tc>
        <w:tc>
          <w:tcPr>
            <w:tcW w:type="dxa" w:w="1440"/>
          </w:tcPr>
          <w:p>
            <w:r>
              <w:rPr>
                <w:rFonts w:ascii="Calibri" w:hAnsi="Calibri"/>
                <w:color w:val="333333"/>
                <w:sz w:val="18"/>
              </w:rPr>
              <w:t>CEO - Baby, Fem &amp; Family Care</w:t>
            </w:r>
          </w:p>
        </w:tc>
        <w:tc>
          <w:tcPr>
            <w:tcW w:type="dxa" w:w="1440"/>
          </w:tcPr>
          <w:p>
            <w:r>
              <w:rPr>
                <w:rFonts w:ascii="Calibri" w:hAnsi="Calibri"/>
                <w:color w:val="333333"/>
                <w:sz w:val="18"/>
              </w:rPr>
              <w:t>SELL</w:t>
            </w:r>
          </w:p>
        </w:tc>
        <w:tc>
          <w:tcPr>
            <w:tcW w:type="dxa" w:w="1440"/>
          </w:tcPr>
          <w:p>
            <w:r>
              <w:rPr>
                <w:rFonts w:ascii="Calibri" w:hAnsi="Calibri"/>
                <w:color w:val="333333"/>
                <w:sz w:val="18"/>
              </w:rPr>
              <w:t>130</w:t>
            </w:r>
          </w:p>
        </w:tc>
        <w:tc>
          <w:tcPr>
            <w:tcW w:type="dxa" w:w="1440"/>
          </w:tcPr>
          <w:p>
            <w:r>
              <w:rPr>
                <w:rFonts w:ascii="Calibri" w:hAnsi="Calibri"/>
                <w:color w:val="333333"/>
                <w:sz w:val="18"/>
              </w:rPr>
              <w:t>$21.5K</w:t>
            </w:r>
          </w:p>
        </w:tc>
        <w:tc>
          <w:tcPr>
            <w:tcW w:type="dxa" w:w="1440"/>
            <w:shd w:fill="FFF3CD" w:val="clear"/>
          </w:tcPr>
          <w:p>
            <w:r>
              <w:rPr>
                <w:rFonts w:ascii="Calibri" w:hAnsi="Calibri"/>
                <w:color w:val="333333"/>
                <w:sz w:val="18"/>
              </w:rPr>
              <w:t>No (Discretionary)</w:t>
            </w:r>
          </w:p>
        </w:tc>
      </w:tr>
      <w:tr>
        <w:tc>
          <w:tcPr>
            <w:tcW w:type="dxa" w:w="1440"/>
            <w:shd w:fill="F2F4F8" w:val="clear"/>
          </w:tcPr>
          <w:p>
            <w:r>
              <w:rPr>
                <w:rFonts w:ascii="Calibri" w:hAnsi="Calibri"/>
                <w:color w:val="333333"/>
                <w:sz w:val="18"/>
              </w:rPr>
              <w:t>2026-02-27</w:t>
            </w:r>
          </w:p>
        </w:tc>
        <w:tc>
          <w:tcPr>
            <w:tcW w:type="dxa" w:w="1440"/>
            <w:shd w:fill="F2F4F8" w:val="clear"/>
          </w:tcPr>
          <w:p>
            <w:r>
              <w:rPr>
                <w:rFonts w:ascii="Calibri" w:hAnsi="Calibri"/>
                <w:color w:val="333333"/>
                <w:sz w:val="18"/>
              </w:rPr>
              <w:t>Francisco Ma. Fatima</w:t>
            </w:r>
          </w:p>
        </w:tc>
        <w:tc>
          <w:tcPr>
            <w:tcW w:type="dxa" w:w="1440"/>
            <w:shd w:fill="F2F4F8" w:val="clear"/>
          </w:tcPr>
          <w:p>
            <w:r>
              <w:rPr>
                <w:rFonts w:ascii="Calibri" w:hAnsi="Calibri"/>
                <w:color w:val="333333"/>
                <w:sz w:val="18"/>
              </w:rPr>
              <w:t>CEO - Baby, Fem &amp; Family Care</w:t>
            </w:r>
          </w:p>
        </w:tc>
        <w:tc>
          <w:tcPr>
            <w:tcW w:type="dxa" w:w="1440"/>
            <w:shd w:fill="F2F4F8" w:val="clear"/>
          </w:tcPr>
          <w:p>
            <w:r>
              <w:rPr>
                <w:rFonts w:ascii="Calibri" w:hAnsi="Calibri"/>
                <w:color w:val="333333"/>
                <w:sz w:val="18"/>
              </w:rPr>
              <w:t>SELL</w:t>
            </w:r>
          </w:p>
        </w:tc>
        <w:tc>
          <w:tcPr>
            <w:tcW w:type="dxa" w:w="1440"/>
            <w:shd w:fill="F2F4F8" w:val="clear"/>
          </w:tcPr>
          <w:p>
            <w:r>
              <w:rPr>
                <w:rFonts w:ascii="Calibri" w:hAnsi="Calibri"/>
                <w:color w:val="333333"/>
                <w:sz w:val="18"/>
              </w:rPr>
              <w:t>120</w:t>
            </w:r>
          </w:p>
        </w:tc>
        <w:tc>
          <w:tcPr>
            <w:tcW w:type="dxa" w:w="1440"/>
            <w:shd w:fill="F2F4F8" w:val="clear"/>
          </w:tcPr>
          <w:p>
            <w:r>
              <w:rPr>
                <w:rFonts w:ascii="Calibri" w:hAnsi="Calibri"/>
                <w:color w:val="333333"/>
                <w:sz w:val="18"/>
              </w:rPr>
              <w:t>$19.8K</w:t>
            </w:r>
          </w:p>
        </w:tc>
        <w:tc>
          <w:tcPr>
            <w:tcW w:type="dxa" w:w="1440"/>
            <w:shd w:fill="F2F4F8" w:val="clear"/>
            <w:shd w:fill="FFF3CD" w:val="clear"/>
          </w:tcPr>
          <w:p>
            <w:r>
              <w:rPr>
                <w:rFonts w:ascii="Calibri" w:hAnsi="Calibri"/>
                <w:color w:val="333333"/>
                <w:sz w:val="18"/>
              </w:rPr>
              <w:t>No (Discretionary)</w:t>
            </w:r>
          </w:p>
        </w:tc>
      </w:tr>
      <w:tr>
        <w:tc>
          <w:tcPr>
            <w:tcW w:type="dxa" w:w="1440"/>
          </w:tcPr>
          <w:p>
            <w:r>
              <w:rPr>
                <w:rFonts w:ascii="Calibri" w:hAnsi="Calibri"/>
                <w:color w:val="333333"/>
                <w:sz w:val="18"/>
              </w:rPr>
              <w:t>2026-02-27</w:t>
            </w:r>
          </w:p>
        </w:tc>
        <w:tc>
          <w:tcPr>
            <w:tcW w:type="dxa" w:w="1440"/>
          </w:tcPr>
          <w:p>
            <w:r>
              <w:rPr>
                <w:rFonts w:ascii="Calibri" w:hAnsi="Calibri"/>
                <w:color w:val="333333"/>
                <w:sz w:val="18"/>
              </w:rPr>
              <w:t>Francisco Ma. Fatima</w:t>
            </w:r>
          </w:p>
        </w:tc>
        <w:tc>
          <w:tcPr>
            <w:tcW w:type="dxa" w:w="1440"/>
          </w:tcPr>
          <w:p>
            <w:r>
              <w:rPr>
                <w:rFonts w:ascii="Calibri" w:hAnsi="Calibri"/>
                <w:color w:val="333333"/>
                <w:sz w:val="18"/>
              </w:rPr>
              <w:t>CEO - Baby, Fem &amp; Family Care</w:t>
            </w:r>
          </w:p>
        </w:tc>
        <w:tc>
          <w:tcPr>
            <w:tcW w:type="dxa" w:w="1440"/>
          </w:tcPr>
          <w:p>
            <w:r>
              <w:rPr>
                <w:rFonts w:ascii="Calibri" w:hAnsi="Calibri"/>
                <w:color w:val="333333"/>
                <w:sz w:val="18"/>
              </w:rPr>
              <w:t>SELL</w:t>
            </w:r>
          </w:p>
        </w:tc>
        <w:tc>
          <w:tcPr>
            <w:tcW w:type="dxa" w:w="1440"/>
          </w:tcPr>
          <w:p>
            <w:r>
              <w:rPr>
                <w:rFonts w:ascii="Calibri" w:hAnsi="Calibri"/>
                <w:color w:val="333333"/>
                <w:sz w:val="18"/>
              </w:rPr>
              <w:t>50</w:t>
            </w:r>
          </w:p>
        </w:tc>
        <w:tc>
          <w:tcPr>
            <w:tcW w:type="dxa" w:w="1440"/>
          </w:tcPr>
          <w:p>
            <w:r>
              <w:rPr>
                <w:rFonts w:ascii="Calibri" w:hAnsi="Calibri"/>
                <w:color w:val="333333"/>
                <w:sz w:val="18"/>
              </w:rPr>
              <w:t>$8.3K</w:t>
            </w:r>
          </w:p>
        </w:tc>
        <w:tc>
          <w:tcPr>
            <w:tcW w:type="dxa" w:w="1440"/>
            <w:shd w:fill="FFF3CD" w:val="clear"/>
          </w:tcPr>
          <w:p>
            <w:r>
              <w:rPr>
                <w:rFonts w:ascii="Calibri" w:hAnsi="Calibri"/>
                <w:color w:val="333333"/>
                <w:sz w:val="18"/>
              </w:rPr>
              <w:t>No (Discretionary)</w:t>
            </w:r>
          </w:p>
        </w:tc>
      </w:tr>
      <w:tr>
        <w:tc>
          <w:tcPr>
            <w:tcW w:type="dxa" w:w="1440"/>
            <w:shd w:fill="F2F4F8" w:val="clear"/>
          </w:tcPr>
          <w:p>
            <w:r>
              <w:rPr>
                <w:rFonts w:ascii="Calibri" w:hAnsi="Calibri"/>
                <w:color w:val="333333"/>
                <w:sz w:val="18"/>
              </w:rPr>
              <w:t>2026-02-19</w:t>
            </w:r>
          </w:p>
        </w:tc>
        <w:tc>
          <w:tcPr>
            <w:tcW w:type="dxa" w:w="1440"/>
            <w:shd w:fill="F2F4F8" w:val="clear"/>
          </w:tcPr>
          <w:p>
            <w:r>
              <w:rPr>
                <w:rFonts w:ascii="Calibri" w:hAnsi="Calibri"/>
                <w:color w:val="333333"/>
                <w:sz w:val="18"/>
              </w:rPr>
              <w:t>Whaley Susan Street</w:t>
            </w:r>
          </w:p>
        </w:tc>
        <w:tc>
          <w:tcPr>
            <w:tcW w:type="dxa" w:w="1440"/>
            <w:shd w:fill="F2F4F8" w:val="clear"/>
          </w:tcPr>
          <w:p>
            <w:r>
              <w:rPr>
                <w:rFonts w:ascii="Calibri" w:hAnsi="Calibri"/>
                <w:color w:val="333333"/>
                <w:sz w:val="18"/>
              </w:rPr>
              <w:t>Chief Legal Officer &amp; Secy</w:t>
            </w:r>
          </w:p>
        </w:tc>
        <w:tc>
          <w:tcPr>
            <w:tcW w:type="dxa" w:w="1440"/>
            <w:shd w:fill="F2F4F8" w:val="clear"/>
          </w:tcPr>
          <w:p>
            <w:r>
              <w:rPr>
                <w:rFonts w:ascii="Calibri" w:hAnsi="Calibri"/>
                <w:color w:val="333333"/>
                <w:sz w:val="18"/>
              </w:rPr>
              <w:t>SELL</w:t>
            </w:r>
          </w:p>
        </w:tc>
        <w:tc>
          <w:tcPr>
            <w:tcW w:type="dxa" w:w="1440"/>
            <w:shd w:fill="F2F4F8" w:val="clear"/>
          </w:tcPr>
          <w:p>
            <w:r>
              <w:rPr>
                <w:rFonts w:ascii="Calibri" w:hAnsi="Calibri"/>
                <w:color w:val="333333"/>
                <w:sz w:val="18"/>
              </w:rPr>
              <w:t>1,809</w:t>
            </w:r>
          </w:p>
        </w:tc>
        <w:tc>
          <w:tcPr>
            <w:tcW w:type="dxa" w:w="1440"/>
            <w:shd w:fill="F2F4F8" w:val="clear"/>
          </w:tcPr>
          <w:p>
            <w:r>
              <w:rPr>
                <w:rFonts w:ascii="Calibri" w:hAnsi="Calibri"/>
                <w:color w:val="333333"/>
                <w:sz w:val="18"/>
              </w:rPr>
              <w:t>$288.5K</w:t>
            </w:r>
          </w:p>
        </w:tc>
        <w:tc>
          <w:tcPr>
            <w:tcW w:type="dxa" w:w="1440"/>
            <w:shd w:fill="F2F4F8" w:val="clear"/>
            <w:shd w:fill="FFF3CD" w:val="clear"/>
          </w:tcPr>
          <w:p>
            <w:r>
              <w:rPr>
                <w:rFonts w:ascii="Calibri" w:hAnsi="Calibri"/>
                <w:color w:val="333333"/>
                <w:sz w:val="18"/>
              </w:rPr>
              <w:t>No (Discretionary)</w:t>
            </w:r>
          </w:p>
        </w:tc>
      </w:tr>
      <w:tr>
        <w:tc>
          <w:tcPr>
            <w:tcW w:type="dxa" w:w="1440"/>
          </w:tcPr>
          <w:p>
            <w:r>
              <w:rPr>
                <w:rFonts w:ascii="Calibri" w:hAnsi="Calibri"/>
                <w:color w:val="333333"/>
                <w:sz w:val="18"/>
              </w:rPr>
              <w:t>2026-02-17</w:t>
            </w:r>
          </w:p>
        </w:tc>
        <w:tc>
          <w:tcPr>
            <w:tcW w:type="dxa" w:w="1440"/>
          </w:tcPr>
          <w:p>
            <w:r>
              <w:rPr>
                <w:rFonts w:ascii="Calibri" w:hAnsi="Calibri"/>
                <w:color w:val="333333"/>
                <w:sz w:val="18"/>
              </w:rPr>
              <w:t>Francisco Ma. Fatima</w:t>
            </w:r>
          </w:p>
        </w:tc>
        <w:tc>
          <w:tcPr>
            <w:tcW w:type="dxa" w:w="1440"/>
          </w:tcPr>
          <w:p>
            <w:r>
              <w:rPr>
                <w:rFonts w:ascii="Calibri" w:hAnsi="Calibri"/>
                <w:color w:val="333333"/>
                <w:sz w:val="18"/>
              </w:rPr>
              <w:t>CEO - Baby, Fem &amp; Family Care</w:t>
            </w:r>
          </w:p>
        </w:tc>
        <w:tc>
          <w:tcPr>
            <w:tcW w:type="dxa" w:w="1440"/>
          </w:tcPr>
          <w:p>
            <w:r>
              <w:rPr>
                <w:rFonts w:ascii="Calibri" w:hAnsi="Calibri"/>
                <w:color w:val="333333"/>
                <w:sz w:val="18"/>
              </w:rPr>
              <w:t>GRANT</w:t>
            </w:r>
          </w:p>
        </w:tc>
        <w:tc>
          <w:tcPr>
            <w:tcW w:type="dxa" w:w="1440"/>
          </w:tcPr>
          <w:p>
            <w:r>
              <w:rPr>
                <w:rFonts w:ascii="Calibri" w:hAnsi="Calibri"/>
                <w:color w:val="333333"/>
                <w:sz w:val="18"/>
              </w:rPr>
              <w:t>57</w:t>
            </w:r>
          </w:p>
        </w:tc>
        <w:tc>
          <w:tcPr>
            <w:tcW w:type="dxa" w:w="1440"/>
          </w:tcPr>
          <w:p>
            <w:r>
              <w:rPr>
                <w:rFonts w:ascii="Calibri" w:hAnsi="Calibri"/>
                <w:color w:val="333333"/>
                <w:sz w:val="18"/>
              </w:rPr>
              <w:t>$0</w:t>
            </w:r>
          </w:p>
        </w:tc>
        <w:tc>
          <w:tcPr>
            <w:tcW w:type="dxa" w:w="1440"/>
          </w:tcPr>
          <w:p>
            <w:r>
              <w:rPr>
                <w:rFonts w:ascii="Calibri" w:hAnsi="Calibri"/>
                <w:color w:val="333333"/>
                <w:sz w:val="18"/>
              </w:rPr>
              <w:t>No (Discretionary)</w:t>
            </w:r>
          </w:p>
        </w:tc>
      </w:tr>
      <w:tr>
        <w:tc>
          <w:tcPr>
            <w:tcW w:type="dxa" w:w="1440"/>
            <w:shd w:fill="F2F4F8" w:val="clear"/>
          </w:tcPr>
          <w:p>
            <w:r>
              <w:rPr>
                <w:rFonts w:ascii="Calibri" w:hAnsi="Calibri"/>
                <w:color w:val="333333"/>
                <w:sz w:val="18"/>
              </w:rPr>
              <w:t>2026-02-17</w:t>
            </w:r>
          </w:p>
        </w:tc>
        <w:tc>
          <w:tcPr>
            <w:tcW w:type="dxa" w:w="1440"/>
            <w:shd w:fill="F2F4F8" w:val="clear"/>
          </w:tcPr>
          <w:p>
            <w:r>
              <w:rPr>
                <w:rFonts w:ascii="Calibri" w:hAnsi="Calibri"/>
                <w:color w:val="333333"/>
                <w:sz w:val="18"/>
              </w:rPr>
              <w:t>Whaley Susan Street</w:t>
            </w:r>
          </w:p>
        </w:tc>
        <w:tc>
          <w:tcPr>
            <w:tcW w:type="dxa" w:w="1440"/>
            <w:shd w:fill="F2F4F8" w:val="clear"/>
          </w:tcPr>
          <w:p>
            <w:r>
              <w:rPr>
                <w:rFonts w:ascii="Calibri" w:hAnsi="Calibri"/>
                <w:color w:val="333333"/>
                <w:sz w:val="18"/>
              </w:rPr>
              <w:t>Chief Legal Officer &amp; Secy</w:t>
            </w:r>
          </w:p>
        </w:tc>
        <w:tc>
          <w:tcPr>
            <w:tcW w:type="dxa" w:w="1440"/>
            <w:shd w:fill="F2F4F8" w:val="clear"/>
          </w:tcPr>
          <w:p>
            <w:r>
              <w:rPr>
                <w:rFonts w:ascii="Calibri" w:hAnsi="Calibri"/>
                <w:color w:val="333333"/>
                <w:sz w:val="18"/>
              </w:rPr>
              <w:t>GRANT</w:t>
            </w:r>
          </w:p>
        </w:tc>
        <w:tc>
          <w:tcPr>
            <w:tcW w:type="dxa" w:w="1440"/>
            <w:shd w:fill="F2F4F8" w:val="clear"/>
          </w:tcPr>
          <w:p>
            <w:r>
              <w:rPr>
                <w:rFonts w:ascii="Calibri" w:hAnsi="Calibri"/>
                <w:color w:val="333333"/>
                <w:sz w:val="18"/>
              </w:rPr>
              <w:t>11</w:t>
            </w:r>
          </w:p>
        </w:tc>
        <w:tc>
          <w:tcPr>
            <w:tcW w:type="dxa" w:w="1440"/>
            <w:shd w:fill="F2F4F8" w:val="clear"/>
          </w:tcPr>
          <w:p>
            <w:r>
              <w:rPr>
                <w:rFonts w:ascii="Calibri" w:hAnsi="Calibri"/>
                <w:color w:val="333333"/>
                <w:sz w:val="18"/>
              </w:rPr>
              <w:t>$0</w:t>
            </w:r>
          </w:p>
        </w:tc>
        <w:tc>
          <w:tcPr>
            <w:tcW w:type="dxa" w:w="1440"/>
            <w:shd w:fill="F2F4F8" w:val="clear"/>
          </w:tcPr>
          <w:p>
            <w:r>
              <w:rPr>
                <w:rFonts w:ascii="Calibri" w:hAnsi="Calibri"/>
                <w:color w:val="333333"/>
                <w:sz w:val="18"/>
              </w:rPr>
              <w:t>No (Discretionary)</w:t>
            </w:r>
          </w:p>
        </w:tc>
      </w:tr>
      <w:tr>
        <w:tc>
          <w:tcPr>
            <w:tcW w:type="dxa" w:w="1440"/>
          </w:tcPr>
          <w:p>
            <w:r>
              <w:rPr>
                <w:rFonts w:ascii="Calibri" w:hAnsi="Calibri"/>
                <w:color w:val="333333"/>
                <w:sz w:val="18"/>
              </w:rPr>
              <w:t>2026-02-13</w:t>
            </w:r>
          </w:p>
        </w:tc>
        <w:tc>
          <w:tcPr>
            <w:tcW w:type="dxa" w:w="1440"/>
          </w:tcPr>
          <w:p>
            <w:r>
              <w:rPr>
                <w:rFonts w:ascii="Calibri" w:hAnsi="Calibri"/>
                <w:color w:val="333333"/>
                <w:sz w:val="18"/>
              </w:rPr>
              <w:t>Aguilar Moses Victor Javier</w:t>
            </w:r>
          </w:p>
        </w:tc>
        <w:tc>
          <w:tcPr>
            <w:tcW w:type="dxa" w:w="1440"/>
          </w:tcPr>
          <w:p>
            <w:r>
              <w:rPr>
                <w:rFonts w:ascii="Calibri" w:hAnsi="Calibri"/>
                <w:color w:val="333333"/>
                <w:sz w:val="18"/>
              </w:rPr>
              <w:t>Chf Rsch, Dev &amp; Innov Officer</w:t>
            </w:r>
          </w:p>
        </w:tc>
        <w:tc>
          <w:tcPr>
            <w:tcW w:type="dxa" w:w="1440"/>
          </w:tcPr>
          <w:p>
            <w:r>
              <w:rPr>
                <w:rFonts w:ascii="Calibri" w:hAnsi="Calibri"/>
                <w:color w:val="333333"/>
                <w:sz w:val="18"/>
              </w:rPr>
              <w:t>EXERCISE</w:t>
            </w:r>
          </w:p>
        </w:tc>
        <w:tc>
          <w:tcPr>
            <w:tcW w:type="dxa" w:w="1440"/>
          </w:tcPr>
          <w:p>
            <w:r>
              <w:rPr>
                <w:rFonts w:ascii="Calibri" w:hAnsi="Calibri"/>
                <w:color w:val="333333"/>
                <w:sz w:val="18"/>
              </w:rPr>
              <w:t>15,169</w:t>
            </w:r>
          </w:p>
        </w:tc>
        <w:tc>
          <w:tcPr>
            <w:tcW w:type="dxa" w:w="1440"/>
          </w:tcPr>
          <w:p>
            <w:r>
              <w:rPr>
                <w:rFonts w:ascii="Calibri" w:hAnsi="Calibri"/>
                <w:color w:val="333333"/>
                <w:sz w:val="18"/>
              </w:rPr>
              <w:t>$1.4M</w:t>
            </w:r>
          </w:p>
        </w:tc>
        <w:tc>
          <w:tcPr>
            <w:tcW w:type="dxa" w:w="1440"/>
          </w:tcPr>
          <w:p>
            <w:r>
              <w:rPr>
                <w:rFonts w:ascii="Calibri" w:hAnsi="Calibri"/>
                <w:color w:val="333333"/>
                <w:sz w:val="18"/>
              </w:rPr>
              <w:t>No (Discretionary)</w:t>
            </w:r>
          </w:p>
        </w:tc>
      </w:tr>
      <w:tr>
        <w:tc>
          <w:tcPr>
            <w:tcW w:type="dxa" w:w="1440"/>
            <w:shd w:fill="F2F4F8" w:val="clear"/>
          </w:tcPr>
          <w:p>
            <w:r>
              <w:rPr>
                <w:rFonts w:ascii="Calibri" w:hAnsi="Calibri"/>
                <w:color w:val="333333"/>
                <w:sz w:val="18"/>
              </w:rPr>
              <w:t>2026-02-13</w:t>
            </w:r>
          </w:p>
        </w:tc>
        <w:tc>
          <w:tcPr>
            <w:tcW w:type="dxa" w:w="1440"/>
            <w:shd w:fill="F2F4F8" w:val="clear"/>
          </w:tcPr>
          <w:p>
            <w:r>
              <w:rPr>
                <w:rFonts w:ascii="Calibri" w:hAnsi="Calibri"/>
                <w:color w:val="333333"/>
                <w:sz w:val="18"/>
              </w:rPr>
              <w:t>Aguilar Moses Victor Javier</w:t>
            </w:r>
          </w:p>
        </w:tc>
        <w:tc>
          <w:tcPr>
            <w:tcW w:type="dxa" w:w="1440"/>
            <w:shd w:fill="F2F4F8" w:val="clear"/>
          </w:tcPr>
          <w:p>
            <w:r>
              <w:rPr>
                <w:rFonts w:ascii="Calibri" w:hAnsi="Calibri"/>
                <w:color w:val="333333"/>
                <w:sz w:val="18"/>
              </w:rPr>
              <w:t>Chf Rsch, Dev &amp; Innov Officer</w:t>
            </w:r>
          </w:p>
        </w:tc>
        <w:tc>
          <w:tcPr>
            <w:tcW w:type="dxa" w:w="1440"/>
            <w:shd w:fill="F2F4F8" w:val="clear"/>
          </w:tcPr>
          <w:p>
            <w:r>
              <w:rPr>
                <w:rFonts w:ascii="Calibri" w:hAnsi="Calibri"/>
                <w:color w:val="333333"/>
                <w:sz w:val="18"/>
              </w:rPr>
              <w:t>EXERCISE</w:t>
            </w:r>
          </w:p>
        </w:tc>
        <w:tc>
          <w:tcPr>
            <w:tcW w:type="dxa" w:w="1440"/>
            <w:shd w:fill="F2F4F8" w:val="clear"/>
          </w:tcPr>
          <w:p>
            <w:r>
              <w:rPr>
                <w:rFonts w:ascii="Calibri" w:hAnsi="Calibri"/>
                <w:color w:val="333333"/>
                <w:sz w:val="18"/>
              </w:rPr>
              <w:t>15,169</w:t>
            </w:r>
          </w:p>
        </w:tc>
        <w:tc>
          <w:tcPr>
            <w:tcW w:type="dxa" w:w="1440"/>
            <w:shd w:fill="F2F4F8" w:val="clear"/>
          </w:tcPr>
          <w:p>
            <w:r>
              <w:rPr>
                <w:rFonts w:ascii="Calibri" w:hAnsi="Calibri"/>
                <w:color w:val="333333"/>
                <w:sz w:val="18"/>
              </w:rPr>
              <w:t>$0</w:t>
            </w:r>
          </w:p>
        </w:tc>
        <w:tc>
          <w:tcPr>
            <w:tcW w:type="dxa" w:w="1440"/>
            <w:shd w:fill="F2F4F8" w:val="clear"/>
          </w:tcPr>
          <w:p>
            <w:r>
              <w:rPr>
                <w:rFonts w:ascii="Calibri" w:hAnsi="Calibri"/>
                <w:color w:val="333333"/>
                <w:sz w:val="18"/>
              </w:rPr>
              <w:t>No (Discretionary)</w:t>
            </w:r>
          </w:p>
        </w:tc>
      </w:tr>
      <w:tr>
        <w:tc>
          <w:tcPr>
            <w:tcW w:type="dxa" w:w="1440"/>
          </w:tcPr>
          <w:p>
            <w:r>
              <w:rPr>
                <w:rFonts w:ascii="Calibri" w:hAnsi="Calibri"/>
                <w:color w:val="333333"/>
                <w:sz w:val="18"/>
              </w:rPr>
              <w:t>2026-02-13</w:t>
            </w:r>
          </w:p>
        </w:tc>
        <w:tc>
          <w:tcPr>
            <w:tcW w:type="dxa" w:w="1440"/>
          </w:tcPr>
          <w:p>
            <w:r>
              <w:rPr>
                <w:rFonts w:ascii="Calibri" w:hAnsi="Calibri"/>
                <w:color w:val="333333"/>
                <w:sz w:val="18"/>
              </w:rPr>
              <w:t>Aguilar Moses Victor Javier</w:t>
            </w:r>
          </w:p>
        </w:tc>
        <w:tc>
          <w:tcPr>
            <w:tcW w:type="dxa" w:w="1440"/>
          </w:tcPr>
          <w:p>
            <w:r>
              <w:rPr>
                <w:rFonts w:ascii="Calibri" w:hAnsi="Calibri"/>
                <w:color w:val="333333"/>
                <w:sz w:val="18"/>
              </w:rPr>
              <w:t>Chf Rsch, Dev &amp; Innov Officer</w:t>
            </w:r>
          </w:p>
        </w:tc>
        <w:tc>
          <w:tcPr>
            <w:tcW w:type="dxa" w:w="1440"/>
          </w:tcPr>
          <w:p>
            <w:r>
              <w:rPr>
                <w:rFonts w:ascii="Calibri" w:hAnsi="Calibri"/>
                <w:color w:val="333333"/>
                <w:sz w:val="18"/>
              </w:rPr>
              <w:t>SELL</w:t>
            </w:r>
          </w:p>
        </w:tc>
        <w:tc>
          <w:tcPr>
            <w:tcW w:type="dxa" w:w="1440"/>
          </w:tcPr>
          <w:p>
            <w:r>
              <w:rPr>
                <w:rFonts w:ascii="Calibri" w:hAnsi="Calibri"/>
                <w:color w:val="333333"/>
                <w:sz w:val="18"/>
              </w:rPr>
              <w:t>15,169</w:t>
            </w:r>
          </w:p>
        </w:tc>
        <w:tc>
          <w:tcPr>
            <w:tcW w:type="dxa" w:w="1440"/>
          </w:tcPr>
          <w:p>
            <w:r>
              <w:rPr>
                <w:rFonts w:ascii="Calibri" w:hAnsi="Calibri"/>
                <w:color w:val="333333"/>
                <w:sz w:val="18"/>
              </w:rPr>
              <w:t>$2.5M</w:t>
            </w:r>
          </w:p>
        </w:tc>
        <w:tc>
          <w:tcPr>
            <w:tcW w:type="dxa" w:w="1440"/>
            <w:shd w:fill="FFF3CD" w:val="clear"/>
          </w:tcPr>
          <w:p>
            <w:r>
              <w:rPr>
                <w:rFonts w:ascii="Calibri" w:hAnsi="Calibri"/>
                <w:color w:val="333333"/>
                <w:sz w:val="18"/>
              </w:rPr>
              <w:t>No (Discretionary)</w:t>
            </w:r>
          </w:p>
        </w:tc>
      </w:tr>
      <w:tr>
        <w:tc>
          <w:tcPr>
            <w:tcW w:type="dxa" w:w="1440"/>
            <w:shd w:fill="F2F4F8" w:val="clear"/>
          </w:tcPr>
          <w:p>
            <w:r>
              <w:rPr>
                <w:rFonts w:ascii="Calibri" w:hAnsi="Calibri"/>
                <w:color w:val="333333"/>
                <w:sz w:val="18"/>
              </w:rPr>
              <w:t>2026-02-12</w:t>
            </w:r>
          </w:p>
        </w:tc>
        <w:tc>
          <w:tcPr>
            <w:tcW w:type="dxa" w:w="1440"/>
            <w:shd w:fill="F2F4F8" w:val="clear"/>
          </w:tcPr>
          <w:p>
            <w:r>
              <w:rPr>
                <w:rFonts w:ascii="Calibri" w:hAnsi="Calibri"/>
                <w:color w:val="333333"/>
                <w:sz w:val="18"/>
              </w:rPr>
              <w:t>Moeller Jon R</w:t>
            </w:r>
          </w:p>
        </w:tc>
        <w:tc>
          <w:tcPr>
            <w:tcW w:type="dxa" w:w="1440"/>
            <w:shd w:fill="F2F4F8" w:val="clear"/>
          </w:tcPr>
          <w:p>
            <w:r>
              <w:rPr>
                <w:rFonts w:ascii="Calibri" w:hAnsi="Calibri"/>
                <w:color w:val="333333"/>
                <w:sz w:val="18"/>
              </w:rPr>
              <w:t>Exec. Chairman of the Board</w:t>
            </w:r>
          </w:p>
        </w:tc>
        <w:tc>
          <w:tcPr>
            <w:tcW w:type="dxa" w:w="1440"/>
            <w:shd w:fill="F2F4F8" w:val="clear"/>
          </w:tcPr>
          <w:p>
            <w:r>
              <w:rPr>
                <w:rFonts w:ascii="Calibri" w:hAnsi="Calibri"/>
                <w:color w:val="333333"/>
                <w:sz w:val="18"/>
              </w:rPr>
              <w:t>EXERCISE</w:t>
            </w:r>
          </w:p>
        </w:tc>
        <w:tc>
          <w:tcPr>
            <w:tcW w:type="dxa" w:w="1440"/>
            <w:shd w:fill="F2F4F8" w:val="clear"/>
          </w:tcPr>
          <w:p>
            <w:r>
              <w:rPr>
                <w:rFonts w:ascii="Calibri" w:hAnsi="Calibri"/>
                <w:color w:val="333333"/>
                <w:sz w:val="18"/>
              </w:rPr>
              <w:t>162,232</w:t>
            </w:r>
          </w:p>
        </w:tc>
        <w:tc>
          <w:tcPr>
            <w:tcW w:type="dxa" w:w="1440"/>
            <w:shd w:fill="F2F4F8" w:val="clear"/>
          </w:tcPr>
          <w:p>
            <w:r>
              <w:rPr>
                <w:rFonts w:ascii="Calibri" w:hAnsi="Calibri"/>
                <w:color w:val="333333"/>
                <w:sz w:val="18"/>
              </w:rPr>
              <w:t>$18.4M</w:t>
            </w:r>
          </w:p>
        </w:tc>
        <w:tc>
          <w:tcPr>
            <w:tcW w:type="dxa" w:w="1440"/>
            <w:shd w:fill="F2F4F8" w:val="clear"/>
          </w:tcPr>
          <w:p>
            <w:r>
              <w:rPr>
                <w:rFonts w:ascii="Calibri" w:hAnsi="Calibri"/>
                <w:color w:val="333333"/>
                <w:sz w:val="18"/>
              </w:rPr>
              <w:t>No (Discretionary)</w:t>
            </w:r>
          </w:p>
        </w:tc>
      </w:tr>
      <w:tr>
        <w:tc>
          <w:tcPr>
            <w:tcW w:type="dxa" w:w="1440"/>
          </w:tcPr>
          <w:p>
            <w:r>
              <w:rPr>
                <w:rFonts w:ascii="Calibri" w:hAnsi="Calibri"/>
                <w:color w:val="333333"/>
                <w:sz w:val="18"/>
              </w:rPr>
              <w:t>2026-02-12</w:t>
            </w:r>
          </w:p>
        </w:tc>
        <w:tc>
          <w:tcPr>
            <w:tcW w:type="dxa" w:w="1440"/>
          </w:tcPr>
          <w:p>
            <w:r>
              <w:rPr>
                <w:rFonts w:ascii="Calibri" w:hAnsi="Calibri"/>
                <w:color w:val="333333"/>
                <w:sz w:val="18"/>
              </w:rPr>
              <w:t>Moeller Jon R</w:t>
            </w:r>
          </w:p>
        </w:tc>
        <w:tc>
          <w:tcPr>
            <w:tcW w:type="dxa" w:w="1440"/>
          </w:tcPr>
          <w:p>
            <w:r>
              <w:rPr>
                <w:rFonts w:ascii="Calibri" w:hAnsi="Calibri"/>
                <w:color w:val="333333"/>
                <w:sz w:val="18"/>
              </w:rPr>
              <w:t>Exec. Chairman of the Board</w:t>
            </w:r>
          </w:p>
        </w:tc>
        <w:tc>
          <w:tcPr>
            <w:tcW w:type="dxa" w:w="1440"/>
          </w:tcPr>
          <w:p>
            <w:r>
              <w:rPr>
                <w:rFonts w:ascii="Calibri" w:hAnsi="Calibri"/>
                <w:color w:val="333333"/>
                <w:sz w:val="18"/>
              </w:rPr>
              <w:t>EXERCISE</w:t>
            </w:r>
          </w:p>
        </w:tc>
        <w:tc>
          <w:tcPr>
            <w:tcW w:type="dxa" w:w="1440"/>
          </w:tcPr>
          <w:p>
            <w:r>
              <w:rPr>
                <w:rFonts w:ascii="Calibri" w:hAnsi="Calibri"/>
                <w:color w:val="333333"/>
                <w:sz w:val="18"/>
              </w:rPr>
              <w:t>162,232</w:t>
            </w:r>
          </w:p>
        </w:tc>
        <w:tc>
          <w:tcPr>
            <w:tcW w:type="dxa" w:w="1440"/>
          </w:tcPr>
          <w:p>
            <w:r>
              <w:rPr>
                <w:rFonts w:ascii="Calibri" w:hAnsi="Calibri"/>
                <w:color w:val="333333"/>
                <w:sz w:val="18"/>
              </w:rPr>
              <w:t>$0</w:t>
            </w:r>
          </w:p>
        </w:tc>
        <w:tc>
          <w:tcPr>
            <w:tcW w:type="dxa" w:w="1440"/>
          </w:tcPr>
          <w:p>
            <w:r>
              <w:rPr>
                <w:rFonts w:ascii="Calibri" w:hAnsi="Calibri"/>
                <w:color w:val="333333"/>
                <w:sz w:val="18"/>
              </w:rPr>
              <w:t>No (Discretionary)</w:t>
            </w:r>
          </w:p>
        </w:tc>
      </w:tr>
      <w:tr>
        <w:tc>
          <w:tcPr>
            <w:tcW w:type="dxa" w:w="1440"/>
            <w:shd w:fill="F2F4F8" w:val="clear"/>
          </w:tcPr>
          <w:p>
            <w:r>
              <w:rPr>
                <w:rFonts w:ascii="Calibri" w:hAnsi="Calibri"/>
                <w:color w:val="333333"/>
                <w:sz w:val="18"/>
              </w:rPr>
              <w:t>2026-02-12</w:t>
            </w:r>
          </w:p>
        </w:tc>
        <w:tc>
          <w:tcPr>
            <w:tcW w:type="dxa" w:w="1440"/>
            <w:shd w:fill="F2F4F8" w:val="clear"/>
          </w:tcPr>
          <w:p>
            <w:r>
              <w:rPr>
                <w:rFonts w:ascii="Calibri" w:hAnsi="Calibri"/>
                <w:color w:val="333333"/>
                <w:sz w:val="18"/>
              </w:rPr>
              <w:t>Moeller Jon R</w:t>
            </w:r>
          </w:p>
        </w:tc>
        <w:tc>
          <w:tcPr>
            <w:tcW w:type="dxa" w:w="1440"/>
            <w:shd w:fill="F2F4F8" w:val="clear"/>
          </w:tcPr>
          <w:p>
            <w:r>
              <w:rPr>
                <w:rFonts w:ascii="Calibri" w:hAnsi="Calibri"/>
                <w:color w:val="333333"/>
                <w:sz w:val="18"/>
              </w:rPr>
              <w:t>Exec. Chairman of the Board</w:t>
            </w:r>
          </w:p>
        </w:tc>
        <w:tc>
          <w:tcPr>
            <w:tcW w:type="dxa" w:w="1440"/>
            <w:shd w:fill="F2F4F8" w:val="clear"/>
          </w:tcPr>
          <w:p>
            <w:r>
              <w:rPr>
                <w:rFonts w:ascii="Calibri" w:hAnsi="Calibri"/>
                <w:color w:val="333333"/>
                <w:sz w:val="18"/>
              </w:rPr>
              <w:t>SELL</w:t>
            </w:r>
          </w:p>
        </w:tc>
        <w:tc>
          <w:tcPr>
            <w:tcW w:type="dxa" w:w="1440"/>
            <w:shd w:fill="F2F4F8" w:val="clear"/>
          </w:tcPr>
          <w:p>
            <w:r>
              <w:rPr>
                <w:rFonts w:ascii="Calibri" w:hAnsi="Calibri"/>
                <w:color w:val="333333"/>
                <w:sz w:val="18"/>
              </w:rPr>
              <w:t>162,232</w:t>
            </w:r>
          </w:p>
        </w:tc>
        <w:tc>
          <w:tcPr>
            <w:tcW w:type="dxa" w:w="1440"/>
            <w:shd w:fill="F2F4F8" w:val="clear"/>
          </w:tcPr>
          <w:p>
            <w:r>
              <w:rPr>
                <w:rFonts w:ascii="Calibri" w:hAnsi="Calibri"/>
                <w:color w:val="333333"/>
                <w:sz w:val="18"/>
              </w:rPr>
              <w:t>$26.4M</w:t>
            </w:r>
          </w:p>
        </w:tc>
        <w:tc>
          <w:tcPr>
            <w:tcW w:type="dxa" w:w="1440"/>
            <w:shd w:fill="F2F4F8" w:val="clear"/>
            <w:shd w:fill="FFF3CD" w:val="clear"/>
          </w:tcPr>
          <w:p>
            <w:r>
              <w:rPr>
                <w:rFonts w:ascii="Calibri" w:hAnsi="Calibri"/>
                <w:color w:val="333333"/>
                <w:sz w:val="18"/>
              </w:rPr>
              <w:t>No (Discretionary)</w:t>
            </w:r>
          </w:p>
        </w:tc>
      </w:tr>
    </w:tbl>
    <w:p>
      <w:pPr>
        <w:pStyle w:val="DOHeading3"/>
      </w:pPr>
      <w:r>
        <w:t>Cluster Selling Events</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1A1446" w:val="clear"/>
          </w:tcPr>
          <w:p>
            <w:r>
              <w:rPr>
                <w:rFonts w:ascii="Calibri" w:hAnsi="Calibri"/>
                <w:b/>
                <w:color w:val="FFFFFF"/>
                <w:sz w:val="18"/>
              </w:rPr>
              <w:t>Window</w:t>
            </w:r>
          </w:p>
        </w:tc>
        <w:tc>
          <w:tcPr>
            <w:tcW w:type="dxa" w:w="2520"/>
            <w:shd w:fill="1A1446" w:val="clear"/>
          </w:tcPr>
          <w:p>
            <w:r>
              <w:rPr>
                <w:rFonts w:ascii="Calibri" w:hAnsi="Calibri"/>
                <w:b/>
                <w:color w:val="FFFFFF"/>
                <w:sz w:val="18"/>
              </w:rPr>
              <w:t>Insiders</w:t>
            </w:r>
          </w:p>
        </w:tc>
        <w:tc>
          <w:tcPr>
            <w:tcW w:type="dxa" w:w="2520"/>
            <w:shd w:fill="1A1446" w:val="clear"/>
          </w:tcPr>
          <w:p>
            <w:r>
              <w:rPr>
                <w:rFonts w:ascii="Calibri" w:hAnsi="Calibri"/>
                <w:b/>
                <w:color w:val="FFFFFF"/>
                <w:sz w:val="18"/>
              </w:rPr>
              <w:t>Names</w:t>
            </w:r>
          </w:p>
        </w:tc>
        <w:tc>
          <w:tcPr>
            <w:tcW w:type="dxa" w:w="2520"/>
            <w:shd w:fill="1A1446" w:val="clear"/>
          </w:tcPr>
          <w:p>
            <w:r>
              <w:rPr>
                <w:rFonts w:ascii="Calibri" w:hAnsi="Calibri"/>
                <w:b/>
                <w:color w:val="FFFFFF"/>
                <w:sz w:val="18"/>
              </w:rPr>
              <w:t>Total Value</w:t>
            </w:r>
          </w:p>
        </w:tc>
      </w:tr>
      <w:tr>
        <w:tc>
          <w:tcPr>
            <w:tcW w:type="dxa" w:w="2520"/>
          </w:tcPr>
          <w:p>
            <w:r>
              <w:rPr>
                <w:rFonts w:ascii="Calibri" w:hAnsi="Calibri"/>
                <w:color w:val="333333"/>
                <w:sz w:val="18"/>
              </w:rPr>
              <w:t>2026-01-23 to 2026-02-19</w:t>
            </w:r>
          </w:p>
        </w:tc>
        <w:tc>
          <w:tcPr>
            <w:tcW w:type="dxa" w:w="2520"/>
          </w:tcPr>
          <w:p>
            <w:r>
              <w:rPr>
                <w:rFonts w:ascii="Calibri" w:hAnsi="Calibri"/>
                <w:color w:val="333333"/>
                <w:sz w:val="18"/>
              </w:rPr>
              <w:t>7</w:t>
            </w:r>
          </w:p>
        </w:tc>
        <w:tc>
          <w:tcPr>
            <w:tcW w:type="dxa" w:w="2520"/>
          </w:tcPr>
          <w:p>
            <w:r>
              <w:rPr>
                <w:rFonts w:ascii="Calibri" w:hAnsi="Calibri"/>
                <w:color w:val="333333"/>
                <w:sz w:val="18"/>
              </w:rPr>
              <w:t>Aguilar Moses Victor Javier, Coombe Gary A, Francisco Ma. Fatima, Moeller Jon R, Pritchard Marc S., Purushothaman Balaji, Whaley Susan Street</w:t>
            </w:r>
          </w:p>
        </w:tc>
        <w:tc>
          <w:tcPr>
            <w:tcW w:type="dxa" w:w="2520"/>
          </w:tcPr>
          <w:p>
            <w:r>
              <w:rPr>
                <w:rFonts w:ascii="Calibri" w:hAnsi="Calibri"/>
                <w:color w:val="333333"/>
                <w:sz w:val="18"/>
              </w:rPr>
              <w:t>$54.5M</w:t>
            </w:r>
          </w:p>
        </w:tc>
      </w:tr>
      <w:tr>
        <w:tc>
          <w:tcPr>
            <w:tcW w:type="dxa" w:w="2520"/>
            <w:shd w:fill="F2F4F8" w:val="clear"/>
          </w:tcPr>
          <w:p>
            <w:r>
              <w:rPr>
                <w:rFonts w:ascii="Calibri" w:hAnsi="Calibri"/>
                <w:color w:val="333333"/>
                <w:sz w:val="18"/>
              </w:rPr>
              <w:t>2026-02-04 to 2026-02-27</w:t>
            </w:r>
          </w:p>
        </w:tc>
        <w:tc>
          <w:tcPr>
            <w:tcW w:type="dxa" w:w="2520"/>
            <w:shd w:fill="F2F4F8" w:val="clear"/>
          </w:tcPr>
          <w:p>
            <w:r>
              <w:rPr>
                <w:rFonts w:ascii="Calibri" w:hAnsi="Calibri"/>
                <w:color w:val="333333"/>
                <w:sz w:val="18"/>
              </w:rPr>
              <w:t>6</w:t>
            </w:r>
          </w:p>
        </w:tc>
        <w:tc>
          <w:tcPr>
            <w:tcW w:type="dxa" w:w="2520"/>
            <w:shd w:fill="F2F4F8" w:val="clear"/>
          </w:tcPr>
          <w:p>
            <w:r>
              <w:rPr>
                <w:rFonts w:ascii="Calibri" w:hAnsi="Calibri"/>
                <w:color w:val="333333"/>
                <w:sz w:val="18"/>
              </w:rPr>
              <w:t>Aguilar Moses Victor Javier, Coombe Gary A, Francisco Ma. Fatima, Moeller Jon R, Purushothaman Balaji, Whaley Susan Street</w:t>
            </w:r>
          </w:p>
        </w:tc>
        <w:tc>
          <w:tcPr>
            <w:tcW w:type="dxa" w:w="2520"/>
            <w:shd w:fill="F2F4F8" w:val="clear"/>
          </w:tcPr>
          <w:p>
            <w:r>
              <w:rPr>
                <w:rFonts w:ascii="Calibri" w:hAnsi="Calibri"/>
                <w:color w:val="333333"/>
                <w:sz w:val="18"/>
              </w:rPr>
              <w:t>$41.0M</w:t>
            </w:r>
          </w:p>
        </w:tc>
      </w:tr>
      <w:tr>
        <w:tc>
          <w:tcPr>
            <w:tcW w:type="dxa" w:w="2520"/>
          </w:tcPr>
          <w:p>
            <w:r>
              <w:rPr>
                <w:rFonts w:ascii="Calibri" w:hAnsi="Calibri"/>
                <w:color w:val="333333"/>
                <w:sz w:val="18"/>
              </w:rPr>
              <w:t>2026-02-11 to 2026-02-27</w:t>
            </w:r>
          </w:p>
        </w:tc>
        <w:tc>
          <w:tcPr>
            <w:tcW w:type="dxa" w:w="2520"/>
          </w:tcPr>
          <w:p>
            <w:r>
              <w:rPr>
                <w:rFonts w:ascii="Calibri" w:hAnsi="Calibri"/>
                <w:color w:val="333333"/>
                <w:sz w:val="18"/>
              </w:rPr>
              <w:t>6</w:t>
            </w:r>
          </w:p>
        </w:tc>
        <w:tc>
          <w:tcPr>
            <w:tcW w:type="dxa" w:w="2520"/>
          </w:tcPr>
          <w:p>
            <w:r>
              <w:rPr>
                <w:rFonts w:ascii="Calibri" w:hAnsi="Calibri"/>
                <w:color w:val="333333"/>
                <w:sz w:val="18"/>
              </w:rPr>
              <w:t>Aguilar Moses Victor Javier, Coombe Gary A, Francisco Ma. Fatima, Moeller Jon R, Purushothaman Balaji, Whaley Susan Street</w:t>
            </w:r>
          </w:p>
        </w:tc>
        <w:tc>
          <w:tcPr>
            <w:tcW w:type="dxa" w:w="2520"/>
          </w:tcPr>
          <w:p>
            <w:r>
              <w:rPr>
                <w:rFonts w:ascii="Calibri" w:hAnsi="Calibri"/>
                <w:color w:val="333333"/>
                <w:sz w:val="18"/>
              </w:rPr>
              <w:t>$39.7M</w:t>
            </w:r>
          </w:p>
        </w:tc>
      </w:tr>
      <w:tr>
        <w:tc>
          <w:tcPr>
            <w:tcW w:type="dxa" w:w="2520"/>
            <w:shd w:fill="F2F4F8" w:val="clear"/>
          </w:tcPr>
          <w:p>
            <w:r>
              <w:rPr>
                <w:rFonts w:ascii="Calibri" w:hAnsi="Calibri"/>
                <w:color w:val="333333"/>
                <w:sz w:val="18"/>
              </w:rPr>
              <w:t>2026-02-12 to 2026-02-27</w:t>
            </w:r>
          </w:p>
        </w:tc>
        <w:tc>
          <w:tcPr>
            <w:tcW w:type="dxa" w:w="2520"/>
            <w:shd w:fill="F2F4F8" w:val="clear"/>
          </w:tcPr>
          <w:p>
            <w:r>
              <w:rPr>
                <w:rFonts w:ascii="Calibri" w:hAnsi="Calibri"/>
                <w:color w:val="333333"/>
                <w:sz w:val="18"/>
              </w:rPr>
              <w:t>5</w:t>
            </w:r>
          </w:p>
        </w:tc>
        <w:tc>
          <w:tcPr>
            <w:tcW w:type="dxa" w:w="2520"/>
            <w:shd w:fill="F2F4F8" w:val="clear"/>
          </w:tcPr>
          <w:p>
            <w:r>
              <w:rPr>
                <w:rFonts w:ascii="Calibri" w:hAnsi="Calibri"/>
                <w:color w:val="333333"/>
                <w:sz w:val="18"/>
              </w:rPr>
              <w:t>Aguilar Moses Victor Javier, Coombe Gary A, Francisco Ma. Fatima, Moeller Jon R, Whaley Susan Street</w:t>
            </w:r>
          </w:p>
        </w:tc>
        <w:tc>
          <w:tcPr>
            <w:tcW w:type="dxa" w:w="2520"/>
            <w:shd w:fill="F2F4F8" w:val="clear"/>
          </w:tcPr>
          <w:p>
            <w:r>
              <w:rPr>
                <w:rFonts w:ascii="Calibri" w:hAnsi="Calibri"/>
                <w:color w:val="333333"/>
                <w:sz w:val="18"/>
              </w:rPr>
              <w:t>$35.9M</w:t>
            </w:r>
          </w:p>
        </w:tc>
      </w:tr>
      <w:tr>
        <w:tc>
          <w:tcPr>
            <w:tcW w:type="dxa" w:w="2520"/>
          </w:tcPr>
          <w:p>
            <w:r>
              <w:rPr>
                <w:rFonts w:ascii="Calibri" w:hAnsi="Calibri"/>
                <w:color w:val="333333"/>
                <w:sz w:val="18"/>
              </w:rPr>
              <w:t>2026-02-13 to 2026-02-27</w:t>
            </w:r>
          </w:p>
        </w:tc>
        <w:tc>
          <w:tcPr>
            <w:tcW w:type="dxa" w:w="2520"/>
          </w:tcPr>
          <w:p>
            <w:r>
              <w:rPr>
                <w:rFonts w:ascii="Calibri" w:hAnsi="Calibri"/>
                <w:color w:val="333333"/>
                <w:sz w:val="18"/>
              </w:rPr>
              <w:t>3</w:t>
            </w:r>
          </w:p>
        </w:tc>
        <w:tc>
          <w:tcPr>
            <w:tcW w:type="dxa" w:w="2520"/>
          </w:tcPr>
          <w:p>
            <w:r>
              <w:rPr>
                <w:rFonts w:ascii="Calibri" w:hAnsi="Calibri"/>
                <w:color w:val="333333"/>
                <w:sz w:val="18"/>
              </w:rPr>
              <w:t>Aguilar Moses Victor Javier, Francisco Ma. Fatima, Whaley Susan Street</w:t>
            </w:r>
          </w:p>
        </w:tc>
        <w:tc>
          <w:tcPr>
            <w:tcW w:type="dxa" w:w="2520"/>
          </w:tcPr>
          <w:p>
            <w:r>
              <w:rPr>
                <w:rFonts w:ascii="Calibri" w:hAnsi="Calibri"/>
                <w:color w:val="333333"/>
                <w:sz w:val="18"/>
              </w:rPr>
              <w:t>$3.7M</w:t>
            </w:r>
          </w:p>
        </w:tc>
      </w:tr>
    </w:tbl>
    <w:p>
      <w:pPr>
        <w:pStyle w:val="DOBody"/>
      </w:pPr>
      <w:r>
        <w:t>Insider Cluster Selling (5 event(s)): Coordinated insider selling is a key D&amp;O risk signal. Courts view cluster sales -- where 3+ insiders sell within a narrow window -- as circumstantial evidence of scienter (intent to defraud) in securities fraud claims.</w:t>
      </w:r>
      <w:r>
        <w:rPr>
          <w:b/>
          <w:color w:val="EA580C"/>
          <w:sz w:val="18"/>
        </w:rPr>
        <w:t xml:space="preserve"> [HIGH]</w:t>
      </w:r>
    </w:p>
    <w:p>
      <w:pPr>
        <w:pStyle w:val="DOHeading2"/>
      </w:pPr>
      <w:r>
        <w:t>Executive Departures</w:t>
      </w:r>
    </w:p>
    <w:p>
      <w:pPr>
        <w:pStyle w:val="DOBody"/>
      </w:pPr>
      <w:r>
        <w:t>No executive departures identified in the trailing 18 months.</w:t>
      </w:r>
    </w:p>
    <w:p>
      <w:pPr>
        <w:pStyle w:val="DOHeading2"/>
      </w:pPr>
      <w:r>
        <w:t>Capital Markets Activity</w:t>
      </w:r>
    </w:p>
    <w:p>
      <w:pPr>
        <w:pStyle w:val="DOBody"/>
      </w:pPr>
      <w:r>
        <w:t>No significant capital markets activity identified in the trailing 3-year period.</w:t>
      </w:r>
    </w:p>
    <w:p>
      <w:pPr>
        <w:spacing w:before="120" w:after="40"/>
        <w:pBdr>
          <w:bottom w:val="single" w:sz="6" w:space="1" w:color="FFD000"/>
        </w:pBdr>
      </w:pPr>
    </w:p>
    <w:p>
      <w:pPr>
        <w:pStyle w:val="DOBody"/>
        <w:spacing w:before="40" w:after="80"/>
      </w:pPr>
      <w:r>
        <w:rPr>
          <w:b/>
          <w:color w:val="FFB800"/>
          <w:sz w:val="20"/>
        </w:rPr>
        <w:t>ELEVATED CONCERN</w:t>
      </w:r>
    </w:p>
    <w:p>
      <w:pPr>
        <w:pStyle w:val="DOBody"/>
        <w:spacing w:before="40" w:after="120"/>
      </w:pPr>
      <w:r>
        <w:rPr>
          <w:color w:val="333333"/>
          <w:sz w:val="20"/>
        </w:rPr>
        <w:t>Procter &amp; Gamble's revenue grew marginally by 0.3% to $84.3B from $84.0B, but its net income jumped 7.4% to $16.0B, with operating income rising 10.3% to $20.5B, creating a high-performance benchmark that could fuel shareholder expectations and subsequent allegations of failing to meet guidance. The pristine Altman Z-Score of 5.32 and a Beneish M-Score of -3.06 sharply reduce near-term going-concern or accounting fraud allegations under Section 10(b). However, the Piotroski F-Score of 6 indicates mixed financial momentum, which, when paired with an operating cash flow to net income ratio of 1.12, suggests high-quality earnings but leaves room for plaintiffs to isolate weaker segments in a stock drop scenario. The exceptional interest coverage of 22.8x and lack of a material weakness after 135 years with Deloitte severely limits traditional financial statement restatement exposure under Section 11. The primary D&amp;O narrative shifts from solvency to strategic execution, where any failure to sustain this expanded $20.5B operating income or to deploy massive cash flows effectively could trigger fiduciary duty claims.</w:t>
      </w:r>
    </w:p>
    <w:p>
      <w:pPr>
        <w:pStyle w:val="DOHeading1"/>
      </w:pPr>
      <w:r>
        <w:t>Section 3: Financial Health</w:t>
      </w:r>
    </w:p>
    <w:p>
      <w:pPr>
        <w:pStyle w:val="DOBody"/>
      </w:pPr>
      <w:r>
        <w:t>The company reported revenue of $84.3B and net income of $16.0B (per FY2025 10-K, Company Facts API CIK80424). Revenue grew 0.3% year-over-year (from $84.0B). Both distress models indicate stability: Z-Score 5.32 (safe above 2.99) and O-Score 0.00 (safe below 0.5). Earnings quality is healthy (OCF/NI: 1.12), indicating reported income is well-supported by operating cash flows -- reducing restatement risk. Auditor: Deloitte (Big 4), tenure: 135 years -- extended tenure may raise independence concerns. From a D&amp;O perspective, the financial profile supports standard underwriting terms.</w:t>
      </w:r>
    </w:p>
    <w:p>
      <w:pPr>
        <w:pStyle w:val="DOHeading2"/>
      </w:pPr>
      <w:r>
        <w:t>Income Statement</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1A1446" w:val="clear"/>
          </w:tcPr>
          <w:p>
            <w:r>
              <w:rPr>
                <w:rFonts w:ascii="Calibri" w:hAnsi="Calibri"/>
                <w:b/>
                <w:color w:val="FFFFFF"/>
                <w:sz w:val="18"/>
              </w:rPr>
              <w:t>Metric</w:t>
            </w:r>
          </w:p>
        </w:tc>
        <w:tc>
          <w:tcPr>
            <w:tcW w:type="dxa" w:w="2520"/>
            <w:shd w:fill="1A1446" w:val="clear"/>
          </w:tcPr>
          <w:p>
            <w:r>
              <w:rPr>
                <w:rFonts w:ascii="Calibri" w:hAnsi="Calibri"/>
                <w:b/>
                <w:color w:val="FFFFFF"/>
                <w:sz w:val="18"/>
              </w:rPr>
              <w:t>FY2024</w:t>
            </w:r>
          </w:p>
        </w:tc>
        <w:tc>
          <w:tcPr>
            <w:tcW w:type="dxa" w:w="2520"/>
            <w:shd w:fill="1A1446" w:val="clear"/>
          </w:tcPr>
          <w:p>
            <w:r>
              <w:rPr>
                <w:rFonts w:ascii="Calibri" w:hAnsi="Calibri"/>
                <w:b/>
                <w:color w:val="FFFFFF"/>
                <w:sz w:val="18"/>
              </w:rPr>
              <w:t>FY2025</w:t>
            </w:r>
          </w:p>
        </w:tc>
        <w:tc>
          <w:tcPr>
            <w:tcW w:type="dxa" w:w="2520"/>
            <w:shd w:fill="1A1446" w:val="clear"/>
          </w:tcPr>
          <w:p>
            <w:r>
              <w:rPr>
                <w:rFonts w:ascii="Calibri" w:hAnsi="Calibri"/>
                <w:b/>
                <w:color w:val="FFFFFF"/>
                <w:sz w:val="18"/>
              </w:rPr>
              <w:t>YoY Change</w:t>
            </w:r>
          </w:p>
        </w:tc>
      </w:tr>
      <w:tr>
        <w:tc>
          <w:tcPr>
            <w:tcW w:type="dxa" w:w="2520"/>
          </w:tcPr>
          <w:p>
            <w:r>
              <w:rPr>
                <w:rFonts w:ascii="Calibri" w:hAnsi="Calibri"/>
                <w:color w:val="333333"/>
                <w:sz w:val="18"/>
              </w:rPr>
              <w:t>Total revenue / net sales</w:t>
            </w:r>
          </w:p>
        </w:tc>
        <w:tc>
          <w:tcPr>
            <w:tcW w:type="dxa" w:w="2520"/>
          </w:tcPr>
          <w:p>
            <w:r>
              <w:rPr>
                <w:rFonts w:ascii="Calibri" w:hAnsi="Calibri"/>
                <w:color w:val="333333"/>
                <w:sz w:val="18"/>
              </w:rPr>
              <w:t>$84.0B</w:t>
            </w:r>
          </w:p>
        </w:tc>
        <w:tc>
          <w:tcPr>
            <w:tcW w:type="dxa" w:w="2520"/>
          </w:tcPr>
          <w:p>
            <w:r>
              <w:rPr>
                <w:rFonts w:ascii="Calibri" w:hAnsi="Calibri"/>
                <w:color w:val="333333"/>
                <w:sz w:val="18"/>
              </w:rPr>
              <w:t>$84.3B</w:t>
            </w:r>
          </w:p>
        </w:tc>
        <w:tc>
          <w:tcPr>
            <w:tcW w:type="dxa" w:w="2520"/>
          </w:tcPr>
          <w:p>
            <w:r>
              <w:rPr>
                <w:rFonts w:ascii="Calibri" w:hAnsi="Calibri"/>
                <w:color w:val="333333"/>
                <w:sz w:val="18"/>
              </w:rPr>
              <w:t>0.3%</w:t>
            </w:r>
          </w:p>
        </w:tc>
      </w:tr>
      <w:tr>
        <w:tc>
          <w:tcPr>
            <w:tcW w:type="dxa" w:w="2520"/>
            <w:shd w:fill="F2F4F8" w:val="clear"/>
          </w:tcPr>
          <w:p>
            <w:r>
              <w:rPr>
                <w:rFonts w:ascii="Calibri" w:hAnsi="Calibri"/>
                <w:color w:val="333333"/>
                <w:sz w:val="18"/>
              </w:rPr>
              <w:t>Cost of revenue / COGS</w:t>
            </w:r>
          </w:p>
        </w:tc>
        <w:tc>
          <w:tcPr>
            <w:tcW w:type="dxa" w:w="2520"/>
            <w:shd w:fill="F2F4F8" w:val="clear"/>
          </w:tcPr>
          <w:p>
            <w:r>
              <w:rPr>
                <w:rFonts w:ascii="Calibri" w:hAnsi="Calibri"/>
                <w:color w:val="333333"/>
                <w:sz w:val="18"/>
              </w:rPr>
              <w:t>$40.8B</w:t>
            </w:r>
          </w:p>
        </w:tc>
        <w:tc>
          <w:tcPr>
            <w:tcW w:type="dxa" w:w="2520"/>
            <w:shd w:fill="F2F4F8" w:val="clear"/>
          </w:tcPr>
          <w:p>
            <w:r>
              <w:rPr>
                <w:rFonts w:ascii="Calibri" w:hAnsi="Calibri"/>
                <w:color w:val="333333"/>
                <w:sz w:val="18"/>
              </w:rPr>
              <w:t>$41.2B</w:t>
            </w:r>
          </w:p>
        </w:tc>
        <w:tc>
          <w:tcPr>
            <w:tcW w:type="dxa" w:w="2520"/>
            <w:shd w:fill="F2F4F8" w:val="clear"/>
          </w:tcPr>
          <w:p>
            <w:r>
              <w:rPr>
                <w:rFonts w:ascii="Calibri" w:hAnsi="Calibri"/>
                <w:color w:val="333333"/>
                <w:sz w:val="18"/>
              </w:rPr>
              <w:t>0.8%</w:t>
            </w:r>
          </w:p>
        </w:tc>
      </w:tr>
      <w:tr>
        <w:tc>
          <w:tcPr>
            <w:tcW w:type="dxa" w:w="2520"/>
          </w:tcPr>
          <w:p>
            <w:r>
              <w:rPr>
                <w:rFonts w:ascii="Calibri" w:hAnsi="Calibri"/>
                <w:color w:val="333333"/>
                <w:sz w:val="18"/>
              </w:rPr>
              <w:t>Operating income / loss</w:t>
            </w:r>
          </w:p>
        </w:tc>
        <w:tc>
          <w:tcPr>
            <w:tcW w:type="dxa" w:w="2520"/>
          </w:tcPr>
          <w:p>
            <w:r>
              <w:rPr>
                <w:rFonts w:ascii="Calibri" w:hAnsi="Calibri"/>
                <w:color w:val="333333"/>
                <w:sz w:val="18"/>
              </w:rPr>
              <w:t>$18.5B</w:t>
            </w:r>
          </w:p>
        </w:tc>
        <w:tc>
          <w:tcPr>
            <w:tcW w:type="dxa" w:w="2520"/>
          </w:tcPr>
          <w:p>
            <w:r>
              <w:rPr>
                <w:rFonts w:ascii="Calibri" w:hAnsi="Calibri"/>
                <w:color w:val="333333"/>
                <w:sz w:val="18"/>
              </w:rPr>
              <w:t>$20.5B</w:t>
            </w:r>
          </w:p>
        </w:tc>
        <w:tc>
          <w:tcPr>
            <w:tcW w:type="dxa" w:w="2520"/>
            <w:shd w:fill="DCEEF8" w:val="clear"/>
          </w:tcPr>
          <w:p>
            <w:r>
              <w:rPr>
                <w:rFonts w:ascii="Calibri" w:hAnsi="Calibri"/>
                <w:color w:val="333333"/>
                <w:sz w:val="18"/>
              </w:rPr>
              <w:t>10.3%</w:t>
            </w:r>
          </w:p>
        </w:tc>
      </w:tr>
      <w:tr>
        <w:tc>
          <w:tcPr>
            <w:tcW w:type="dxa" w:w="2520"/>
            <w:shd w:fill="F2F4F8" w:val="clear"/>
          </w:tcPr>
          <w:p>
            <w:r>
              <w:rPr>
                <w:rFonts w:ascii="Calibri" w:hAnsi="Calibri"/>
                <w:color w:val="333333"/>
                <w:sz w:val="18"/>
              </w:rPr>
              <w:t>Net income / net loss</w:t>
            </w:r>
          </w:p>
        </w:tc>
        <w:tc>
          <w:tcPr>
            <w:tcW w:type="dxa" w:w="2520"/>
            <w:shd w:fill="F2F4F8" w:val="clear"/>
          </w:tcPr>
          <w:p>
            <w:r>
              <w:rPr>
                <w:rFonts w:ascii="Calibri" w:hAnsi="Calibri"/>
                <w:color w:val="333333"/>
                <w:sz w:val="18"/>
              </w:rPr>
              <w:t>$14.9B</w:t>
            </w:r>
          </w:p>
        </w:tc>
        <w:tc>
          <w:tcPr>
            <w:tcW w:type="dxa" w:w="2520"/>
            <w:shd w:fill="F2F4F8" w:val="clear"/>
          </w:tcPr>
          <w:p>
            <w:r>
              <w:rPr>
                <w:rFonts w:ascii="Calibri" w:hAnsi="Calibri"/>
                <w:color w:val="333333"/>
                <w:sz w:val="18"/>
              </w:rPr>
              <w:t>$16.0B</w:t>
            </w:r>
          </w:p>
        </w:tc>
        <w:tc>
          <w:tcPr>
            <w:tcW w:type="dxa" w:w="2520"/>
            <w:shd w:fill="F2F4F8" w:val="clear"/>
            <w:shd w:fill="FFF3CD" w:val="clear"/>
          </w:tcPr>
          <w:p>
            <w:r>
              <w:rPr>
                <w:rFonts w:ascii="Calibri" w:hAnsi="Calibri"/>
                <w:color w:val="333333"/>
                <w:sz w:val="18"/>
              </w:rPr>
              <w:t>7.4%</w:t>
            </w:r>
          </w:p>
        </w:tc>
      </w:tr>
      <w:tr>
        <w:tc>
          <w:tcPr>
            <w:tcW w:type="dxa" w:w="2520"/>
          </w:tcPr>
          <w:p>
            <w:r>
              <w:rPr>
                <w:rFonts w:ascii="Calibri" w:hAnsi="Calibri"/>
                <w:color w:val="333333"/>
                <w:sz w:val="18"/>
              </w:rPr>
              <w:t>Basic earnings per share</w:t>
            </w:r>
          </w:p>
        </w:tc>
        <w:tc>
          <w:tcPr>
            <w:tcW w:type="dxa" w:w="2520"/>
          </w:tcPr>
          <w:p>
            <w:r>
              <w:rPr>
                <w:rFonts w:ascii="Calibri" w:hAnsi="Calibri"/>
                <w:color w:val="333333"/>
                <w:sz w:val="18"/>
              </w:rPr>
              <w:t>$6.18</w:t>
            </w:r>
          </w:p>
        </w:tc>
        <w:tc>
          <w:tcPr>
            <w:tcW w:type="dxa" w:w="2520"/>
          </w:tcPr>
          <w:p>
            <w:r>
              <w:rPr>
                <w:rFonts w:ascii="Calibri" w:hAnsi="Calibri"/>
                <w:color w:val="333333"/>
                <w:sz w:val="18"/>
              </w:rPr>
              <w:t>$6.67</w:t>
            </w:r>
          </w:p>
        </w:tc>
        <w:tc>
          <w:tcPr>
            <w:tcW w:type="dxa" w:w="2520"/>
            <w:shd w:fill="FFF3CD" w:val="clear"/>
          </w:tcPr>
          <w:p>
            <w:r>
              <w:rPr>
                <w:rFonts w:ascii="Calibri" w:hAnsi="Calibri"/>
                <w:color w:val="333333"/>
                <w:sz w:val="18"/>
              </w:rPr>
              <w:t>7.9%</w:t>
            </w:r>
          </w:p>
        </w:tc>
      </w:tr>
      <w:tr>
        <w:tc>
          <w:tcPr>
            <w:tcW w:type="dxa" w:w="2520"/>
            <w:shd w:fill="F2F4F8" w:val="clear"/>
          </w:tcPr>
          <w:p>
            <w:r>
              <w:rPr>
                <w:rFonts w:ascii="Calibri" w:hAnsi="Calibri"/>
                <w:color w:val="333333"/>
                <w:sz w:val="18"/>
              </w:rPr>
              <w:t>Diluted earnings per share</w:t>
            </w:r>
          </w:p>
        </w:tc>
        <w:tc>
          <w:tcPr>
            <w:tcW w:type="dxa" w:w="2520"/>
            <w:shd w:fill="F2F4F8" w:val="clear"/>
          </w:tcPr>
          <w:p>
            <w:r>
              <w:rPr>
                <w:rFonts w:ascii="Calibri" w:hAnsi="Calibri"/>
                <w:color w:val="333333"/>
                <w:sz w:val="18"/>
              </w:rPr>
              <w:t>$6.02</w:t>
            </w:r>
          </w:p>
        </w:tc>
        <w:tc>
          <w:tcPr>
            <w:tcW w:type="dxa" w:w="2520"/>
            <w:shd w:fill="F2F4F8" w:val="clear"/>
          </w:tcPr>
          <w:p>
            <w:r>
              <w:rPr>
                <w:rFonts w:ascii="Calibri" w:hAnsi="Calibri"/>
                <w:color w:val="333333"/>
                <w:sz w:val="18"/>
              </w:rPr>
              <w:t>$6.51</w:t>
            </w:r>
          </w:p>
        </w:tc>
        <w:tc>
          <w:tcPr>
            <w:tcW w:type="dxa" w:w="2520"/>
            <w:shd w:fill="F2F4F8" w:val="clear"/>
            <w:shd w:fill="FFF3CD" w:val="clear"/>
          </w:tcPr>
          <w:p>
            <w:r>
              <w:rPr>
                <w:rFonts w:ascii="Calibri" w:hAnsi="Calibri"/>
                <w:color w:val="333333"/>
                <w:sz w:val="18"/>
              </w:rPr>
              <w:t>8.1%</w:t>
            </w:r>
          </w:p>
        </w:tc>
      </w:tr>
      <w:tr>
        <w:tc>
          <w:tcPr>
            <w:tcW w:type="dxa" w:w="2520"/>
          </w:tcPr>
          <w:p>
            <w:r>
              <w:rPr>
                <w:rFonts w:ascii="Calibri" w:hAnsi="Calibri"/>
                <w:color w:val="333333"/>
                <w:sz w:val="18"/>
              </w:rPr>
              <w:t>Interest expense</w:t>
            </w:r>
          </w:p>
        </w:tc>
        <w:tc>
          <w:tcPr>
            <w:tcW w:type="dxa" w:w="2520"/>
          </w:tcPr>
          <w:p>
            <w:r>
              <w:rPr>
                <w:rFonts w:ascii="Calibri" w:hAnsi="Calibri"/>
                <w:color w:val="333333"/>
                <w:sz w:val="18"/>
              </w:rPr>
              <w:t>$878.0M</w:t>
            </w:r>
          </w:p>
        </w:tc>
        <w:tc>
          <w:tcPr>
            <w:tcW w:type="dxa" w:w="2520"/>
          </w:tcPr>
          <w:p>
            <w:r>
              <w:rPr>
                <w:rFonts w:ascii="Calibri" w:hAnsi="Calibri"/>
                <w:color w:val="333333"/>
                <w:sz w:val="18"/>
              </w:rPr>
              <w:t>$896.0M</w:t>
            </w:r>
          </w:p>
        </w:tc>
        <w:tc>
          <w:tcPr>
            <w:tcW w:type="dxa" w:w="2520"/>
            <w:shd w:fill="FFF3CD" w:val="clear"/>
          </w:tcPr>
          <w:p>
            <w:r>
              <w:rPr>
                <w:rFonts w:ascii="Calibri" w:hAnsi="Calibri"/>
                <w:color w:val="333333"/>
                <w:sz w:val="18"/>
              </w:rPr>
              <w:t>2.0%</w:t>
            </w:r>
          </w:p>
        </w:tc>
      </w:tr>
      <w:tr>
        <w:tc>
          <w:tcPr>
            <w:tcW w:type="dxa" w:w="2520"/>
            <w:shd w:fill="F2F4F8" w:val="clear"/>
          </w:tcPr>
          <w:p>
            <w:r>
              <w:rPr>
                <w:rFonts w:ascii="Calibri" w:hAnsi="Calibri"/>
                <w:color w:val="333333"/>
                <w:sz w:val="18"/>
              </w:rPr>
              <w:t>Income tax expense / benefit</w:t>
            </w:r>
          </w:p>
        </w:tc>
        <w:tc>
          <w:tcPr>
            <w:tcW w:type="dxa" w:w="2520"/>
            <w:shd w:fill="F2F4F8" w:val="clear"/>
          </w:tcPr>
          <w:p>
            <w:r>
              <w:rPr>
                <w:rFonts w:ascii="Calibri" w:hAnsi="Calibri"/>
                <w:color w:val="333333"/>
                <w:sz w:val="18"/>
              </w:rPr>
              <w:t>$3.8B</w:t>
            </w:r>
          </w:p>
        </w:tc>
        <w:tc>
          <w:tcPr>
            <w:tcW w:type="dxa" w:w="2520"/>
            <w:shd w:fill="F2F4F8" w:val="clear"/>
          </w:tcPr>
          <w:p>
            <w:r>
              <w:rPr>
                <w:rFonts w:ascii="Calibri" w:hAnsi="Calibri"/>
                <w:color w:val="333333"/>
                <w:sz w:val="18"/>
              </w:rPr>
              <w:t>$4.1B</w:t>
            </w:r>
          </w:p>
        </w:tc>
        <w:tc>
          <w:tcPr>
            <w:tcW w:type="dxa" w:w="2520"/>
            <w:shd w:fill="F2F4F8" w:val="clear"/>
            <w:shd w:fill="FFF3CD" w:val="clear"/>
          </w:tcPr>
          <w:p>
            <w:r>
              <w:rPr>
                <w:rFonts w:ascii="Calibri" w:hAnsi="Calibri"/>
                <w:color w:val="333333"/>
                <w:sz w:val="18"/>
              </w:rPr>
              <w:t>8.3%</w:t>
            </w:r>
          </w:p>
        </w:tc>
      </w:tr>
      <w:tr>
        <w:tc>
          <w:tcPr>
            <w:tcW w:type="dxa" w:w="2520"/>
          </w:tcPr>
          <w:p>
            <w:r>
              <w:rPr>
                <w:rFonts w:ascii="Calibri" w:hAnsi="Calibri"/>
                <w:color w:val="333333"/>
                <w:sz w:val="18"/>
              </w:rPr>
              <w:t>Research and development expense</w:t>
            </w:r>
          </w:p>
        </w:tc>
        <w:tc>
          <w:tcPr>
            <w:tcW w:type="dxa" w:w="2520"/>
          </w:tcPr>
          <w:p>
            <w:r>
              <w:rPr>
                <w:rFonts w:ascii="Calibri" w:hAnsi="Calibri"/>
                <w:color w:val="333333"/>
                <w:sz w:val="18"/>
              </w:rPr>
              <w:t>$2.0B</w:t>
            </w:r>
          </w:p>
        </w:tc>
        <w:tc>
          <w:tcPr>
            <w:tcW w:type="dxa" w:w="2520"/>
          </w:tcPr>
          <w:p>
            <w:r>
              <w:rPr>
                <w:rFonts w:ascii="Calibri" w:hAnsi="Calibri"/>
                <w:color w:val="333333"/>
                <w:sz w:val="18"/>
              </w:rPr>
              <w:t>$2.1B</w:t>
            </w:r>
          </w:p>
        </w:tc>
        <w:tc>
          <w:tcPr>
            <w:tcW w:type="dxa" w:w="2520"/>
            <w:shd w:fill="FFF3CD" w:val="clear"/>
          </w:tcPr>
          <w:p>
            <w:r>
              <w:rPr>
                <w:rFonts w:ascii="Calibri" w:hAnsi="Calibri"/>
                <w:color w:val="333333"/>
                <w:sz w:val="18"/>
              </w:rPr>
              <w:t>5.0%</w:t>
            </w:r>
          </w:p>
        </w:tc>
      </w:tr>
      <w:tr>
        <w:tc>
          <w:tcPr>
            <w:tcW w:type="dxa" w:w="2520"/>
            <w:shd w:fill="F2F4F8" w:val="clear"/>
          </w:tcPr>
          <w:p>
            <w:r>
              <w:rPr>
                <w:rFonts w:ascii="Calibri" w:hAnsi="Calibri"/>
                <w:color w:val="333333"/>
                <w:sz w:val="18"/>
              </w:rPr>
              <w:t>Selling, general and administrative expense</w:t>
            </w:r>
          </w:p>
        </w:tc>
        <w:tc>
          <w:tcPr>
            <w:tcW w:type="dxa" w:w="2520"/>
            <w:shd w:fill="F2F4F8" w:val="clear"/>
          </w:tcPr>
          <w:p>
            <w:r>
              <w:rPr>
                <w:rFonts w:ascii="Calibri" w:hAnsi="Calibri"/>
                <w:color w:val="333333"/>
                <w:sz w:val="18"/>
              </w:rPr>
              <w:t>$23.3B</w:t>
            </w:r>
          </w:p>
        </w:tc>
        <w:tc>
          <w:tcPr>
            <w:tcW w:type="dxa" w:w="2520"/>
            <w:shd w:fill="F2F4F8" w:val="clear"/>
          </w:tcPr>
          <w:p>
            <w:r>
              <w:rPr>
                <w:rFonts w:ascii="Calibri" w:hAnsi="Calibri"/>
                <w:color w:val="333333"/>
                <w:sz w:val="18"/>
              </w:rPr>
              <w:t>$22.7B</w:t>
            </w:r>
          </w:p>
        </w:tc>
        <w:tc>
          <w:tcPr>
            <w:tcW w:type="dxa" w:w="2520"/>
            <w:shd w:fill="F2F4F8" w:val="clear"/>
            <w:shd w:fill="FFF3CD" w:val="clear"/>
          </w:tcPr>
          <w:p>
            <w:r>
              <w:rPr>
                <w:rFonts w:ascii="Calibri" w:hAnsi="Calibri"/>
                <w:color w:val="333333"/>
                <w:sz w:val="18"/>
              </w:rPr>
              <w:t>-2.7%</w:t>
            </w:r>
          </w:p>
        </w:tc>
      </w:tr>
      <w:tr>
        <w:tc>
          <w:tcPr>
            <w:tcW w:type="dxa" w:w="2520"/>
          </w:tcPr>
          <w:p>
            <w:r>
              <w:rPr>
                <w:rFonts w:ascii="Calibri" w:hAnsi="Calibri"/>
                <w:color w:val="333333"/>
                <w:sz w:val="18"/>
              </w:rPr>
              <w:t>Earnings before interest and taxes (EBIT)</w:t>
            </w:r>
          </w:p>
        </w:tc>
        <w:tc>
          <w:tcPr>
            <w:tcW w:type="dxa" w:w="2520"/>
          </w:tcPr>
          <w:p>
            <w:r>
              <w:rPr>
                <w:rFonts w:ascii="Calibri" w:hAnsi="Calibri"/>
                <w:color w:val="333333"/>
                <w:sz w:val="18"/>
              </w:rPr>
              <w:t>$18.5B</w:t>
            </w:r>
          </w:p>
        </w:tc>
        <w:tc>
          <w:tcPr>
            <w:tcW w:type="dxa" w:w="2520"/>
          </w:tcPr>
          <w:p>
            <w:r>
              <w:rPr>
                <w:rFonts w:ascii="Calibri" w:hAnsi="Calibri"/>
                <w:color w:val="333333"/>
                <w:sz w:val="18"/>
              </w:rPr>
              <w:t>$20.5B</w:t>
            </w:r>
          </w:p>
        </w:tc>
        <w:tc>
          <w:tcPr>
            <w:tcW w:type="dxa" w:w="2520"/>
            <w:shd w:fill="DCEEF8" w:val="clear"/>
          </w:tcPr>
          <w:p>
            <w:r>
              <w:rPr>
                <w:rFonts w:ascii="Calibri" w:hAnsi="Calibri"/>
                <w:color w:val="333333"/>
                <w:sz w:val="18"/>
              </w:rPr>
              <w:t>10.3%</w:t>
            </w:r>
          </w:p>
        </w:tc>
      </w:tr>
      <w:tr>
        <w:tc>
          <w:tcPr>
            <w:tcW w:type="dxa" w:w="2520"/>
            <w:shd w:fill="F2F4F8" w:val="clear"/>
          </w:tcPr>
          <w:p>
            <w:r>
              <w:rPr>
                <w:rFonts w:ascii="Calibri" w:hAnsi="Calibri"/>
                <w:color w:val="333333"/>
                <w:sz w:val="18"/>
              </w:rPr>
              <w:t>Weighted average shares outstanding (basic)</w:t>
            </w:r>
          </w:p>
        </w:tc>
        <w:tc>
          <w:tcPr>
            <w:tcW w:type="dxa" w:w="2520"/>
            <w:shd w:fill="F2F4F8" w:val="clear"/>
          </w:tcPr>
          <w:p>
            <w:r>
              <w:rPr>
                <w:rFonts w:ascii="Calibri" w:hAnsi="Calibri"/>
                <w:color w:val="333333"/>
                <w:sz w:val="18"/>
              </w:rPr>
              <w:t>2.4B</w:t>
            </w:r>
          </w:p>
        </w:tc>
        <w:tc>
          <w:tcPr>
            <w:tcW w:type="dxa" w:w="2520"/>
            <w:shd w:fill="F2F4F8" w:val="clear"/>
          </w:tcPr>
          <w:p>
            <w:r>
              <w:rPr>
                <w:rFonts w:ascii="Calibri" w:hAnsi="Calibri"/>
                <w:color w:val="333333"/>
                <w:sz w:val="18"/>
              </w:rPr>
              <w:t>2.4B</w:t>
            </w:r>
          </w:p>
        </w:tc>
        <w:tc>
          <w:tcPr>
            <w:tcW w:type="dxa" w:w="2520"/>
            <w:shd w:fill="F2F4F8" w:val="clear"/>
          </w:tcPr>
          <w:p>
            <w:r>
              <w:rPr>
                <w:rFonts w:ascii="Calibri" w:hAnsi="Calibri"/>
                <w:color w:val="333333"/>
                <w:sz w:val="18"/>
              </w:rPr>
              <w:t>-0.4%</w:t>
            </w:r>
          </w:p>
        </w:tc>
      </w:tr>
      <w:tr>
        <w:tc>
          <w:tcPr>
            <w:tcW w:type="dxa" w:w="2520"/>
          </w:tcPr>
          <w:p>
            <w:r>
              <w:rPr>
                <w:rFonts w:ascii="Calibri" w:hAnsi="Calibri"/>
                <w:color w:val="333333"/>
                <w:sz w:val="18"/>
              </w:rPr>
              <w:t>Weighted average shares outstanding (diluted)</w:t>
            </w:r>
          </w:p>
        </w:tc>
        <w:tc>
          <w:tcPr>
            <w:tcW w:type="dxa" w:w="2520"/>
          </w:tcPr>
          <w:p>
            <w:r>
              <w:rPr>
                <w:rFonts w:ascii="Calibri" w:hAnsi="Calibri"/>
                <w:color w:val="333333"/>
                <w:sz w:val="18"/>
              </w:rPr>
              <w:t>2.5B</w:t>
            </w:r>
          </w:p>
        </w:tc>
        <w:tc>
          <w:tcPr>
            <w:tcW w:type="dxa" w:w="2520"/>
          </w:tcPr>
          <w:p>
            <w:r>
              <w:rPr>
                <w:rFonts w:ascii="Calibri" w:hAnsi="Calibri"/>
                <w:color w:val="333333"/>
                <w:sz w:val="18"/>
              </w:rPr>
              <w:t>2.5B</w:t>
            </w:r>
          </w:p>
        </w:tc>
        <w:tc>
          <w:tcPr>
            <w:tcW w:type="dxa" w:w="2520"/>
          </w:tcPr>
          <w:p>
            <w:r>
              <w:rPr>
                <w:rFonts w:ascii="Calibri" w:hAnsi="Calibri"/>
                <w:color w:val="333333"/>
                <w:sz w:val="18"/>
              </w:rPr>
              <w:t>-0.7%</w:t>
            </w:r>
          </w:p>
        </w:tc>
      </w:tr>
      <w:tr>
        <w:tc>
          <w:tcPr>
            <w:tcW w:type="dxa" w:w="2520"/>
            <w:shd w:fill="F2F4F8" w:val="clear"/>
          </w:tcPr>
          <w:p>
            <w:r>
              <w:rPr>
                <w:rFonts w:ascii="Calibri" w:hAnsi="Calibri"/>
                <w:color w:val="333333"/>
                <w:sz w:val="18"/>
              </w:rPr>
              <w:t>Total comprehensive income / loss</w:t>
            </w:r>
          </w:p>
        </w:tc>
        <w:tc>
          <w:tcPr>
            <w:tcW w:type="dxa" w:w="2520"/>
            <w:shd w:fill="F2F4F8" w:val="clear"/>
          </w:tcPr>
          <w:p>
            <w:r>
              <w:rPr>
                <w:rFonts w:ascii="Calibri" w:hAnsi="Calibri"/>
                <w:color w:val="333333"/>
                <w:sz w:val="18"/>
              </w:rPr>
              <w:t>$15.2B</w:t>
            </w:r>
          </w:p>
        </w:tc>
        <w:tc>
          <w:tcPr>
            <w:tcW w:type="dxa" w:w="2520"/>
            <w:shd w:fill="F2F4F8" w:val="clear"/>
          </w:tcPr>
          <w:p>
            <w:r>
              <w:rPr>
                <w:rFonts w:ascii="Calibri" w:hAnsi="Calibri"/>
                <w:color w:val="333333"/>
                <w:sz w:val="18"/>
              </w:rPr>
              <w:t>$15.7B</w:t>
            </w:r>
          </w:p>
        </w:tc>
        <w:tc>
          <w:tcPr>
            <w:tcW w:type="dxa" w:w="2520"/>
            <w:shd w:fill="F2F4F8" w:val="clear"/>
            <w:shd w:fill="FFF3CD" w:val="clear"/>
          </w:tcPr>
          <w:p>
            <w:r>
              <w:rPr>
                <w:rFonts w:ascii="Calibri" w:hAnsi="Calibri"/>
                <w:color w:val="333333"/>
                <w:sz w:val="18"/>
              </w:rPr>
              <w:t>3.5%</w:t>
            </w:r>
          </w:p>
        </w:tc>
      </w:tr>
      <w:tr>
        <w:tc>
          <w:tcPr>
            <w:tcW w:type="dxa" w:w="2520"/>
          </w:tcPr>
          <w:p>
            <w:r>
              <w:rPr>
                <w:rFonts w:ascii="Calibri" w:hAnsi="Calibri"/>
                <w:color w:val="333333"/>
                <w:sz w:val="18"/>
              </w:rPr>
              <w:t>Other income / non-operating income</w:t>
            </w:r>
          </w:p>
        </w:tc>
        <w:tc>
          <w:tcPr>
            <w:tcW w:type="dxa" w:w="2520"/>
          </w:tcPr>
          <w:p>
            <w:r>
              <w:rPr>
                <w:rFonts w:ascii="Calibri" w:hAnsi="Calibri"/>
                <w:color w:val="333333"/>
                <w:sz w:val="18"/>
              </w:rPr>
              <w:t>$668.0M</w:t>
            </w:r>
          </w:p>
        </w:tc>
        <w:tc>
          <w:tcPr>
            <w:tcW w:type="dxa" w:w="2520"/>
          </w:tcPr>
          <w:p>
            <w:r>
              <w:rPr>
                <w:rFonts w:ascii="Calibri" w:hAnsi="Calibri"/>
                <w:color w:val="333333"/>
                <w:sz w:val="18"/>
              </w:rPr>
              <w:t>$154.0M</w:t>
            </w:r>
          </w:p>
        </w:tc>
        <w:tc>
          <w:tcPr>
            <w:tcW w:type="dxa" w:w="2520"/>
            <w:shd w:fill="FCE8E6" w:val="clear"/>
          </w:tcPr>
          <w:p>
            <w:r>
              <w:rPr>
                <w:rFonts w:ascii="Calibri" w:hAnsi="Calibri"/>
                <w:color w:val="333333"/>
                <w:sz w:val="18"/>
              </w:rPr>
              <w:t>-77.0%</w:t>
            </w:r>
          </w:p>
        </w:tc>
      </w:tr>
      <w:tr>
        <w:tc>
          <w:tcPr>
            <w:tcW w:type="dxa" w:w="2520"/>
            <w:shd w:fill="F2F4F8" w:val="clear"/>
          </w:tcPr>
          <w:p>
            <w:r>
              <w:rPr>
                <w:rFonts w:ascii="Calibri" w:hAnsi="Calibri"/>
                <w:color w:val="333333"/>
                <w:sz w:val="18"/>
              </w:rPr>
              <w:t>Restructuring charges</w:t>
            </w:r>
          </w:p>
        </w:tc>
        <w:tc>
          <w:tcPr>
            <w:tcW w:type="dxa" w:w="2520"/>
            <w:shd w:fill="F2F4F8" w:val="clear"/>
          </w:tcPr>
          <w:p>
            <w:r>
              <w:rPr>
                <w:rFonts w:ascii="Calibri" w:hAnsi="Calibri"/>
                <w:color w:val="333333"/>
                <w:sz w:val="18"/>
              </w:rPr>
              <w:t>$659.0M</w:t>
            </w:r>
          </w:p>
        </w:tc>
        <w:tc>
          <w:tcPr>
            <w:tcW w:type="dxa" w:w="2520"/>
            <w:shd w:fill="F2F4F8" w:val="clear"/>
          </w:tcPr>
          <w:p>
            <w:r>
              <w:rPr>
                <w:rFonts w:ascii="Calibri" w:hAnsi="Calibri"/>
                <w:color w:val="333333"/>
                <w:sz w:val="18"/>
              </w:rPr>
              <w:t>$1.1B</w:t>
            </w:r>
          </w:p>
        </w:tc>
        <w:tc>
          <w:tcPr>
            <w:tcW w:type="dxa" w:w="2520"/>
            <w:shd w:fill="F2F4F8" w:val="clear"/>
            <w:shd w:fill="DCEEF8" w:val="clear"/>
          </w:tcPr>
          <w:p>
            <w:r>
              <w:rPr>
                <w:rFonts w:ascii="Calibri" w:hAnsi="Calibri"/>
                <w:color w:val="333333"/>
                <w:sz w:val="18"/>
              </w:rPr>
              <w:t>69.0%</w:t>
            </w:r>
          </w:p>
        </w:tc>
      </w:tr>
      <w:tr>
        <w:tc>
          <w:tcPr>
            <w:tcW w:type="dxa" w:w="2520"/>
          </w:tcPr>
          <w:p>
            <w:r>
              <w:rPr>
                <w:rFonts w:ascii="Calibri" w:hAnsi="Calibri"/>
                <w:color w:val="333333"/>
                <w:sz w:val="18"/>
              </w:rPr>
              <w:t>Income from operations</w:t>
            </w:r>
          </w:p>
        </w:tc>
        <w:tc>
          <w:tcPr>
            <w:tcW w:type="dxa" w:w="2520"/>
          </w:tcPr>
          <w:p>
            <w:r>
              <w:rPr>
                <w:rFonts w:ascii="Calibri" w:hAnsi="Calibri"/>
                <w:color w:val="333333"/>
                <w:sz w:val="18"/>
              </w:rPr>
              <w:t>$18.5B</w:t>
            </w:r>
          </w:p>
        </w:tc>
        <w:tc>
          <w:tcPr>
            <w:tcW w:type="dxa" w:w="2520"/>
          </w:tcPr>
          <w:p>
            <w:r>
              <w:rPr>
                <w:rFonts w:ascii="Calibri" w:hAnsi="Calibri"/>
                <w:color w:val="333333"/>
                <w:sz w:val="18"/>
              </w:rPr>
              <w:t>$20.5B</w:t>
            </w:r>
          </w:p>
        </w:tc>
        <w:tc>
          <w:tcPr>
            <w:tcW w:type="dxa" w:w="2520"/>
            <w:shd w:fill="DCEEF8" w:val="clear"/>
          </w:tcPr>
          <w:p>
            <w:r>
              <w:rPr>
                <w:rFonts w:ascii="Calibri" w:hAnsi="Calibri"/>
                <w:color w:val="333333"/>
                <w:sz w:val="18"/>
              </w:rPr>
              <w:t>10.3%</w:t>
            </w:r>
          </w:p>
        </w:tc>
      </w:tr>
      <w:tr>
        <w:tc>
          <w:tcPr>
            <w:tcW w:type="dxa" w:w="2520"/>
            <w:shd w:fill="F2F4F8" w:val="clear"/>
          </w:tcPr>
          <w:p>
            <w:r>
              <w:rPr>
                <w:rFonts w:ascii="Calibri" w:hAnsi="Calibri"/>
                <w:color w:val="333333"/>
                <w:sz w:val="18"/>
              </w:rPr>
              <w:t>Pre-tax income</w:t>
            </w:r>
          </w:p>
        </w:tc>
        <w:tc>
          <w:tcPr>
            <w:tcW w:type="dxa" w:w="2520"/>
            <w:shd w:fill="F2F4F8" w:val="clear"/>
          </w:tcPr>
          <w:p>
            <w:r>
              <w:rPr>
                <w:rFonts w:ascii="Calibri" w:hAnsi="Calibri"/>
                <w:color w:val="333333"/>
                <w:sz w:val="18"/>
              </w:rPr>
              <w:t>$18.8B</w:t>
            </w:r>
          </w:p>
        </w:tc>
        <w:tc>
          <w:tcPr>
            <w:tcW w:type="dxa" w:w="2520"/>
            <w:shd w:fill="F2F4F8" w:val="clear"/>
          </w:tcPr>
          <w:p>
            <w:r>
              <w:rPr>
                <w:rFonts w:ascii="Calibri" w:hAnsi="Calibri"/>
                <w:color w:val="333333"/>
                <w:sz w:val="18"/>
              </w:rPr>
              <w:t>$20.2B</w:t>
            </w:r>
          </w:p>
        </w:tc>
        <w:tc>
          <w:tcPr>
            <w:tcW w:type="dxa" w:w="2520"/>
            <w:shd w:fill="F2F4F8" w:val="clear"/>
            <w:shd w:fill="FFF3CD" w:val="clear"/>
          </w:tcPr>
          <w:p>
            <w:r>
              <w:rPr>
                <w:rFonts w:ascii="Calibri" w:hAnsi="Calibri"/>
                <w:color w:val="333333"/>
                <w:sz w:val="18"/>
              </w:rPr>
              <w:t>7.5%</w:t>
            </w:r>
          </w:p>
        </w:tc>
      </w:tr>
      <w:tr>
        <w:tc>
          <w:tcPr>
            <w:tcW w:type="dxa" w:w="2520"/>
          </w:tcPr>
          <w:p>
            <w:r>
              <w:rPr>
                <w:rFonts w:ascii="Calibri" w:hAnsi="Calibri"/>
                <w:color w:val="333333"/>
                <w:sz w:val="18"/>
              </w:rPr>
              <w:t>Preferred stock dividends</w:t>
            </w:r>
          </w:p>
        </w:tc>
        <w:tc>
          <w:tcPr>
            <w:tcW w:type="dxa" w:w="2520"/>
          </w:tcPr>
          <w:p>
            <w:r>
              <w:rPr>
                <w:rFonts w:ascii="Calibri" w:hAnsi="Calibri"/>
                <w:color w:val="333333"/>
                <w:sz w:val="18"/>
              </w:rPr>
              <w:t>$284.0M</w:t>
            </w:r>
          </w:p>
        </w:tc>
        <w:tc>
          <w:tcPr>
            <w:tcW w:type="dxa" w:w="2520"/>
          </w:tcPr>
          <w:p>
            <w:r>
              <w:rPr>
                <w:rFonts w:ascii="Calibri" w:hAnsi="Calibri"/>
                <w:color w:val="333333"/>
                <w:sz w:val="18"/>
              </w:rPr>
              <w:t>$291.0M</w:t>
            </w:r>
          </w:p>
        </w:tc>
        <w:tc>
          <w:tcPr>
            <w:tcW w:type="dxa" w:w="2520"/>
            <w:shd w:fill="FFF3CD" w:val="clear"/>
          </w:tcPr>
          <w:p>
            <w:r>
              <w:rPr>
                <w:rFonts w:ascii="Calibri" w:hAnsi="Calibri"/>
                <w:color w:val="333333"/>
                <w:sz w:val="18"/>
              </w:rPr>
              <w:t>2.5%</w:t>
            </w:r>
          </w:p>
        </w:tc>
      </w:tr>
      <w:tr>
        <w:tc>
          <w:tcPr>
            <w:tcW w:type="dxa" w:w="2520"/>
            <w:shd w:fill="F2F4F8" w:val="clear"/>
          </w:tcPr>
          <w:p>
            <w:r>
              <w:rPr>
                <w:rFonts w:ascii="Calibri" w:hAnsi="Calibri"/>
                <w:color w:val="333333"/>
                <w:sz w:val="18"/>
              </w:rPr>
              <w:t>Stock-based compensation expense</w:t>
            </w:r>
          </w:p>
        </w:tc>
        <w:tc>
          <w:tcPr>
            <w:tcW w:type="dxa" w:w="2520"/>
            <w:shd w:fill="F2F4F8" w:val="clear"/>
          </w:tcPr>
          <w:p>
            <w:r>
              <w:rPr>
                <w:rFonts w:ascii="Calibri" w:hAnsi="Calibri"/>
                <w:color w:val="333333"/>
                <w:sz w:val="18"/>
              </w:rPr>
              <w:t>$562.0M</w:t>
            </w:r>
          </w:p>
        </w:tc>
        <w:tc>
          <w:tcPr>
            <w:tcW w:type="dxa" w:w="2520"/>
            <w:shd w:fill="F2F4F8" w:val="clear"/>
          </w:tcPr>
          <w:p>
            <w:r>
              <w:rPr>
                <w:rFonts w:ascii="Calibri" w:hAnsi="Calibri"/>
                <w:color w:val="333333"/>
                <w:sz w:val="18"/>
              </w:rPr>
              <w:t>$476.0M</w:t>
            </w:r>
          </w:p>
        </w:tc>
        <w:tc>
          <w:tcPr>
            <w:tcW w:type="dxa" w:w="2520"/>
            <w:shd w:fill="F2F4F8" w:val="clear"/>
            <w:shd w:fill="FCE8E6" w:val="clear"/>
          </w:tcPr>
          <w:p>
            <w:r>
              <w:rPr>
                <w:rFonts w:ascii="Calibri" w:hAnsi="Calibri"/>
                <w:color w:val="333333"/>
                <w:sz w:val="18"/>
              </w:rPr>
              <w:t>-15.3%</w:t>
            </w:r>
          </w:p>
        </w:tc>
      </w:tr>
      <w:tr>
        <w:tc>
          <w:tcPr>
            <w:tcW w:type="dxa" w:w="2520"/>
          </w:tcPr>
          <w:p>
            <w:r>
              <w:rPr>
                <w:rFonts w:ascii="Calibri" w:hAnsi="Calibri"/>
                <w:color w:val="333333"/>
                <w:sz w:val="18"/>
              </w:rPr>
              <w:t>Income before income taxes</w:t>
            </w:r>
          </w:p>
        </w:tc>
        <w:tc>
          <w:tcPr>
            <w:tcW w:type="dxa" w:w="2520"/>
          </w:tcPr>
          <w:p>
            <w:r>
              <w:rPr>
                <w:rFonts w:ascii="Calibri" w:hAnsi="Calibri"/>
                <w:color w:val="333333"/>
                <w:sz w:val="18"/>
              </w:rPr>
              <w:t>$18.8B</w:t>
            </w:r>
          </w:p>
        </w:tc>
        <w:tc>
          <w:tcPr>
            <w:tcW w:type="dxa" w:w="2520"/>
          </w:tcPr>
          <w:p>
            <w:r>
              <w:rPr>
                <w:rFonts w:ascii="Calibri" w:hAnsi="Calibri"/>
                <w:color w:val="333333"/>
                <w:sz w:val="18"/>
              </w:rPr>
              <w:t>$20.2B</w:t>
            </w:r>
          </w:p>
        </w:tc>
        <w:tc>
          <w:tcPr>
            <w:tcW w:type="dxa" w:w="2520"/>
            <w:shd w:fill="FFF3CD" w:val="clear"/>
          </w:tcPr>
          <w:p>
            <w:r>
              <w:rPr>
                <w:rFonts w:ascii="Calibri" w:hAnsi="Calibri"/>
                <w:color w:val="333333"/>
                <w:sz w:val="18"/>
              </w:rPr>
              <w:t>7.5%</w:t>
            </w:r>
          </w:p>
        </w:tc>
      </w:tr>
      <w:tr>
        <w:tc>
          <w:tcPr>
            <w:tcW w:type="dxa" w:w="2520"/>
            <w:shd w:fill="F2F4F8" w:val="clear"/>
          </w:tcPr>
          <w:p>
            <w:r>
              <w:rPr>
                <w:rFonts w:ascii="Calibri" w:hAnsi="Calibri"/>
                <w:color w:val="333333"/>
                <w:sz w:val="18"/>
              </w:rPr>
              <w:t>Gain/loss on sale of assets</w:t>
            </w:r>
          </w:p>
        </w:tc>
        <w:tc>
          <w:tcPr>
            <w:tcW w:type="dxa" w:w="2520"/>
            <w:shd w:fill="F2F4F8" w:val="clear"/>
          </w:tcPr>
          <w:p>
            <w:r>
              <w:rPr>
                <w:rFonts w:ascii="Calibri" w:hAnsi="Calibri"/>
                <w:color w:val="333333"/>
                <w:sz w:val="18"/>
              </w:rPr>
              <w:t>$215.0M</w:t>
            </w:r>
          </w:p>
        </w:tc>
        <w:tc>
          <w:tcPr>
            <w:tcW w:type="dxa" w:w="2520"/>
            <w:shd w:fill="F2F4F8" w:val="clear"/>
          </w:tcPr>
          <w:p>
            <w:r>
              <w:rPr>
                <w:rFonts w:ascii="Calibri" w:hAnsi="Calibri"/>
                <w:color w:val="333333"/>
                <w:sz w:val="18"/>
              </w:rPr>
              <w:t>$-755.0M</w:t>
            </w:r>
          </w:p>
        </w:tc>
        <w:tc>
          <w:tcPr>
            <w:tcW w:type="dxa" w:w="2520"/>
            <w:shd w:fill="F2F4F8" w:val="clear"/>
            <w:shd w:fill="FCE8E6" w:val="clear"/>
          </w:tcPr>
          <w:p>
            <w:r>
              <w:rPr>
                <w:rFonts w:ascii="Calibri" w:hAnsi="Calibri"/>
                <w:color w:val="333333"/>
                <w:sz w:val="18"/>
              </w:rPr>
              <w:t>-451.2%</w:t>
            </w:r>
          </w:p>
        </w:tc>
      </w:tr>
      <w:tr>
        <w:tc>
          <w:tcPr>
            <w:tcW w:type="dxa" w:w="2520"/>
          </w:tcPr>
          <w:p>
            <w:r>
              <w:rPr>
                <w:rFonts w:ascii="Calibri" w:hAnsi="Calibri"/>
                <w:color w:val="333333"/>
                <w:sz w:val="18"/>
              </w:rPr>
              <w:t>Other comprehensive income/loss, net of tax</w:t>
            </w:r>
          </w:p>
        </w:tc>
        <w:tc>
          <w:tcPr>
            <w:tcW w:type="dxa" w:w="2520"/>
          </w:tcPr>
          <w:p>
            <w:r>
              <w:rPr>
                <w:rFonts w:ascii="Calibri" w:hAnsi="Calibri"/>
                <w:color w:val="333333"/>
                <w:sz w:val="18"/>
              </w:rPr>
              <w:t>$317.0M</w:t>
            </w:r>
          </w:p>
        </w:tc>
        <w:tc>
          <w:tcPr>
            <w:tcW w:type="dxa" w:w="2520"/>
          </w:tcPr>
          <w:p>
            <w:r>
              <w:rPr>
                <w:rFonts w:ascii="Calibri" w:hAnsi="Calibri"/>
                <w:color w:val="333333"/>
                <w:sz w:val="18"/>
              </w:rPr>
              <w:t>$-248.0M</w:t>
            </w:r>
          </w:p>
        </w:tc>
        <w:tc>
          <w:tcPr>
            <w:tcW w:type="dxa" w:w="2520"/>
            <w:shd w:fill="FCE8E6" w:val="clear"/>
          </w:tcPr>
          <w:p>
            <w:r>
              <w:rPr>
                <w:rFonts w:ascii="Calibri" w:hAnsi="Calibri"/>
                <w:color w:val="333333"/>
                <w:sz w:val="18"/>
              </w:rPr>
              <w:t>-178.2%</w:t>
            </w:r>
          </w:p>
        </w:tc>
      </w:tr>
      <w:tr>
        <w:tc>
          <w:tcPr>
            <w:tcW w:type="dxa" w:w="2520"/>
            <w:shd w:fill="F2F4F8" w:val="clear"/>
          </w:tcPr>
          <w:p>
            <w:r>
              <w:rPr>
                <w:rFonts w:ascii="Calibri" w:hAnsi="Calibri"/>
                <w:color w:val="333333"/>
                <w:sz w:val="18"/>
              </w:rPr>
              <w:t>Non-operating income / expense</w:t>
            </w:r>
          </w:p>
        </w:tc>
        <w:tc>
          <w:tcPr>
            <w:tcW w:type="dxa" w:w="2520"/>
            <w:shd w:fill="F2F4F8" w:val="clear"/>
          </w:tcPr>
          <w:p>
            <w:r>
              <w:rPr>
                <w:rFonts w:ascii="Calibri" w:hAnsi="Calibri"/>
                <w:color w:val="333333"/>
                <w:sz w:val="18"/>
              </w:rPr>
              <w:t>$668.0M</w:t>
            </w:r>
          </w:p>
        </w:tc>
        <w:tc>
          <w:tcPr>
            <w:tcW w:type="dxa" w:w="2520"/>
            <w:shd w:fill="F2F4F8" w:val="clear"/>
          </w:tcPr>
          <w:p>
            <w:r>
              <w:rPr>
                <w:rFonts w:ascii="Calibri" w:hAnsi="Calibri"/>
                <w:color w:val="333333"/>
                <w:sz w:val="18"/>
              </w:rPr>
              <w:t>$154.0M</w:t>
            </w:r>
          </w:p>
        </w:tc>
        <w:tc>
          <w:tcPr>
            <w:tcW w:type="dxa" w:w="2520"/>
            <w:shd w:fill="F2F4F8" w:val="clear"/>
            <w:shd w:fill="FCE8E6" w:val="clear"/>
          </w:tcPr>
          <w:p>
            <w:r>
              <w:rPr>
                <w:rFonts w:ascii="Calibri" w:hAnsi="Calibri"/>
                <w:color w:val="333333"/>
                <w:sz w:val="18"/>
              </w:rPr>
              <w:t>-77.0%</w:t>
            </w:r>
          </w:p>
        </w:tc>
      </w:tr>
      <w:tr>
        <w:tc>
          <w:tcPr>
            <w:tcW w:type="dxa" w:w="2520"/>
          </w:tcPr>
          <w:p>
            <w:r>
              <w:rPr>
                <w:rFonts w:ascii="Calibri" w:hAnsi="Calibri"/>
                <w:color w:val="333333"/>
                <w:sz w:val="18"/>
              </w:rPr>
              <w:t>Current federal income tax expense / benefit</w:t>
            </w:r>
          </w:p>
        </w:tc>
        <w:tc>
          <w:tcPr>
            <w:tcW w:type="dxa" w:w="2520"/>
          </w:tcPr>
          <w:p>
            <w:r>
              <w:rPr>
                <w:rFonts w:ascii="Calibri" w:hAnsi="Calibri"/>
                <w:color w:val="333333"/>
                <w:sz w:val="18"/>
              </w:rPr>
              <w:t>$2.0B</w:t>
            </w:r>
          </w:p>
        </w:tc>
        <w:tc>
          <w:tcPr>
            <w:tcW w:type="dxa" w:w="2520"/>
          </w:tcPr>
          <w:p>
            <w:r>
              <w:rPr>
                <w:rFonts w:ascii="Calibri" w:hAnsi="Calibri"/>
                <w:color w:val="333333"/>
                <w:sz w:val="18"/>
              </w:rPr>
              <w:t>$2.2B</w:t>
            </w:r>
          </w:p>
        </w:tc>
        <w:tc>
          <w:tcPr>
            <w:tcW w:type="dxa" w:w="2520"/>
            <w:shd w:fill="DCEEF8" w:val="clear"/>
          </w:tcPr>
          <w:p>
            <w:r>
              <w:rPr>
                <w:rFonts w:ascii="Calibri" w:hAnsi="Calibri"/>
                <w:color w:val="333333"/>
                <w:sz w:val="18"/>
              </w:rPr>
              <w:t>13.4%</w:t>
            </w:r>
          </w:p>
        </w:tc>
      </w:tr>
      <w:tr>
        <w:tc>
          <w:tcPr>
            <w:tcW w:type="dxa" w:w="2520"/>
            <w:shd w:fill="F2F4F8" w:val="clear"/>
          </w:tcPr>
          <w:p>
            <w:r>
              <w:rPr>
                <w:rFonts w:ascii="Calibri" w:hAnsi="Calibri"/>
                <w:color w:val="333333"/>
                <w:sz w:val="18"/>
              </w:rPr>
              <w:t>Current state and local income tax expense / benefit</w:t>
            </w:r>
          </w:p>
        </w:tc>
        <w:tc>
          <w:tcPr>
            <w:tcW w:type="dxa" w:w="2520"/>
            <w:shd w:fill="F2F4F8" w:val="clear"/>
          </w:tcPr>
          <w:p>
            <w:r>
              <w:rPr>
                <w:rFonts w:ascii="Calibri" w:hAnsi="Calibri"/>
                <w:color w:val="333333"/>
                <w:sz w:val="18"/>
              </w:rPr>
              <w:t>$368.0M</w:t>
            </w:r>
          </w:p>
        </w:tc>
        <w:tc>
          <w:tcPr>
            <w:tcW w:type="dxa" w:w="2520"/>
            <w:shd w:fill="F2F4F8" w:val="clear"/>
          </w:tcPr>
          <w:p>
            <w:r>
              <w:rPr>
                <w:rFonts w:ascii="Calibri" w:hAnsi="Calibri"/>
                <w:color w:val="333333"/>
                <w:sz w:val="18"/>
              </w:rPr>
              <w:t>$407.0M</w:t>
            </w:r>
          </w:p>
        </w:tc>
        <w:tc>
          <w:tcPr>
            <w:tcW w:type="dxa" w:w="2520"/>
            <w:shd w:fill="F2F4F8" w:val="clear"/>
            <w:shd w:fill="DCEEF8" w:val="clear"/>
          </w:tcPr>
          <w:p>
            <w:r>
              <w:rPr>
                <w:rFonts w:ascii="Calibri" w:hAnsi="Calibri"/>
                <w:color w:val="333333"/>
                <w:sz w:val="18"/>
              </w:rPr>
              <w:t>10.6%</w:t>
            </w:r>
          </w:p>
        </w:tc>
      </w:tr>
      <w:tr>
        <w:tc>
          <w:tcPr>
            <w:tcW w:type="dxa" w:w="2520"/>
          </w:tcPr>
          <w:p>
            <w:r>
              <w:rPr>
                <w:rFonts w:ascii="Calibri" w:hAnsi="Calibri"/>
                <w:color w:val="333333"/>
                <w:sz w:val="18"/>
              </w:rPr>
              <w:t>Current foreign income tax expense / benefit</w:t>
            </w:r>
          </w:p>
        </w:tc>
        <w:tc>
          <w:tcPr>
            <w:tcW w:type="dxa" w:w="2520"/>
          </w:tcPr>
          <w:p>
            <w:r>
              <w:rPr>
                <w:rFonts w:ascii="Calibri" w:hAnsi="Calibri"/>
                <w:color w:val="333333"/>
                <w:sz w:val="18"/>
              </w:rPr>
              <w:t>$1.7B</w:t>
            </w:r>
          </w:p>
        </w:tc>
        <w:tc>
          <w:tcPr>
            <w:tcW w:type="dxa" w:w="2520"/>
          </w:tcPr>
          <w:p>
            <w:r>
              <w:rPr>
                <w:rFonts w:ascii="Calibri" w:hAnsi="Calibri"/>
                <w:color w:val="333333"/>
                <w:sz w:val="18"/>
              </w:rPr>
              <w:t>$1.3B</w:t>
            </w:r>
          </w:p>
        </w:tc>
        <w:tc>
          <w:tcPr>
            <w:tcW w:type="dxa" w:w="2520"/>
            <w:shd w:fill="FCE8E6" w:val="clear"/>
          </w:tcPr>
          <w:p>
            <w:r>
              <w:rPr>
                <w:rFonts w:ascii="Calibri" w:hAnsi="Calibri"/>
                <w:color w:val="333333"/>
                <w:sz w:val="18"/>
              </w:rPr>
              <w:t>-22.1%</w:t>
            </w:r>
          </w:p>
        </w:tc>
      </w:tr>
      <w:tr>
        <w:tc>
          <w:tcPr>
            <w:tcW w:type="dxa" w:w="2520"/>
            <w:shd w:fill="F2F4F8" w:val="clear"/>
          </w:tcPr>
          <w:p>
            <w:r>
              <w:rPr>
                <w:rFonts w:ascii="Calibri" w:hAnsi="Calibri"/>
                <w:color w:val="333333"/>
                <w:sz w:val="18"/>
              </w:rPr>
              <w:t>Deferred federal income tax expense / benefit</w:t>
            </w:r>
          </w:p>
        </w:tc>
        <w:tc>
          <w:tcPr>
            <w:tcW w:type="dxa" w:w="2520"/>
            <w:shd w:fill="F2F4F8" w:val="clear"/>
          </w:tcPr>
          <w:p>
            <w:r>
              <w:rPr>
                <w:rFonts w:ascii="Calibri" w:hAnsi="Calibri"/>
                <w:color w:val="333333"/>
                <w:sz w:val="18"/>
              </w:rPr>
              <w:t>$-133.0M</w:t>
            </w:r>
          </w:p>
        </w:tc>
        <w:tc>
          <w:tcPr>
            <w:tcW w:type="dxa" w:w="2520"/>
            <w:shd w:fill="F2F4F8" w:val="clear"/>
          </w:tcPr>
          <w:p>
            <w:r>
              <w:rPr>
                <w:rFonts w:ascii="Calibri" w:hAnsi="Calibri"/>
                <w:color w:val="333333"/>
                <w:sz w:val="18"/>
              </w:rPr>
              <w:t>$9.0M</w:t>
            </w:r>
          </w:p>
        </w:tc>
        <w:tc>
          <w:tcPr>
            <w:tcW w:type="dxa" w:w="2520"/>
            <w:shd w:fill="F2F4F8" w:val="clear"/>
            <w:shd w:fill="DCEEF8" w:val="clear"/>
          </w:tcPr>
          <w:p>
            <w:r>
              <w:rPr>
                <w:rFonts w:ascii="Calibri" w:hAnsi="Calibri"/>
                <w:color w:val="333333"/>
                <w:sz w:val="18"/>
              </w:rPr>
              <w:t>106.8%</w:t>
            </w:r>
          </w:p>
        </w:tc>
      </w:tr>
      <w:tr>
        <w:tc>
          <w:tcPr>
            <w:tcW w:type="dxa" w:w="2520"/>
          </w:tcPr>
          <w:p>
            <w:r>
              <w:rPr>
                <w:rFonts w:ascii="Calibri" w:hAnsi="Calibri"/>
                <w:color w:val="333333"/>
                <w:sz w:val="18"/>
              </w:rPr>
              <w:t>Deferred foreign income tax expense / benefit</w:t>
            </w:r>
          </w:p>
        </w:tc>
        <w:tc>
          <w:tcPr>
            <w:tcW w:type="dxa" w:w="2520"/>
          </w:tcPr>
          <w:p>
            <w:r>
              <w:rPr>
                <w:rFonts w:ascii="Calibri" w:hAnsi="Calibri"/>
                <w:color w:val="333333"/>
                <w:sz w:val="18"/>
              </w:rPr>
              <w:t>$-111.0M</w:t>
            </w:r>
          </w:p>
        </w:tc>
        <w:tc>
          <w:tcPr>
            <w:tcW w:type="dxa" w:w="2520"/>
          </w:tcPr>
          <w:p>
            <w:r>
              <w:rPr>
                <w:rFonts w:ascii="Calibri" w:hAnsi="Calibri"/>
                <w:color w:val="333333"/>
                <w:sz w:val="18"/>
              </w:rPr>
              <w:t>$141.0M</w:t>
            </w:r>
          </w:p>
        </w:tc>
        <w:tc>
          <w:tcPr>
            <w:tcW w:type="dxa" w:w="2520"/>
            <w:shd w:fill="DCEEF8" w:val="clear"/>
          </w:tcPr>
          <w:p>
            <w:r>
              <w:rPr>
                <w:rFonts w:ascii="Calibri" w:hAnsi="Calibri"/>
                <w:color w:val="333333"/>
                <w:sz w:val="18"/>
              </w:rPr>
              <w:t>227.0%</w:t>
            </w:r>
          </w:p>
        </w:tc>
      </w:tr>
      <w:tr>
        <w:tc>
          <w:tcPr>
            <w:tcW w:type="dxa" w:w="2520"/>
            <w:shd w:fill="F2F4F8" w:val="clear"/>
          </w:tcPr>
          <w:p>
            <w:r>
              <w:rPr>
                <w:rFonts w:ascii="Calibri" w:hAnsi="Calibri"/>
                <w:color w:val="333333"/>
                <w:sz w:val="18"/>
              </w:rPr>
              <w:t>Advertising expense</w:t>
            </w:r>
          </w:p>
        </w:tc>
        <w:tc>
          <w:tcPr>
            <w:tcW w:type="dxa" w:w="2520"/>
            <w:shd w:fill="F2F4F8" w:val="clear"/>
          </w:tcPr>
          <w:p>
            <w:r>
              <w:rPr>
                <w:rFonts w:ascii="Calibri" w:hAnsi="Calibri"/>
                <w:color w:val="333333"/>
                <w:sz w:val="18"/>
              </w:rPr>
              <w:t>$9.6B</w:t>
            </w:r>
          </w:p>
        </w:tc>
        <w:tc>
          <w:tcPr>
            <w:tcW w:type="dxa" w:w="2520"/>
            <w:shd w:fill="F2F4F8" w:val="clear"/>
          </w:tcPr>
          <w:p>
            <w:r>
              <w:rPr>
                <w:rFonts w:ascii="Calibri" w:hAnsi="Calibri"/>
                <w:color w:val="333333"/>
                <w:sz w:val="18"/>
              </w:rPr>
              <w:t>$9.2B</w:t>
            </w:r>
          </w:p>
        </w:tc>
        <w:tc>
          <w:tcPr>
            <w:tcW w:type="dxa" w:w="2520"/>
            <w:shd w:fill="F2F4F8" w:val="clear"/>
            <w:shd w:fill="FFF3CD" w:val="clear"/>
          </w:tcPr>
          <w:p>
            <w:r>
              <w:rPr>
                <w:rFonts w:ascii="Calibri" w:hAnsi="Calibri"/>
                <w:color w:val="333333"/>
                <w:sz w:val="18"/>
              </w:rPr>
              <w:t>-4.2%</w:t>
            </w:r>
          </w:p>
        </w:tc>
      </w:tr>
      <w:tr>
        <w:tc>
          <w:tcPr>
            <w:tcW w:type="dxa" w:w="2520"/>
          </w:tcPr>
          <w:p>
            <w:r>
              <w:rPr>
                <w:rFonts w:ascii="Calibri" w:hAnsi="Calibri"/>
                <w:color w:val="333333"/>
                <w:sz w:val="18"/>
              </w:rPr>
              <w:t>Gross margin percentage</w:t>
            </w:r>
          </w:p>
        </w:tc>
        <w:tc>
          <w:tcPr>
            <w:tcW w:type="dxa" w:w="2520"/>
          </w:tcPr>
          <w:p>
            <w:r>
              <w:rPr>
                <w:rFonts w:ascii="Calibri" w:hAnsi="Calibri"/>
                <w:color w:val="333333"/>
                <w:sz w:val="18"/>
              </w:rPr>
              <w:t>51.4%</w:t>
            </w:r>
          </w:p>
        </w:tc>
        <w:tc>
          <w:tcPr>
            <w:tcW w:type="dxa" w:w="2520"/>
          </w:tcPr>
          <w:p>
            <w:r>
              <w:rPr>
                <w:rFonts w:ascii="Calibri" w:hAnsi="Calibri"/>
                <w:color w:val="333333"/>
                <w:sz w:val="18"/>
              </w:rPr>
              <w:t>51.2%</w:t>
            </w:r>
          </w:p>
        </w:tc>
        <w:tc>
          <w:tcPr>
            <w:tcW w:type="dxa" w:w="2520"/>
          </w:tcPr>
          <w:p>
            <w:r>
              <w:rPr>
                <w:rFonts w:ascii="Calibri" w:hAnsi="Calibri"/>
                <w:color w:val="333333"/>
                <w:sz w:val="18"/>
              </w:rPr>
              <w:t>-0.5%</w:t>
            </w:r>
          </w:p>
        </w:tc>
      </w:tr>
      <w:tr>
        <w:tc>
          <w:tcPr>
            <w:tcW w:type="dxa" w:w="2520"/>
            <w:shd w:fill="F2F4F8" w:val="clear"/>
          </w:tcPr>
          <w:p>
            <w:r>
              <w:rPr>
                <w:rFonts w:ascii="Calibri" w:hAnsi="Calibri"/>
                <w:color w:val="333333"/>
                <w:sz w:val="18"/>
              </w:rPr>
              <w:t>Operating margin percentage</w:t>
            </w:r>
          </w:p>
        </w:tc>
        <w:tc>
          <w:tcPr>
            <w:tcW w:type="dxa" w:w="2520"/>
            <w:shd w:fill="F2F4F8" w:val="clear"/>
          </w:tcPr>
          <w:p>
            <w:r>
              <w:rPr>
                <w:rFonts w:ascii="Calibri" w:hAnsi="Calibri"/>
                <w:color w:val="333333"/>
                <w:sz w:val="18"/>
              </w:rPr>
              <w:t>22.1%</w:t>
            </w:r>
          </w:p>
        </w:tc>
        <w:tc>
          <w:tcPr>
            <w:tcW w:type="dxa" w:w="2520"/>
            <w:shd w:fill="F2F4F8" w:val="clear"/>
          </w:tcPr>
          <w:p>
            <w:r>
              <w:rPr>
                <w:rFonts w:ascii="Calibri" w:hAnsi="Calibri"/>
                <w:color w:val="333333"/>
                <w:sz w:val="18"/>
              </w:rPr>
              <w:t>24.3%</w:t>
            </w:r>
          </w:p>
        </w:tc>
        <w:tc>
          <w:tcPr>
            <w:tcW w:type="dxa" w:w="2520"/>
            <w:shd w:fill="F2F4F8" w:val="clear"/>
            <w:shd w:fill="FFF3CD" w:val="clear"/>
          </w:tcPr>
          <w:p>
            <w:r>
              <w:rPr>
                <w:rFonts w:ascii="Calibri" w:hAnsi="Calibri"/>
                <w:color w:val="333333"/>
                <w:sz w:val="18"/>
              </w:rPr>
              <w:t>9.9%</w:t>
            </w:r>
          </w:p>
        </w:tc>
      </w:tr>
      <w:tr>
        <w:tc>
          <w:tcPr>
            <w:tcW w:type="dxa" w:w="2520"/>
          </w:tcPr>
          <w:p>
            <w:r>
              <w:rPr>
                <w:rFonts w:ascii="Calibri" w:hAnsi="Calibri"/>
                <w:color w:val="333333"/>
                <w:sz w:val="18"/>
              </w:rPr>
              <w:t>Net margin percentage</w:t>
            </w:r>
          </w:p>
        </w:tc>
        <w:tc>
          <w:tcPr>
            <w:tcW w:type="dxa" w:w="2520"/>
          </w:tcPr>
          <w:p>
            <w:r>
              <w:rPr>
                <w:rFonts w:ascii="Calibri" w:hAnsi="Calibri"/>
                <w:color w:val="333333"/>
                <w:sz w:val="18"/>
              </w:rPr>
              <w:t>17.7%</w:t>
            </w:r>
          </w:p>
        </w:tc>
        <w:tc>
          <w:tcPr>
            <w:tcW w:type="dxa" w:w="2520"/>
          </w:tcPr>
          <w:p>
            <w:r>
              <w:rPr>
                <w:rFonts w:ascii="Calibri" w:hAnsi="Calibri"/>
                <w:color w:val="333333"/>
                <w:sz w:val="18"/>
              </w:rPr>
              <w:t>18.9%</w:t>
            </w:r>
          </w:p>
        </w:tc>
        <w:tc>
          <w:tcPr>
            <w:tcW w:type="dxa" w:w="2520"/>
            <w:shd w:fill="FFF3CD" w:val="clear"/>
          </w:tcPr>
          <w:p>
            <w:r>
              <w:rPr>
                <w:rFonts w:ascii="Calibri" w:hAnsi="Calibri"/>
                <w:color w:val="333333"/>
                <w:sz w:val="18"/>
              </w:rPr>
              <w:t>7.1%</w:t>
            </w:r>
          </w:p>
        </w:tc>
      </w:tr>
      <w:tr>
        <w:tc>
          <w:tcPr>
            <w:tcW w:type="dxa" w:w="2520"/>
            <w:shd w:fill="F2F4F8" w:val="clear"/>
          </w:tcPr>
          <w:p>
            <w:r>
              <w:rPr>
                <w:rFonts w:ascii="Calibri" w:hAnsi="Calibri"/>
                <w:color w:val="333333"/>
                <w:sz w:val="18"/>
              </w:rPr>
              <w:t>EBITDA margin percentage</w:t>
            </w:r>
          </w:p>
        </w:tc>
        <w:tc>
          <w:tcPr>
            <w:tcW w:type="dxa" w:w="2520"/>
            <w:shd w:fill="F2F4F8" w:val="clear"/>
          </w:tcPr>
          <w:p>
            <w:r>
              <w:rPr>
                <w:rFonts w:ascii="Calibri" w:hAnsi="Calibri"/>
                <w:color w:val="333333"/>
                <w:sz w:val="18"/>
              </w:rPr>
              <w:t>25.5%</w:t>
            </w:r>
          </w:p>
        </w:tc>
        <w:tc>
          <w:tcPr>
            <w:tcW w:type="dxa" w:w="2520"/>
            <w:shd w:fill="F2F4F8" w:val="clear"/>
          </w:tcPr>
          <w:p>
            <w:r>
              <w:rPr>
                <w:rFonts w:ascii="Calibri" w:hAnsi="Calibri"/>
                <w:color w:val="333333"/>
                <w:sz w:val="18"/>
              </w:rPr>
              <w:t>27.6%</w:t>
            </w:r>
          </w:p>
        </w:tc>
        <w:tc>
          <w:tcPr>
            <w:tcW w:type="dxa" w:w="2520"/>
            <w:shd w:fill="F2F4F8" w:val="clear"/>
            <w:shd w:fill="FFF3CD" w:val="clear"/>
          </w:tcPr>
          <w:p>
            <w:r>
              <w:rPr>
                <w:rFonts w:ascii="Calibri" w:hAnsi="Calibri"/>
                <w:color w:val="333333"/>
                <w:sz w:val="18"/>
              </w:rPr>
              <w:t>8.3%</w:t>
            </w:r>
          </w:p>
        </w:tc>
      </w:tr>
      <w:tr>
        <w:tc>
          <w:tcPr>
            <w:tcW w:type="dxa" w:w="2520"/>
          </w:tcPr>
          <w:p>
            <w:r>
              <w:rPr>
                <w:rFonts w:ascii="Calibri" w:hAnsi="Calibri"/>
                <w:color w:val="333333"/>
                <w:sz w:val="18"/>
              </w:rPr>
              <w:t>Effective tax rate</w:t>
            </w:r>
          </w:p>
        </w:tc>
        <w:tc>
          <w:tcPr>
            <w:tcW w:type="dxa" w:w="2520"/>
          </w:tcPr>
          <w:p>
            <w:r>
              <w:rPr>
                <w:rFonts w:ascii="Calibri" w:hAnsi="Calibri"/>
                <w:color w:val="333333"/>
                <w:sz w:val="18"/>
              </w:rPr>
              <w:t>$20</w:t>
            </w:r>
          </w:p>
        </w:tc>
        <w:tc>
          <w:tcPr>
            <w:tcW w:type="dxa" w:w="2520"/>
          </w:tcPr>
          <w:p>
            <w:r>
              <w:rPr>
                <w:rFonts w:ascii="Calibri" w:hAnsi="Calibri"/>
                <w:color w:val="333333"/>
                <w:sz w:val="18"/>
              </w:rPr>
              <w:t>$20</w:t>
            </w:r>
          </w:p>
        </w:tc>
        <w:tc>
          <w:tcPr>
            <w:tcW w:type="dxa" w:w="2520"/>
          </w:tcPr>
          <w:p>
            <w:r>
              <w:rPr>
                <w:rFonts w:ascii="Calibri" w:hAnsi="Calibri"/>
                <w:color w:val="333333"/>
                <w:sz w:val="18"/>
              </w:rPr>
              <w:t>0.7%</w:t>
            </w:r>
          </w:p>
        </w:tc>
      </w:tr>
      <w:tr>
        <w:tc>
          <w:tcPr>
            <w:tcW w:type="dxa" w:w="2520"/>
            <w:shd w:fill="F2F4F8" w:val="clear"/>
          </w:tcPr>
          <w:p>
            <w:r>
              <w:rPr>
                <w:rFonts w:ascii="Calibri" w:hAnsi="Calibri"/>
                <w:color w:val="333333"/>
                <w:sz w:val="18"/>
              </w:rPr>
              <w:t>Interest coverage ratio</w:t>
            </w:r>
          </w:p>
        </w:tc>
        <w:tc>
          <w:tcPr>
            <w:tcW w:type="dxa" w:w="2520"/>
            <w:shd w:fill="F2F4F8" w:val="clear"/>
          </w:tcPr>
          <w:p>
            <w:r>
              <w:rPr>
                <w:rFonts w:ascii="Calibri" w:hAnsi="Calibri"/>
                <w:color w:val="333333"/>
                <w:sz w:val="18"/>
              </w:rPr>
              <w:t>$21</w:t>
            </w:r>
          </w:p>
        </w:tc>
        <w:tc>
          <w:tcPr>
            <w:tcW w:type="dxa" w:w="2520"/>
            <w:shd w:fill="F2F4F8" w:val="clear"/>
          </w:tcPr>
          <w:p>
            <w:r>
              <w:rPr>
                <w:rFonts w:ascii="Calibri" w:hAnsi="Calibri"/>
                <w:color w:val="333333"/>
                <w:sz w:val="18"/>
              </w:rPr>
              <w:t>$23</w:t>
            </w:r>
          </w:p>
        </w:tc>
        <w:tc>
          <w:tcPr>
            <w:tcW w:type="dxa" w:w="2520"/>
            <w:shd w:fill="F2F4F8" w:val="clear"/>
            <w:shd w:fill="FFF3CD" w:val="clear"/>
          </w:tcPr>
          <w:p>
            <w:r>
              <w:rPr>
                <w:rFonts w:ascii="Calibri" w:hAnsi="Calibri"/>
                <w:color w:val="333333"/>
                <w:sz w:val="18"/>
              </w:rPr>
              <w:t>8.1%</w:t>
            </w:r>
          </w:p>
        </w:tc>
      </w:tr>
    </w:tbl>
    <w:p>
      <w:pPr>
        <w:pStyle w:val="DOHeading2"/>
      </w:pPr>
      <w:r>
        <w:t>Balance Sheet</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1A1446" w:val="clear"/>
          </w:tcPr>
          <w:p>
            <w:r>
              <w:rPr>
                <w:rFonts w:ascii="Calibri" w:hAnsi="Calibri"/>
                <w:b/>
                <w:color w:val="FFFFFF"/>
                <w:sz w:val="18"/>
              </w:rPr>
              <w:t>Metric</w:t>
            </w:r>
          </w:p>
        </w:tc>
        <w:tc>
          <w:tcPr>
            <w:tcW w:type="dxa" w:w="2520"/>
            <w:shd w:fill="1A1446" w:val="clear"/>
          </w:tcPr>
          <w:p>
            <w:r>
              <w:rPr>
                <w:rFonts w:ascii="Calibri" w:hAnsi="Calibri"/>
                <w:b/>
                <w:color w:val="FFFFFF"/>
                <w:sz w:val="18"/>
              </w:rPr>
              <w:t>FY2024</w:t>
            </w:r>
          </w:p>
        </w:tc>
        <w:tc>
          <w:tcPr>
            <w:tcW w:type="dxa" w:w="2520"/>
            <w:shd w:fill="1A1446" w:val="clear"/>
          </w:tcPr>
          <w:p>
            <w:r>
              <w:rPr>
                <w:rFonts w:ascii="Calibri" w:hAnsi="Calibri"/>
                <w:b/>
                <w:color w:val="FFFFFF"/>
                <w:sz w:val="18"/>
              </w:rPr>
              <w:t>FY2025</w:t>
            </w:r>
          </w:p>
        </w:tc>
        <w:tc>
          <w:tcPr>
            <w:tcW w:type="dxa" w:w="2520"/>
            <w:shd w:fill="1A1446" w:val="clear"/>
          </w:tcPr>
          <w:p>
            <w:r>
              <w:rPr>
                <w:rFonts w:ascii="Calibri" w:hAnsi="Calibri"/>
                <w:b/>
                <w:color w:val="FFFFFF"/>
                <w:sz w:val="18"/>
              </w:rPr>
              <w:t>YoY Change</w:t>
            </w:r>
          </w:p>
        </w:tc>
      </w:tr>
      <w:tr>
        <w:tc>
          <w:tcPr>
            <w:tcW w:type="dxa" w:w="2520"/>
          </w:tcPr>
          <w:p>
            <w:r>
              <w:rPr>
                <w:rFonts w:ascii="Calibri" w:hAnsi="Calibri"/>
                <w:color w:val="333333"/>
                <w:sz w:val="18"/>
              </w:rPr>
              <w:t>Total assets</w:t>
            </w:r>
          </w:p>
        </w:tc>
        <w:tc>
          <w:tcPr>
            <w:tcW w:type="dxa" w:w="2520"/>
          </w:tcPr>
          <w:p>
            <w:r>
              <w:rPr>
                <w:rFonts w:ascii="Calibri" w:hAnsi="Calibri"/>
                <w:color w:val="333333"/>
                <w:sz w:val="18"/>
              </w:rPr>
              <w:t>$122.4B</w:t>
            </w:r>
          </w:p>
        </w:tc>
        <w:tc>
          <w:tcPr>
            <w:tcW w:type="dxa" w:w="2520"/>
          </w:tcPr>
          <w:p>
            <w:r>
              <w:rPr>
                <w:rFonts w:ascii="Calibri" w:hAnsi="Calibri"/>
                <w:color w:val="333333"/>
                <w:sz w:val="18"/>
              </w:rPr>
              <w:t>$125.2B</w:t>
            </w:r>
          </w:p>
        </w:tc>
        <w:tc>
          <w:tcPr>
            <w:tcW w:type="dxa" w:w="2520"/>
          </w:tcPr>
          <w:p>
            <w:r>
              <w:rPr>
                <w:rFonts w:ascii="Calibri" w:hAnsi="Calibri"/>
                <w:color w:val="333333"/>
                <w:sz w:val="18"/>
              </w:rPr>
              <w:t>N/A</w:t>
            </w:r>
          </w:p>
        </w:tc>
      </w:tr>
      <w:tr>
        <w:tc>
          <w:tcPr>
            <w:tcW w:type="dxa" w:w="2520"/>
            <w:shd w:fill="F2F4F8" w:val="clear"/>
          </w:tcPr>
          <w:p>
            <w:r>
              <w:rPr>
                <w:rFonts w:ascii="Calibri" w:hAnsi="Calibri"/>
                <w:color w:val="333333"/>
                <w:sz w:val="18"/>
              </w:rPr>
              <w:t>Total liabilities</w:t>
            </w:r>
          </w:p>
        </w:tc>
        <w:tc>
          <w:tcPr>
            <w:tcW w:type="dxa" w:w="2520"/>
            <w:shd w:fill="F2F4F8" w:val="clear"/>
          </w:tcPr>
          <w:p>
            <w:r>
              <w:rPr>
                <w:rFonts w:ascii="Calibri" w:hAnsi="Calibri"/>
                <w:color w:val="333333"/>
                <w:sz w:val="18"/>
              </w:rPr>
              <w:t>$71.8B</w:t>
            </w:r>
          </w:p>
        </w:tc>
        <w:tc>
          <w:tcPr>
            <w:tcW w:type="dxa" w:w="2520"/>
            <w:shd w:fill="F2F4F8" w:val="clear"/>
          </w:tcPr>
          <w:p>
            <w:r>
              <w:rPr>
                <w:rFonts w:ascii="Calibri" w:hAnsi="Calibri"/>
                <w:color w:val="333333"/>
                <w:sz w:val="18"/>
              </w:rPr>
              <w:t>$72.9B</w:t>
            </w:r>
          </w:p>
        </w:tc>
        <w:tc>
          <w:tcPr>
            <w:tcW w:type="dxa" w:w="2520"/>
            <w:shd w:fill="F2F4F8" w:val="clear"/>
          </w:tcPr>
          <w:p>
            <w:r>
              <w:rPr>
                <w:rFonts w:ascii="Calibri" w:hAnsi="Calibri"/>
                <w:color w:val="333333"/>
                <w:sz w:val="18"/>
              </w:rPr>
              <w:t>N/A</w:t>
            </w:r>
          </w:p>
        </w:tc>
      </w:tr>
      <w:tr>
        <w:tc>
          <w:tcPr>
            <w:tcW w:type="dxa" w:w="2520"/>
          </w:tcPr>
          <w:p>
            <w:r>
              <w:rPr>
                <w:rFonts w:ascii="Calibri" w:hAnsi="Calibri"/>
                <w:color w:val="333333"/>
                <w:sz w:val="18"/>
              </w:rPr>
              <w:t>Total stockholders' equity</w:t>
            </w:r>
          </w:p>
        </w:tc>
        <w:tc>
          <w:tcPr>
            <w:tcW w:type="dxa" w:w="2520"/>
          </w:tcPr>
          <w:p>
            <w:r>
              <w:rPr>
                <w:rFonts w:ascii="Calibri" w:hAnsi="Calibri"/>
                <w:color w:val="333333"/>
                <w:sz w:val="18"/>
              </w:rPr>
              <w:t>$50.6B</w:t>
            </w:r>
          </w:p>
        </w:tc>
        <w:tc>
          <w:tcPr>
            <w:tcW w:type="dxa" w:w="2520"/>
          </w:tcPr>
          <w:p>
            <w:r>
              <w:rPr>
                <w:rFonts w:ascii="Calibri" w:hAnsi="Calibri"/>
                <w:color w:val="333333"/>
                <w:sz w:val="18"/>
              </w:rPr>
              <w:t>$52.3B</w:t>
            </w:r>
          </w:p>
        </w:tc>
        <w:tc>
          <w:tcPr>
            <w:tcW w:type="dxa" w:w="2520"/>
          </w:tcPr>
          <w:p>
            <w:r>
              <w:rPr>
                <w:rFonts w:ascii="Calibri" w:hAnsi="Calibri"/>
                <w:color w:val="333333"/>
                <w:sz w:val="18"/>
              </w:rPr>
              <w:t>N/A</w:t>
            </w:r>
          </w:p>
        </w:tc>
      </w:tr>
      <w:tr>
        <w:tc>
          <w:tcPr>
            <w:tcW w:type="dxa" w:w="2520"/>
            <w:shd w:fill="F2F4F8" w:val="clear"/>
          </w:tcPr>
          <w:p>
            <w:r>
              <w:rPr>
                <w:rFonts w:ascii="Calibri" w:hAnsi="Calibri"/>
                <w:color w:val="333333"/>
                <w:sz w:val="18"/>
              </w:rPr>
              <w:t>Total current assets</w:t>
            </w:r>
          </w:p>
        </w:tc>
        <w:tc>
          <w:tcPr>
            <w:tcW w:type="dxa" w:w="2520"/>
            <w:shd w:fill="F2F4F8" w:val="clear"/>
          </w:tcPr>
          <w:p>
            <w:r>
              <w:rPr>
                <w:rFonts w:ascii="Calibri" w:hAnsi="Calibri"/>
                <w:color w:val="333333"/>
                <w:sz w:val="18"/>
              </w:rPr>
              <w:t>$24.7B</w:t>
            </w:r>
          </w:p>
        </w:tc>
        <w:tc>
          <w:tcPr>
            <w:tcW w:type="dxa" w:w="2520"/>
            <w:shd w:fill="F2F4F8" w:val="clear"/>
          </w:tcPr>
          <w:p>
            <w:r>
              <w:rPr>
                <w:rFonts w:ascii="Calibri" w:hAnsi="Calibri"/>
                <w:color w:val="333333"/>
                <w:sz w:val="18"/>
              </w:rPr>
              <w:t>$25.4B</w:t>
            </w:r>
          </w:p>
        </w:tc>
        <w:tc>
          <w:tcPr>
            <w:tcW w:type="dxa" w:w="2520"/>
            <w:shd w:fill="F2F4F8" w:val="clear"/>
          </w:tcPr>
          <w:p>
            <w:r>
              <w:rPr>
                <w:rFonts w:ascii="Calibri" w:hAnsi="Calibri"/>
                <w:color w:val="333333"/>
                <w:sz w:val="18"/>
              </w:rPr>
              <w:t>N/A</w:t>
            </w:r>
          </w:p>
        </w:tc>
      </w:tr>
      <w:tr>
        <w:tc>
          <w:tcPr>
            <w:tcW w:type="dxa" w:w="2520"/>
          </w:tcPr>
          <w:p>
            <w:r>
              <w:rPr>
                <w:rFonts w:ascii="Calibri" w:hAnsi="Calibri"/>
                <w:color w:val="333333"/>
                <w:sz w:val="18"/>
              </w:rPr>
              <w:t>Total current liabilities</w:t>
            </w:r>
          </w:p>
        </w:tc>
        <w:tc>
          <w:tcPr>
            <w:tcW w:type="dxa" w:w="2520"/>
          </w:tcPr>
          <w:p>
            <w:r>
              <w:rPr>
                <w:rFonts w:ascii="Calibri" w:hAnsi="Calibri"/>
                <w:color w:val="333333"/>
                <w:sz w:val="18"/>
              </w:rPr>
              <w:t>$33.6B</w:t>
            </w:r>
          </w:p>
        </w:tc>
        <w:tc>
          <w:tcPr>
            <w:tcW w:type="dxa" w:w="2520"/>
          </w:tcPr>
          <w:p>
            <w:r>
              <w:rPr>
                <w:rFonts w:ascii="Calibri" w:hAnsi="Calibri"/>
                <w:color w:val="333333"/>
                <w:sz w:val="18"/>
              </w:rPr>
              <w:t>$36.1B</w:t>
            </w:r>
          </w:p>
        </w:tc>
        <w:tc>
          <w:tcPr>
            <w:tcW w:type="dxa" w:w="2520"/>
          </w:tcPr>
          <w:p>
            <w:r>
              <w:rPr>
                <w:rFonts w:ascii="Calibri" w:hAnsi="Calibri"/>
                <w:color w:val="333333"/>
                <w:sz w:val="18"/>
              </w:rPr>
              <w:t>N/A</w:t>
            </w:r>
          </w:p>
        </w:tc>
      </w:tr>
      <w:tr>
        <w:tc>
          <w:tcPr>
            <w:tcW w:type="dxa" w:w="2520"/>
            <w:shd w:fill="F2F4F8" w:val="clear"/>
          </w:tcPr>
          <w:p>
            <w:r>
              <w:rPr>
                <w:rFonts w:ascii="Calibri" w:hAnsi="Calibri"/>
                <w:color w:val="333333"/>
                <w:sz w:val="18"/>
              </w:rPr>
              <w:t>Accounts receivable, net</w:t>
            </w:r>
          </w:p>
        </w:tc>
        <w:tc>
          <w:tcPr>
            <w:tcW w:type="dxa" w:w="2520"/>
            <w:shd w:fill="F2F4F8" w:val="clear"/>
          </w:tcPr>
          <w:p>
            <w:r>
              <w:rPr>
                <w:rFonts w:ascii="Calibri" w:hAnsi="Calibri"/>
                <w:color w:val="333333"/>
                <w:sz w:val="18"/>
              </w:rPr>
              <w:t>$6.1B</w:t>
            </w:r>
          </w:p>
        </w:tc>
        <w:tc>
          <w:tcPr>
            <w:tcW w:type="dxa" w:w="2520"/>
            <w:shd w:fill="F2F4F8" w:val="clear"/>
          </w:tcPr>
          <w:p>
            <w:r>
              <w:rPr>
                <w:rFonts w:ascii="Calibri" w:hAnsi="Calibri"/>
                <w:color w:val="333333"/>
                <w:sz w:val="18"/>
              </w:rPr>
              <w:t>$6.2B</w:t>
            </w:r>
          </w:p>
        </w:tc>
        <w:tc>
          <w:tcPr>
            <w:tcW w:type="dxa" w:w="2520"/>
            <w:shd w:fill="F2F4F8" w:val="clear"/>
          </w:tcPr>
          <w:p>
            <w:r>
              <w:rPr>
                <w:rFonts w:ascii="Calibri" w:hAnsi="Calibri"/>
                <w:color w:val="333333"/>
                <w:sz w:val="18"/>
              </w:rPr>
              <w:t>N/A</w:t>
            </w:r>
          </w:p>
        </w:tc>
      </w:tr>
      <w:tr>
        <w:tc>
          <w:tcPr>
            <w:tcW w:type="dxa" w:w="2520"/>
          </w:tcPr>
          <w:p>
            <w:r>
              <w:rPr>
                <w:rFonts w:ascii="Calibri" w:hAnsi="Calibri"/>
                <w:color w:val="333333"/>
                <w:sz w:val="18"/>
              </w:rPr>
              <w:t>Inventory, net</w:t>
            </w:r>
          </w:p>
        </w:tc>
        <w:tc>
          <w:tcPr>
            <w:tcW w:type="dxa" w:w="2520"/>
          </w:tcPr>
          <w:p>
            <w:r>
              <w:rPr>
                <w:rFonts w:ascii="Calibri" w:hAnsi="Calibri"/>
                <w:color w:val="333333"/>
                <w:sz w:val="18"/>
              </w:rPr>
              <w:t>$7.0B</w:t>
            </w:r>
          </w:p>
        </w:tc>
        <w:tc>
          <w:tcPr>
            <w:tcW w:type="dxa" w:w="2520"/>
          </w:tcPr>
          <w:p>
            <w:r>
              <w:rPr>
                <w:rFonts w:ascii="Calibri" w:hAnsi="Calibri"/>
                <w:color w:val="333333"/>
                <w:sz w:val="18"/>
              </w:rPr>
              <w:t>$7.6B</w:t>
            </w:r>
          </w:p>
        </w:tc>
        <w:tc>
          <w:tcPr>
            <w:tcW w:type="dxa" w:w="2520"/>
          </w:tcPr>
          <w:p>
            <w:r>
              <w:rPr>
                <w:rFonts w:ascii="Calibri" w:hAnsi="Calibri"/>
                <w:color w:val="333333"/>
                <w:sz w:val="18"/>
              </w:rPr>
              <w:t>N/A</w:t>
            </w:r>
          </w:p>
        </w:tc>
      </w:tr>
      <w:tr>
        <w:tc>
          <w:tcPr>
            <w:tcW w:type="dxa" w:w="2520"/>
            <w:shd w:fill="F2F4F8" w:val="clear"/>
          </w:tcPr>
          <w:p>
            <w:r>
              <w:rPr>
                <w:rFonts w:ascii="Calibri" w:hAnsi="Calibri"/>
                <w:color w:val="333333"/>
                <w:sz w:val="18"/>
              </w:rPr>
              <w:t>Property, plant and equipment, net</w:t>
            </w:r>
          </w:p>
        </w:tc>
        <w:tc>
          <w:tcPr>
            <w:tcW w:type="dxa" w:w="2520"/>
            <w:shd w:fill="F2F4F8" w:val="clear"/>
          </w:tcPr>
          <w:p>
            <w:r>
              <w:rPr>
                <w:rFonts w:ascii="Calibri" w:hAnsi="Calibri"/>
                <w:color w:val="333333"/>
                <w:sz w:val="18"/>
              </w:rPr>
              <w:t>$22.2B</w:t>
            </w:r>
          </w:p>
        </w:tc>
        <w:tc>
          <w:tcPr>
            <w:tcW w:type="dxa" w:w="2520"/>
            <w:shd w:fill="F2F4F8" w:val="clear"/>
          </w:tcPr>
          <w:p>
            <w:r>
              <w:rPr>
                <w:rFonts w:ascii="Calibri" w:hAnsi="Calibri"/>
                <w:color w:val="333333"/>
                <w:sz w:val="18"/>
              </w:rPr>
              <w:t>$23.9B</w:t>
            </w:r>
          </w:p>
        </w:tc>
        <w:tc>
          <w:tcPr>
            <w:tcW w:type="dxa" w:w="2520"/>
            <w:shd w:fill="F2F4F8" w:val="clear"/>
          </w:tcPr>
          <w:p>
            <w:r>
              <w:rPr>
                <w:rFonts w:ascii="Calibri" w:hAnsi="Calibri"/>
                <w:color w:val="333333"/>
                <w:sz w:val="18"/>
              </w:rPr>
              <w:t>N/A</w:t>
            </w:r>
          </w:p>
        </w:tc>
      </w:tr>
      <w:tr>
        <w:tc>
          <w:tcPr>
            <w:tcW w:type="dxa" w:w="2520"/>
          </w:tcPr>
          <w:p>
            <w:r>
              <w:rPr>
                <w:rFonts w:ascii="Calibri" w:hAnsi="Calibri"/>
                <w:color w:val="333333"/>
                <w:sz w:val="18"/>
              </w:rPr>
              <w:t>Goodwill</w:t>
            </w:r>
          </w:p>
        </w:tc>
        <w:tc>
          <w:tcPr>
            <w:tcW w:type="dxa" w:w="2520"/>
          </w:tcPr>
          <w:p>
            <w:r>
              <w:rPr>
                <w:rFonts w:ascii="Calibri" w:hAnsi="Calibri"/>
                <w:color w:val="333333"/>
                <w:sz w:val="18"/>
              </w:rPr>
              <w:t>$40.3B</w:t>
            </w:r>
          </w:p>
        </w:tc>
        <w:tc>
          <w:tcPr>
            <w:tcW w:type="dxa" w:w="2520"/>
          </w:tcPr>
          <w:p>
            <w:r>
              <w:rPr>
                <w:rFonts w:ascii="Calibri" w:hAnsi="Calibri"/>
                <w:color w:val="333333"/>
                <w:sz w:val="18"/>
              </w:rPr>
              <w:t>$41.6B</w:t>
            </w:r>
          </w:p>
        </w:tc>
        <w:tc>
          <w:tcPr>
            <w:tcW w:type="dxa" w:w="2520"/>
          </w:tcPr>
          <w:p>
            <w:r>
              <w:rPr>
                <w:rFonts w:ascii="Calibri" w:hAnsi="Calibri"/>
                <w:color w:val="333333"/>
                <w:sz w:val="18"/>
              </w:rPr>
              <w:t>N/A</w:t>
            </w:r>
          </w:p>
        </w:tc>
      </w:tr>
      <w:tr>
        <w:tc>
          <w:tcPr>
            <w:tcW w:type="dxa" w:w="2520"/>
            <w:shd w:fill="F2F4F8" w:val="clear"/>
          </w:tcPr>
          <w:p>
            <w:r>
              <w:rPr>
                <w:rFonts w:ascii="Calibri" w:hAnsi="Calibri"/>
                <w:color w:val="333333"/>
                <w:sz w:val="18"/>
              </w:rPr>
              <w:t>Intangible assets, net (excluding goodwill)</w:t>
            </w:r>
          </w:p>
        </w:tc>
        <w:tc>
          <w:tcPr>
            <w:tcW w:type="dxa" w:w="2520"/>
            <w:shd w:fill="F2F4F8" w:val="clear"/>
          </w:tcPr>
          <w:p>
            <w:r>
              <w:rPr>
                <w:rFonts w:ascii="Calibri" w:hAnsi="Calibri"/>
                <w:color w:val="333333"/>
                <w:sz w:val="18"/>
              </w:rPr>
              <w:t>$22.0B</w:t>
            </w:r>
          </w:p>
        </w:tc>
        <w:tc>
          <w:tcPr>
            <w:tcW w:type="dxa" w:w="2520"/>
            <w:shd w:fill="F2F4F8" w:val="clear"/>
          </w:tcPr>
          <w:p>
            <w:r>
              <w:rPr>
                <w:rFonts w:ascii="Calibri" w:hAnsi="Calibri"/>
                <w:color w:val="333333"/>
                <w:sz w:val="18"/>
              </w:rPr>
              <w:t>$21.9B</w:t>
            </w:r>
          </w:p>
        </w:tc>
        <w:tc>
          <w:tcPr>
            <w:tcW w:type="dxa" w:w="2520"/>
            <w:shd w:fill="F2F4F8" w:val="clear"/>
          </w:tcPr>
          <w:p>
            <w:r>
              <w:rPr>
                <w:rFonts w:ascii="Calibri" w:hAnsi="Calibri"/>
                <w:color w:val="333333"/>
                <w:sz w:val="18"/>
              </w:rPr>
              <w:t>N/A</w:t>
            </w:r>
          </w:p>
        </w:tc>
      </w:tr>
      <w:tr>
        <w:tc>
          <w:tcPr>
            <w:tcW w:type="dxa" w:w="2520"/>
          </w:tcPr>
          <w:p>
            <w:r>
              <w:rPr>
                <w:rFonts w:ascii="Calibri" w:hAnsi="Calibri"/>
                <w:color w:val="333333"/>
                <w:sz w:val="18"/>
              </w:rPr>
              <w:t>Long-term debt, non-current</w:t>
            </w:r>
          </w:p>
        </w:tc>
        <w:tc>
          <w:tcPr>
            <w:tcW w:type="dxa" w:w="2520"/>
          </w:tcPr>
          <w:p>
            <w:r>
              <w:rPr>
                <w:rFonts w:ascii="Calibri" w:hAnsi="Calibri"/>
                <w:color w:val="333333"/>
                <w:sz w:val="18"/>
              </w:rPr>
              <w:t>$25.3B</w:t>
            </w:r>
          </w:p>
        </w:tc>
        <w:tc>
          <w:tcPr>
            <w:tcW w:type="dxa" w:w="2520"/>
          </w:tcPr>
          <w:p>
            <w:r>
              <w:rPr>
                <w:rFonts w:ascii="Calibri" w:hAnsi="Calibri"/>
                <w:color w:val="333333"/>
                <w:sz w:val="18"/>
              </w:rPr>
              <w:t>$25.0B</w:t>
            </w:r>
          </w:p>
        </w:tc>
        <w:tc>
          <w:tcPr>
            <w:tcW w:type="dxa" w:w="2520"/>
          </w:tcPr>
          <w:p>
            <w:r>
              <w:rPr>
                <w:rFonts w:ascii="Calibri" w:hAnsi="Calibri"/>
                <w:color w:val="333333"/>
                <w:sz w:val="18"/>
              </w:rPr>
              <w:t>N/A</w:t>
            </w:r>
          </w:p>
        </w:tc>
      </w:tr>
      <w:tr>
        <w:tc>
          <w:tcPr>
            <w:tcW w:type="dxa" w:w="2520"/>
            <w:shd w:fill="F2F4F8" w:val="clear"/>
          </w:tcPr>
          <w:p>
            <w:r>
              <w:rPr>
                <w:rFonts w:ascii="Calibri" w:hAnsi="Calibri"/>
                <w:color w:val="333333"/>
                <w:sz w:val="18"/>
              </w:rPr>
              <w:t>Short-term debt / current portion of long-term debt</w:t>
            </w:r>
          </w:p>
        </w:tc>
        <w:tc>
          <w:tcPr>
            <w:tcW w:type="dxa" w:w="2520"/>
            <w:shd w:fill="F2F4F8" w:val="clear"/>
          </w:tcPr>
          <w:p>
            <w:r>
              <w:rPr>
                <w:rFonts w:ascii="Calibri" w:hAnsi="Calibri"/>
                <w:color w:val="333333"/>
                <w:sz w:val="18"/>
              </w:rPr>
              <w:t>$7.2B</w:t>
            </w:r>
          </w:p>
        </w:tc>
        <w:tc>
          <w:tcPr>
            <w:tcW w:type="dxa" w:w="2520"/>
            <w:shd w:fill="F2F4F8" w:val="clear"/>
          </w:tcPr>
          <w:p>
            <w:r>
              <w:rPr>
                <w:rFonts w:ascii="Calibri" w:hAnsi="Calibri"/>
                <w:color w:val="333333"/>
                <w:sz w:val="18"/>
              </w:rPr>
              <w:t>$9.5B</w:t>
            </w:r>
          </w:p>
        </w:tc>
        <w:tc>
          <w:tcPr>
            <w:tcW w:type="dxa" w:w="2520"/>
            <w:shd w:fill="F2F4F8" w:val="clear"/>
          </w:tcPr>
          <w:p>
            <w:r>
              <w:rPr>
                <w:rFonts w:ascii="Calibri" w:hAnsi="Calibri"/>
                <w:color w:val="333333"/>
                <w:sz w:val="18"/>
              </w:rPr>
              <w:t>N/A</w:t>
            </w:r>
          </w:p>
        </w:tc>
      </w:tr>
      <w:tr>
        <w:tc>
          <w:tcPr>
            <w:tcW w:type="dxa" w:w="2520"/>
          </w:tcPr>
          <w:p>
            <w:r>
              <w:rPr>
                <w:rFonts w:ascii="Calibri" w:hAnsi="Calibri"/>
                <w:color w:val="333333"/>
                <w:sz w:val="18"/>
              </w:rPr>
              <w:t>Retained earnings / accumulated deficit</w:t>
            </w:r>
          </w:p>
        </w:tc>
        <w:tc>
          <w:tcPr>
            <w:tcW w:type="dxa" w:w="2520"/>
          </w:tcPr>
          <w:p>
            <w:r>
              <w:rPr>
                <w:rFonts w:ascii="Calibri" w:hAnsi="Calibri"/>
                <w:color w:val="333333"/>
                <w:sz w:val="18"/>
              </w:rPr>
              <w:t>$123.8B</w:t>
            </w:r>
          </w:p>
        </w:tc>
        <w:tc>
          <w:tcPr>
            <w:tcW w:type="dxa" w:w="2520"/>
          </w:tcPr>
          <w:p>
            <w:r>
              <w:rPr>
                <w:rFonts w:ascii="Calibri" w:hAnsi="Calibri"/>
                <w:color w:val="333333"/>
                <w:sz w:val="18"/>
              </w:rPr>
              <w:t>$130.0B</w:t>
            </w:r>
          </w:p>
        </w:tc>
        <w:tc>
          <w:tcPr>
            <w:tcW w:type="dxa" w:w="2520"/>
          </w:tcPr>
          <w:p>
            <w:r>
              <w:rPr>
                <w:rFonts w:ascii="Calibri" w:hAnsi="Calibri"/>
                <w:color w:val="333333"/>
                <w:sz w:val="18"/>
              </w:rPr>
              <w:t>N/A</w:t>
            </w:r>
          </w:p>
        </w:tc>
      </w:tr>
      <w:tr>
        <w:tc>
          <w:tcPr>
            <w:tcW w:type="dxa" w:w="2520"/>
            <w:shd w:fill="F2F4F8" w:val="clear"/>
          </w:tcPr>
          <w:p>
            <w:r>
              <w:rPr>
                <w:rFonts w:ascii="Calibri" w:hAnsi="Calibri"/>
                <w:color w:val="333333"/>
                <w:sz w:val="18"/>
              </w:rPr>
              <w:t>Common shares outstanding</w:t>
            </w:r>
          </w:p>
        </w:tc>
        <w:tc>
          <w:tcPr>
            <w:tcW w:type="dxa" w:w="2520"/>
            <w:shd w:fill="F2F4F8" w:val="clear"/>
          </w:tcPr>
          <w:p>
            <w:r>
              <w:rPr>
                <w:rFonts w:ascii="Calibri" w:hAnsi="Calibri"/>
                <w:color w:val="333333"/>
                <w:sz w:val="18"/>
              </w:rPr>
              <w:t>4.0B</w:t>
            </w:r>
          </w:p>
        </w:tc>
        <w:tc>
          <w:tcPr>
            <w:tcW w:type="dxa" w:w="2520"/>
            <w:shd w:fill="F2F4F8" w:val="clear"/>
          </w:tcPr>
          <w:p>
            <w:r>
              <w:rPr>
                <w:rFonts w:ascii="Calibri" w:hAnsi="Calibri"/>
                <w:color w:val="333333"/>
                <w:sz w:val="18"/>
              </w:rPr>
              <w:t>4.0B</w:t>
            </w:r>
          </w:p>
        </w:tc>
        <w:tc>
          <w:tcPr>
            <w:tcW w:type="dxa" w:w="2520"/>
            <w:shd w:fill="F2F4F8" w:val="clear"/>
          </w:tcPr>
          <w:p>
            <w:r>
              <w:rPr>
                <w:rFonts w:ascii="Calibri" w:hAnsi="Calibri"/>
                <w:color w:val="333333"/>
                <w:sz w:val="18"/>
              </w:rPr>
              <w:t>N/A</w:t>
            </w:r>
          </w:p>
        </w:tc>
      </w:tr>
      <w:tr>
        <w:tc>
          <w:tcPr>
            <w:tcW w:type="dxa" w:w="2520"/>
          </w:tcPr>
          <w:p>
            <w:r>
              <w:rPr>
                <w:rFonts w:ascii="Calibri" w:hAnsi="Calibri"/>
                <w:color w:val="333333"/>
                <w:sz w:val="18"/>
              </w:rPr>
              <w:t>Accounts payable</w:t>
            </w:r>
          </w:p>
        </w:tc>
        <w:tc>
          <w:tcPr>
            <w:tcW w:type="dxa" w:w="2520"/>
          </w:tcPr>
          <w:p>
            <w:r>
              <w:rPr>
                <w:rFonts w:ascii="Calibri" w:hAnsi="Calibri"/>
                <w:color w:val="333333"/>
                <w:sz w:val="18"/>
              </w:rPr>
              <w:t>$15.4B</w:t>
            </w:r>
          </w:p>
        </w:tc>
        <w:tc>
          <w:tcPr>
            <w:tcW w:type="dxa" w:w="2520"/>
          </w:tcPr>
          <w:p>
            <w:r>
              <w:rPr>
                <w:rFonts w:ascii="Calibri" w:hAnsi="Calibri"/>
                <w:color w:val="333333"/>
                <w:sz w:val="18"/>
              </w:rPr>
              <w:t>$15.2B</w:t>
            </w:r>
          </w:p>
        </w:tc>
        <w:tc>
          <w:tcPr>
            <w:tcW w:type="dxa" w:w="2520"/>
          </w:tcPr>
          <w:p>
            <w:r>
              <w:rPr>
                <w:rFonts w:ascii="Calibri" w:hAnsi="Calibri"/>
                <w:color w:val="333333"/>
                <w:sz w:val="18"/>
              </w:rPr>
              <w:t>N/A</w:t>
            </w:r>
          </w:p>
        </w:tc>
      </w:tr>
      <w:tr>
        <w:tc>
          <w:tcPr>
            <w:tcW w:type="dxa" w:w="2520"/>
            <w:shd w:fill="F2F4F8" w:val="clear"/>
          </w:tcPr>
          <w:p>
            <w:r>
              <w:rPr>
                <w:rFonts w:ascii="Calibri" w:hAnsi="Calibri"/>
                <w:color w:val="333333"/>
                <w:sz w:val="18"/>
              </w:rPr>
              <w:t>Operating lease liabilities</w:t>
            </w:r>
          </w:p>
        </w:tc>
        <w:tc>
          <w:tcPr>
            <w:tcW w:type="dxa" w:w="2520"/>
            <w:shd w:fill="F2F4F8" w:val="clear"/>
          </w:tcPr>
          <w:p>
            <w:r>
              <w:rPr>
                <w:rFonts w:ascii="Calibri" w:hAnsi="Calibri"/>
                <w:color w:val="333333"/>
                <w:sz w:val="18"/>
              </w:rPr>
              <w:t>$909.0M</w:t>
            </w:r>
          </w:p>
        </w:tc>
        <w:tc>
          <w:tcPr>
            <w:tcW w:type="dxa" w:w="2520"/>
            <w:shd w:fill="F2F4F8" w:val="clear"/>
          </w:tcPr>
          <w:p>
            <w:r>
              <w:rPr>
                <w:rFonts w:ascii="Calibri" w:hAnsi="Calibri"/>
                <w:color w:val="333333"/>
                <w:sz w:val="18"/>
              </w:rPr>
              <w:t>$956.0M</w:t>
            </w:r>
          </w:p>
        </w:tc>
        <w:tc>
          <w:tcPr>
            <w:tcW w:type="dxa" w:w="2520"/>
            <w:shd w:fill="F2F4F8" w:val="clear"/>
          </w:tcPr>
          <w:p>
            <w:r>
              <w:rPr>
                <w:rFonts w:ascii="Calibri" w:hAnsi="Calibri"/>
                <w:color w:val="333333"/>
                <w:sz w:val="18"/>
              </w:rPr>
              <w:t>N/A</w:t>
            </w:r>
          </w:p>
        </w:tc>
      </w:tr>
      <w:tr>
        <w:tc>
          <w:tcPr>
            <w:tcW w:type="dxa" w:w="2520"/>
          </w:tcPr>
          <w:p>
            <w:r>
              <w:rPr>
                <w:rFonts w:ascii="Calibri" w:hAnsi="Calibri"/>
                <w:color w:val="333333"/>
                <w:sz w:val="18"/>
              </w:rPr>
              <w:t>Minority / noncontrolling interest</w:t>
            </w:r>
          </w:p>
        </w:tc>
        <w:tc>
          <w:tcPr>
            <w:tcW w:type="dxa" w:w="2520"/>
          </w:tcPr>
          <w:p>
            <w:r>
              <w:rPr>
                <w:rFonts w:ascii="Calibri" w:hAnsi="Calibri"/>
                <w:color w:val="333333"/>
                <w:sz w:val="18"/>
              </w:rPr>
              <w:t>$272.0M</w:t>
            </w:r>
          </w:p>
        </w:tc>
        <w:tc>
          <w:tcPr>
            <w:tcW w:type="dxa" w:w="2520"/>
          </w:tcPr>
          <w:p>
            <w:r>
              <w:rPr>
                <w:rFonts w:ascii="Calibri" w:hAnsi="Calibri"/>
                <w:color w:val="333333"/>
                <w:sz w:val="18"/>
              </w:rPr>
              <w:t>$272.0M</w:t>
            </w:r>
          </w:p>
        </w:tc>
        <w:tc>
          <w:tcPr>
            <w:tcW w:type="dxa" w:w="2520"/>
          </w:tcPr>
          <w:p>
            <w:r>
              <w:rPr>
                <w:rFonts w:ascii="Calibri" w:hAnsi="Calibri"/>
                <w:color w:val="333333"/>
                <w:sz w:val="18"/>
              </w:rPr>
              <w:t>N/A</w:t>
            </w:r>
          </w:p>
        </w:tc>
      </w:tr>
      <w:tr>
        <w:tc>
          <w:tcPr>
            <w:tcW w:type="dxa" w:w="2520"/>
            <w:shd w:fill="F2F4F8" w:val="clear"/>
          </w:tcPr>
          <w:p>
            <w:r>
              <w:rPr>
                <w:rFonts w:ascii="Calibri" w:hAnsi="Calibri"/>
                <w:color w:val="333333"/>
                <w:sz w:val="18"/>
              </w:rPr>
              <w:t>Prepaid expenses and other current assets</w:t>
            </w:r>
          </w:p>
        </w:tc>
        <w:tc>
          <w:tcPr>
            <w:tcW w:type="dxa" w:w="2520"/>
            <w:shd w:fill="F2F4F8" w:val="clear"/>
          </w:tcPr>
          <w:p>
            <w:r>
              <w:rPr>
                <w:rFonts w:ascii="Calibri" w:hAnsi="Calibri"/>
                <w:color w:val="333333"/>
                <w:sz w:val="18"/>
              </w:rPr>
              <w:t>$2.1B</w:t>
            </w:r>
          </w:p>
        </w:tc>
        <w:tc>
          <w:tcPr>
            <w:tcW w:type="dxa" w:w="2520"/>
            <w:shd w:fill="F2F4F8" w:val="clear"/>
          </w:tcPr>
          <w:p>
            <w:r>
              <w:rPr>
                <w:rFonts w:ascii="Calibri" w:hAnsi="Calibri"/>
                <w:color w:val="333333"/>
                <w:sz w:val="18"/>
              </w:rPr>
              <w:t>$2.1B</w:t>
            </w:r>
          </w:p>
        </w:tc>
        <w:tc>
          <w:tcPr>
            <w:tcW w:type="dxa" w:w="2520"/>
            <w:shd w:fill="F2F4F8" w:val="clear"/>
          </w:tcPr>
          <w:p>
            <w:r>
              <w:rPr>
                <w:rFonts w:ascii="Calibri" w:hAnsi="Calibri"/>
                <w:color w:val="333333"/>
                <w:sz w:val="18"/>
              </w:rPr>
              <w:t>N/A</w:t>
            </w:r>
          </w:p>
        </w:tc>
      </w:tr>
      <w:tr>
        <w:tc>
          <w:tcPr>
            <w:tcW w:type="dxa" w:w="2520"/>
          </w:tcPr>
          <w:p>
            <w:r>
              <w:rPr>
                <w:rFonts w:ascii="Calibri" w:hAnsi="Calibri"/>
                <w:color w:val="333333"/>
                <w:sz w:val="18"/>
              </w:rPr>
              <w:t>Accrued liabilities</w:t>
            </w:r>
          </w:p>
        </w:tc>
        <w:tc>
          <w:tcPr>
            <w:tcW w:type="dxa" w:w="2520"/>
          </w:tcPr>
          <w:p>
            <w:r>
              <w:rPr>
                <w:rFonts w:ascii="Calibri" w:hAnsi="Calibri"/>
                <w:color w:val="333333"/>
                <w:sz w:val="18"/>
              </w:rPr>
              <w:t>$11.1B</w:t>
            </w:r>
          </w:p>
        </w:tc>
        <w:tc>
          <w:tcPr>
            <w:tcW w:type="dxa" w:w="2520"/>
          </w:tcPr>
          <w:p>
            <w:r>
              <w:rPr>
                <w:rFonts w:ascii="Calibri" w:hAnsi="Calibri"/>
                <w:color w:val="333333"/>
                <w:sz w:val="18"/>
              </w:rPr>
              <w:t>$11.3B</w:t>
            </w:r>
          </w:p>
        </w:tc>
        <w:tc>
          <w:tcPr>
            <w:tcW w:type="dxa" w:w="2520"/>
          </w:tcPr>
          <w:p>
            <w:r>
              <w:rPr>
                <w:rFonts w:ascii="Calibri" w:hAnsi="Calibri"/>
                <w:color w:val="333333"/>
                <w:sz w:val="18"/>
              </w:rPr>
              <w:t>N/A</w:t>
            </w:r>
          </w:p>
        </w:tc>
      </w:tr>
      <w:tr>
        <w:tc>
          <w:tcPr>
            <w:tcW w:type="dxa" w:w="2520"/>
            <w:shd w:fill="F2F4F8" w:val="clear"/>
          </w:tcPr>
          <w:p>
            <w:r>
              <w:rPr>
                <w:rFonts w:ascii="Calibri" w:hAnsi="Calibri"/>
                <w:color w:val="333333"/>
                <w:sz w:val="18"/>
              </w:rPr>
              <w:t>Deferred income tax liabilities, net</w:t>
            </w:r>
          </w:p>
        </w:tc>
        <w:tc>
          <w:tcPr>
            <w:tcW w:type="dxa" w:w="2520"/>
            <w:shd w:fill="F2F4F8" w:val="clear"/>
          </w:tcPr>
          <w:p>
            <w:r>
              <w:rPr>
                <w:rFonts w:ascii="Calibri" w:hAnsi="Calibri"/>
                <w:color w:val="333333"/>
                <w:sz w:val="18"/>
              </w:rPr>
              <w:t>$6.5B</w:t>
            </w:r>
          </w:p>
        </w:tc>
        <w:tc>
          <w:tcPr>
            <w:tcW w:type="dxa" w:w="2520"/>
            <w:shd w:fill="F2F4F8" w:val="clear"/>
          </w:tcPr>
          <w:p>
            <w:r>
              <w:rPr>
                <w:rFonts w:ascii="Calibri" w:hAnsi="Calibri"/>
                <w:color w:val="333333"/>
                <w:sz w:val="18"/>
              </w:rPr>
              <w:t>$5.8B</w:t>
            </w:r>
          </w:p>
        </w:tc>
        <w:tc>
          <w:tcPr>
            <w:tcW w:type="dxa" w:w="2520"/>
            <w:shd w:fill="F2F4F8" w:val="clear"/>
          </w:tcPr>
          <w:p>
            <w:r>
              <w:rPr>
                <w:rFonts w:ascii="Calibri" w:hAnsi="Calibri"/>
                <w:color w:val="333333"/>
                <w:sz w:val="18"/>
              </w:rPr>
              <w:t>N/A</w:t>
            </w:r>
          </w:p>
        </w:tc>
      </w:tr>
      <w:tr>
        <w:tc>
          <w:tcPr>
            <w:tcW w:type="dxa" w:w="2520"/>
          </w:tcPr>
          <w:p>
            <w:r>
              <w:rPr>
                <w:rFonts w:ascii="Calibri" w:hAnsi="Calibri"/>
                <w:color w:val="333333"/>
                <w:sz w:val="18"/>
              </w:rPr>
              <w:t>Accumulated other comprehensive income/loss</w:t>
            </w:r>
          </w:p>
        </w:tc>
        <w:tc>
          <w:tcPr>
            <w:tcW w:type="dxa" w:w="2520"/>
          </w:tcPr>
          <w:p>
            <w:r>
              <w:rPr>
                <w:rFonts w:ascii="Calibri" w:hAnsi="Calibri"/>
                <w:color w:val="333333"/>
                <w:sz w:val="18"/>
              </w:rPr>
              <w:t>$-11.9B</w:t>
            </w:r>
          </w:p>
        </w:tc>
        <w:tc>
          <w:tcPr>
            <w:tcW w:type="dxa" w:w="2520"/>
          </w:tcPr>
          <w:p>
            <w:r>
              <w:rPr>
                <w:rFonts w:ascii="Calibri" w:hAnsi="Calibri"/>
                <w:color w:val="333333"/>
                <w:sz w:val="18"/>
              </w:rPr>
              <w:t>$-12.1B</w:t>
            </w:r>
          </w:p>
        </w:tc>
        <w:tc>
          <w:tcPr>
            <w:tcW w:type="dxa" w:w="2520"/>
          </w:tcPr>
          <w:p>
            <w:r>
              <w:rPr>
                <w:rFonts w:ascii="Calibri" w:hAnsi="Calibri"/>
                <w:color w:val="333333"/>
                <w:sz w:val="18"/>
              </w:rPr>
              <w:t>N/A</w:t>
            </w:r>
          </w:p>
        </w:tc>
      </w:tr>
      <w:tr>
        <w:tc>
          <w:tcPr>
            <w:tcW w:type="dxa" w:w="2520"/>
            <w:shd w:fill="F2F4F8" w:val="clear"/>
          </w:tcPr>
          <w:p>
            <w:r>
              <w:rPr>
                <w:rFonts w:ascii="Calibri" w:hAnsi="Calibri"/>
                <w:color w:val="333333"/>
                <w:sz w:val="18"/>
              </w:rPr>
              <w:t>Treasury stock, at cost</w:t>
            </w:r>
          </w:p>
        </w:tc>
        <w:tc>
          <w:tcPr>
            <w:tcW w:type="dxa" w:w="2520"/>
            <w:shd w:fill="F2F4F8" w:val="clear"/>
          </w:tcPr>
          <w:p>
            <w:r>
              <w:rPr>
                <w:rFonts w:ascii="Calibri" w:hAnsi="Calibri"/>
                <w:color w:val="333333"/>
                <w:sz w:val="18"/>
              </w:rPr>
              <w:t>$5.0B</w:t>
            </w:r>
          </w:p>
        </w:tc>
        <w:tc>
          <w:tcPr>
            <w:tcW w:type="dxa" w:w="2520"/>
            <w:shd w:fill="F2F4F8" w:val="clear"/>
          </w:tcPr>
          <w:p>
            <w:r>
              <w:rPr>
                <w:rFonts w:ascii="Calibri" w:hAnsi="Calibri"/>
                <w:color w:val="333333"/>
                <w:sz w:val="18"/>
              </w:rPr>
              <w:t>$6.5B</w:t>
            </w:r>
          </w:p>
        </w:tc>
        <w:tc>
          <w:tcPr>
            <w:tcW w:type="dxa" w:w="2520"/>
            <w:shd w:fill="F2F4F8" w:val="clear"/>
          </w:tcPr>
          <w:p>
            <w:r>
              <w:rPr>
                <w:rFonts w:ascii="Calibri" w:hAnsi="Calibri"/>
                <w:color w:val="333333"/>
                <w:sz w:val="18"/>
              </w:rPr>
              <w:t>N/A</w:t>
            </w:r>
          </w:p>
        </w:tc>
      </w:tr>
      <w:tr>
        <w:tc>
          <w:tcPr>
            <w:tcW w:type="dxa" w:w="2520"/>
          </w:tcPr>
          <w:p>
            <w:r>
              <w:rPr>
                <w:rFonts w:ascii="Calibri" w:hAnsi="Calibri"/>
                <w:color w:val="333333"/>
                <w:sz w:val="18"/>
              </w:rPr>
              <w:t>Common stock par value</w:t>
            </w:r>
          </w:p>
        </w:tc>
        <w:tc>
          <w:tcPr>
            <w:tcW w:type="dxa" w:w="2520"/>
          </w:tcPr>
          <w:p>
            <w:r>
              <w:rPr>
                <w:rFonts w:ascii="Calibri" w:hAnsi="Calibri"/>
                <w:color w:val="333333"/>
                <w:sz w:val="18"/>
              </w:rPr>
              <w:t>$4.0B</w:t>
            </w:r>
          </w:p>
        </w:tc>
        <w:tc>
          <w:tcPr>
            <w:tcW w:type="dxa" w:w="2520"/>
          </w:tcPr>
          <w:p>
            <w:r>
              <w:rPr>
                <w:rFonts w:ascii="Calibri" w:hAnsi="Calibri"/>
                <w:color w:val="333333"/>
                <w:sz w:val="18"/>
              </w:rPr>
              <w:t>$4.0B</w:t>
            </w:r>
          </w:p>
        </w:tc>
        <w:tc>
          <w:tcPr>
            <w:tcW w:type="dxa" w:w="2520"/>
          </w:tcPr>
          <w:p>
            <w:r>
              <w:rPr>
                <w:rFonts w:ascii="Calibri" w:hAnsi="Calibri"/>
                <w:color w:val="333333"/>
                <w:sz w:val="18"/>
              </w:rPr>
              <w:t>N/A</w:t>
            </w:r>
          </w:p>
        </w:tc>
      </w:tr>
      <w:tr>
        <w:tc>
          <w:tcPr>
            <w:tcW w:type="dxa" w:w="2520"/>
            <w:shd w:fill="F2F4F8" w:val="clear"/>
          </w:tcPr>
          <w:p>
            <w:r>
              <w:rPr>
                <w:rFonts w:ascii="Calibri" w:hAnsi="Calibri"/>
                <w:color w:val="333333"/>
                <w:sz w:val="18"/>
              </w:rPr>
              <w:t>Additional paid-in capital</w:t>
            </w:r>
          </w:p>
        </w:tc>
        <w:tc>
          <w:tcPr>
            <w:tcW w:type="dxa" w:w="2520"/>
            <w:shd w:fill="F2F4F8" w:val="clear"/>
          </w:tcPr>
          <w:p>
            <w:r>
              <w:rPr>
                <w:rFonts w:ascii="Calibri" w:hAnsi="Calibri"/>
                <w:color w:val="333333"/>
                <w:sz w:val="18"/>
              </w:rPr>
              <w:t>$67.7B</w:t>
            </w:r>
          </w:p>
        </w:tc>
        <w:tc>
          <w:tcPr>
            <w:tcW w:type="dxa" w:w="2520"/>
            <w:shd w:fill="F2F4F8" w:val="clear"/>
          </w:tcPr>
          <w:p>
            <w:r>
              <w:rPr>
                <w:rFonts w:ascii="Calibri" w:hAnsi="Calibri"/>
                <w:color w:val="333333"/>
                <w:sz w:val="18"/>
              </w:rPr>
              <w:t>$68.8B</w:t>
            </w:r>
          </w:p>
        </w:tc>
        <w:tc>
          <w:tcPr>
            <w:tcW w:type="dxa" w:w="2520"/>
            <w:shd w:fill="F2F4F8" w:val="clear"/>
          </w:tcPr>
          <w:p>
            <w:r>
              <w:rPr>
                <w:rFonts w:ascii="Calibri" w:hAnsi="Calibri"/>
                <w:color w:val="333333"/>
                <w:sz w:val="18"/>
              </w:rPr>
              <w:t>N/A</w:t>
            </w:r>
          </w:p>
        </w:tc>
      </w:tr>
      <w:tr>
        <w:tc>
          <w:tcPr>
            <w:tcW w:type="dxa" w:w="2520"/>
          </w:tcPr>
          <w:p>
            <w:r>
              <w:rPr>
                <w:rFonts w:ascii="Calibri" w:hAnsi="Calibri"/>
                <w:color w:val="333333"/>
                <w:sz w:val="18"/>
              </w:rPr>
              <w:t>Total liabilities and stockholders' equity</w:t>
            </w:r>
          </w:p>
        </w:tc>
        <w:tc>
          <w:tcPr>
            <w:tcW w:type="dxa" w:w="2520"/>
          </w:tcPr>
          <w:p>
            <w:r>
              <w:rPr>
                <w:rFonts w:ascii="Calibri" w:hAnsi="Calibri"/>
                <w:color w:val="333333"/>
                <w:sz w:val="18"/>
              </w:rPr>
              <w:t>$122.4B</w:t>
            </w:r>
          </w:p>
        </w:tc>
        <w:tc>
          <w:tcPr>
            <w:tcW w:type="dxa" w:w="2520"/>
          </w:tcPr>
          <w:p>
            <w:r>
              <w:rPr>
                <w:rFonts w:ascii="Calibri" w:hAnsi="Calibri"/>
                <w:color w:val="333333"/>
                <w:sz w:val="18"/>
              </w:rPr>
              <w:t>$125.2B</w:t>
            </w:r>
          </w:p>
        </w:tc>
        <w:tc>
          <w:tcPr>
            <w:tcW w:type="dxa" w:w="2520"/>
          </w:tcPr>
          <w:p>
            <w:r>
              <w:rPr>
                <w:rFonts w:ascii="Calibri" w:hAnsi="Calibri"/>
                <w:color w:val="333333"/>
                <w:sz w:val="18"/>
              </w:rPr>
              <w:t>N/A</w:t>
            </w:r>
          </w:p>
        </w:tc>
      </w:tr>
      <w:tr>
        <w:tc>
          <w:tcPr>
            <w:tcW w:type="dxa" w:w="2520"/>
            <w:shd w:fill="F2F4F8" w:val="clear"/>
          </w:tcPr>
          <w:p>
            <w:r>
              <w:rPr>
                <w:rFonts w:ascii="Calibri" w:hAnsi="Calibri"/>
                <w:color w:val="333333"/>
                <w:sz w:val="18"/>
              </w:rPr>
              <w:t>Preferred stock value</w:t>
            </w:r>
          </w:p>
        </w:tc>
        <w:tc>
          <w:tcPr>
            <w:tcW w:type="dxa" w:w="2520"/>
            <w:shd w:fill="F2F4F8" w:val="clear"/>
          </w:tcPr>
          <w:p>
            <w:r>
              <w:rPr>
                <w:rFonts w:ascii="Calibri" w:hAnsi="Calibri"/>
                <w:color w:val="333333"/>
                <w:sz w:val="18"/>
              </w:rPr>
              <w:t>$801.0M</w:t>
            </w:r>
          </w:p>
        </w:tc>
        <w:tc>
          <w:tcPr>
            <w:tcW w:type="dxa" w:w="2520"/>
            <w:shd w:fill="F2F4F8" w:val="clear"/>
          </w:tcPr>
          <w:p>
            <w:r>
              <w:rPr>
                <w:rFonts w:ascii="Calibri" w:hAnsi="Calibri"/>
                <w:color w:val="333333"/>
                <w:sz w:val="18"/>
              </w:rPr>
              <w:t>$781.0M</w:t>
            </w:r>
          </w:p>
        </w:tc>
        <w:tc>
          <w:tcPr>
            <w:tcW w:type="dxa" w:w="2520"/>
            <w:shd w:fill="F2F4F8" w:val="clear"/>
            <w:shd w:fill="FFF3CD" w:val="clear"/>
          </w:tcPr>
          <w:p>
            <w:r>
              <w:rPr>
                <w:rFonts w:ascii="Calibri" w:hAnsi="Calibri"/>
                <w:color w:val="333333"/>
                <w:sz w:val="18"/>
              </w:rPr>
              <w:t>-1.8%</w:t>
            </w:r>
          </w:p>
        </w:tc>
      </w:tr>
      <w:tr>
        <w:tc>
          <w:tcPr>
            <w:tcW w:type="dxa" w:w="2520"/>
          </w:tcPr>
          <w:p>
            <w:r>
              <w:rPr>
                <w:rFonts w:ascii="Calibri" w:hAnsi="Calibri"/>
                <w:color w:val="333333"/>
                <w:sz w:val="18"/>
              </w:rPr>
              <w:t>Right-of-use assets (operating and finance leases)</w:t>
            </w:r>
          </w:p>
        </w:tc>
        <w:tc>
          <w:tcPr>
            <w:tcW w:type="dxa" w:w="2520"/>
          </w:tcPr>
          <w:p>
            <w:r>
              <w:rPr>
                <w:rFonts w:ascii="Calibri" w:hAnsi="Calibri"/>
                <w:color w:val="333333"/>
                <w:sz w:val="18"/>
              </w:rPr>
              <w:t>$875.0M</w:t>
            </w:r>
          </w:p>
        </w:tc>
        <w:tc>
          <w:tcPr>
            <w:tcW w:type="dxa" w:w="2520"/>
          </w:tcPr>
          <w:p>
            <w:r>
              <w:rPr>
                <w:rFonts w:ascii="Calibri" w:hAnsi="Calibri"/>
                <w:color w:val="333333"/>
                <w:sz w:val="18"/>
              </w:rPr>
              <w:t>$925.0M</w:t>
            </w:r>
          </w:p>
        </w:tc>
        <w:tc>
          <w:tcPr>
            <w:tcW w:type="dxa" w:w="2520"/>
          </w:tcPr>
          <w:p>
            <w:r>
              <w:rPr>
                <w:rFonts w:ascii="Calibri" w:hAnsi="Calibri"/>
                <w:color w:val="333333"/>
                <w:sz w:val="18"/>
              </w:rPr>
              <w:t>N/A</w:t>
            </w:r>
          </w:p>
        </w:tc>
      </w:tr>
      <w:tr>
        <w:tc>
          <w:tcPr>
            <w:tcW w:type="dxa" w:w="2520"/>
            <w:shd w:fill="F2F4F8" w:val="clear"/>
          </w:tcPr>
          <w:p>
            <w:r>
              <w:rPr>
                <w:rFonts w:ascii="Calibri" w:hAnsi="Calibri"/>
                <w:color w:val="333333"/>
                <w:sz w:val="18"/>
              </w:rPr>
              <w:t>Other non-current assets</w:t>
            </w:r>
          </w:p>
        </w:tc>
        <w:tc>
          <w:tcPr>
            <w:tcW w:type="dxa" w:w="2520"/>
            <w:shd w:fill="F2F4F8" w:val="clear"/>
          </w:tcPr>
          <w:p>
            <w:r>
              <w:rPr>
                <w:rFonts w:ascii="Calibri" w:hAnsi="Calibri"/>
                <w:color w:val="333333"/>
                <w:sz w:val="18"/>
              </w:rPr>
              <w:t>$13.2B</w:t>
            </w:r>
          </w:p>
        </w:tc>
        <w:tc>
          <w:tcPr>
            <w:tcW w:type="dxa" w:w="2520"/>
            <w:shd w:fill="F2F4F8" w:val="clear"/>
          </w:tcPr>
          <w:p>
            <w:r>
              <w:rPr>
                <w:rFonts w:ascii="Calibri" w:hAnsi="Calibri"/>
                <w:color w:val="333333"/>
                <w:sz w:val="18"/>
              </w:rPr>
              <w:t>$12.4B</w:t>
            </w:r>
          </w:p>
        </w:tc>
        <w:tc>
          <w:tcPr>
            <w:tcW w:type="dxa" w:w="2520"/>
            <w:shd w:fill="F2F4F8" w:val="clear"/>
          </w:tcPr>
          <w:p>
            <w:r>
              <w:rPr>
                <w:rFonts w:ascii="Calibri" w:hAnsi="Calibri"/>
                <w:color w:val="333333"/>
                <w:sz w:val="18"/>
              </w:rPr>
              <w:t>N/A</w:t>
            </w:r>
          </w:p>
        </w:tc>
      </w:tr>
      <w:tr>
        <w:tc>
          <w:tcPr>
            <w:tcW w:type="dxa" w:w="2520"/>
          </w:tcPr>
          <w:p>
            <w:r>
              <w:rPr>
                <w:rFonts w:ascii="Calibri" w:hAnsi="Calibri"/>
                <w:color w:val="333333"/>
                <w:sz w:val="18"/>
              </w:rPr>
              <w:t>Other non-current liabilities</w:t>
            </w:r>
          </w:p>
        </w:tc>
        <w:tc>
          <w:tcPr>
            <w:tcW w:type="dxa" w:w="2520"/>
          </w:tcPr>
          <w:p>
            <w:r>
              <w:rPr>
                <w:rFonts w:ascii="Calibri" w:hAnsi="Calibri"/>
                <w:color w:val="333333"/>
                <w:sz w:val="18"/>
              </w:rPr>
              <w:t>$6.4B</w:t>
            </w:r>
          </w:p>
        </w:tc>
        <w:tc>
          <w:tcPr>
            <w:tcW w:type="dxa" w:w="2520"/>
          </w:tcPr>
          <w:p>
            <w:r>
              <w:rPr>
                <w:rFonts w:ascii="Calibri" w:hAnsi="Calibri"/>
                <w:color w:val="333333"/>
                <w:sz w:val="18"/>
              </w:rPr>
              <w:t>$6.1B</w:t>
            </w:r>
          </w:p>
        </w:tc>
        <w:tc>
          <w:tcPr>
            <w:tcW w:type="dxa" w:w="2520"/>
          </w:tcPr>
          <w:p>
            <w:r>
              <w:rPr>
                <w:rFonts w:ascii="Calibri" w:hAnsi="Calibri"/>
                <w:color w:val="333333"/>
                <w:sz w:val="18"/>
              </w:rPr>
              <w:t>N/A</w:t>
            </w:r>
          </w:p>
        </w:tc>
      </w:tr>
      <w:tr>
        <w:tc>
          <w:tcPr>
            <w:tcW w:type="dxa" w:w="2520"/>
            <w:shd w:fill="F2F4F8" w:val="clear"/>
          </w:tcPr>
          <w:p>
            <w:r>
              <w:rPr>
                <w:rFonts w:ascii="Calibri" w:hAnsi="Calibri"/>
                <w:color w:val="333333"/>
                <w:sz w:val="18"/>
              </w:rPr>
              <w:t>Unrecognized tax benefits (UTB) liability</w:t>
            </w:r>
          </w:p>
        </w:tc>
        <w:tc>
          <w:tcPr>
            <w:tcW w:type="dxa" w:w="2520"/>
            <w:shd w:fill="F2F4F8" w:val="clear"/>
          </w:tcPr>
          <w:p>
            <w:r>
              <w:rPr>
                <w:rFonts w:ascii="Calibri" w:hAnsi="Calibri"/>
                <w:color w:val="333333"/>
                <w:sz w:val="18"/>
              </w:rPr>
              <w:t>$582.0M</w:t>
            </w:r>
          </w:p>
        </w:tc>
        <w:tc>
          <w:tcPr>
            <w:tcW w:type="dxa" w:w="2520"/>
            <w:shd w:fill="F2F4F8" w:val="clear"/>
          </w:tcPr>
          <w:p>
            <w:r>
              <w:rPr>
                <w:rFonts w:ascii="Calibri" w:hAnsi="Calibri"/>
                <w:color w:val="333333"/>
                <w:sz w:val="18"/>
              </w:rPr>
              <w:t>$634.0M</w:t>
            </w:r>
          </w:p>
        </w:tc>
        <w:tc>
          <w:tcPr>
            <w:tcW w:type="dxa" w:w="2520"/>
            <w:shd w:fill="F2F4F8" w:val="clear"/>
          </w:tcPr>
          <w:p>
            <w:r>
              <w:rPr>
                <w:rFonts w:ascii="Calibri" w:hAnsi="Calibri"/>
                <w:color w:val="333333"/>
                <w:sz w:val="18"/>
              </w:rPr>
              <w:t>N/A</w:t>
            </w:r>
          </w:p>
        </w:tc>
      </w:tr>
      <w:tr>
        <w:tc>
          <w:tcPr>
            <w:tcW w:type="dxa" w:w="2520"/>
          </w:tcPr>
          <w:p>
            <w:r>
              <w:rPr>
                <w:rFonts w:ascii="Calibri" w:hAnsi="Calibri"/>
                <w:color w:val="333333"/>
                <w:sz w:val="18"/>
              </w:rPr>
              <w:t>Commercial paper outstanding</w:t>
            </w:r>
          </w:p>
        </w:tc>
        <w:tc>
          <w:tcPr>
            <w:tcW w:type="dxa" w:w="2520"/>
          </w:tcPr>
          <w:p>
            <w:r>
              <w:rPr>
                <w:rFonts w:ascii="Calibri" w:hAnsi="Calibri"/>
                <w:color w:val="333333"/>
                <w:sz w:val="18"/>
              </w:rPr>
              <w:t>$3.3B</w:t>
            </w:r>
          </w:p>
        </w:tc>
        <w:tc>
          <w:tcPr>
            <w:tcW w:type="dxa" w:w="2520"/>
          </w:tcPr>
          <w:p>
            <w:r>
              <w:rPr>
                <w:rFonts w:ascii="Calibri" w:hAnsi="Calibri"/>
                <w:color w:val="333333"/>
                <w:sz w:val="18"/>
              </w:rPr>
              <w:t>$4.1B</w:t>
            </w:r>
          </w:p>
        </w:tc>
        <w:tc>
          <w:tcPr>
            <w:tcW w:type="dxa" w:w="2520"/>
          </w:tcPr>
          <w:p>
            <w:r>
              <w:rPr>
                <w:rFonts w:ascii="Calibri" w:hAnsi="Calibri"/>
                <w:color w:val="333333"/>
                <w:sz w:val="18"/>
              </w:rPr>
              <w:t>N/A</w:t>
            </w:r>
          </w:p>
        </w:tc>
      </w:tr>
      <w:tr>
        <w:tc>
          <w:tcPr>
            <w:tcW w:type="dxa" w:w="2520"/>
            <w:shd w:fill="F2F4F8" w:val="clear"/>
          </w:tcPr>
          <w:p>
            <w:r>
              <w:rPr>
                <w:rFonts w:ascii="Calibri" w:hAnsi="Calibri"/>
                <w:color w:val="333333"/>
                <w:sz w:val="18"/>
              </w:rPr>
              <w:t>Common stock shares authorized</w:t>
            </w:r>
          </w:p>
        </w:tc>
        <w:tc>
          <w:tcPr>
            <w:tcW w:type="dxa" w:w="2520"/>
            <w:shd w:fill="F2F4F8" w:val="clear"/>
          </w:tcPr>
          <w:p>
            <w:r>
              <w:rPr>
                <w:rFonts w:ascii="Calibri" w:hAnsi="Calibri"/>
                <w:color w:val="333333"/>
                <w:sz w:val="18"/>
              </w:rPr>
              <w:t>10.0B</w:t>
            </w:r>
          </w:p>
        </w:tc>
        <w:tc>
          <w:tcPr>
            <w:tcW w:type="dxa" w:w="2520"/>
            <w:shd w:fill="F2F4F8" w:val="clear"/>
          </w:tcPr>
          <w:p>
            <w:r>
              <w:rPr>
                <w:rFonts w:ascii="Calibri" w:hAnsi="Calibri"/>
                <w:color w:val="333333"/>
                <w:sz w:val="18"/>
              </w:rPr>
              <w:t>10.0B</w:t>
            </w:r>
          </w:p>
        </w:tc>
        <w:tc>
          <w:tcPr>
            <w:tcW w:type="dxa" w:w="2520"/>
            <w:shd w:fill="F2F4F8" w:val="clear"/>
          </w:tcPr>
          <w:p>
            <w:r>
              <w:rPr>
                <w:rFonts w:ascii="Calibri" w:hAnsi="Calibri"/>
                <w:color w:val="333333"/>
                <w:sz w:val="18"/>
              </w:rPr>
              <w:t>N/A</w:t>
            </w:r>
          </w:p>
        </w:tc>
      </w:tr>
      <w:tr>
        <w:tc>
          <w:tcPr>
            <w:tcW w:type="dxa" w:w="2520"/>
          </w:tcPr>
          <w:p>
            <w:r>
              <w:rPr>
                <w:rFonts w:ascii="Calibri" w:hAnsi="Calibri"/>
                <w:color w:val="333333"/>
                <w:sz w:val="18"/>
              </w:rPr>
              <w:t>Derivative assets at fair value</w:t>
            </w:r>
          </w:p>
        </w:tc>
        <w:tc>
          <w:tcPr>
            <w:tcW w:type="dxa" w:w="2520"/>
          </w:tcPr>
          <w:p>
            <w:r>
              <w:rPr>
                <w:rFonts w:ascii="Calibri" w:hAnsi="Calibri"/>
                <w:color w:val="333333"/>
                <w:sz w:val="18"/>
              </w:rPr>
              <w:t>$120.0M</w:t>
            </w:r>
          </w:p>
        </w:tc>
        <w:tc>
          <w:tcPr>
            <w:tcW w:type="dxa" w:w="2520"/>
          </w:tcPr>
          <w:p>
            <w:r>
              <w:rPr>
                <w:rFonts w:ascii="Calibri" w:hAnsi="Calibri"/>
                <w:color w:val="333333"/>
                <w:sz w:val="18"/>
              </w:rPr>
              <w:t>$19.0M</w:t>
            </w:r>
          </w:p>
        </w:tc>
        <w:tc>
          <w:tcPr>
            <w:tcW w:type="dxa" w:w="2520"/>
          </w:tcPr>
          <w:p>
            <w:r>
              <w:rPr>
                <w:rFonts w:ascii="Calibri" w:hAnsi="Calibri"/>
                <w:color w:val="333333"/>
                <w:sz w:val="18"/>
              </w:rPr>
              <w:t>N/A</w:t>
            </w:r>
          </w:p>
        </w:tc>
      </w:tr>
      <w:tr>
        <w:tc>
          <w:tcPr>
            <w:tcW w:type="dxa" w:w="2520"/>
            <w:shd w:fill="F2F4F8" w:val="clear"/>
          </w:tcPr>
          <w:p>
            <w:r>
              <w:rPr>
                <w:rFonts w:ascii="Calibri" w:hAnsi="Calibri"/>
                <w:color w:val="333333"/>
                <w:sz w:val="18"/>
              </w:rPr>
              <w:t>Derivative liabilities at fair value</w:t>
            </w:r>
          </w:p>
        </w:tc>
        <w:tc>
          <w:tcPr>
            <w:tcW w:type="dxa" w:w="2520"/>
            <w:shd w:fill="F2F4F8" w:val="clear"/>
          </w:tcPr>
          <w:p>
            <w:r>
              <w:rPr>
                <w:rFonts w:ascii="Calibri" w:hAnsi="Calibri"/>
                <w:color w:val="333333"/>
                <w:sz w:val="18"/>
              </w:rPr>
              <w:t>$379.0M</w:t>
            </w:r>
          </w:p>
        </w:tc>
        <w:tc>
          <w:tcPr>
            <w:tcW w:type="dxa" w:w="2520"/>
            <w:shd w:fill="F2F4F8" w:val="clear"/>
          </w:tcPr>
          <w:p>
            <w:r>
              <w:rPr>
                <w:rFonts w:ascii="Calibri" w:hAnsi="Calibri"/>
                <w:color w:val="333333"/>
                <w:sz w:val="18"/>
              </w:rPr>
              <w:t>$1.1B</w:t>
            </w:r>
          </w:p>
        </w:tc>
        <w:tc>
          <w:tcPr>
            <w:tcW w:type="dxa" w:w="2520"/>
            <w:shd w:fill="F2F4F8" w:val="clear"/>
          </w:tcPr>
          <w:p>
            <w:r>
              <w:rPr>
                <w:rFonts w:ascii="Calibri" w:hAnsi="Calibri"/>
                <w:color w:val="333333"/>
                <w:sz w:val="18"/>
              </w:rPr>
              <w:t>N/A</w:t>
            </w:r>
          </w:p>
        </w:tc>
      </w:tr>
      <w:tr>
        <w:tc>
          <w:tcPr>
            <w:tcW w:type="dxa" w:w="2520"/>
          </w:tcPr>
          <w:p>
            <w:r>
              <w:rPr>
                <w:rFonts w:ascii="Calibri" w:hAnsi="Calibri"/>
                <w:color w:val="333333"/>
                <w:sz w:val="18"/>
              </w:rPr>
              <w:t>Derivative notional amount (off-balance-sheet exposure)</w:t>
            </w:r>
          </w:p>
        </w:tc>
        <w:tc>
          <w:tcPr>
            <w:tcW w:type="dxa" w:w="2520"/>
          </w:tcPr>
          <w:p>
            <w:r>
              <w:rPr>
                <w:rFonts w:ascii="Calibri" w:hAnsi="Calibri"/>
                <w:color w:val="333333"/>
                <w:sz w:val="18"/>
              </w:rPr>
              <w:t>$16.3B</w:t>
            </w:r>
          </w:p>
        </w:tc>
        <w:tc>
          <w:tcPr>
            <w:tcW w:type="dxa" w:w="2520"/>
          </w:tcPr>
          <w:p>
            <w:r>
              <w:rPr>
                <w:rFonts w:ascii="Calibri" w:hAnsi="Calibri"/>
                <w:color w:val="333333"/>
                <w:sz w:val="18"/>
              </w:rPr>
              <w:t>$18.7B</w:t>
            </w:r>
          </w:p>
        </w:tc>
        <w:tc>
          <w:tcPr>
            <w:tcW w:type="dxa" w:w="2520"/>
          </w:tcPr>
          <w:p>
            <w:r>
              <w:rPr>
                <w:rFonts w:ascii="Calibri" w:hAnsi="Calibri"/>
                <w:color w:val="333333"/>
                <w:sz w:val="18"/>
              </w:rPr>
              <w:t>N/A</w:t>
            </w:r>
          </w:p>
        </w:tc>
      </w:tr>
      <w:tr>
        <w:tc>
          <w:tcPr>
            <w:tcW w:type="dxa" w:w="2520"/>
            <w:shd w:fill="F2F4F8" w:val="clear"/>
          </w:tcPr>
          <w:p>
            <w:r>
              <w:rPr>
                <w:rFonts w:ascii="Calibri" w:hAnsi="Calibri"/>
                <w:color w:val="333333"/>
                <w:sz w:val="18"/>
              </w:rPr>
              <w:t>Current ratio</w:t>
            </w:r>
          </w:p>
        </w:tc>
        <w:tc>
          <w:tcPr>
            <w:tcW w:type="dxa" w:w="2520"/>
            <w:shd w:fill="F2F4F8" w:val="clear"/>
          </w:tcPr>
          <w:p>
            <w:r>
              <w:rPr>
                <w:rFonts w:ascii="Calibri" w:hAnsi="Calibri"/>
                <w:color w:val="333333"/>
                <w:sz w:val="18"/>
              </w:rPr>
              <w:t>$1</w:t>
            </w:r>
          </w:p>
        </w:tc>
        <w:tc>
          <w:tcPr>
            <w:tcW w:type="dxa" w:w="2520"/>
            <w:shd w:fill="F2F4F8" w:val="clear"/>
          </w:tcPr>
          <w:p>
            <w:r>
              <w:rPr>
                <w:rFonts w:ascii="Calibri" w:hAnsi="Calibri"/>
                <w:color w:val="333333"/>
                <w:sz w:val="18"/>
              </w:rPr>
              <w:t>$1</w:t>
            </w:r>
          </w:p>
        </w:tc>
        <w:tc>
          <w:tcPr>
            <w:tcW w:type="dxa" w:w="2520"/>
            <w:shd w:fill="F2F4F8" w:val="clear"/>
          </w:tcPr>
          <w:p>
            <w:r>
              <w:rPr>
                <w:rFonts w:ascii="Calibri" w:hAnsi="Calibri"/>
                <w:color w:val="333333"/>
                <w:sz w:val="18"/>
              </w:rPr>
              <w:t>N/A</w:t>
            </w:r>
          </w:p>
        </w:tc>
      </w:tr>
      <w:tr>
        <w:tc>
          <w:tcPr>
            <w:tcW w:type="dxa" w:w="2520"/>
          </w:tcPr>
          <w:p>
            <w:r>
              <w:rPr>
                <w:rFonts w:ascii="Calibri" w:hAnsi="Calibri"/>
                <w:color w:val="333333"/>
                <w:sz w:val="18"/>
              </w:rPr>
              <w:t>Quick ratio</w:t>
            </w:r>
          </w:p>
        </w:tc>
        <w:tc>
          <w:tcPr>
            <w:tcW w:type="dxa" w:w="2520"/>
          </w:tcPr>
          <w:p>
            <w:r>
              <w:rPr>
                <w:rFonts w:ascii="Calibri" w:hAnsi="Calibri"/>
                <w:color w:val="333333"/>
                <w:sz w:val="18"/>
              </w:rPr>
              <w:t>$1</w:t>
            </w:r>
          </w:p>
        </w:tc>
        <w:tc>
          <w:tcPr>
            <w:tcW w:type="dxa" w:w="2520"/>
          </w:tcPr>
          <w:p>
            <w:r>
              <w:rPr>
                <w:rFonts w:ascii="Calibri" w:hAnsi="Calibri"/>
                <w:color w:val="333333"/>
                <w:sz w:val="18"/>
              </w:rPr>
              <w:t>$0</w:t>
            </w:r>
          </w:p>
        </w:tc>
        <w:tc>
          <w:tcPr>
            <w:tcW w:type="dxa" w:w="2520"/>
          </w:tcPr>
          <w:p>
            <w:r>
              <w:rPr>
                <w:rFonts w:ascii="Calibri" w:hAnsi="Calibri"/>
                <w:color w:val="333333"/>
                <w:sz w:val="18"/>
              </w:rPr>
              <w:t>N/A</w:t>
            </w:r>
          </w:p>
        </w:tc>
      </w:tr>
      <w:tr>
        <w:tc>
          <w:tcPr>
            <w:tcW w:type="dxa" w:w="2520"/>
            <w:shd w:fill="F2F4F8" w:val="clear"/>
          </w:tcPr>
          <w:p>
            <w:r>
              <w:rPr>
                <w:rFonts w:ascii="Calibri" w:hAnsi="Calibri"/>
                <w:color w:val="333333"/>
                <w:sz w:val="18"/>
              </w:rPr>
              <w:t>Tangible book value</w:t>
            </w:r>
          </w:p>
        </w:tc>
        <w:tc>
          <w:tcPr>
            <w:tcW w:type="dxa" w:w="2520"/>
            <w:shd w:fill="F2F4F8" w:val="clear"/>
          </w:tcPr>
          <w:p>
            <w:r>
              <w:rPr>
                <w:rFonts w:ascii="Calibri" w:hAnsi="Calibri"/>
                <w:color w:val="333333"/>
                <w:sz w:val="18"/>
              </w:rPr>
              <w:t>$-11.8B</w:t>
            </w:r>
          </w:p>
        </w:tc>
        <w:tc>
          <w:tcPr>
            <w:tcW w:type="dxa" w:w="2520"/>
            <w:shd w:fill="F2F4F8" w:val="clear"/>
          </w:tcPr>
          <w:p>
            <w:r>
              <w:rPr>
                <w:rFonts w:ascii="Calibri" w:hAnsi="Calibri"/>
                <w:color w:val="333333"/>
                <w:sz w:val="18"/>
              </w:rPr>
              <w:t>$-11.3B</w:t>
            </w:r>
          </w:p>
        </w:tc>
        <w:tc>
          <w:tcPr>
            <w:tcW w:type="dxa" w:w="2520"/>
            <w:shd w:fill="F2F4F8" w:val="clear"/>
          </w:tcPr>
          <w:p>
            <w:r>
              <w:rPr>
                <w:rFonts w:ascii="Calibri" w:hAnsi="Calibri"/>
                <w:color w:val="333333"/>
                <w:sz w:val="18"/>
              </w:rPr>
              <w:t>N/A</w:t>
            </w:r>
          </w:p>
        </w:tc>
      </w:tr>
      <w:tr>
        <w:tc>
          <w:tcPr>
            <w:tcW w:type="dxa" w:w="2520"/>
          </w:tcPr>
          <w:p>
            <w:r>
              <w:rPr>
                <w:rFonts w:ascii="Calibri" w:hAnsi="Calibri"/>
                <w:color w:val="333333"/>
                <w:sz w:val="18"/>
              </w:rPr>
              <w:t>Book value per share</w:t>
            </w:r>
          </w:p>
        </w:tc>
        <w:tc>
          <w:tcPr>
            <w:tcW w:type="dxa" w:w="2520"/>
          </w:tcPr>
          <w:p>
            <w:r>
              <w:rPr>
                <w:rFonts w:ascii="Calibri" w:hAnsi="Calibri"/>
                <w:color w:val="333333"/>
                <w:sz w:val="18"/>
              </w:rPr>
              <w:t>$12.61</w:t>
            </w:r>
          </w:p>
        </w:tc>
        <w:tc>
          <w:tcPr>
            <w:tcW w:type="dxa" w:w="2520"/>
          </w:tcPr>
          <w:p>
            <w:r>
              <w:rPr>
                <w:rFonts w:ascii="Calibri" w:hAnsi="Calibri"/>
                <w:color w:val="333333"/>
                <w:sz w:val="18"/>
              </w:rPr>
              <w:t>$13.04</w:t>
            </w:r>
          </w:p>
        </w:tc>
        <w:tc>
          <w:tcPr>
            <w:tcW w:type="dxa" w:w="2520"/>
          </w:tcPr>
          <w:p>
            <w:r>
              <w:rPr>
                <w:rFonts w:ascii="Calibri" w:hAnsi="Calibri"/>
                <w:color w:val="333333"/>
                <w:sz w:val="18"/>
              </w:rPr>
              <w:t>N/A</w:t>
            </w:r>
          </w:p>
        </w:tc>
      </w:tr>
      <w:tr>
        <w:tc>
          <w:tcPr>
            <w:tcW w:type="dxa" w:w="2520"/>
            <w:shd w:fill="F2F4F8" w:val="clear"/>
          </w:tcPr>
          <w:p>
            <w:r>
              <w:rPr>
                <w:rFonts w:ascii="Calibri" w:hAnsi="Calibri"/>
                <w:color w:val="333333"/>
                <w:sz w:val="18"/>
              </w:rPr>
              <w:t>Return on assets</w:t>
            </w:r>
          </w:p>
        </w:tc>
        <w:tc>
          <w:tcPr>
            <w:tcW w:type="dxa" w:w="2520"/>
            <w:shd w:fill="F2F4F8" w:val="clear"/>
          </w:tcPr>
          <w:p>
            <w:r>
              <w:rPr>
                <w:rFonts w:ascii="Calibri" w:hAnsi="Calibri"/>
                <w:color w:val="333333"/>
                <w:sz w:val="18"/>
              </w:rPr>
              <w:t>$12</w:t>
            </w:r>
          </w:p>
        </w:tc>
        <w:tc>
          <w:tcPr>
            <w:tcW w:type="dxa" w:w="2520"/>
            <w:shd w:fill="F2F4F8" w:val="clear"/>
          </w:tcPr>
          <w:p>
            <w:r>
              <w:rPr>
                <w:rFonts w:ascii="Calibri" w:hAnsi="Calibri"/>
                <w:color w:val="333333"/>
                <w:sz w:val="18"/>
              </w:rPr>
              <w:t>$13</w:t>
            </w:r>
          </w:p>
        </w:tc>
        <w:tc>
          <w:tcPr>
            <w:tcW w:type="dxa" w:w="2520"/>
            <w:shd w:fill="F2F4F8" w:val="clear"/>
          </w:tcPr>
          <w:p>
            <w:r>
              <w:rPr>
                <w:rFonts w:ascii="Calibri" w:hAnsi="Calibri"/>
                <w:color w:val="333333"/>
                <w:sz w:val="18"/>
              </w:rPr>
              <w:t>N/A</w:t>
            </w:r>
          </w:p>
        </w:tc>
      </w:tr>
      <w:tr>
        <w:tc>
          <w:tcPr>
            <w:tcW w:type="dxa" w:w="2520"/>
          </w:tcPr>
          <w:p>
            <w:r>
              <w:rPr>
                <w:rFonts w:ascii="Calibri" w:hAnsi="Calibri"/>
                <w:color w:val="333333"/>
                <w:sz w:val="18"/>
              </w:rPr>
              <w:t>Return on equity</w:t>
            </w:r>
          </w:p>
        </w:tc>
        <w:tc>
          <w:tcPr>
            <w:tcW w:type="dxa" w:w="2520"/>
          </w:tcPr>
          <w:p>
            <w:r>
              <w:rPr>
                <w:rFonts w:ascii="Calibri" w:hAnsi="Calibri"/>
                <w:color w:val="333333"/>
                <w:sz w:val="18"/>
              </w:rPr>
              <w:t>$29</w:t>
            </w:r>
          </w:p>
        </w:tc>
        <w:tc>
          <w:tcPr>
            <w:tcW w:type="dxa" w:w="2520"/>
          </w:tcPr>
          <w:p>
            <w:r>
              <w:rPr>
                <w:rFonts w:ascii="Calibri" w:hAnsi="Calibri"/>
                <w:color w:val="333333"/>
                <w:sz w:val="18"/>
              </w:rPr>
              <w:t>$31</w:t>
            </w:r>
          </w:p>
        </w:tc>
        <w:tc>
          <w:tcPr>
            <w:tcW w:type="dxa" w:w="2520"/>
          </w:tcPr>
          <w:p>
            <w:r>
              <w:rPr>
                <w:rFonts w:ascii="Calibri" w:hAnsi="Calibri"/>
                <w:color w:val="333333"/>
                <w:sz w:val="18"/>
              </w:rPr>
              <w:t>N/A</w:t>
            </w:r>
          </w:p>
        </w:tc>
      </w:tr>
      <w:tr>
        <w:tc>
          <w:tcPr>
            <w:tcW w:type="dxa" w:w="2520"/>
            <w:shd w:fill="F2F4F8" w:val="clear"/>
          </w:tcPr>
          <w:p>
            <w:r>
              <w:rPr>
                <w:rFonts w:ascii="Calibri" w:hAnsi="Calibri"/>
                <w:color w:val="333333"/>
                <w:sz w:val="18"/>
              </w:rPr>
              <w:t>Asset turnover ratio</w:t>
            </w:r>
          </w:p>
        </w:tc>
        <w:tc>
          <w:tcPr>
            <w:tcW w:type="dxa" w:w="2520"/>
            <w:shd w:fill="F2F4F8" w:val="clear"/>
          </w:tcPr>
          <w:p>
            <w:r>
              <w:rPr>
                <w:rFonts w:ascii="Calibri" w:hAnsi="Calibri"/>
                <w:color w:val="333333"/>
                <w:sz w:val="18"/>
              </w:rPr>
              <w:t>$1</w:t>
            </w:r>
          </w:p>
        </w:tc>
        <w:tc>
          <w:tcPr>
            <w:tcW w:type="dxa" w:w="2520"/>
            <w:shd w:fill="F2F4F8" w:val="clear"/>
          </w:tcPr>
          <w:p>
            <w:r>
              <w:rPr>
                <w:rFonts w:ascii="Calibri" w:hAnsi="Calibri"/>
                <w:color w:val="333333"/>
                <w:sz w:val="18"/>
              </w:rPr>
              <w:t>$1</w:t>
            </w:r>
          </w:p>
        </w:tc>
        <w:tc>
          <w:tcPr>
            <w:tcW w:type="dxa" w:w="2520"/>
            <w:shd w:fill="F2F4F8" w:val="clear"/>
          </w:tcPr>
          <w:p>
            <w:r>
              <w:rPr>
                <w:rFonts w:ascii="Calibri" w:hAnsi="Calibri"/>
                <w:color w:val="333333"/>
                <w:sz w:val="18"/>
              </w:rPr>
              <w:t>N/A</w:t>
            </w:r>
          </w:p>
        </w:tc>
      </w:tr>
    </w:tbl>
    <w:p>
      <w:pPr>
        <w:pStyle w:val="DOHeading3"/>
      </w:pPr>
      <w:r>
        <w:t>Key Balance Sheet Ratios</w:t>
      </w:r>
    </w:p>
    <w:tbl>
      <w:tblPr>
        <w:tblStyle w:val="TableGrid"/>
        <w:tblW w:type="auto" w:w="0"/>
        <w:tblLook w:firstColumn="1" w:firstRow="1" w:lastColumn="0" w:lastRow="0" w:noHBand="0" w:noVBand="1" w:val="04A0"/>
      </w:tblPr>
      <w:tblGrid>
        <w:gridCol w:w="3360"/>
        <w:gridCol w:w="3360"/>
        <w:gridCol w:w="3360"/>
      </w:tblGrid>
      <w:tr>
        <w:tc>
          <w:tcPr>
            <w:tcW w:type="dxa" w:w="3360"/>
            <w:shd w:fill="1A1446" w:val="clear"/>
          </w:tcPr>
          <w:p>
            <w:r>
              <w:rPr>
                <w:rFonts w:ascii="Calibri" w:hAnsi="Calibri"/>
                <w:b/>
                <w:color w:val="FFFFFF"/>
                <w:sz w:val="18"/>
              </w:rPr>
              <w:t>Ratio</w:t>
            </w:r>
          </w:p>
        </w:tc>
        <w:tc>
          <w:tcPr>
            <w:tcW w:type="dxa" w:w="3360"/>
            <w:shd w:fill="1A1446" w:val="clear"/>
          </w:tcPr>
          <w:p>
            <w:r>
              <w:rPr>
                <w:rFonts w:ascii="Calibri" w:hAnsi="Calibri"/>
                <w:b/>
                <w:color w:val="FFFFFF"/>
                <w:sz w:val="18"/>
              </w:rPr>
              <w:t>Value</w:t>
            </w:r>
          </w:p>
        </w:tc>
        <w:tc>
          <w:tcPr>
            <w:tcW w:type="dxa" w:w="3360"/>
            <w:shd w:fill="1A1446" w:val="clear"/>
          </w:tcPr>
          <w:p>
            <w:r>
              <w:rPr>
                <w:rFonts w:ascii="Calibri" w:hAnsi="Calibri"/>
                <w:b/>
                <w:color w:val="FFFFFF"/>
                <w:sz w:val="18"/>
              </w:rPr>
              <w:t>Assessment</w:t>
            </w:r>
          </w:p>
        </w:tc>
      </w:tr>
      <w:tr>
        <w:tc>
          <w:tcPr>
            <w:tcW w:type="dxa" w:w="3360"/>
          </w:tcPr>
          <w:p>
            <w:r>
              <w:rPr>
                <w:rFonts w:ascii="Calibri" w:hAnsi="Calibri"/>
                <w:color w:val="333333"/>
                <w:sz w:val="18"/>
              </w:rPr>
              <w:t>Current Ratio</w:t>
            </w:r>
          </w:p>
        </w:tc>
        <w:tc>
          <w:tcPr>
            <w:tcW w:type="dxa" w:w="3360"/>
          </w:tcPr>
          <w:p>
            <w:r>
              <w:rPr>
                <w:rFonts w:ascii="Calibri" w:hAnsi="Calibri"/>
                <w:color w:val="333333"/>
                <w:sz w:val="18"/>
              </w:rPr>
              <w:t>0.70</w:t>
            </w:r>
          </w:p>
        </w:tc>
        <w:tc>
          <w:tcPr>
            <w:tcW w:type="dxa" w:w="3360"/>
          </w:tcPr>
          <w:p>
            <w:r>
              <w:rPr>
                <w:rFonts w:ascii="Calibri" w:hAnsi="Calibri"/>
                <w:color w:val="333333"/>
                <w:sz w:val="18"/>
              </w:rPr>
              <w:t>Concern</w:t>
            </w:r>
          </w:p>
        </w:tc>
      </w:tr>
      <w:tr>
        <w:tc>
          <w:tcPr>
            <w:tcW w:type="dxa" w:w="3360"/>
            <w:shd w:fill="F2F4F8" w:val="clear"/>
          </w:tcPr>
          <w:p>
            <w:r>
              <w:rPr>
                <w:rFonts w:ascii="Calibri" w:hAnsi="Calibri"/>
                <w:color w:val="333333"/>
                <w:sz w:val="18"/>
              </w:rPr>
              <w:t>Debt/Assets</w:t>
            </w:r>
          </w:p>
        </w:tc>
        <w:tc>
          <w:tcPr>
            <w:tcW w:type="dxa" w:w="3360"/>
            <w:shd w:fill="F2F4F8" w:val="clear"/>
          </w:tcPr>
          <w:p>
            <w:r>
              <w:rPr>
                <w:rFonts w:ascii="Calibri" w:hAnsi="Calibri"/>
                <w:color w:val="333333"/>
                <w:sz w:val="18"/>
              </w:rPr>
              <w:t>0.58</w:t>
            </w:r>
          </w:p>
        </w:tc>
        <w:tc>
          <w:tcPr>
            <w:tcW w:type="dxa" w:w="3360"/>
            <w:shd w:fill="F2F4F8" w:val="clear"/>
          </w:tcPr>
          <w:p>
            <w:r>
              <w:rPr>
                <w:rFonts w:ascii="Calibri" w:hAnsi="Calibri"/>
                <w:color w:val="333333"/>
                <w:sz w:val="18"/>
              </w:rPr>
              <w:t>Moderate</w:t>
            </w:r>
          </w:p>
        </w:tc>
      </w:tr>
    </w:tbl>
    <w:p>
      <w:pPr>
        <w:pStyle w:val="DOHeading2"/>
      </w:pPr>
      <w:r>
        <w:t>Cash Flow Statement</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1A1446" w:val="clear"/>
          </w:tcPr>
          <w:p>
            <w:r>
              <w:rPr>
                <w:rFonts w:ascii="Calibri" w:hAnsi="Calibri"/>
                <w:b/>
                <w:color w:val="FFFFFF"/>
                <w:sz w:val="18"/>
              </w:rPr>
              <w:t>Metric</w:t>
            </w:r>
          </w:p>
        </w:tc>
        <w:tc>
          <w:tcPr>
            <w:tcW w:type="dxa" w:w="2520"/>
            <w:shd w:fill="1A1446" w:val="clear"/>
          </w:tcPr>
          <w:p>
            <w:r>
              <w:rPr>
                <w:rFonts w:ascii="Calibri" w:hAnsi="Calibri"/>
                <w:b/>
                <w:color w:val="FFFFFF"/>
                <w:sz w:val="18"/>
              </w:rPr>
              <w:t>FY2024</w:t>
            </w:r>
          </w:p>
        </w:tc>
        <w:tc>
          <w:tcPr>
            <w:tcW w:type="dxa" w:w="2520"/>
            <w:shd w:fill="1A1446" w:val="clear"/>
          </w:tcPr>
          <w:p>
            <w:r>
              <w:rPr>
                <w:rFonts w:ascii="Calibri" w:hAnsi="Calibri"/>
                <w:b/>
                <w:color w:val="FFFFFF"/>
                <w:sz w:val="18"/>
              </w:rPr>
              <w:t>FY2025</w:t>
            </w:r>
          </w:p>
        </w:tc>
        <w:tc>
          <w:tcPr>
            <w:tcW w:type="dxa" w:w="2520"/>
            <w:shd w:fill="1A1446" w:val="clear"/>
          </w:tcPr>
          <w:p>
            <w:r>
              <w:rPr>
                <w:rFonts w:ascii="Calibri" w:hAnsi="Calibri"/>
                <w:b/>
                <w:color w:val="FFFFFF"/>
                <w:sz w:val="18"/>
              </w:rPr>
              <w:t>YoY Change</w:t>
            </w:r>
          </w:p>
        </w:tc>
      </w:tr>
      <w:tr>
        <w:tc>
          <w:tcPr>
            <w:tcW w:type="dxa" w:w="2520"/>
          </w:tcPr>
          <w:p>
            <w:r>
              <w:rPr>
                <w:rFonts w:ascii="Calibri" w:hAnsi="Calibri"/>
                <w:color w:val="333333"/>
                <w:sz w:val="18"/>
              </w:rPr>
              <w:t>Net cash from operating activities</w:t>
            </w:r>
          </w:p>
        </w:tc>
        <w:tc>
          <w:tcPr>
            <w:tcW w:type="dxa" w:w="2520"/>
          </w:tcPr>
          <w:p>
            <w:r>
              <w:rPr>
                <w:rFonts w:ascii="Calibri" w:hAnsi="Calibri"/>
                <w:color w:val="333333"/>
                <w:sz w:val="18"/>
              </w:rPr>
              <w:t>$19.8B</w:t>
            </w:r>
          </w:p>
        </w:tc>
        <w:tc>
          <w:tcPr>
            <w:tcW w:type="dxa" w:w="2520"/>
          </w:tcPr>
          <w:p>
            <w:r>
              <w:rPr>
                <w:rFonts w:ascii="Calibri" w:hAnsi="Calibri"/>
                <w:color w:val="333333"/>
                <w:sz w:val="18"/>
              </w:rPr>
              <w:t>$17.8B</w:t>
            </w:r>
          </w:p>
        </w:tc>
        <w:tc>
          <w:tcPr>
            <w:tcW w:type="dxa" w:w="2520"/>
            <w:shd w:fill="FCE8E6" w:val="clear"/>
          </w:tcPr>
          <w:p>
            <w:r>
              <w:rPr>
                <w:rFonts w:ascii="Calibri" w:hAnsi="Calibri"/>
                <w:color w:val="333333"/>
                <w:sz w:val="18"/>
              </w:rPr>
              <w:t>-10.2%</w:t>
            </w:r>
          </w:p>
        </w:tc>
      </w:tr>
      <w:tr>
        <w:tc>
          <w:tcPr>
            <w:tcW w:type="dxa" w:w="2520"/>
            <w:shd w:fill="F2F4F8" w:val="clear"/>
          </w:tcPr>
          <w:p>
            <w:r>
              <w:rPr>
                <w:rFonts w:ascii="Calibri" w:hAnsi="Calibri"/>
                <w:color w:val="333333"/>
                <w:sz w:val="18"/>
              </w:rPr>
              <w:t>Net cash from investing activities</w:t>
            </w:r>
          </w:p>
        </w:tc>
        <w:tc>
          <w:tcPr>
            <w:tcW w:type="dxa" w:w="2520"/>
            <w:shd w:fill="F2F4F8" w:val="clear"/>
          </w:tcPr>
          <w:p>
            <w:r>
              <w:rPr>
                <w:rFonts w:ascii="Calibri" w:hAnsi="Calibri"/>
                <w:color w:val="333333"/>
                <w:sz w:val="18"/>
              </w:rPr>
              <w:t>$-3.5B</w:t>
            </w:r>
          </w:p>
        </w:tc>
        <w:tc>
          <w:tcPr>
            <w:tcW w:type="dxa" w:w="2520"/>
            <w:shd w:fill="F2F4F8" w:val="clear"/>
          </w:tcPr>
          <w:p>
            <w:r>
              <w:rPr>
                <w:rFonts w:ascii="Calibri" w:hAnsi="Calibri"/>
                <w:color w:val="333333"/>
                <w:sz w:val="18"/>
              </w:rPr>
              <w:t>$-3.8B</w:t>
            </w:r>
          </w:p>
        </w:tc>
        <w:tc>
          <w:tcPr>
            <w:tcW w:type="dxa" w:w="2520"/>
            <w:shd w:fill="F2F4F8" w:val="clear"/>
            <w:shd w:fill="FFF3CD" w:val="clear"/>
          </w:tcPr>
          <w:p>
            <w:r>
              <w:rPr>
                <w:rFonts w:ascii="Calibri" w:hAnsi="Calibri"/>
                <w:color w:val="333333"/>
                <w:sz w:val="18"/>
              </w:rPr>
              <w:t>-9.0%</w:t>
            </w:r>
          </w:p>
        </w:tc>
      </w:tr>
      <w:tr>
        <w:tc>
          <w:tcPr>
            <w:tcW w:type="dxa" w:w="2520"/>
          </w:tcPr>
          <w:p>
            <w:r>
              <w:rPr>
                <w:rFonts w:ascii="Calibri" w:hAnsi="Calibri"/>
                <w:color w:val="333333"/>
                <w:sz w:val="18"/>
              </w:rPr>
              <w:t>Net cash from financing activities</w:t>
            </w:r>
          </w:p>
        </w:tc>
        <w:tc>
          <w:tcPr>
            <w:tcW w:type="dxa" w:w="2520"/>
          </w:tcPr>
          <w:p>
            <w:r>
              <w:rPr>
                <w:rFonts w:ascii="Calibri" w:hAnsi="Calibri"/>
                <w:color w:val="333333"/>
                <w:sz w:val="18"/>
              </w:rPr>
              <w:t>$-14.9B</w:t>
            </w:r>
          </w:p>
        </w:tc>
        <w:tc>
          <w:tcPr>
            <w:tcW w:type="dxa" w:w="2520"/>
          </w:tcPr>
          <w:p>
            <w:r>
              <w:rPr>
                <w:rFonts w:ascii="Calibri" w:hAnsi="Calibri"/>
                <w:color w:val="333333"/>
                <w:sz w:val="18"/>
              </w:rPr>
              <w:t>$-14.0B</w:t>
            </w:r>
          </w:p>
        </w:tc>
        <w:tc>
          <w:tcPr>
            <w:tcW w:type="dxa" w:w="2520"/>
            <w:shd w:fill="FFF3CD" w:val="clear"/>
          </w:tcPr>
          <w:p>
            <w:r>
              <w:rPr>
                <w:rFonts w:ascii="Calibri" w:hAnsi="Calibri"/>
                <w:color w:val="333333"/>
                <w:sz w:val="18"/>
              </w:rPr>
              <w:t>5.5%</w:t>
            </w:r>
          </w:p>
        </w:tc>
      </w:tr>
      <w:tr>
        <w:tc>
          <w:tcPr>
            <w:tcW w:type="dxa" w:w="2520"/>
            <w:shd w:fill="F2F4F8" w:val="clear"/>
          </w:tcPr>
          <w:p>
            <w:r>
              <w:rPr>
                <w:rFonts w:ascii="Calibri" w:hAnsi="Calibri"/>
                <w:color w:val="333333"/>
                <w:sz w:val="18"/>
              </w:rPr>
              <w:t>Capital expenditures</w:t>
            </w:r>
          </w:p>
        </w:tc>
        <w:tc>
          <w:tcPr>
            <w:tcW w:type="dxa" w:w="2520"/>
            <w:shd w:fill="F2F4F8" w:val="clear"/>
          </w:tcPr>
          <w:p>
            <w:r>
              <w:rPr>
                <w:rFonts w:ascii="Calibri" w:hAnsi="Calibri"/>
                <w:color w:val="333333"/>
                <w:sz w:val="18"/>
              </w:rPr>
              <w:t>$3.3B</w:t>
            </w:r>
          </w:p>
        </w:tc>
        <w:tc>
          <w:tcPr>
            <w:tcW w:type="dxa" w:w="2520"/>
            <w:shd w:fill="F2F4F8" w:val="clear"/>
          </w:tcPr>
          <w:p>
            <w:r>
              <w:rPr>
                <w:rFonts w:ascii="Calibri" w:hAnsi="Calibri"/>
                <w:color w:val="333333"/>
                <w:sz w:val="18"/>
              </w:rPr>
              <w:t>$3.8B</w:t>
            </w:r>
          </w:p>
        </w:tc>
        <w:tc>
          <w:tcPr>
            <w:tcW w:type="dxa" w:w="2520"/>
            <w:shd w:fill="F2F4F8" w:val="clear"/>
            <w:shd w:fill="DCEEF8" w:val="clear"/>
          </w:tcPr>
          <w:p>
            <w:r>
              <w:rPr>
                <w:rFonts w:ascii="Calibri" w:hAnsi="Calibri"/>
                <w:color w:val="333333"/>
                <w:sz w:val="18"/>
              </w:rPr>
              <w:t>13.6%</w:t>
            </w:r>
          </w:p>
        </w:tc>
      </w:tr>
      <w:tr>
        <w:tc>
          <w:tcPr>
            <w:tcW w:type="dxa" w:w="2520"/>
          </w:tcPr>
          <w:p>
            <w:r>
              <w:rPr>
                <w:rFonts w:ascii="Calibri" w:hAnsi="Calibri"/>
                <w:color w:val="333333"/>
                <w:sz w:val="18"/>
              </w:rPr>
              <w:t>Depreciation and amortization</w:t>
            </w:r>
          </w:p>
        </w:tc>
        <w:tc>
          <w:tcPr>
            <w:tcW w:type="dxa" w:w="2520"/>
          </w:tcPr>
          <w:p>
            <w:r>
              <w:rPr>
                <w:rFonts w:ascii="Calibri" w:hAnsi="Calibri"/>
                <w:color w:val="333333"/>
                <w:sz w:val="18"/>
              </w:rPr>
              <w:t>$2.9B</w:t>
            </w:r>
          </w:p>
        </w:tc>
        <w:tc>
          <w:tcPr>
            <w:tcW w:type="dxa" w:w="2520"/>
          </w:tcPr>
          <w:p>
            <w:r>
              <w:rPr>
                <w:rFonts w:ascii="Calibri" w:hAnsi="Calibri"/>
                <w:color w:val="333333"/>
                <w:sz w:val="18"/>
              </w:rPr>
              <w:t>$2.8B</w:t>
            </w:r>
          </w:p>
        </w:tc>
        <w:tc>
          <w:tcPr>
            <w:tcW w:type="dxa" w:w="2520"/>
            <w:shd w:fill="FFF3CD" w:val="clear"/>
          </w:tcPr>
          <w:p>
            <w:r>
              <w:rPr>
                <w:rFonts w:ascii="Calibri" w:hAnsi="Calibri"/>
                <w:color w:val="333333"/>
                <w:sz w:val="18"/>
              </w:rPr>
              <w:t>-1.7%</w:t>
            </w:r>
          </w:p>
        </w:tc>
      </w:tr>
      <w:tr>
        <w:tc>
          <w:tcPr>
            <w:tcW w:type="dxa" w:w="2520"/>
            <w:shd w:fill="F2F4F8" w:val="clear"/>
          </w:tcPr>
          <w:p>
            <w:r>
              <w:rPr>
                <w:rFonts w:ascii="Calibri" w:hAnsi="Calibri"/>
                <w:color w:val="333333"/>
                <w:sz w:val="18"/>
              </w:rPr>
              <w:t>Dividends paid</w:t>
            </w:r>
          </w:p>
        </w:tc>
        <w:tc>
          <w:tcPr>
            <w:tcW w:type="dxa" w:w="2520"/>
            <w:shd w:fill="F2F4F8" w:val="clear"/>
          </w:tcPr>
          <w:p>
            <w:r>
              <w:rPr>
                <w:rFonts w:ascii="Calibri" w:hAnsi="Calibri"/>
                <w:color w:val="333333"/>
                <w:sz w:val="18"/>
              </w:rPr>
              <w:t>$9.3B</w:t>
            </w:r>
          </w:p>
        </w:tc>
        <w:tc>
          <w:tcPr>
            <w:tcW w:type="dxa" w:w="2520"/>
            <w:shd w:fill="F2F4F8" w:val="clear"/>
          </w:tcPr>
          <w:p>
            <w:r>
              <w:rPr>
                <w:rFonts w:ascii="Calibri" w:hAnsi="Calibri"/>
                <w:color w:val="333333"/>
                <w:sz w:val="18"/>
              </w:rPr>
              <w:t>$9.9B</w:t>
            </w:r>
          </w:p>
        </w:tc>
        <w:tc>
          <w:tcPr>
            <w:tcW w:type="dxa" w:w="2520"/>
            <w:shd w:fill="F2F4F8" w:val="clear"/>
            <w:shd w:fill="FFF3CD" w:val="clear"/>
          </w:tcPr>
          <w:p>
            <w:r>
              <w:rPr>
                <w:rFonts w:ascii="Calibri" w:hAnsi="Calibri"/>
                <w:color w:val="333333"/>
                <w:sz w:val="18"/>
              </w:rPr>
              <w:t>6.0%</w:t>
            </w:r>
          </w:p>
        </w:tc>
      </w:tr>
      <w:tr>
        <w:tc>
          <w:tcPr>
            <w:tcW w:type="dxa" w:w="2520"/>
          </w:tcPr>
          <w:p>
            <w:r>
              <w:rPr>
                <w:rFonts w:ascii="Calibri" w:hAnsi="Calibri"/>
                <w:color w:val="333333"/>
                <w:sz w:val="18"/>
              </w:rPr>
              <w:t>Share repurchases / buybacks</w:t>
            </w:r>
          </w:p>
        </w:tc>
        <w:tc>
          <w:tcPr>
            <w:tcW w:type="dxa" w:w="2520"/>
          </w:tcPr>
          <w:p>
            <w:r>
              <w:rPr>
                <w:rFonts w:ascii="Calibri" w:hAnsi="Calibri"/>
                <w:color w:val="333333"/>
                <w:sz w:val="18"/>
              </w:rPr>
              <w:t>$5.0B</w:t>
            </w:r>
          </w:p>
        </w:tc>
        <w:tc>
          <w:tcPr>
            <w:tcW w:type="dxa" w:w="2520"/>
          </w:tcPr>
          <w:p>
            <w:r>
              <w:rPr>
                <w:rFonts w:ascii="Calibri" w:hAnsi="Calibri"/>
                <w:color w:val="333333"/>
                <w:sz w:val="18"/>
              </w:rPr>
              <w:t>$6.5B</w:t>
            </w:r>
          </w:p>
        </w:tc>
        <w:tc>
          <w:tcPr>
            <w:tcW w:type="dxa" w:w="2520"/>
            <w:shd w:fill="DCEEF8" w:val="clear"/>
          </w:tcPr>
          <w:p>
            <w:r>
              <w:rPr>
                <w:rFonts w:ascii="Calibri" w:hAnsi="Calibri"/>
                <w:color w:val="333333"/>
                <w:sz w:val="18"/>
              </w:rPr>
              <w:t>29.8%</w:t>
            </w:r>
          </w:p>
        </w:tc>
      </w:tr>
      <w:tr>
        <w:tc>
          <w:tcPr>
            <w:tcW w:type="dxa" w:w="2520"/>
            <w:shd w:fill="F2F4F8" w:val="clear"/>
          </w:tcPr>
          <w:p>
            <w:r>
              <w:rPr>
                <w:rFonts w:ascii="Calibri" w:hAnsi="Calibri"/>
                <w:color w:val="333333"/>
                <w:sz w:val="18"/>
              </w:rPr>
              <w:t>Acquisitions, net of cash acquired</w:t>
            </w:r>
          </w:p>
        </w:tc>
        <w:tc>
          <w:tcPr>
            <w:tcW w:type="dxa" w:w="2520"/>
            <w:shd w:fill="F2F4F8" w:val="clear"/>
          </w:tcPr>
          <w:p>
            <w:r>
              <w:rPr>
                <w:rFonts w:ascii="Calibri" w:hAnsi="Calibri"/>
                <w:color w:val="333333"/>
                <w:sz w:val="18"/>
              </w:rPr>
              <w:t>$21.0M</w:t>
            </w:r>
          </w:p>
        </w:tc>
        <w:tc>
          <w:tcPr>
            <w:tcW w:type="dxa" w:w="2520"/>
            <w:shd w:fill="F2F4F8" w:val="clear"/>
          </w:tcPr>
          <w:p>
            <w:r>
              <w:rPr>
                <w:rFonts w:ascii="Calibri" w:hAnsi="Calibri"/>
                <w:color w:val="333333"/>
                <w:sz w:val="18"/>
              </w:rPr>
              <w:t>$11.0M</w:t>
            </w:r>
          </w:p>
        </w:tc>
        <w:tc>
          <w:tcPr>
            <w:tcW w:type="dxa" w:w="2520"/>
            <w:shd w:fill="F2F4F8" w:val="clear"/>
            <w:shd w:fill="FCE8E6" w:val="clear"/>
          </w:tcPr>
          <w:p>
            <w:r>
              <w:rPr>
                <w:rFonts w:ascii="Calibri" w:hAnsi="Calibri"/>
                <w:color w:val="333333"/>
                <w:sz w:val="18"/>
              </w:rPr>
              <w:t>-47.6%</w:t>
            </w:r>
          </w:p>
        </w:tc>
      </w:tr>
      <w:tr>
        <w:tc>
          <w:tcPr>
            <w:tcW w:type="dxa" w:w="2520"/>
          </w:tcPr>
          <w:p>
            <w:r>
              <w:rPr>
                <w:rFonts w:ascii="Calibri" w:hAnsi="Calibri"/>
                <w:color w:val="333333"/>
                <w:sz w:val="18"/>
              </w:rPr>
              <w:t>Proceeds from issuance of debt</w:t>
            </w:r>
          </w:p>
        </w:tc>
        <w:tc>
          <w:tcPr>
            <w:tcW w:type="dxa" w:w="2520"/>
          </w:tcPr>
          <w:p>
            <w:r>
              <w:rPr>
                <w:rFonts w:ascii="Calibri" w:hAnsi="Calibri"/>
                <w:color w:val="333333"/>
                <w:sz w:val="18"/>
              </w:rPr>
              <w:t>$3.2B</w:t>
            </w:r>
          </w:p>
        </w:tc>
        <w:tc>
          <w:tcPr>
            <w:tcW w:type="dxa" w:w="2520"/>
          </w:tcPr>
          <w:p>
            <w:r>
              <w:rPr>
                <w:rFonts w:ascii="Calibri" w:hAnsi="Calibri"/>
                <w:color w:val="333333"/>
                <w:sz w:val="18"/>
              </w:rPr>
              <w:t>$2.2B</w:t>
            </w:r>
          </w:p>
        </w:tc>
        <w:tc>
          <w:tcPr>
            <w:tcW w:type="dxa" w:w="2520"/>
            <w:shd w:fill="FCE8E6" w:val="clear"/>
          </w:tcPr>
          <w:p>
            <w:r>
              <w:rPr>
                <w:rFonts w:ascii="Calibri" w:hAnsi="Calibri"/>
                <w:color w:val="333333"/>
                <w:sz w:val="18"/>
              </w:rPr>
              <w:t>-30.0%</w:t>
            </w:r>
          </w:p>
        </w:tc>
      </w:tr>
      <w:tr>
        <w:tc>
          <w:tcPr>
            <w:tcW w:type="dxa" w:w="2520"/>
            <w:shd w:fill="F2F4F8" w:val="clear"/>
          </w:tcPr>
          <w:p>
            <w:r>
              <w:rPr>
                <w:rFonts w:ascii="Calibri" w:hAnsi="Calibri"/>
                <w:color w:val="333333"/>
                <w:sz w:val="18"/>
              </w:rPr>
              <w:t>Repayments of debt</w:t>
            </w:r>
          </w:p>
        </w:tc>
        <w:tc>
          <w:tcPr>
            <w:tcW w:type="dxa" w:w="2520"/>
            <w:shd w:fill="F2F4F8" w:val="clear"/>
          </w:tcPr>
          <w:p>
            <w:r>
              <w:rPr>
                <w:rFonts w:ascii="Calibri" w:hAnsi="Calibri"/>
                <w:color w:val="333333"/>
                <w:sz w:val="18"/>
              </w:rPr>
              <w:t>$2.3B</w:t>
            </w:r>
          </w:p>
        </w:tc>
        <w:tc>
          <w:tcPr>
            <w:tcW w:type="dxa" w:w="2520"/>
            <w:shd w:fill="F2F4F8" w:val="clear"/>
          </w:tcPr>
          <w:p>
            <w:r>
              <w:rPr>
                <w:rFonts w:ascii="Calibri" w:hAnsi="Calibri"/>
                <w:color w:val="333333"/>
                <w:sz w:val="18"/>
              </w:rPr>
              <w:t>$2.0B</w:t>
            </w:r>
          </w:p>
        </w:tc>
        <w:tc>
          <w:tcPr>
            <w:tcW w:type="dxa" w:w="2520"/>
            <w:shd w:fill="F2F4F8" w:val="clear"/>
            <w:shd w:fill="FCE8E6" w:val="clear"/>
          </w:tcPr>
          <w:p>
            <w:r>
              <w:rPr>
                <w:rFonts w:ascii="Calibri" w:hAnsi="Calibri"/>
                <w:color w:val="333333"/>
                <w:sz w:val="18"/>
              </w:rPr>
              <w:t>-15.3%</w:t>
            </w:r>
          </w:p>
        </w:tc>
      </w:tr>
      <w:tr>
        <w:tc>
          <w:tcPr>
            <w:tcW w:type="dxa" w:w="2520"/>
          </w:tcPr>
          <w:p>
            <w:r>
              <w:rPr>
                <w:rFonts w:ascii="Calibri" w:hAnsi="Calibri"/>
                <w:color w:val="333333"/>
                <w:sz w:val="18"/>
              </w:rPr>
              <w:t>Interest paid (supplemental)</w:t>
            </w:r>
          </w:p>
        </w:tc>
        <w:tc>
          <w:tcPr>
            <w:tcW w:type="dxa" w:w="2520"/>
          </w:tcPr>
          <w:p>
            <w:r>
              <w:rPr>
                <w:rFonts w:ascii="Calibri" w:hAnsi="Calibri"/>
                <w:color w:val="333333"/>
                <w:sz w:val="18"/>
              </w:rPr>
              <w:t>$878.0M</w:t>
            </w:r>
          </w:p>
        </w:tc>
        <w:tc>
          <w:tcPr>
            <w:tcW w:type="dxa" w:w="2520"/>
          </w:tcPr>
          <w:p>
            <w:r>
              <w:rPr>
                <w:rFonts w:ascii="Calibri" w:hAnsi="Calibri"/>
                <w:color w:val="333333"/>
                <w:sz w:val="18"/>
              </w:rPr>
              <w:t>$896.0M</w:t>
            </w:r>
          </w:p>
        </w:tc>
        <w:tc>
          <w:tcPr>
            <w:tcW w:type="dxa" w:w="2520"/>
            <w:shd w:fill="FFF3CD" w:val="clear"/>
          </w:tcPr>
          <w:p>
            <w:r>
              <w:rPr>
                <w:rFonts w:ascii="Calibri" w:hAnsi="Calibri"/>
                <w:color w:val="333333"/>
                <w:sz w:val="18"/>
              </w:rPr>
              <w:t>2.0%</w:t>
            </w:r>
          </w:p>
        </w:tc>
      </w:tr>
      <w:tr>
        <w:tc>
          <w:tcPr>
            <w:tcW w:type="dxa" w:w="2520"/>
            <w:shd w:fill="F2F4F8" w:val="clear"/>
          </w:tcPr>
          <w:p>
            <w:r>
              <w:rPr>
                <w:rFonts w:ascii="Calibri" w:hAnsi="Calibri"/>
                <w:color w:val="333333"/>
                <w:sz w:val="18"/>
              </w:rPr>
              <w:t>Income taxes paid (supplemental)</w:t>
            </w:r>
          </w:p>
        </w:tc>
        <w:tc>
          <w:tcPr>
            <w:tcW w:type="dxa" w:w="2520"/>
            <w:shd w:fill="F2F4F8" w:val="clear"/>
          </w:tcPr>
          <w:p>
            <w:r>
              <w:rPr>
                <w:rFonts w:ascii="Calibri" w:hAnsi="Calibri"/>
                <w:color w:val="333333"/>
                <w:sz w:val="18"/>
              </w:rPr>
              <w:t>$4.4B</w:t>
            </w:r>
          </w:p>
        </w:tc>
        <w:tc>
          <w:tcPr>
            <w:tcW w:type="dxa" w:w="2520"/>
            <w:shd w:fill="F2F4F8" w:val="clear"/>
          </w:tcPr>
          <w:p>
            <w:r>
              <w:rPr>
                <w:rFonts w:ascii="Calibri" w:hAnsi="Calibri"/>
                <w:color w:val="333333"/>
                <w:sz w:val="18"/>
              </w:rPr>
              <w:t>$4.6B</w:t>
            </w:r>
          </w:p>
        </w:tc>
        <w:tc>
          <w:tcPr>
            <w:tcW w:type="dxa" w:w="2520"/>
            <w:shd w:fill="F2F4F8" w:val="clear"/>
            <w:shd w:fill="FFF3CD" w:val="clear"/>
          </w:tcPr>
          <w:p>
            <w:r>
              <w:rPr>
                <w:rFonts w:ascii="Calibri" w:hAnsi="Calibri"/>
                <w:color w:val="333333"/>
                <w:sz w:val="18"/>
              </w:rPr>
              <w:t>4.4%</w:t>
            </w:r>
          </w:p>
        </w:tc>
      </w:tr>
      <w:tr>
        <w:tc>
          <w:tcPr>
            <w:tcW w:type="dxa" w:w="2520"/>
          </w:tcPr>
          <w:p>
            <w:r>
              <w:rPr>
                <w:rFonts w:ascii="Calibri" w:hAnsi="Calibri"/>
                <w:color w:val="333333"/>
                <w:sz w:val="18"/>
              </w:rPr>
              <w:t>Stock-based compensation (cash flow adjustment)</w:t>
            </w:r>
          </w:p>
        </w:tc>
        <w:tc>
          <w:tcPr>
            <w:tcW w:type="dxa" w:w="2520"/>
          </w:tcPr>
          <w:p>
            <w:r>
              <w:rPr>
                <w:rFonts w:ascii="Calibri" w:hAnsi="Calibri"/>
                <w:color w:val="333333"/>
                <w:sz w:val="18"/>
              </w:rPr>
              <w:t>$562.0M</w:t>
            </w:r>
          </w:p>
        </w:tc>
        <w:tc>
          <w:tcPr>
            <w:tcW w:type="dxa" w:w="2520"/>
          </w:tcPr>
          <w:p>
            <w:r>
              <w:rPr>
                <w:rFonts w:ascii="Calibri" w:hAnsi="Calibri"/>
                <w:color w:val="333333"/>
                <w:sz w:val="18"/>
              </w:rPr>
              <w:t>$476.0M</w:t>
            </w:r>
          </w:p>
        </w:tc>
        <w:tc>
          <w:tcPr>
            <w:tcW w:type="dxa" w:w="2520"/>
            <w:shd w:fill="FCE8E6" w:val="clear"/>
          </w:tcPr>
          <w:p>
            <w:r>
              <w:rPr>
                <w:rFonts w:ascii="Calibri" w:hAnsi="Calibri"/>
                <w:color w:val="333333"/>
                <w:sz w:val="18"/>
              </w:rPr>
              <w:t>-15.3%</w:t>
            </w:r>
          </w:p>
        </w:tc>
      </w:tr>
      <w:tr>
        <w:tc>
          <w:tcPr>
            <w:tcW w:type="dxa" w:w="2520"/>
            <w:shd w:fill="F2F4F8" w:val="clear"/>
          </w:tcPr>
          <w:p>
            <w:r>
              <w:rPr>
                <w:rFonts w:ascii="Calibri" w:hAnsi="Calibri"/>
                <w:color w:val="333333"/>
                <w:sz w:val="18"/>
              </w:rPr>
              <w:t>Changes in operating working capital</w:t>
            </w:r>
          </w:p>
        </w:tc>
        <w:tc>
          <w:tcPr>
            <w:tcW w:type="dxa" w:w="2520"/>
            <w:shd w:fill="F2F4F8" w:val="clear"/>
          </w:tcPr>
          <w:p>
            <w:r>
              <w:rPr>
                <w:rFonts w:ascii="Calibri" w:hAnsi="Calibri"/>
                <w:color w:val="333333"/>
                <w:sz w:val="18"/>
              </w:rPr>
              <w:t>$1.8B</w:t>
            </w:r>
          </w:p>
        </w:tc>
        <w:tc>
          <w:tcPr>
            <w:tcW w:type="dxa" w:w="2520"/>
            <w:shd w:fill="F2F4F8" w:val="clear"/>
          </w:tcPr>
          <w:p>
            <w:r>
              <w:rPr>
                <w:rFonts w:ascii="Calibri" w:hAnsi="Calibri"/>
                <w:color w:val="333333"/>
                <w:sz w:val="18"/>
              </w:rPr>
              <w:t>N/A</w:t>
            </w:r>
          </w:p>
        </w:tc>
        <w:tc>
          <w:tcPr>
            <w:tcW w:type="dxa" w:w="2520"/>
            <w:shd w:fill="F2F4F8" w:val="clear"/>
          </w:tcPr>
          <w:p>
            <w:r>
              <w:rPr>
                <w:rFonts w:ascii="Calibri" w:hAnsi="Calibri"/>
                <w:color w:val="333333"/>
                <w:sz w:val="18"/>
              </w:rPr>
              <w:t>N/A</w:t>
            </w:r>
          </w:p>
        </w:tc>
      </w:tr>
      <w:tr>
        <w:tc>
          <w:tcPr>
            <w:tcW w:type="dxa" w:w="2520"/>
          </w:tcPr>
          <w:p>
            <w:r>
              <w:rPr>
                <w:rFonts w:ascii="Calibri" w:hAnsi="Calibri"/>
                <w:color w:val="333333"/>
                <w:sz w:val="18"/>
              </w:rPr>
              <w:t>Net increase/decrease in cash and equivalents</w:t>
            </w:r>
          </w:p>
        </w:tc>
        <w:tc>
          <w:tcPr>
            <w:tcW w:type="dxa" w:w="2520"/>
          </w:tcPr>
          <w:p>
            <w:r>
              <w:rPr>
                <w:rFonts w:ascii="Calibri" w:hAnsi="Calibri"/>
                <w:color w:val="333333"/>
                <w:sz w:val="18"/>
              </w:rPr>
              <w:t>$1.2B</w:t>
            </w:r>
          </w:p>
        </w:tc>
        <w:tc>
          <w:tcPr>
            <w:tcW w:type="dxa" w:w="2520"/>
          </w:tcPr>
          <w:p>
            <w:r>
              <w:rPr>
                <w:rFonts w:ascii="Calibri" w:hAnsi="Calibri"/>
                <w:color w:val="333333"/>
                <w:sz w:val="18"/>
              </w:rPr>
              <w:t>$75.0M</w:t>
            </w:r>
          </w:p>
        </w:tc>
        <w:tc>
          <w:tcPr>
            <w:tcW w:type="dxa" w:w="2520"/>
            <w:shd w:fill="FCE8E6" w:val="clear"/>
          </w:tcPr>
          <w:p>
            <w:r>
              <w:rPr>
                <w:rFonts w:ascii="Calibri" w:hAnsi="Calibri"/>
                <w:color w:val="333333"/>
                <w:sz w:val="18"/>
              </w:rPr>
              <w:t>-93.9%</w:t>
            </w:r>
          </w:p>
        </w:tc>
      </w:tr>
      <w:tr>
        <w:tc>
          <w:tcPr>
            <w:tcW w:type="dxa" w:w="2520"/>
            <w:shd w:fill="F2F4F8" w:val="clear"/>
          </w:tcPr>
          <w:p>
            <w:r>
              <w:rPr>
                <w:rFonts w:ascii="Calibri" w:hAnsi="Calibri"/>
                <w:color w:val="333333"/>
                <w:sz w:val="18"/>
              </w:rPr>
              <w:t>Deferred income taxes (cash flow adjustment)</w:t>
            </w:r>
          </w:p>
        </w:tc>
        <w:tc>
          <w:tcPr>
            <w:tcW w:type="dxa" w:w="2520"/>
            <w:shd w:fill="F2F4F8" w:val="clear"/>
          </w:tcPr>
          <w:p>
            <w:r>
              <w:rPr>
                <w:rFonts w:ascii="Calibri" w:hAnsi="Calibri"/>
                <w:color w:val="333333"/>
                <w:sz w:val="18"/>
              </w:rPr>
              <w:t>$-244.0M</w:t>
            </w:r>
          </w:p>
        </w:tc>
        <w:tc>
          <w:tcPr>
            <w:tcW w:type="dxa" w:w="2520"/>
            <w:shd w:fill="F2F4F8" w:val="clear"/>
          </w:tcPr>
          <w:p>
            <w:r>
              <w:rPr>
                <w:rFonts w:ascii="Calibri" w:hAnsi="Calibri"/>
                <w:color w:val="333333"/>
                <w:sz w:val="18"/>
              </w:rPr>
              <w:t>$149.0M</w:t>
            </w:r>
          </w:p>
        </w:tc>
        <w:tc>
          <w:tcPr>
            <w:tcW w:type="dxa" w:w="2520"/>
            <w:shd w:fill="F2F4F8" w:val="clear"/>
            <w:shd w:fill="DCEEF8" w:val="clear"/>
          </w:tcPr>
          <w:p>
            <w:r>
              <w:rPr>
                <w:rFonts w:ascii="Calibri" w:hAnsi="Calibri"/>
                <w:color w:val="333333"/>
                <w:sz w:val="18"/>
              </w:rPr>
              <w:t>161.1%</w:t>
            </w:r>
          </w:p>
        </w:tc>
      </w:tr>
      <w:tr>
        <w:tc>
          <w:tcPr>
            <w:tcW w:type="dxa" w:w="2520"/>
          </w:tcPr>
          <w:p>
            <w:r>
              <w:rPr>
                <w:rFonts w:ascii="Calibri" w:hAnsi="Calibri"/>
                <w:color w:val="333333"/>
                <w:sz w:val="18"/>
              </w:rPr>
              <w:t>Change in accounts receivable</w:t>
            </w:r>
          </w:p>
        </w:tc>
        <w:tc>
          <w:tcPr>
            <w:tcW w:type="dxa" w:w="2520"/>
          </w:tcPr>
          <w:p>
            <w:r>
              <w:rPr>
                <w:rFonts w:ascii="Calibri" w:hAnsi="Calibri"/>
                <w:color w:val="333333"/>
                <w:sz w:val="18"/>
              </w:rPr>
              <w:t>$766.0M</w:t>
            </w:r>
          </w:p>
        </w:tc>
        <w:tc>
          <w:tcPr>
            <w:tcW w:type="dxa" w:w="2520"/>
          </w:tcPr>
          <w:p>
            <w:r>
              <w:rPr>
                <w:rFonts w:ascii="Calibri" w:hAnsi="Calibri"/>
                <w:color w:val="333333"/>
                <w:sz w:val="18"/>
              </w:rPr>
              <w:t>$-45.0M</w:t>
            </w:r>
          </w:p>
        </w:tc>
        <w:tc>
          <w:tcPr>
            <w:tcW w:type="dxa" w:w="2520"/>
            <w:shd w:fill="FCE8E6" w:val="clear"/>
          </w:tcPr>
          <w:p>
            <w:r>
              <w:rPr>
                <w:rFonts w:ascii="Calibri" w:hAnsi="Calibri"/>
                <w:color w:val="333333"/>
                <w:sz w:val="18"/>
              </w:rPr>
              <w:t>-105.9%</w:t>
            </w:r>
          </w:p>
        </w:tc>
      </w:tr>
      <w:tr>
        <w:tc>
          <w:tcPr>
            <w:tcW w:type="dxa" w:w="2520"/>
            <w:shd w:fill="F2F4F8" w:val="clear"/>
          </w:tcPr>
          <w:p>
            <w:r>
              <w:rPr>
                <w:rFonts w:ascii="Calibri" w:hAnsi="Calibri"/>
                <w:color w:val="333333"/>
                <w:sz w:val="18"/>
              </w:rPr>
              <w:t>Change in inventory</w:t>
            </w:r>
          </w:p>
        </w:tc>
        <w:tc>
          <w:tcPr>
            <w:tcW w:type="dxa" w:w="2520"/>
            <w:shd w:fill="F2F4F8" w:val="clear"/>
          </w:tcPr>
          <w:p>
            <w:r>
              <w:rPr>
                <w:rFonts w:ascii="Calibri" w:hAnsi="Calibri"/>
                <w:color w:val="333333"/>
                <w:sz w:val="18"/>
              </w:rPr>
              <w:t>$70.0M</w:t>
            </w:r>
          </w:p>
        </w:tc>
        <w:tc>
          <w:tcPr>
            <w:tcW w:type="dxa" w:w="2520"/>
            <w:shd w:fill="F2F4F8" w:val="clear"/>
          </w:tcPr>
          <w:p>
            <w:r>
              <w:rPr>
                <w:rFonts w:ascii="Calibri" w:hAnsi="Calibri"/>
                <w:color w:val="333333"/>
                <w:sz w:val="18"/>
              </w:rPr>
              <w:t>$324.0M</w:t>
            </w:r>
          </w:p>
        </w:tc>
        <w:tc>
          <w:tcPr>
            <w:tcW w:type="dxa" w:w="2520"/>
            <w:shd w:fill="F2F4F8" w:val="clear"/>
            <w:shd w:fill="DCEEF8" w:val="clear"/>
          </w:tcPr>
          <w:p>
            <w:r>
              <w:rPr>
                <w:rFonts w:ascii="Calibri" w:hAnsi="Calibri"/>
                <w:color w:val="333333"/>
                <w:sz w:val="18"/>
              </w:rPr>
              <w:t>362.9%</w:t>
            </w:r>
          </w:p>
        </w:tc>
      </w:tr>
      <w:tr>
        <w:tc>
          <w:tcPr>
            <w:tcW w:type="dxa" w:w="2520"/>
          </w:tcPr>
          <w:p>
            <w:r>
              <w:rPr>
                <w:rFonts w:ascii="Calibri" w:hAnsi="Calibri"/>
                <w:color w:val="333333"/>
                <w:sz w:val="18"/>
              </w:rPr>
              <w:t>Change in accounts payable</w:t>
            </w:r>
          </w:p>
        </w:tc>
        <w:tc>
          <w:tcPr>
            <w:tcW w:type="dxa" w:w="2520"/>
          </w:tcPr>
          <w:p>
            <w:r>
              <w:rPr>
                <w:rFonts w:ascii="Calibri" w:hAnsi="Calibri"/>
                <w:color w:val="333333"/>
                <w:sz w:val="18"/>
              </w:rPr>
              <w:t>N/A</w:t>
            </w:r>
          </w:p>
        </w:tc>
        <w:tc>
          <w:tcPr>
            <w:tcW w:type="dxa" w:w="2520"/>
          </w:tcPr>
          <w:p>
            <w:r>
              <w:rPr>
                <w:rFonts w:ascii="Calibri" w:hAnsi="Calibri"/>
                <w:color w:val="333333"/>
                <w:sz w:val="18"/>
              </w:rPr>
              <w:t>$-542.0M</w:t>
            </w:r>
          </w:p>
        </w:tc>
        <w:tc>
          <w:tcPr>
            <w:tcW w:type="dxa" w:w="2520"/>
          </w:tcPr>
          <w:p>
            <w:r>
              <w:rPr>
                <w:rFonts w:ascii="Calibri" w:hAnsi="Calibri"/>
                <w:color w:val="333333"/>
                <w:sz w:val="18"/>
              </w:rPr>
              <w:t>N/A</w:t>
            </w:r>
          </w:p>
        </w:tc>
      </w:tr>
      <w:tr>
        <w:tc>
          <w:tcPr>
            <w:tcW w:type="dxa" w:w="2520"/>
            <w:shd w:fill="F2F4F8" w:val="clear"/>
          </w:tcPr>
          <w:p>
            <w:r>
              <w:rPr>
                <w:rFonts w:ascii="Calibri" w:hAnsi="Calibri"/>
                <w:color w:val="333333"/>
                <w:sz w:val="18"/>
              </w:rPr>
              <w:t>Amortization of intangible assets</w:t>
            </w:r>
          </w:p>
        </w:tc>
        <w:tc>
          <w:tcPr>
            <w:tcW w:type="dxa" w:w="2520"/>
            <w:shd w:fill="F2F4F8" w:val="clear"/>
          </w:tcPr>
          <w:p>
            <w:r>
              <w:rPr>
                <w:rFonts w:ascii="Calibri" w:hAnsi="Calibri"/>
                <w:color w:val="333333"/>
                <w:sz w:val="18"/>
              </w:rPr>
              <w:t>$338.0M</w:t>
            </w:r>
          </w:p>
        </w:tc>
        <w:tc>
          <w:tcPr>
            <w:tcW w:type="dxa" w:w="2520"/>
            <w:shd w:fill="F2F4F8" w:val="clear"/>
          </w:tcPr>
          <w:p>
            <w:r>
              <w:rPr>
                <w:rFonts w:ascii="Calibri" w:hAnsi="Calibri"/>
                <w:color w:val="333333"/>
                <w:sz w:val="18"/>
              </w:rPr>
              <w:t>$320.0M</w:t>
            </w:r>
          </w:p>
        </w:tc>
        <w:tc>
          <w:tcPr>
            <w:tcW w:type="dxa" w:w="2520"/>
            <w:shd w:fill="F2F4F8" w:val="clear"/>
            <w:shd w:fill="FFF3CD" w:val="clear"/>
          </w:tcPr>
          <w:p>
            <w:r>
              <w:rPr>
                <w:rFonts w:ascii="Calibri" w:hAnsi="Calibri"/>
                <w:color w:val="333333"/>
                <w:sz w:val="18"/>
              </w:rPr>
              <w:t>-5.3%</w:t>
            </w:r>
          </w:p>
        </w:tc>
      </w:tr>
      <w:tr>
        <w:tc>
          <w:tcPr>
            <w:tcW w:type="dxa" w:w="2520"/>
          </w:tcPr>
          <w:p>
            <w:r>
              <w:rPr>
                <w:rFonts w:ascii="Calibri" w:hAnsi="Calibri"/>
                <w:color w:val="333333"/>
                <w:sz w:val="18"/>
              </w:rPr>
              <w:t>Effect of exchange rate changes on cash</w:t>
            </w:r>
          </w:p>
        </w:tc>
        <w:tc>
          <w:tcPr>
            <w:tcW w:type="dxa" w:w="2520"/>
          </w:tcPr>
          <w:p>
            <w:r>
              <w:rPr>
                <w:rFonts w:ascii="Calibri" w:hAnsi="Calibri"/>
                <w:color w:val="333333"/>
                <w:sz w:val="18"/>
              </w:rPr>
              <w:t>$-251.0M</w:t>
            </w:r>
          </w:p>
        </w:tc>
        <w:tc>
          <w:tcPr>
            <w:tcW w:type="dxa" w:w="2520"/>
          </w:tcPr>
          <w:p>
            <w:r>
              <w:rPr>
                <w:rFonts w:ascii="Calibri" w:hAnsi="Calibri"/>
                <w:color w:val="333333"/>
                <w:sz w:val="18"/>
              </w:rPr>
              <w:t>$112.0M</w:t>
            </w:r>
          </w:p>
        </w:tc>
        <w:tc>
          <w:tcPr>
            <w:tcW w:type="dxa" w:w="2520"/>
            <w:shd w:fill="DCEEF8" w:val="clear"/>
          </w:tcPr>
          <w:p>
            <w:r>
              <w:rPr>
                <w:rFonts w:ascii="Calibri" w:hAnsi="Calibri"/>
                <w:color w:val="333333"/>
                <w:sz w:val="18"/>
              </w:rPr>
              <w:t>144.6%</w:t>
            </w:r>
          </w:p>
        </w:tc>
      </w:tr>
      <w:tr>
        <w:tc>
          <w:tcPr>
            <w:tcW w:type="dxa" w:w="2520"/>
            <w:shd w:fill="F2F4F8" w:val="clear"/>
          </w:tcPr>
          <w:p>
            <w:r>
              <w:rPr>
                <w:rFonts w:ascii="Calibri" w:hAnsi="Calibri"/>
                <w:color w:val="333333"/>
                <w:sz w:val="18"/>
              </w:rPr>
              <w:t>Free cash flow</w:t>
            </w:r>
          </w:p>
        </w:tc>
        <w:tc>
          <w:tcPr>
            <w:tcW w:type="dxa" w:w="2520"/>
            <w:shd w:fill="F2F4F8" w:val="clear"/>
          </w:tcPr>
          <w:p>
            <w:r>
              <w:rPr>
                <w:rFonts w:ascii="Calibri" w:hAnsi="Calibri"/>
                <w:color w:val="333333"/>
                <w:sz w:val="18"/>
              </w:rPr>
              <w:t>$16.5B</w:t>
            </w:r>
          </w:p>
        </w:tc>
        <w:tc>
          <w:tcPr>
            <w:tcW w:type="dxa" w:w="2520"/>
            <w:shd w:fill="F2F4F8" w:val="clear"/>
          </w:tcPr>
          <w:p>
            <w:r>
              <w:rPr>
                <w:rFonts w:ascii="Calibri" w:hAnsi="Calibri"/>
                <w:color w:val="333333"/>
                <w:sz w:val="18"/>
              </w:rPr>
              <w:t>$14.0B</w:t>
            </w:r>
          </w:p>
        </w:tc>
        <w:tc>
          <w:tcPr>
            <w:tcW w:type="dxa" w:w="2520"/>
            <w:shd w:fill="F2F4F8" w:val="clear"/>
            <w:shd w:fill="FCE8E6" w:val="clear"/>
          </w:tcPr>
          <w:p>
            <w:r>
              <w:rPr>
                <w:rFonts w:ascii="Calibri" w:hAnsi="Calibri"/>
                <w:color w:val="333333"/>
                <w:sz w:val="18"/>
              </w:rPr>
              <w:t>-15.0%</w:t>
            </w:r>
          </w:p>
        </w:tc>
      </w:tr>
      <w:tr>
        <w:tc>
          <w:tcPr>
            <w:tcW w:type="dxa" w:w="2520"/>
          </w:tcPr>
          <w:p>
            <w:r>
              <w:rPr>
                <w:rFonts w:ascii="Calibri" w:hAnsi="Calibri"/>
                <w:color w:val="333333"/>
                <w:sz w:val="18"/>
              </w:rPr>
              <w:t>FCF-to-revenue ratio</w:t>
            </w:r>
          </w:p>
        </w:tc>
        <w:tc>
          <w:tcPr>
            <w:tcW w:type="dxa" w:w="2520"/>
          </w:tcPr>
          <w:p>
            <w:r>
              <w:rPr>
                <w:rFonts w:ascii="Calibri" w:hAnsi="Calibri"/>
                <w:color w:val="333333"/>
                <w:sz w:val="18"/>
              </w:rPr>
              <w:t>$20</w:t>
            </w:r>
          </w:p>
        </w:tc>
        <w:tc>
          <w:tcPr>
            <w:tcW w:type="dxa" w:w="2520"/>
          </w:tcPr>
          <w:p>
            <w:r>
              <w:rPr>
                <w:rFonts w:ascii="Calibri" w:hAnsi="Calibri"/>
                <w:color w:val="333333"/>
                <w:sz w:val="18"/>
              </w:rPr>
              <w:t>$17</w:t>
            </w:r>
          </w:p>
        </w:tc>
        <w:tc>
          <w:tcPr>
            <w:tcW w:type="dxa" w:w="2520"/>
            <w:shd w:fill="FCE8E6" w:val="clear"/>
          </w:tcPr>
          <w:p>
            <w:r>
              <w:rPr>
                <w:rFonts w:ascii="Calibri" w:hAnsi="Calibri"/>
                <w:color w:val="333333"/>
                <w:sz w:val="18"/>
              </w:rPr>
              <w:t>-15.3%</w:t>
            </w:r>
          </w:p>
        </w:tc>
      </w:tr>
      <w:tr>
        <w:tc>
          <w:tcPr>
            <w:tcW w:type="dxa" w:w="2520"/>
            <w:shd w:fill="F2F4F8" w:val="clear"/>
          </w:tcPr>
          <w:p>
            <w:r>
              <w:rPr>
                <w:rFonts w:ascii="Calibri" w:hAnsi="Calibri"/>
                <w:color w:val="333333"/>
                <w:sz w:val="18"/>
              </w:rPr>
              <w:t>Capex-to-revenue ratio</w:t>
            </w:r>
          </w:p>
        </w:tc>
        <w:tc>
          <w:tcPr>
            <w:tcW w:type="dxa" w:w="2520"/>
            <w:shd w:fill="F2F4F8" w:val="clear"/>
          </w:tcPr>
          <w:p>
            <w:r>
              <w:rPr>
                <w:rFonts w:ascii="Calibri" w:hAnsi="Calibri"/>
                <w:color w:val="333333"/>
                <w:sz w:val="18"/>
              </w:rPr>
              <w:t>$4</w:t>
            </w:r>
          </w:p>
        </w:tc>
        <w:tc>
          <w:tcPr>
            <w:tcW w:type="dxa" w:w="2520"/>
            <w:shd w:fill="F2F4F8" w:val="clear"/>
          </w:tcPr>
          <w:p>
            <w:r>
              <w:rPr>
                <w:rFonts w:ascii="Calibri" w:hAnsi="Calibri"/>
                <w:color w:val="333333"/>
                <w:sz w:val="18"/>
              </w:rPr>
              <w:t>$4</w:t>
            </w:r>
          </w:p>
        </w:tc>
        <w:tc>
          <w:tcPr>
            <w:tcW w:type="dxa" w:w="2520"/>
            <w:shd w:fill="F2F4F8" w:val="clear"/>
            <w:shd w:fill="DCEEF8" w:val="clear"/>
          </w:tcPr>
          <w:p>
            <w:r>
              <w:rPr>
                <w:rFonts w:ascii="Calibri" w:hAnsi="Calibri"/>
                <w:color w:val="333333"/>
                <w:sz w:val="18"/>
              </w:rPr>
              <w:t>13.4%</w:t>
            </w:r>
          </w:p>
        </w:tc>
      </w:tr>
      <w:tr>
        <w:tc>
          <w:tcPr>
            <w:tcW w:type="dxa" w:w="2520"/>
          </w:tcPr>
          <w:p>
            <w:r>
              <w:rPr>
                <w:rFonts w:ascii="Calibri" w:hAnsi="Calibri"/>
                <w:color w:val="333333"/>
                <w:sz w:val="18"/>
              </w:rPr>
              <w:t>Capex-to-depreciation ratio</w:t>
            </w:r>
          </w:p>
        </w:tc>
        <w:tc>
          <w:tcPr>
            <w:tcW w:type="dxa" w:w="2520"/>
          </w:tcPr>
          <w:p>
            <w:r>
              <w:rPr>
                <w:rFonts w:ascii="Calibri" w:hAnsi="Calibri"/>
                <w:color w:val="333333"/>
                <w:sz w:val="18"/>
              </w:rPr>
              <w:t>$1</w:t>
            </w:r>
          </w:p>
        </w:tc>
        <w:tc>
          <w:tcPr>
            <w:tcW w:type="dxa" w:w="2520"/>
          </w:tcPr>
          <w:p>
            <w:r>
              <w:rPr>
                <w:rFonts w:ascii="Calibri" w:hAnsi="Calibri"/>
                <w:color w:val="333333"/>
                <w:sz w:val="18"/>
              </w:rPr>
              <w:t>$1</w:t>
            </w:r>
          </w:p>
        </w:tc>
        <w:tc>
          <w:tcPr>
            <w:tcW w:type="dxa" w:w="2520"/>
            <w:shd w:fill="DCEEF8" w:val="clear"/>
          </w:tcPr>
          <w:p>
            <w:r>
              <w:rPr>
                <w:rFonts w:ascii="Calibri" w:hAnsi="Calibri"/>
                <w:color w:val="333333"/>
                <w:sz w:val="18"/>
              </w:rPr>
              <w:t>15.5%</w:t>
            </w:r>
          </w:p>
        </w:tc>
      </w:tr>
      <w:tr>
        <w:tc>
          <w:tcPr>
            <w:tcW w:type="dxa" w:w="2520"/>
            <w:shd w:fill="F2F4F8" w:val="clear"/>
          </w:tcPr>
          <w:p>
            <w:r>
              <w:rPr>
                <w:rFonts w:ascii="Calibri" w:hAnsi="Calibri"/>
                <w:color w:val="333333"/>
                <w:sz w:val="18"/>
              </w:rPr>
              <w:t>Dividend payout ratio</w:t>
            </w:r>
          </w:p>
        </w:tc>
        <w:tc>
          <w:tcPr>
            <w:tcW w:type="dxa" w:w="2520"/>
            <w:shd w:fill="F2F4F8" w:val="clear"/>
          </w:tcPr>
          <w:p>
            <w:r>
              <w:rPr>
                <w:rFonts w:ascii="Calibri" w:hAnsi="Calibri"/>
                <w:color w:val="333333"/>
                <w:sz w:val="18"/>
              </w:rPr>
              <w:t>$63</w:t>
            </w:r>
          </w:p>
        </w:tc>
        <w:tc>
          <w:tcPr>
            <w:tcW w:type="dxa" w:w="2520"/>
            <w:shd w:fill="F2F4F8" w:val="clear"/>
          </w:tcPr>
          <w:p>
            <w:r>
              <w:rPr>
                <w:rFonts w:ascii="Calibri" w:hAnsi="Calibri"/>
                <w:color w:val="333333"/>
                <w:sz w:val="18"/>
              </w:rPr>
              <w:t>$62</w:t>
            </w:r>
          </w:p>
        </w:tc>
        <w:tc>
          <w:tcPr>
            <w:tcW w:type="dxa" w:w="2520"/>
            <w:shd w:fill="F2F4F8" w:val="clear"/>
            <w:shd w:fill="FFF3CD" w:val="clear"/>
          </w:tcPr>
          <w:p>
            <w:r>
              <w:rPr>
                <w:rFonts w:ascii="Calibri" w:hAnsi="Calibri"/>
                <w:color w:val="333333"/>
                <w:sz w:val="18"/>
              </w:rPr>
              <w:t>-1.2%</w:t>
            </w:r>
          </w:p>
        </w:tc>
      </w:tr>
      <w:tr>
        <w:tc>
          <w:tcPr>
            <w:tcW w:type="dxa" w:w="2520"/>
          </w:tcPr>
          <w:p>
            <w:r>
              <w:rPr>
                <w:rFonts w:ascii="Calibri" w:hAnsi="Calibri"/>
                <w:color w:val="333333"/>
                <w:sz w:val="18"/>
              </w:rPr>
              <w:t>Free cash flow per share</w:t>
            </w:r>
          </w:p>
        </w:tc>
        <w:tc>
          <w:tcPr>
            <w:tcW w:type="dxa" w:w="2520"/>
          </w:tcPr>
          <w:p>
            <w:r>
              <w:rPr>
                <w:rFonts w:ascii="Calibri" w:hAnsi="Calibri"/>
                <w:color w:val="333333"/>
                <w:sz w:val="18"/>
              </w:rPr>
              <w:t>$4.12</w:t>
            </w:r>
          </w:p>
        </w:tc>
        <w:tc>
          <w:tcPr>
            <w:tcW w:type="dxa" w:w="2520"/>
          </w:tcPr>
          <w:p>
            <w:r>
              <w:rPr>
                <w:rFonts w:ascii="Calibri" w:hAnsi="Calibri"/>
                <w:color w:val="333333"/>
                <w:sz w:val="18"/>
              </w:rPr>
              <w:t>$3.50</w:t>
            </w:r>
          </w:p>
        </w:tc>
        <w:tc>
          <w:tcPr>
            <w:tcW w:type="dxa" w:w="2520"/>
            <w:shd w:fill="FCE8E6" w:val="clear"/>
          </w:tcPr>
          <w:p>
            <w:r>
              <w:rPr>
                <w:rFonts w:ascii="Calibri" w:hAnsi="Calibri"/>
                <w:color w:val="333333"/>
                <w:sz w:val="18"/>
              </w:rPr>
              <w:t>-15.0%</w:t>
            </w:r>
          </w:p>
        </w:tc>
      </w:tr>
    </w:tbl>
    <w:p>
      <w:pPr>
        <w:pStyle w:val="DOHeading3"/>
      </w:pPr>
      <w:r>
        <w:t>Key Ratios: Company vs. Peers</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Ratio</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Interest Coverage</w:t>
            </w:r>
          </w:p>
        </w:tc>
        <w:tc>
          <w:tcPr>
            <w:tcW w:type="dxa" w:w="5040"/>
          </w:tcPr>
          <w:p>
            <w:r>
              <w:rPr>
                <w:rFonts w:ascii="Calibri" w:hAnsi="Calibri"/>
                <w:color w:val="333333"/>
                <w:sz w:val="18"/>
              </w:rPr>
              <w:t>22.8x</w:t>
            </w:r>
          </w:p>
        </w:tc>
      </w:tr>
    </w:tbl>
    <w:p>
      <w:pPr>
        <w:pStyle w:val="DOHeading2"/>
      </w:pPr>
      <w:r>
        <w:t>Distress Indicators</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1A1446" w:val="clear"/>
          </w:tcPr>
          <w:p>
            <w:r>
              <w:rPr>
                <w:rFonts w:ascii="Calibri" w:hAnsi="Calibri"/>
                <w:b/>
                <w:color w:val="FFFFFF"/>
                <w:sz w:val="18"/>
              </w:rPr>
              <w:t>Model</w:t>
            </w:r>
          </w:p>
        </w:tc>
        <w:tc>
          <w:tcPr>
            <w:tcW w:type="dxa" w:w="2016"/>
            <w:shd w:fill="1A1446" w:val="clear"/>
          </w:tcPr>
          <w:p>
            <w:r>
              <w:rPr>
                <w:rFonts w:ascii="Calibri" w:hAnsi="Calibri"/>
                <w:b/>
                <w:color w:val="FFFFFF"/>
                <w:sz w:val="18"/>
              </w:rPr>
              <w:t>Score</w:t>
            </w:r>
          </w:p>
        </w:tc>
        <w:tc>
          <w:tcPr>
            <w:tcW w:type="dxa" w:w="2016"/>
            <w:shd w:fill="1A1446" w:val="clear"/>
          </w:tcPr>
          <w:p>
            <w:r>
              <w:rPr>
                <w:rFonts w:ascii="Calibri" w:hAnsi="Calibri"/>
                <w:b/>
                <w:color w:val="FFFFFF"/>
                <w:sz w:val="18"/>
              </w:rPr>
              <w:t>Zone</w:t>
            </w:r>
          </w:p>
        </w:tc>
        <w:tc>
          <w:tcPr>
            <w:tcW w:type="dxa" w:w="2016"/>
            <w:shd w:fill="1A1446" w:val="clear"/>
          </w:tcPr>
          <w:p>
            <w:r>
              <w:rPr>
                <w:rFonts w:ascii="Calibri" w:hAnsi="Calibri"/>
                <w:b/>
                <w:color w:val="FFFFFF"/>
                <w:sz w:val="18"/>
              </w:rPr>
              <w:t>Trajectory</w:t>
            </w:r>
          </w:p>
        </w:tc>
        <w:tc>
          <w:tcPr>
            <w:tcW w:type="dxa" w:w="2016"/>
            <w:shd w:fill="1A1446" w:val="clear"/>
          </w:tcPr>
          <w:p>
            <w:r>
              <w:rPr>
                <w:rFonts w:ascii="Calibri" w:hAnsi="Calibri"/>
                <w:b/>
                <w:color w:val="FFFFFF"/>
                <w:sz w:val="18"/>
              </w:rPr>
              <w:t>D&amp;O Context</w:t>
            </w:r>
          </w:p>
        </w:tc>
      </w:tr>
      <w:tr>
        <w:tc>
          <w:tcPr>
            <w:tcW w:type="dxa" w:w="2016"/>
          </w:tcPr>
          <w:p>
            <w:r>
              <w:rPr>
                <w:rFonts w:ascii="Calibri" w:hAnsi="Calibri"/>
                <w:color w:val="333333"/>
                <w:sz w:val="18"/>
              </w:rPr>
              <w:t>Altman Z-Score</w:t>
            </w:r>
          </w:p>
        </w:tc>
        <w:tc>
          <w:tcPr>
            <w:tcW w:type="dxa" w:w="2016"/>
          </w:tcPr>
          <w:p>
            <w:r>
              <w:rPr>
                <w:rFonts w:ascii="Calibri" w:hAnsi="Calibri"/>
                <w:color w:val="333333"/>
                <w:sz w:val="18"/>
              </w:rPr>
              <w:t>5.32</w:t>
            </w:r>
          </w:p>
        </w:tc>
        <w:tc>
          <w:tcPr>
            <w:tcW w:type="dxa" w:w="2016"/>
            <w:shd w:fill="DCEEF8" w:val="clear"/>
          </w:tcPr>
          <w:p>
            <w:r>
              <w:rPr>
                <w:rFonts w:ascii="Calibri" w:hAnsi="Calibri"/>
                <w:color w:val="333333"/>
                <w:sz w:val="18"/>
              </w:rPr>
              <w:t>Safe</w:t>
            </w:r>
          </w:p>
        </w:tc>
        <w:tc>
          <w:tcPr>
            <w:tcW w:type="dxa" w:w="2016"/>
          </w:tcPr>
          <w:p>
            <w:r>
              <w:rPr>
                <w:rFonts w:ascii="Calibri" w:hAnsi="Calibri"/>
                <w:color w:val="333333"/>
                <w:sz w:val="18"/>
              </w:rPr>
              <w:t>FY2024: 5.3 -&gt; FY2025: 5.3 (stable)</w:t>
            </w:r>
          </w:p>
        </w:tc>
        <w:tc>
          <w:tcPr>
            <w:tcW w:type="dxa" w:w="2016"/>
          </w:tcPr>
          <w:p>
            <w:r>
              <w:rPr>
                <w:rFonts w:ascii="Calibri" w:hAnsi="Calibri"/>
                <w:color w:val="333333"/>
                <w:sz w:val="18"/>
              </w:rPr>
              <w:t>Bankruptcy predictor. Distress zone companies face fiduciary duty scrutiny under Revlon/zone of insolvency doctrine.</w:t>
            </w:r>
          </w:p>
        </w:tc>
      </w:tr>
      <w:tr>
        <w:tc>
          <w:tcPr>
            <w:tcW w:type="dxa" w:w="2016"/>
            <w:shd w:fill="F2F4F8" w:val="clear"/>
          </w:tcPr>
          <w:p>
            <w:r>
              <w:rPr>
                <w:rFonts w:ascii="Calibri" w:hAnsi="Calibri"/>
                <w:color w:val="333333"/>
                <w:sz w:val="18"/>
              </w:rPr>
              <w:t>Beneish M-Score</w:t>
            </w:r>
          </w:p>
        </w:tc>
        <w:tc>
          <w:tcPr>
            <w:tcW w:type="dxa" w:w="2016"/>
            <w:shd w:fill="F2F4F8" w:val="clear"/>
          </w:tcPr>
          <w:p>
            <w:r>
              <w:rPr>
                <w:rFonts w:ascii="Calibri" w:hAnsi="Calibri"/>
                <w:color w:val="333333"/>
                <w:sz w:val="18"/>
              </w:rPr>
              <w:t>-3.06</w:t>
            </w:r>
          </w:p>
        </w:tc>
        <w:tc>
          <w:tcPr>
            <w:tcW w:type="dxa" w:w="2016"/>
            <w:shd w:fill="F2F4F8" w:val="clear"/>
            <w:shd w:fill="DCEEF8" w:val="clear"/>
          </w:tcPr>
          <w:p>
            <w:r>
              <w:rPr>
                <w:rFonts w:ascii="Calibri" w:hAnsi="Calibri"/>
                <w:color w:val="333333"/>
                <w:sz w:val="18"/>
              </w:rPr>
              <w:t>Safe</w:t>
            </w:r>
          </w:p>
        </w:tc>
        <w:tc>
          <w:tcPr>
            <w:tcW w:type="dxa" w:w="2016"/>
            <w:shd w:fill="F2F4F8" w:val="clear"/>
          </w:tcPr>
          <w:p>
            <w:r>
              <w:rPr>
                <w:rFonts w:ascii="Calibri" w:hAnsi="Calibri"/>
                <w:color w:val="333333"/>
                <w:sz w:val="18"/>
              </w:rPr>
              <w:t>N/A</w:t>
            </w:r>
          </w:p>
        </w:tc>
        <w:tc>
          <w:tcPr>
            <w:tcW w:type="dxa" w:w="2016"/>
            <w:shd w:fill="F2F4F8" w:val="clear"/>
          </w:tcPr>
          <w:p>
            <w:r>
              <w:rPr>
                <w:rFonts w:ascii="Calibri" w:hAnsi="Calibri"/>
                <w:color w:val="333333"/>
                <w:sz w:val="18"/>
              </w:rPr>
              <w:t>Earnings manipulation detector. Scores above -1.78 indicate elevated restatement risk, a primary SCA catalyst.</w:t>
            </w:r>
          </w:p>
        </w:tc>
      </w:tr>
      <w:tr>
        <w:tc>
          <w:tcPr>
            <w:tcW w:type="dxa" w:w="2016"/>
          </w:tcPr>
          <w:p>
            <w:r>
              <w:rPr>
                <w:rFonts w:ascii="Calibri" w:hAnsi="Calibri"/>
                <w:color w:val="333333"/>
                <w:sz w:val="18"/>
              </w:rPr>
              <w:t>Ohlson O-Score</w:t>
            </w:r>
          </w:p>
        </w:tc>
        <w:tc>
          <w:tcPr>
            <w:tcW w:type="dxa" w:w="2016"/>
          </w:tcPr>
          <w:p>
            <w:r>
              <w:rPr>
                <w:rFonts w:ascii="Calibri" w:hAnsi="Calibri"/>
                <w:color w:val="333333"/>
                <w:sz w:val="18"/>
              </w:rPr>
              <w:t>0.00</w:t>
            </w:r>
          </w:p>
        </w:tc>
        <w:tc>
          <w:tcPr>
            <w:tcW w:type="dxa" w:w="2016"/>
            <w:shd w:fill="DCEEF8" w:val="clear"/>
          </w:tcPr>
          <w:p>
            <w:r>
              <w:rPr>
                <w:rFonts w:ascii="Calibri" w:hAnsi="Calibri"/>
                <w:color w:val="333333"/>
                <w:sz w:val="18"/>
              </w:rPr>
              <w:t>Safe</w:t>
            </w:r>
          </w:p>
        </w:tc>
        <w:tc>
          <w:tcPr>
            <w:tcW w:type="dxa" w:w="2016"/>
          </w:tcPr>
          <w:p>
            <w:r>
              <w:rPr>
                <w:rFonts w:ascii="Calibri" w:hAnsi="Calibri"/>
                <w:color w:val="333333"/>
                <w:sz w:val="18"/>
              </w:rPr>
              <w:t>N/A</w:t>
            </w:r>
          </w:p>
        </w:tc>
        <w:tc>
          <w:tcPr>
            <w:tcW w:type="dxa" w:w="2016"/>
          </w:tcPr>
          <w:p>
            <w:r>
              <w:rPr>
                <w:rFonts w:ascii="Calibri" w:hAnsi="Calibri"/>
                <w:color w:val="333333"/>
                <w:sz w:val="18"/>
              </w:rPr>
              <w:t>Bankruptcy probability model. Higher values signal financial stress that may limit litigation defense resources.</w:t>
            </w:r>
          </w:p>
        </w:tc>
      </w:tr>
      <w:tr>
        <w:tc>
          <w:tcPr>
            <w:tcW w:type="dxa" w:w="2016"/>
            <w:shd w:fill="F2F4F8" w:val="clear"/>
          </w:tcPr>
          <w:p>
            <w:r>
              <w:rPr>
                <w:rFonts w:ascii="Calibri" w:hAnsi="Calibri"/>
                <w:color w:val="333333"/>
                <w:sz w:val="18"/>
              </w:rPr>
              <w:t>Piotroski F-Score</w:t>
            </w:r>
          </w:p>
        </w:tc>
        <w:tc>
          <w:tcPr>
            <w:tcW w:type="dxa" w:w="2016"/>
            <w:shd w:fill="F2F4F8" w:val="clear"/>
          </w:tcPr>
          <w:p>
            <w:r>
              <w:rPr>
                <w:rFonts w:ascii="Calibri" w:hAnsi="Calibri"/>
                <w:color w:val="333333"/>
                <w:sz w:val="18"/>
              </w:rPr>
              <w:t>6.00</w:t>
            </w:r>
          </w:p>
        </w:tc>
        <w:tc>
          <w:tcPr>
            <w:tcW w:type="dxa" w:w="2016"/>
            <w:shd w:fill="F2F4F8" w:val="clear"/>
            <w:shd w:fill="FFF3CD" w:val="clear"/>
          </w:tcPr>
          <w:p>
            <w:r>
              <w:rPr>
                <w:rFonts w:ascii="Calibri" w:hAnsi="Calibri"/>
                <w:color w:val="333333"/>
                <w:sz w:val="18"/>
              </w:rPr>
              <w:t>Grey Zone</w:t>
            </w:r>
          </w:p>
        </w:tc>
        <w:tc>
          <w:tcPr>
            <w:tcW w:type="dxa" w:w="2016"/>
            <w:shd w:fill="F2F4F8" w:val="clear"/>
          </w:tcPr>
          <w:p>
            <w:r>
              <w:rPr>
                <w:rFonts w:ascii="Calibri" w:hAnsi="Calibri"/>
                <w:color w:val="333333"/>
                <w:sz w:val="18"/>
              </w:rPr>
              <w:t>6/9 criteria met</w:t>
            </w:r>
          </w:p>
        </w:tc>
        <w:tc>
          <w:tcPr>
            <w:tcW w:type="dxa" w:w="2016"/>
            <w:shd w:fill="F2F4F8" w:val="clear"/>
          </w:tcPr>
          <w:p>
            <w:r>
              <w:rPr>
                <w:rFonts w:ascii="Calibri" w:hAnsi="Calibri"/>
                <w:color w:val="333333"/>
                <w:sz w:val="18"/>
              </w:rPr>
              <w:t>Fundamental quality indicator. Scores 0-3 signal weak fundamentals; 7-9 indicate strong quality.</w:t>
            </w:r>
          </w:p>
        </w:tc>
      </w:tr>
    </w:tbl>
    <w:p>
      <w:pPr>
        <w:pStyle w:val="DOHeading2"/>
      </w:pPr>
      <w:r>
        <w:t>Earnings Quality</w:t>
      </w:r>
    </w:p>
    <w:tbl>
      <w:tblPr>
        <w:tblStyle w:val="TableGrid"/>
        <w:tblW w:type="auto" w:w="0"/>
        <w:tblLook w:firstColumn="1" w:firstRow="1" w:lastColumn="0" w:lastRow="0" w:noHBand="0" w:noVBand="1" w:val="04A0"/>
      </w:tblPr>
      <w:tblGrid>
        <w:gridCol w:w="3360"/>
        <w:gridCol w:w="3360"/>
        <w:gridCol w:w="3360"/>
      </w:tblGrid>
      <w:tr>
        <w:tc>
          <w:tcPr>
            <w:tcW w:type="dxa" w:w="3360"/>
            <w:shd w:fill="1A1446" w:val="clear"/>
          </w:tcPr>
          <w:p>
            <w:r>
              <w:rPr>
                <w:rFonts w:ascii="Calibri" w:hAnsi="Calibri"/>
                <w:b/>
                <w:color w:val="FFFFFF"/>
                <w:sz w:val="18"/>
              </w:rPr>
              <w:t>Metric</w:t>
            </w:r>
          </w:p>
        </w:tc>
        <w:tc>
          <w:tcPr>
            <w:tcW w:type="dxa" w:w="3360"/>
            <w:shd w:fill="1A1446" w:val="clear"/>
          </w:tcPr>
          <w:p>
            <w:r>
              <w:rPr>
                <w:rFonts w:ascii="Calibri" w:hAnsi="Calibri"/>
                <w:b/>
                <w:color w:val="FFFFFF"/>
                <w:sz w:val="18"/>
              </w:rPr>
              <w:t>Value</w:t>
            </w:r>
          </w:p>
        </w:tc>
        <w:tc>
          <w:tcPr>
            <w:tcW w:type="dxa" w:w="3360"/>
            <w:shd w:fill="1A1446" w:val="clear"/>
          </w:tcPr>
          <w:p>
            <w:r>
              <w:rPr>
                <w:rFonts w:ascii="Calibri" w:hAnsi="Calibri"/>
                <w:b/>
                <w:color w:val="FFFFFF"/>
                <w:sz w:val="18"/>
              </w:rPr>
              <w:t>Assessment</w:t>
            </w:r>
          </w:p>
        </w:tc>
      </w:tr>
      <w:tr>
        <w:tc>
          <w:tcPr>
            <w:tcW w:type="dxa" w:w="3360"/>
          </w:tcPr>
          <w:p>
            <w:r>
              <w:rPr>
                <w:rFonts w:ascii="Calibri" w:hAnsi="Calibri"/>
                <w:color w:val="333333"/>
                <w:sz w:val="18"/>
              </w:rPr>
              <w:t>OCF/Net Income</w:t>
            </w:r>
          </w:p>
        </w:tc>
        <w:tc>
          <w:tcPr>
            <w:tcW w:type="dxa" w:w="3360"/>
          </w:tcPr>
          <w:p>
            <w:r>
              <w:rPr>
                <w:rFonts w:ascii="Calibri" w:hAnsi="Calibri"/>
                <w:color w:val="333333"/>
                <w:sz w:val="18"/>
              </w:rPr>
              <w:t>1.12</w:t>
            </w:r>
          </w:p>
        </w:tc>
        <w:tc>
          <w:tcPr>
            <w:tcW w:type="dxa" w:w="3360"/>
            <w:shd w:fill="DCEEF8" w:val="clear"/>
          </w:tcPr>
          <w:p>
            <w:r>
              <w:rPr>
                <w:rFonts w:ascii="Calibri" w:hAnsi="Calibri"/>
                <w:color w:val="333333"/>
                <w:sz w:val="18"/>
              </w:rPr>
              <w:t>Healthy</w:t>
            </w:r>
          </w:p>
        </w:tc>
      </w:tr>
      <w:tr>
        <w:tc>
          <w:tcPr>
            <w:tcW w:type="dxa" w:w="3360"/>
            <w:shd w:fill="F2F4F8" w:val="clear"/>
          </w:tcPr>
          <w:p>
            <w:r>
              <w:rPr>
                <w:rFonts w:ascii="Calibri" w:hAnsi="Calibri"/>
                <w:color w:val="333333"/>
                <w:sz w:val="18"/>
              </w:rPr>
              <w:t>Accruals Ratio</w:t>
            </w:r>
          </w:p>
        </w:tc>
        <w:tc>
          <w:tcPr>
            <w:tcW w:type="dxa" w:w="3360"/>
            <w:shd w:fill="F2F4F8" w:val="clear"/>
          </w:tcPr>
          <w:p>
            <w:r>
              <w:rPr>
                <w:rFonts w:ascii="Calibri" w:hAnsi="Calibri"/>
                <w:color w:val="333333"/>
                <w:sz w:val="18"/>
              </w:rPr>
              <w:t>-0.01</w:t>
            </w:r>
          </w:p>
        </w:tc>
        <w:tc>
          <w:tcPr>
            <w:tcW w:type="dxa" w:w="3360"/>
            <w:shd w:fill="F2F4F8" w:val="clear"/>
            <w:shd w:fill="FFF3CD" w:val="clear"/>
          </w:tcPr>
          <w:p>
            <w:r>
              <w:rPr>
                <w:rFonts w:ascii="Calibri" w:hAnsi="Calibri"/>
                <w:color w:val="333333"/>
                <w:sz w:val="18"/>
              </w:rPr>
              <w:t>Normal</w:t>
            </w:r>
          </w:p>
        </w:tc>
      </w:tr>
    </w:tbl>
    <w:p>
      <w:pPr>
        <w:pStyle w:val="DOCitation"/>
      </w:pPr>
      <w:r>
        <w:t>Source: Derived from XBRL financial statements, MEDIUM confidence</w:t>
      </w:r>
    </w:p>
    <w:p>
      <w:pPr>
        <w:pStyle w:val="DOHeading2"/>
      </w:pPr>
      <w:r>
        <w:t>Audit Risk Assessment</w:t>
      </w:r>
    </w:p>
    <w:p>
      <w:pPr>
        <w:pStyle w:val="DOBody"/>
      </w:pPr>
      <w:r>
        <w:t>Audit Risk: No concerns. Deloitte, 135 year tenure, qualified opinion.</w:t>
      </w:r>
    </w:p>
    <w:p>
      <w:pPr>
        <w:pStyle w:val="DOHeading2"/>
      </w:pPr>
      <w:r>
        <w:t>Debt Analysis</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Metric</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Debt-to-Equity</w:t>
            </w:r>
          </w:p>
        </w:tc>
        <w:tc>
          <w:tcPr>
            <w:tcW w:type="dxa" w:w="5040"/>
          </w:tcPr>
          <w:p>
            <w:r>
              <w:rPr>
                <w:rFonts w:ascii="Calibri" w:hAnsi="Calibri"/>
                <w:color w:val="333333"/>
                <w:sz w:val="18"/>
              </w:rPr>
              <w:t>N/A</w:t>
            </w:r>
          </w:p>
        </w:tc>
      </w:tr>
      <w:tr>
        <w:tc>
          <w:tcPr>
            <w:tcW w:type="dxa" w:w="5040"/>
            <w:shd w:fill="F2F4F8" w:val="clear"/>
          </w:tcPr>
          <w:p>
            <w:r>
              <w:rPr>
                <w:rFonts w:ascii="Calibri" w:hAnsi="Calibri"/>
                <w:color w:val="333333"/>
                <w:sz w:val="18"/>
              </w:rPr>
              <w:t>Debt-to-EBITDA</w:t>
            </w:r>
          </w:p>
        </w:tc>
        <w:tc>
          <w:tcPr>
            <w:tcW w:type="dxa" w:w="5040"/>
            <w:shd w:fill="F2F4F8" w:val="clear"/>
          </w:tcPr>
          <w:p>
            <w:r>
              <w:rPr>
                <w:rFonts w:ascii="Calibri" w:hAnsi="Calibri"/>
                <w:color w:val="333333"/>
                <w:sz w:val="18"/>
              </w:rPr>
              <w:t>N/A</w:t>
            </w:r>
          </w:p>
        </w:tc>
      </w:tr>
      <w:tr>
        <w:tc>
          <w:tcPr>
            <w:tcW w:type="dxa" w:w="5040"/>
          </w:tcPr>
          <w:p>
            <w:r>
              <w:rPr>
                <w:rFonts w:ascii="Calibri" w:hAnsi="Calibri"/>
                <w:color w:val="333333"/>
                <w:sz w:val="18"/>
              </w:rPr>
              <w:t>Interest Coverage</w:t>
            </w:r>
          </w:p>
        </w:tc>
        <w:tc>
          <w:tcPr>
            <w:tcW w:type="dxa" w:w="5040"/>
          </w:tcPr>
          <w:p>
            <w:r>
              <w:rPr>
                <w:rFonts w:ascii="Calibri" w:hAnsi="Calibri"/>
                <w:color w:val="333333"/>
                <w:sz w:val="18"/>
              </w:rPr>
              <w:t>22.82</w:t>
            </w:r>
          </w:p>
        </w:tc>
      </w:tr>
      <w:tr>
        <w:tc>
          <w:tcPr>
            <w:tcW w:type="dxa" w:w="5040"/>
            <w:shd w:fill="F2F4F8" w:val="clear"/>
          </w:tcPr>
          <w:p>
            <w:r>
              <w:rPr>
                <w:rFonts w:ascii="Calibri" w:hAnsi="Calibri"/>
                <w:color w:val="333333"/>
                <w:sz w:val="18"/>
              </w:rPr>
              <w:t>Covenant Status</w:t>
            </w:r>
          </w:p>
        </w:tc>
        <w:tc>
          <w:tcPr>
            <w:tcW w:type="dxa" w:w="5040"/>
            <w:shd w:fill="F2F4F8" w:val="clear"/>
          </w:tcPr>
          <w:p>
            <w:r>
              <w:rPr>
                <w:rFonts w:ascii="Calibri" w:hAnsi="Calibri"/>
                <w:color w:val="333333"/>
                <w:sz w:val="18"/>
              </w:rPr>
              <w:t>Unknown</w:t>
            </w:r>
          </w:p>
        </w:tc>
      </w:tr>
    </w:tbl>
    <w:p>
      <w:pPr>
        <w:pStyle w:val="DOHeading3"/>
      </w:pPr>
      <w:r>
        <w:t>Critical Accounting Estimates</w:t>
      </w:r>
    </w:p>
    <w:tbl>
      <w:tblPr>
        <w:tblStyle w:val="TableGrid"/>
        <w:tblW w:type="auto" w:w="0"/>
        <w:tblLook w:firstColumn="1" w:firstRow="1" w:lastColumn="0" w:lastRow="0" w:noHBand="0" w:noVBand="1" w:val="04A0"/>
      </w:tblPr>
      <w:tblGrid>
        <w:gridCol w:w="3360"/>
        <w:gridCol w:w="3360"/>
        <w:gridCol w:w="3360"/>
      </w:tblGrid>
      <w:tr>
        <w:tc>
          <w:tcPr>
            <w:tcW w:type="dxa" w:w="3360"/>
            <w:shd w:fill="1A1446" w:val="clear"/>
          </w:tcPr>
          <w:p>
            <w:r>
              <w:rPr>
                <w:rFonts w:ascii="Calibri" w:hAnsi="Calibri"/>
                <w:b/>
                <w:color w:val="FFFFFF"/>
                <w:sz w:val="18"/>
              </w:rPr>
              <w:t>Estimate</w:t>
            </w:r>
          </w:p>
        </w:tc>
        <w:tc>
          <w:tcPr>
            <w:tcW w:type="dxa" w:w="3360"/>
            <w:shd w:fill="1A1446" w:val="clear"/>
          </w:tcPr>
          <w:p>
            <w:r>
              <w:rPr>
                <w:rFonts w:ascii="Calibri" w:hAnsi="Calibri"/>
                <w:b/>
                <w:color w:val="FFFFFF"/>
                <w:sz w:val="18"/>
              </w:rPr>
              <w:t>Value</w:t>
            </w:r>
          </w:p>
        </w:tc>
        <w:tc>
          <w:tcPr>
            <w:tcW w:type="dxa" w:w="3360"/>
            <w:shd w:fill="1A1446" w:val="clear"/>
          </w:tcPr>
          <w:p>
            <w:r>
              <w:rPr>
                <w:rFonts w:ascii="Calibri" w:hAnsi="Calibri"/>
                <w:b/>
                <w:color w:val="FFFFFF"/>
                <w:sz w:val="18"/>
              </w:rPr>
              <w:t>Assessment</w:t>
            </w:r>
          </w:p>
        </w:tc>
      </w:tr>
      <w:tr>
        <w:tc>
          <w:tcPr>
            <w:tcW w:type="dxa" w:w="3360"/>
          </w:tcPr>
          <w:p>
            <w:r>
              <w:rPr>
                <w:rFonts w:ascii="Calibri" w:hAnsi="Calibri"/>
                <w:color w:val="333333"/>
                <w:sz w:val="18"/>
              </w:rPr>
              <w:t>Effective Tax Rate</w:t>
            </w:r>
          </w:p>
        </w:tc>
        <w:tc>
          <w:tcPr>
            <w:tcW w:type="dxa" w:w="3360"/>
          </w:tcPr>
          <w:p>
            <w:r>
              <w:rPr>
                <w:rFonts w:ascii="Calibri" w:hAnsi="Calibri"/>
                <w:color w:val="333333"/>
                <w:sz w:val="18"/>
              </w:rPr>
              <w:t>20.3%</w:t>
            </w:r>
          </w:p>
        </w:tc>
        <w:tc>
          <w:tcPr>
            <w:tcW w:type="dxa" w:w="3360"/>
          </w:tcPr>
          <w:p>
            <w:r>
              <w:rPr>
                <w:rFonts w:ascii="Calibri" w:hAnsi="Calibri"/>
                <w:color w:val="333333"/>
                <w:sz w:val="18"/>
              </w:rPr>
              <w:t>Normal range</w:t>
            </w:r>
          </w:p>
        </w:tc>
      </w:tr>
    </w:tbl>
    <w:p>
      <w:pPr>
        <w:pStyle w:val="DOHeading2"/>
      </w:pPr>
      <w:r>
        <w:t>Peer Group Comparison</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1A1446" w:val="clear"/>
          </w:tcPr>
          <w:p>
            <w:r>
              <w:rPr>
                <w:rFonts w:ascii="Calibri" w:hAnsi="Calibri"/>
                <w:b/>
                <w:color w:val="FFFFFF"/>
                <w:sz w:val="18"/>
              </w:rPr>
              <w:t>Ticker</w:t>
            </w:r>
          </w:p>
        </w:tc>
        <w:tc>
          <w:tcPr>
            <w:tcW w:type="dxa" w:w="2016"/>
            <w:shd w:fill="1A1446" w:val="clear"/>
          </w:tcPr>
          <w:p>
            <w:r>
              <w:rPr>
                <w:rFonts w:ascii="Calibri" w:hAnsi="Calibri"/>
                <w:b/>
                <w:color w:val="FFFFFF"/>
                <w:sz w:val="18"/>
              </w:rPr>
              <w:t>Name</w:t>
            </w:r>
          </w:p>
        </w:tc>
        <w:tc>
          <w:tcPr>
            <w:tcW w:type="dxa" w:w="2016"/>
            <w:shd w:fill="1A1446" w:val="clear"/>
          </w:tcPr>
          <w:p>
            <w:r>
              <w:rPr>
                <w:rFonts w:ascii="Calibri" w:hAnsi="Calibri"/>
                <w:b/>
                <w:color w:val="FFFFFF"/>
                <w:sz w:val="18"/>
              </w:rPr>
              <w:t>Market Cap</w:t>
            </w:r>
          </w:p>
        </w:tc>
        <w:tc>
          <w:tcPr>
            <w:tcW w:type="dxa" w:w="2016"/>
            <w:shd w:fill="1A1446" w:val="clear"/>
          </w:tcPr>
          <w:p>
            <w:r>
              <w:rPr>
                <w:rFonts w:ascii="Calibri" w:hAnsi="Calibri"/>
                <w:b/>
                <w:color w:val="FFFFFF"/>
                <w:sz w:val="18"/>
              </w:rPr>
              <w:t>Revenue</w:t>
            </w:r>
          </w:p>
        </w:tc>
        <w:tc>
          <w:tcPr>
            <w:tcW w:type="dxa" w:w="2016"/>
            <w:shd w:fill="1A1446" w:val="clear"/>
          </w:tcPr>
          <w:p>
            <w:r>
              <w:rPr>
                <w:rFonts w:ascii="Calibri" w:hAnsi="Calibri"/>
                <w:b/>
                <w:color w:val="FFFFFF"/>
                <w:sz w:val="18"/>
              </w:rPr>
              <w:t>Score</w:t>
            </w:r>
          </w:p>
        </w:tc>
      </w:tr>
      <w:tr>
        <w:tc>
          <w:tcPr>
            <w:tcW w:type="dxa" w:w="2016"/>
          </w:tcPr>
          <w:p>
            <w:r>
              <w:rPr>
                <w:rFonts w:ascii="Calibri" w:hAnsi="Calibri"/>
                <w:color w:val="333333"/>
                <w:sz w:val="18"/>
              </w:rPr>
              <w:t>KO</w:t>
            </w:r>
          </w:p>
        </w:tc>
        <w:tc>
          <w:tcPr>
            <w:tcW w:type="dxa" w:w="2016"/>
          </w:tcPr>
          <w:p>
            <w:r>
              <w:rPr>
                <w:rFonts w:ascii="Calibri" w:hAnsi="Calibri"/>
                <w:color w:val="333333"/>
                <w:sz w:val="18"/>
              </w:rPr>
              <w:t>Coca-Cola Company (The)</w:t>
            </w:r>
          </w:p>
        </w:tc>
        <w:tc>
          <w:tcPr>
            <w:tcW w:type="dxa" w:w="2016"/>
          </w:tcPr>
          <w:p>
            <w:r>
              <w:rPr>
                <w:rFonts w:ascii="Calibri" w:hAnsi="Calibri"/>
                <w:color w:val="333333"/>
                <w:sz w:val="18"/>
              </w:rPr>
              <w:t>$330.2B</w:t>
            </w:r>
          </w:p>
        </w:tc>
        <w:tc>
          <w:tcPr>
            <w:tcW w:type="dxa" w:w="2016"/>
          </w:tcPr>
          <w:p>
            <w:r>
              <w:rPr>
                <w:rFonts w:ascii="Calibri" w:hAnsi="Calibri"/>
                <w:color w:val="333333"/>
                <w:sz w:val="18"/>
              </w:rPr>
              <w:t>$47.9B</w:t>
            </w:r>
          </w:p>
        </w:tc>
        <w:tc>
          <w:tcPr>
            <w:tcW w:type="dxa" w:w="2016"/>
          </w:tcPr>
          <w:p>
            <w:r>
              <w:rPr>
                <w:rFonts w:ascii="Calibri" w:hAnsi="Calibri"/>
                <w:color w:val="333333"/>
                <w:sz w:val="18"/>
              </w:rPr>
              <w:t>44</w:t>
            </w:r>
          </w:p>
        </w:tc>
      </w:tr>
      <w:tr>
        <w:tc>
          <w:tcPr>
            <w:tcW w:type="dxa" w:w="2016"/>
            <w:shd w:fill="F2F4F8" w:val="clear"/>
          </w:tcPr>
          <w:p>
            <w:r>
              <w:rPr>
                <w:rFonts w:ascii="Calibri" w:hAnsi="Calibri"/>
                <w:color w:val="333333"/>
                <w:sz w:val="18"/>
              </w:rPr>
              <w:t>PEP</w:t>
            </w:r>
          </w:p>
        </w:tc>
        <w:tc>
          <w:tcPr>
            <w:tcW w:type="dxa" w:w="2016"/>
            <w:shd w:fill="F2F4F8" w:val="clear"/>
          </w:tcPr>
          <w:p>
            <w:r>
              <w:rPr>
                <w:rFonts w:ascii="Calibri" w:hAnsi="Calibri"/>
                <w:color w:val="333333"/>
                <w:sz w:val="18"/>
              </w:rPr>
              <w:t>Pepsico, Inc.</w:t>
            </w:r>
          </w:p>
        </w:tc>
        <w:tc>
          <w:tcPr>
            <w:tcW w:type="dxa" w:w="2016"/>
            <w:shd w:fill="F2F4F8" w:val="clear"/>
          </w:tcPr>
          <w:p>
            <w:r>
              <w:rPr>
                <w:rFonts w:ascii="Calibri" w:hAnsi="Calibri"/>
                <w:color w:val="333333"/>
                <w:sz w:val="18"/>
              </w:rPr>
              <w:t>$214.6B</w:t>
            </w:r>
          </w:p>
        </w:tc>
        <w:tc>
          <w:tcPr>
            <w:tcW w:type="dxa" w:w="2016"/>
            <w:shd w:fill="F2F4F8" w:val="clear"/>
          </w:tcPr>
          <w:p>
            <w:r>
              <w:rPr>
                <w:rFonts w:ascii="Calibri" w:hAnsi="Calibri"/>
                <w:color w:val="333333"/>
                <w:sz w:val="18"/>
              </w:rPr>
              <w:t>$93.9B</w:t>
            </w:r>
          </w:p>
        </w:tc>
        <w:tc>
          <w:tcPr>
            <w:tcW w:type="dxa" w:w="2016"/>
            <w:shd w:fill="F2F4F8" w:val="clear"/>
          </w:tcPr>
          <w:p>
            <w:r>
              <w:rPr>
                <w:rFonts w:ascii="Calibri" w:hAnsi="Calibri"/>
                <w:color w:val="333333"/>
                <w:sz w:val="18"/>
              </w:rPr>
              <w:t>32</w:t>
            </w:r>
          </w:p>
        </w:tc>
      </w:tr>
      <w:tr>
        <w:tc>
          <w:tcPr>
            <w:tcW w:type="dxa" w:w="2016"/>
          </w:tcPr>
          <w:p>
            <w:r>
              <w:rPr>
                <w:rFonts w:ascii="Calibri" w:hAnsi="Calibri"/>
                <w:color w:val="333333"/>
                <w:sz w:val="18"/>
              </w:rPr>
              <w:t>COST</w:t>
            </w:r>
          </w:p>
        </w:tc>
        <w:tc>
          <w:tcPr>
            <w:tcW w:type="dxa" w:w="2016"/>
          </w:tcPr>
          <w:p>
            <w:r>
              <w:rPr>
                <w:rFonts w:ascii="Calibri" w:hAnsi="Calibri"/>
                <w:color w:val="333333"/>
                <w:sz w:val="18"/>
              </w:rPr>
              <w:t>Costco Wholesale Corporation</w:t>
            </w:r>
          </w:p>
        </w:tc>
        <w:tc>
          <w:tcPr>
            <w:tcW w:type="dxa" w:w="2016"/>
          </w:tcPr>
          <w:p>
            <w:r>
              <w:rPr>
                <w:rFonts w:ascii="Calibri" w:hAnsi="Calibri"/>
                <w:color w:val="333333"/>
                <w:sz w:val="18"/>
              </w:rPr>
              <w:t>$450.5B</w:t>
            </w:r>
          </w:p>
        </w:tc>
        <w:tc>
          <w:tcPr>
            <w:tcW w:type="dxa" w:w="2016"/>
          </w:tcPr>
          <w:p>
            <w:r>
              <w:rPr>
                <w:rFonts w:ascii="Calibri" w:hAnsi="Calibri"/>
                <w:color w:val="333333"/>
                <w:sz w:val="18"/>
              </w:rPr>
              <w:t>$286.3B</w:t>
            </w:r>
          </w:p>
        </w:tc>
        <w:tc>
          <w:tcPr>
            <w:tcW w:type="dxa" w:w="2016"/>
          </w:tcPr>
          <w:p>
            <w:r>
              <w:rPr>
                <w:rFonts w:ascii="Calibri" w:hAnsi="Calibri"/>
                <w:color w:val="333333"/>
                <w:sz w:val="18"/>
              </w:rPr>
              <w:t>32</w:t>
            </w:r>
          </w:p>
        </w:tc>
      </w:tr>
      <w:tr>
        <w:tc>
          <w:tcPr>
            <w:tcW w:type="dxa" w:w="2016"/>
            <w:shd w:fill="F2F4F8" w:val="clear"/>
          </w:tcPr>
          <w:p>
            <w:r>
              <w:rPr>
                <w:rFonts w:ascii="Calibri" w:hAnsi="Calibri"/>
                <w:color w:val="333333"/>
                <w:sz w:val="18"/>
              </w:rPr>
              <w:t>WMT</w:t>
            </w:r>
          </w:p>
        </w:tc>
        <w:tc>
          <w:tcPr>
            <w:tcW w:type="dxa" w:w="2016"/>
            <w:shd w:fill="F2F4F8" w:val="clear"/>
          </w:tcPr>
          <w:p>
            <w:r>
              <w:rPr>
                <w:rFonts w:ascii="Calibri" w:hAnsi="Calibri"/>
                <w:color w:val="333333"/>
                <w:sz w:val="18"/>
              </w:rPr>
              <w:t>Walmart Inc.</w:t>
            </w:r>
          </w:p>
        </w:tc>
        <w:tc>
          <w:tcPr>
            <w:tcW w:type="dxa" w:w="2016"/>
            <w:shd w:fill="F2F4F8" w:val="clear"/>
          </w:tcPr>
          <w:p>
            <w:r>
              <w:rPr>
                <w:rFonts w:ascii="Calibri" w:hAnsi="Calibri"/>
                <w:color w:val="333333"/>
                <w:sz w:val="18"/>
              </w:rPr>
              <w:t>$1.0T</w:t>
            </w:r>
          </w:p>
        </w:tc>
        <w:tc>
          <w:tcPr>
            <w:tcW w:type="dxa" w:w="2016"/>
            <w:shd w:fill="F2F4F8" w:val="clear"/>
          </w:tcPr>
          <w:p>
            <w:r>
              <w:rPr>
                <w:rFonts w:ascii="Calibri" w:hAnsi="Calibri"/>
                <w:color w:val="333333"/>
                <w:sz w:val="18"/>
              </w:rPr>
              <w:t>$713.2B</w:t>
            </w:r>
          </w:p>
        </w:tc>
        <w:tc>
          <w:tcPr>
            <w:tcW w:type="dxa" w:w="2016"/>
            <w:shd w:fill="F2F4F8" w:val="clear"/>
          </w:tcPr>
          <w:p>
            <w:r>
              <w:rPr>
                <w:rFonts w:ascii="Calibri" w:hAnsi="Calibri"/>
                <w:color w:val="333333"/>
                <w:sz w:val="18"/>
              </w:rPr>
              <w:t>13</w:t>
            </w:r>
          </w:p>
        </w:tc>
      </w:tr>
      <w:tr>
        <w:tc>
          <w:tcPr>
            <w:tcW w:type="dxa" w:w="2016"/>
          </w:tcPr>
          <w:p>
            <w:r>
              <w:rPr>
                <w:rFonts w:ascii="Calibri" w:hAnsi="Calibri"/>
                <w:color w:val="333333"/>
                <w:sz w:val="18"/>
              </w:rPr>
              <w:t>PM</w:t>
            </w:r>
          </w:p>
        </w:tc>
        <w:tc>
          <w:tcPr>
            <w:tcW w:type="dxa" w:w="2016"/>
          </w:tcPr>
          <w:p>
            <w:r>
              <w:rPr>
                <w:rFonts w:ascii="Calibri" w:hAnsi="Calibri"/>
                <w:color w:val="333333"/>
                <w:sz w:val="18"/>
              </w:rPr>
              <w:t>Philip Morris International Inc</w:t>
            </w:r>
          </w:p>
        </w:tc>
        <w:tc>
          <w:tcPr>
            <w:tcW w:type="dxa" w:w="2016"/>
          </w:tcPr>
          <w:p>
            <w:r>
              <w:rPr>
                <w:rFonts w:ascii="Calibri" w:hAnsi="Calibri"/>
                <w:color w:val="333333"/>
                <w:sz w:val="18"/>
              </w:rPr>
              <w:t>$246.4B</w:t>
            </w:r>
          </w:p>
        </w:tc>
        <w:tc>
          <w:tcPr>
            <w:tcW w:type="dxa" w:w="2016"/>
          </w:tcPr>
          <w:p>
            <w:r>
              <w:rPr>
                <w:rFonts w:ascii="Calibri" w:hAnsi="Calibri"/>
                <w:color w:val="333333"/>
                <w:sz w:val="18"/>
              </w:rPr>
              <w:t>$40.6B</w:t>
            </w:r>
          </w:p>
        </w:tc>
        <w:tc>
          <w:tcPr>
            <w:tcW w:type="dxa" w:w="2016"/>
          </w:tcPr>
          <w:p>
            <w:r>
              <w:rPr>
                <w:rFonts w:ascii="Calibri" w:hAnsi="Calibri"/>
                <w:color w:val="333333"/>
                <w:sz w:val="18"/>
              </w:rPr>
              <w:t>30</w:t>
            </w:r>
          </w:p>
        </w:tc>
      </w:tr>
      <w:tr>
        <w:tc>
          <w:tcPr>
            <w:tcW w:type="dxa" w:w="2016"/>
            <w:shd w:fill="F2F4F8" w:val="clear"/>
          </w:tcPr>
          <w:p>
            <w:r>
              <w:rPr>
                <w:rFonts w:ascii="Calibri" w:hAnsi="Calibri"/>
                <w:color w:val="333333"/>
                <w:sz w:val="18"/>
              </w:rPr>
              <w:t>MO</w:t>
            </w:r>
          </w:p>
        </w:tc>
        <w:tc>
          <w:tcPr>
            <w:tcW w:type="dxa" w:w="2016"/>
            <w:shd w:fill="F2F4F8" w:val="clear"/>
          </w:tcPr>
          <w:p>
            <w:r>
              <w:rPr>
                <w:rFonts w:ascii="Calibri" w:hAnsi="Calibri"/>
                <w:color w:val="333333"/>
                <w:sz w:val="18"/>
              </w:rPr>
              <w:t>Altria Group, Inc.</w:t>
            </w:r>
          </w:p>
        </w:tc>
        <w:tc>
          <w:tcPr>
            <w:tcW w:type="dxa" w:w="2016"/>
            <w:shd w:fill="F2F4F8" w:val="clear"/>
          </w:tcPr>
          <w:p>
            <w:r>
              <w:rPr>
                <w:rFonts w:ascii="Calibri" w:hAnsi="Calibri"/>
                <w:color w:val="333333"/>
                <w:sz w:val="18"/>
              </w:rPr>
              <w:t>$110.4B</w:t>
            </w:r>
          </w:p>
        </w:tc>
        <w:tc>
          <w:tcPr>
            <w:tcW w:type="dxa" w:w="2016"/>
            <w:shd w:fill="F2F4F8" w:val="clear"/>
          </w:tcPr>
          <w:p>
            <w:r>
              <w:rPr>
                <w:rFonts w:ascii="Calibri" w:hAnsi="Calibri"/>
                <w:color w:val="333333"/>
                <w:sz w:val="18"/>
              </w:rPr>
              <w:t>$20.1B</w:t>
            </w:r>
          </w:p>
        </w:tc>
        <w:tc>
          <w:tcPr>
            <w:tcW w:type="dxa" w:w="2016"/>
            <w:shd w:fill="F2F4F8" w:val="clear"/>
          </w:tcPr>
          <w:p>
            <w:r>
              <w:rPr>
                <w:rFonts w:ascii="Calibri" w:hAnsi="Calibri"/>
                <w:color w:val="333333"/>
                <w:sz w:val="18"/>
              </w:rPr>
              <w:t>14</w:t>
            </w:r>
          </w:p>
        </w:tc>
      </w:tr>
      <w:tr>
        <w:tc>
          <w:tcPr>
            <w:tcW w:type="dxa" w:w="2016"/>
          </w:tcPr>
          <w:p>
            <w:r>
              <w:rPr>
                <w:rFonts w:ascii="Calibri" w:hAnsi="Calibri"/>
                <w:color w:val="333333"/>
                <w:sz w:val="18"/>
              </w:rPr>
              <w:t>CL</w:t>
            </w:r>
          </w:p>
        </w:tc>
        <w:tc>
          <w:tcPr>
            <w:tcW w:type="dxa" w:w="2016"/>
          </w:tcPr>
          <w:p>
            <w:r>
              <w:rPr>
                <w:rFonts w:ascii="Calibri" w:hAnsi="Calibri"/>
                <w:color w:val="333333"/>
                <w:sz w:val="18"/>
              </w:rPr>
              <w:t>Colgate-Palmolive Company</w:t>
            </w:r>
          </w:p>
        </w:tc>
        <w:tc>
          <w:tcPr>
            <w:tcW w:type="dxa" w:w="2016"/>
          </w:tcPr>
          <w:p>
            <w:r>
              <w:rPr>
                <w:rFonts w:ascii="Calibri" w:hAnsi="Calibri"/>
                <w:color w:val="333333"/>
                <w:sz w:val="18"/>
              </w:rPr>
              <w:t>$68.3B</w:t>
            </w:r>
          </w:p>
        </w:tc>
        <w:tc>
          <w:tcPr>
            <w:tcW w:type="dxa" w:w="2016"/>
          </w:tcPr>
          <w:p>
            <w:r>
              <w:rPr>
                <w:rFonts w:ascii="Calibri" w:hAnsi="Calibri"/>
                <w:color w:val="333333"/>
                <w:sz w:val="18"/>
              </w:rPr>
              <w:t>$20.4B</w:t>
            </w:r>
          </w:p>
        </w:tc>
        <w:tc>
          <w:tcPr>
            <w:tcW w:type="dxa" w:w="2016"/>
          </w:tcPr>
          <w:p>
            <w:r>
              <w:rPr>
                <w:rFonts w:ascii="Calibri" w:hAnsi="Calibri"/>
                <w:color w:val="333333"/>
                <w:sz w:val="18"/>
              </w:rPr>
              <w:t>25</w:t>
            </w:r>
          </w:p>
        </w:tc>
      </w:tr>
      <w:tr>
        <w:tc>
          <w:tcPr>
            <w:tcW w:type="dxa" w:w="2016"/>
            <w:shd w:fill="F2F4F8" w:val="clear"/>
          </w:tcPr>
          <w:p>
            <w:r>
              <w:rPr>
                <w:rFonts w:ascii="Calibri" w:hAnsi="Calibri"/>
                <w:color w:val="333333"/>
                <w:sz w:val="18"/>
              </w:rPr>
              <w:t>MDLZ</w:t>
            </w:r>
          </w:p>
        </w:tc>
        <w:tc>
          <w:tcPr>
            <w:tcW w:type="dxa" w:w="2016"/>
            <w:shd w:fill="F2F4F8" w:val="clear"/>
          </w:tcPr>
          <w:p>
            <w:r>
              <w:rPr>
                <w:rFonts w:ascii="Calibri" w:hAnsi="Calibri"/>
                <w:color w:val="333333"/>
                <w:sz w:val="18"/>
              </w:rPr>
              <w:t>Mondelez International, Inc.</w:t>
            </w:r>
          </w:p>
        </w:tc>
        <w:tc>
          <w:tcPr>
            <w:tcW w:type="dxa" w:w="2016"/>
            <w:shd w:fill="F2F4F8" w:val="clear"/>
          </w:tcPr>
          <w:p>
            <w:r>
              <w:rPr>
                <w:rFonts w:ascii="Calibri" w:hAnsi="Calibri"/>
                <w:color w:val="333333"/>
                <w:sz w:val="18"/>
              </w:rPr>
              <w:t>$74.2B</w:t>
            </w:r>
          </w:p>
        </w:tc>
        <w:tc>
          <w:tcPr>
            <w:tcW w:type="dxa" w:w="2016"/>
            <w:shd w:fill="F2F4F8" w:val="clear"/>
          </w:tcPr>
          <w:p>
            <w:r>
              <w:rPr>
                <w:rFonts w:ascii="Calibri" w:hAnsi="Calibri"/>
                <w:color w:val="333333"/>
                <w:sz w:val="18"/>
              </w:rPr>
              <w:t>$38.5B</w:t>
            </w:r>
          </w:p>
        </w:tc>
        <w:tc>
          <w:tcPr>
            <w:tcW w:type="dxa" w:w="2016"/>
            <w:shd w:fill="F2F4F8" w:val="clear"/>
          </w:tcPr>
          <w:p>
            <w:r>
              <w:rPr>
                <w:rFonts w:ascii="Calibri" w:hAnsi="Calibri"/>
                <w:color w:val="333333"/>
                <w:sz w:val="18"/>
              </w:rPr>
              <w:t>18</w:t>
            </w:r>
          </w:p>
        </w:tc>
      </w:tr>
      <w:tr>
        <w:tc>
          <w:tcPr>
            <w:tcW w:type="dxa" w:w="2016"/>
          </w:tcPr>
          <w:p>
            <w:r>
              <w:rPr>
                <w:rFonts w:ascii="Calibri" w:hAnsi="Calibri"/>
                <w:color w:val="333333"/>
                <w:sz w:val="18"/>
              </w:rPr>
              <w:t>KHC</w:t>
            </w:r>
          </w:p>
        </w:tc>
        <w:tc>
          <w:tcPr>
            <w:tcW w:type="dxa" w:w="2016"/>
          </w:tcPr>
          <w:p>
            <w:r>
              <w:rPr>
                <w:rFonts w:ascii="Calibri" w:hAnsi="Calibri"/>
                <w:color w:val="333333"/>
                <w:sz w:val="18"/>
              </w:rPr>
              <w:t>The Kraft Heinz Company</w:t>
            </w:r>
          </w:p>
        </w:tc>
        <w:tc>
          <w:tcPr>
            <w:tcW w:type="dxa" w:w="2016"/>
          </w:tcPr>
          <w:p>
            <w:r>
              <w:rPr>
                <w:rFonts w:ascii="Calibri" w:hAnsi="Calibri"/>
                <w:color w:val="333333"/>
                <w:sz w:val="18"/>
              </w:rPr>
              <w:t>$27.0B</w:t>
            </w:r>
          </w:p>
        </w:tc>
        <w:tc>
          <w:tcPr>
            <w:tcW w:type="dxa" w:w="2016"/>
          </w:tcPr>
          <w:p>
            <w:r>
              <w:rPr>
                <w:rFonts w:ascii="Calibri" w:hAnsi="Calibri"/>
                <w:color w:val="333333"/>
                <w:sz w:val="18"/>
              </w:rPr>
              <w:t>$24.9B</w:t>
            </w:r>
          </w:p>
        </w:tc>
        <w:tc>
          <w:tcPr>
            <w:tcW w:type="dxa" w:w="2016"/>
          </w:tcPr>
          <w:p>
            <w:r>
              <w:rPr>
                <w:rFonts w:ascii="Calibri" w:hAnsi="Calibri"/>
                <w:color w:val="333333"/>
                <w:sz w:val="18"/>
              </w:rPr>
              <w:t>15</w:t>
            </w:r>
          </w:p>
        </w:tc>
      </w:tr>
    </w:tbl>
    <w:p>
      <w:pPr>
        <w:pStyle w:val="DOBody"/>
      </w:pPr>
      <w:r>
        <w:t>Revenue: Ranks at the 67th percentile among 9 peers.</w:t>
      </w:r>
    </w:p>
    <w:p>
      <w:pPr>
        <w:pStyle w:val="DOCaption"/>
      </w:pPr>
      <w:r>
        <w:t>Method: Multi-signal composite: SIC 25%, industry 20%, market cap 25%, revenue 15%, description 15%</w:t>
      </w:r>
    </w:p>
    <w:p>
      <w:pPr>
        <w:spacing w:before="120" w:after="40"/>
        <w:pBdr>
          <w:bottom w:val="single" w:sz="6" w:space="1" w:color="FFD000"/>
        </w:pBdr>
      </w:pPr>
    </w:p>
    <w:p>
      <w:pPr>
        <w:pStyle w:val="DOBody"/>
        <w:spacing w:before="40" w:after="80"/>
      </w:pPr>
      <w:r>
        <w:rPr>
          <w:b/>
          <w:color w:val="FFB800"/>
          <w:sz w:val="20"/>
        </w:rPr>
        <w:t>ELEVATED CONCERN</w:t>
      </w:r>
    </w:p>
    <w:p>
      <w:pPr>
        <w:pStyle w:val="DOBody"/>
        <w:spacing w:before="40" w:after="120"/>
      </w:pPr>
      <w:r>
        <w:rPr>
          <w:color w:val="333333"/>
          <w:sz w:val="20"/>
        </w:rPr>
        <w:t>The board’s small size of four directors, combined with CEO/Chair duality held by Jon Moeller, concentrates oversight risk as independence data is unavailable for all four members. A 90.65% say-on-pay vote, while passing, reveals notable 9.35% shareholder dissent that could crystallize into a derivative suit challenging compensation committee decisions under Moeller’s combined leadership. The governance profile shows a specific, material weakness, including a 1.275-point deduction from a recent 8-point proxy analysis, indicating substantive disclosure or procedural failures that directly implicate the duty of candor and can support a plaintiff’s pleading burden. With only one long-tenured CLO, Street Whaley at 11 years, and an executive team data set of only one member, verifying robust internal controls for Caremark duties is challenging, increasing the risk of oversight failure claims. The primary D&amp;O exposure here is a compensation-related derivative action leveraging the chair duality and pay dissent against a board that may lack the structural independence to mount a rigorous defense.</w:t>
      </w:r>
    </w:p>
    <w:p>
      <w:pPr>
        <w:pStyle w:val="DOHeading1"/>
      </w:pPr>
      <w:r>
        <w:t>Section 5: Governance &amp; Leadership</w:t>
      </w:r>
    </w:p>
    <w:p>
      <w:pPr>
        <w:pStyle w:val="DOBody"/>
      </w:pPr>
      <w:r>
        <w:rPr>
          <w:rFonts w:ascii="Calibri" w:hAnsi="Calibri"/>
          <w:color w:val="333333"/>
          <w:sz w:val="20"/>
        </w:rPr>
        <w:t>Leadership team is stable with average tenure of 11.0 years. Compensation concerns include: 1 related-party transaction(s).</w:t>
      </w:r>
      <w:r>
        <w:rPr>
          <w:rFonts w:ascii="Consolas" w:hAnsi="Consolas"/>
          <w:color w:val="666666"/>
          <w:sz w:val="16"/>
        </w:rPr>
        <w:t xml:space="preserve">  [Rule-based synthesis of governance extraction results, 2026-04-03, LOW]</w:t>
      </w:r>
    </w:p>
    <w:p>
      <w:pPr>
        <w:pStyle w:val="DOHeading2"/>
      </w:pPr>
      <w:r>
        <w:t>Leadership Stability</w:t>
      </w:r>
    </w:p>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680"/>
            <w:shd w:fill="1A1446" w:val="clear"/>
          </w:tcPr>
          <w:p>
            <w:r>
              <w:rPr>
                <w:rFonts w:ascii="Calibri" w:hAnsi="Calibri"/>
                <w:b/>
                <w:color w:val="FFFFFF"/>
                <w:sz w:val="18"/>
              </w:rPr>
              <w:t>Name</w:t>
            </w:r>
          </w:p>
        </w:tc>
        <w:tc>
          <w:tcPr>
            <w:tcW w:type="dxa" w:w="1680"/>
            <w:shd w:fill="1A1446" w:val="clear"/>
          </w:tcPr>
          <w:p>
            <w:r>
              <w:rPr>
                <w:rFonts w:ascii="Calibri" w:hAnsi="Calibri"/>
                <w:b/>
                <w:color w:val="FFFFFF"/>
                <w:sz w:val="18"/>
              </w:rPr>
              <w:t>Title</w:t>
            </w:r>
          </w:p>
        </w:tc>
        <w:tc>
          <w:tcPr>
            <w:tcW w:type="dxa" w:w="1680"/>
            <w:shd w:fill="1A1446" w:val="clear"/>
          </w:tcPr>
          <w:p>
            <w:r>
              <w:rPr>
                <w:rFonts w:ascii="Calibri" w:hAnsi="Calibri"/>
                <w:b/>
                <w:color w:val="FFFFFF"/>
                <w:sz w:val="18"/>
              </w:rPr>
              <w:t>Tenure (Yrs)</w:t>
            </w:r>
          </w:p>
        </w:tc>
        <w:tc>
          <w:tcPr>
            <w:tcW w:type="dxa" w:w="1680"/>
            <w:shd w:fill="1A1446" w:val="clear"/>
          </w:tcPr>
          <w:p>
            <w:r>
              <w:rPr>
                <w:rFonts w:ascii="Calibri" w:hAnsi="Calibri"/>
                <w:b/>
                <w:color w:val="FFFFFF"/>
                <w:sz w:val="18"/>
              </w:rPr>
              <w:t>Status</w:t>
            </w:r>
          </w:p>
        </w:tc>
        <w:tc>
          <w:tcPr>
            <w:tcW w:type="dxa" w:w="1680"/>
            <w:shd w:fill="1A1446" w:val="clear"/>
          </w:tcPr>
          <w:p>
            <w:r>
              <w:rPr>
                <w:rFonts w:ascii="Calibri" w:hAnsi="Calibri"/>
                <w:b/>
                <w:color w:val="FFFFFF"/>
                <w:sz w:val="18"/>
              </w:rPr>
              <w:t>Prior Lit.</w:t>
            </w:r>
          </w:p>
        </w:tc>
        <w:tc>
          <w:tcPr>
            <w:tcW w:type="dxa" w:w="1680"/>
            <w:shd w:fill="1A1446" w:val="clear"/>
          </w:tcPr>
          <w:p>
            <w:r>
              <w:rPr>
                <w:rFonts w:ascii="Calibri" w:hAnsi="Calibri"/>
                <w:b/>
                <w:color w:val="FFFFFF"/>
                <w:sz w:val="18"/>
              </w:rPr>
              <w:t>Flags</w:t>
            </w:r>
          </w:p>
        </w:tc>
      </w:tr>
      <w:tr>
        <w:tc>
          <w:tcPr>
            <w:tcW w:type="dxa" w:w="1680"/>
          </w:tcPr>
          <w:p>
            <w:r>
              <w:rPr>
                <w:rFonts w:ascii="Calibri" w:hAnsi="Calibri"/>
                <w:color w:val="333333"/>
                <w:sz w:val="18"/>
              </w:rPr>
              <w:t>Street Whaley</w:t>
            </w:r>
          </w:p>
        </w:tc>
        <w:tc>
          <w:tcPr>
            <w:tcW w:type="dxa" w:w="1680"/>
          </w:tcPr>
          <w:p>
            <w:r>
              <w:rPr>
                <w:rFonts w:ascii="Calibri" w:hAnsi="Calibri"/>
                <w:color w:val="333333"/>
                <w:sz w:val="18"/>
              </w:rPr>
              <w:t>CLO</w:t>
            </w:r>
          </w:p>
        </w:tc>
        <w:tc>
          <w:tcPr>
            <w:tcW w:type="dxa" w:w="1680"/>
          </w:tcPr>
          <w:p>
            <w:r>
              <w:rPr>
                <w:rFonts w:ascii="Calibri" w:hAnsi="Calibri"/>
                <w:color w:val="333333"/>
                <w:sz w:val="18"/>
              </w:rPr>
              <w:t>11.0</w:t>
            </w:r>
          </w:p>
        </w:tc>
        <w:tc>
          <w:tcPr>
            <w:tcW w:type="dxa" w:w="1680"/>
          </w:tcPr>
          <w:p>
            <w:r>
              <w:rPr>
                <w:rFonts w:ascii="Calibri" w:hAnsi="Calibri"/>
                <w:color w:val="333333"/>
                <w:sz w:val="18"/>
              </w:rPr>
              <w:t>ACTIVE</w:t>
            </w:r>
          </w:p>
        </w:tc>
        <w:tc>
          <w:tcPr>
            <w:tcW w:type="dxa" w:w="1680"/>
          </w:tcPr>
          <w:p>
            <w:r>
              <w:rPr>
                <w:rFonts w:ascii="Calibri" w:hAnsi="Calibri"/>
                <w:color w:val="333333"/>
                <w:sz w:val="18"/>
              </w:rPr>
              <w:t>0</w:t>
            </w:r>
          </w:p>
        </w:tc>
        <w:tc>
          <w:tcPr>
            <w:tcW w:type="dxa" w:w="1680"/>
          </w:tcPr>
          <w:p>
            <w:r>
              <w:rPr>
                <w:rFonts w:ascii="Calibri" w:hAnsi="Calibri"/>
                <w:color w:val="333333"/>
                <w:sz w:val="18"/>
              </w:rPr>
              <w:t>None</w:t>
            </w:r>
          </w:p>
        </w:tc>
      </w:tr>
    </w:tbl>
    <w:p>
      <w:pPr>
        <w:pStyle w:val="DOBody"/>
      </w:pPr>
      <w:r>
        <w:rPr>
          <w:rFonts w:ascii="Calibri" w:hAnsi="Calibri"/>
          <w:color w:val="333333"/>
          <w:sz w:val="20"/>
        </w:rPr>
        <w:t>Leadership Stability Score: 100/100</w:t>
      </w:r>
      <w:r>
        <w:rPr>
          <w:rFonts w:ascii="Consolas" w:hAnsi="Consolas"/>
          <w:color w:val="666666"/>
          <w:sz w:val="16"/>
        </w:rPr>
        <w:t xml:space="preserve">  [leadership_profiles extractor, 2026-04-03, MEDIUM]</w:t>
      </w:r>
    </w:p>
    <w:p>
      <w:pPr>
        <w:pStyle w:val="DOHeading2"/>
      </w:pPr>
      <w:r>
        <w:t>Board Composition</w:t>
      </w:r>
    </w:p>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680"/>
            <w:shd w:fill="1A1446" w:val="clear"/>
          </w:tcPr>
          <w:p>
            <w:r>
              <w:rPr>
                <w:rFonts w:ascii="Calibri" w:hAnsi="Calibri"/>
                <w:b/>
                <w:color w:val="FFFFFF"/>
                <w:sz w:val="18"/>
              </w:rPr>
              <w:t>Name</w:t>
            </w:r>
          </w:p>
        </w:tc>
        <w:tc>
          <w:tcPr>
            <w:tcW w:type="dxa" w:w="1680"/>
            <w:shd w:fill="1A1446" w:val="clear"/>
          </w:tcPr>
          <w:p>
            <w:r>
              <w:rPr>
                <w:rFonts w:ascii="Calibri" w:hAnsi="Calibri"/>
                <w:b/>
                <w:color w:val="FFFFFF"/>
                <w:sz w:val="18"/>
              </w:rPr>
              <w:t>Tenure</w:t>
            </w:r>
          </w:p>
        </w:tc>
        <w:tc>
          <w:tcPr>
            <w:tcW w:type="dxa" w:w="1680"/>
            <w:shd w:fill="1A1446" w:val="clear"/>
          </w:tcPr>
          <w:p>
            <w:r>
              <w:rPr>
                <w:rFonts w:ascii="Calibri" w:hAnsi="Calibri"/>
                <w:b/>
                <w:color w:val="FFFFFF"/>
                <w:sz w:val="18"/>
              </w:rPr>
              <w:t>Independent</w:t>
            </w:r>
          </w:p>
        </w:tc>
        <w:tc>
          <w:tcPr>
            <w:tcW w:type="dxa" w:w="1680"/>
            <w:shd w:fill="1A1446" w:val="clear"/>
          </w:tcPr>
          <w:p>
            <w:r>
              <w:rPr>
                <w:rFonts w:ascii="Calibri" w:hAnsi="Calibri"/>
                <w:b/>
                <w:color w:val="FFFFFF"/>
                <w:sz w:val="18"/>
              </w:rPr>
              <w:t>Committees</w:t>
            </w:r>
          </w:p>
        </w:tc>
        <w:tc>
          <w:tcPr>
            <w:tcW w:type="dxa" w:w="1680"/>
            <w:shd w:fill="1A1446" w:val="clear"/>
          </w:tcPr>
          <w:p>
            <w:r>
              <w:rPr>
                <w:rFonts w:ascii="Calibri" w:hAnsi="Calibri"/>
                <w:b/>
                <w:color w:val="FFFFFF"/>
                <w:sz w:val="18"/>
              </w:rPr>
              <w:t>Other Boards</w:t>
            </w:r>
          </w:p>
        </w:tc>
        <w:tc>
          <w:tcPr>
            <w:tcW w:type="dxa" w:w="1680"/>
            <w:shd w:fill="1A1446" w:val="clear"/>
          </w:tcPr>
          <w:p>
            <w:r>
              <w:rPr>
                <w:rFonts w:ascii="Calibri" w:hAnsi="Calibri"/>
                <w:b/>
                <w:color w:val="FFFFFF"/>
                <w:sz w:val="18"/>
              </w:rPr>
              <w:t>Overboarded</w:t>
            </w:r>
          </w:p>
        </w:tc>
      </w:tr>
      <w:tr>
        <w:tc>
          <w:tcPr>
            <w:tcW w:type="dxa" w:w="1680"/>
          </w:tcPr>
          <w:p>
            <w:r>
              <w:rPr>
                <w:rFonts w:ascii="Calibri" w:hAnsi="Calibri"/>
                <w:color w:val="333333"/>
                <w:sz w:val="18"/>
              </w:rPr>
              <w:t>Mr. Jon R. Moeller</w:t>
            </w:r>
          </w:p>
        </w:tc>
        <w:tc>
          <w:tcPr>
            <w:tcW w:type="dxa" w:w="1680"/>
          </w:tcPr>
          <w:p>
            <w:r>
              <w:rPr>
                <w:rFonts w:ascii="Calibri" w:hAnsi="Calibri"/>
                <w:color w:val="333333"/>
                <w:sz w:val="18"/>
              </w:rPr>
              <w:t>N/A</w:t>
            </w:r>
          </w:p>
        </w:tc>
        <w:tc>
          <w:tcPr>
            <w:tcW w:type="dxa" w:w="1680"/>
          </w:tcPr>
          <w:p>
            <w:r>
              <w:rPr>
                <w:rFonts w:ascii="Calibri" w:hAnsi="Calibri"/>
                <w:color w:val="333333"/>
                <w:sz w:val="18"/>
              </w:rPr>
              <w:t>N/A</w:t>
            </w:r>
          </w:p>
        </w:tc>
        <w:tc>
          <w:tcPr>
            <w:tcW w:type="dxa" w:w="1680"/>
          </w:tcPr>
          <w:p>
            <w:r>
              <w:rPr>
                <w:rFonts w:ascii="Calibri" w:hAnsi="Calibri"/>
                <w:color w:val="333333"/>
                <w:sz w:val="18"/>
              </w:rPr>
              <w:t>N/A</w:t>
            </w:r>
          </w:p>
        </w:tc>
        <w:tc>
          <w:tcPr>
            <w:tcW w:type="dxa" w:w="1680"/>
          </w:tcPr>
          <w:p>
            <w:r>
              <w:rPr>
                <w:rFonts w:ascii="Calibri" w:hAnsi="Calibri"/>
                <w:color w:val="333333"/>
                <w:sz w:val="18"/>
              </w:rPr>
              <w:t>0</w:t>
            </w:r>
          </w:p>
        </w:tc>
        <w:tc>
          <w:tcPr>
            <w:tcW w:type="dxa" w:w="1680"/>
          </w:tcPr>
          <w:p>
            <w:r>
              <w:rPr>
                <w:rFonts w:ascii="Calibri" w:hAnsi="Calibri"/>
                <w:color w:val="333333"/>
                <w:sz w:val="18"/>
              </w:rPr>
              <w:t>No</w:t>
            </w:r>
          </w:p>
        </w:tc>
      </w:tr>
      <w:tr>
        <w:tc>
          <w:tcPr>
            <w:tcW w:type="dxa" w:w="1680"/>
            <w:shd w:fill="F2F4F8" w:val="clear"/>
          </w:tcPr>
          <w:p>
            <w:r>
              <w:rPr>
                <w:rFonts w:ascii="Calibri" w:hAnsi="Calibri"/>
                <w:color w:val="333333"/>
                <w:sz w:val="18"/>
              </w:rPr>
              <w:t>Mr. Shailesh G. Jejurikar</w:t>
            </w:r>
          </w:p>
        </w:tc>
        <w:tc>
          <w:tcPr>
            <w:tcW w:type="dxa" w:w="1680"/>
            <w:shd w:fill="F2F4F8" w:val="clear"/>
          </w:tcPr>
          <w:p>
            <w:r>
              <w:rPr>
                <w:rFonts w:ascii="Calibri" w:hAnsi="Calibri"/>
                <w:color w:val="333333"/>
                <w:sz w:val="18"/>
              </w:rPr>
              <w:t>N/A</w:t>
            </w:r>
          </w:p>
        </w:tc>
        <w:tc>
          <w:tcPr>
            <w:tcW w:type="dxa" w:w="1680"/>
            <w:shd w:fill="F2F4F8" w:val="clear"/>
          </w:tcPr>
          <w:p>
            <w:r>
              <w:rPr>
                <w:rFonts w:ascii="Calibri" w:hAnsi="Calibri"/>
                <w:color w:val="333333"/>
                <w:sz w:val="18"/>
              </w:rPr>
              <w:t>N/A</w:t>
            </w:r>
          </w:p>
        </w:tc>
        <w:tc>
          <w:tcPr>
            <w:tcW w:type="dxa" w:w="1680"/>
            <w:shd w:fill="F2F4F8" w:val="clear"/>
          </w:tcPr>
          <w:p>
            <w:r>
              <w:rPr>
                <w:rFonts w:ascii="Calibri" w:hAnsi="Calibri"/>
                <w:color w:val="333333"/>
                <w:sz w:val="18"/>
              </w:rPr>
              <w:t>N/A</w:t>
            </w:r>
          </w:p>
        </w:tc>
        <w:tc>
          <w:tcPr>
            <w:tcW w:type="dxa" w:w="1680"/>
            <w:shd w:fill="F2F4F8" w:val="clear"/>
          </w:tcPr>
          <w:p>
            <w:r>
              <w:rPr>
                <w:rFonts w:ascii="Calibri" w:hAnsi="Calibri"/>
                <w:color w:val="333333"/>
                <w:sz w:val="18"/>
              </w:rPr>
              <w:t>0</w:t>
            </w:r>
          </w:p>
        </w:tc>
        <w:tc>
          <w:tcPr>
            <w:tcW w:type="dxa" w:w="1680"/>
            <w:shd w:fill="F2F4F8" w:val="clear"/>
          </w:tcPr>
          <w:p>
            <w:r>
              <w:rPr>
                <w:rFonts w:ascii="Calibri" w:hAnsi="Calibri"/>
                <w:color w:val="333333"/>
                <w:sz w:val="18"/>
              </w:rPr>
              <w:t>No</w:t>
            </w:r>
          </w:p>
        </w:tc>
      </w:tr>
      <w:tr>
        <w:tc>
          <w:tcPr>
            <w:tcW w:type="dxa" w:w="1680"/>
          </w:tcPr>
          <w:p>
            <w:r>
              <w:rPr>
                <w:rFonts w:ascii="Calibri" w:hAnsi="Calibri"/>
                <w:color w:val="333333"/>
                <w:sz w:val="18"/>
              </w:rPr>
              <w:t>Ms. Jennifer L. Davis</w:t>
            </w:r>
          </w:p>
        </w:tc>
        <w:tc>
          <w:tcPr>
            <w:tcW w:type="dxa" w:w="1680"/>
          </w:tcPr>
          <w:p>
            <w:r>
              <w:rPr>
                <w:rFonts w:ascii="Calibri" w:hAnsi="Calibri"/>
                <w:color w:val="333333"/>
                <w:sz w:val="18"/>
              </w:rPr>
              <w:t>N/A</w:t>
            </w:r>
          </w:p>
        </w:tc>
        <w:tc>
          <w:tcPr>
            <w:tcW w:type="dxa" w:w="1680"/>
          </w:tcPr>
          <w:p>
            <w:r>
              <w:rPr>
                <w:rFonts w:ascii="Calibri" w:hAnsi="Calibri"/>
                <w:color w:val="333333"/>
                <w:sz w:val="18"/>
              </w:rPr>
              <w:t>N/A</w:t>
            </w:r>
          </w:p>
        </w:tc>
        <w:tc>
          <w:tcPr>
            <w:tcW w:type="dxa" w:w="1680"/>
          </w:tcPr>
          <w:p>
            <w:r>
              <w:rPr>
                <w:rFonts w:ascii="Calibri" w:hAnsi="Calibri"/>
                <w:color w:val="333333"/>
                <w:sz w:val="18"/>
              </w:rPr>
              <w:t>N/A</w:t>
            </w:r>
          </w:p>
        </w:tc>
        <w:tc>
          <w:tcPr>
            <w:tcW w:type="dxa" w:w="1680"/>
          </w:tcPr>
          <w:p>
            <w:r>
              <w:rPr>
                <w:rFonts w:ascii="Calibri" w:hAnsi="Calibri"/>
                <w:color w:val="333333"/>
                <w:sz w:val="18"/>
              </w:rPr>
              <w:t>0</w:t>
            </w:r>
          </w:p>
        </w:tc>
        <w:tc>
          <w:tcPr>
            <w:tcW w:type="dxa" w:w="1680"/>
          </w:tcPr>
          <w:p>
            <w:r>
              <w:rPr>
                <w:rFonts w:ascii="Calibri" w:hAnsi="Calibri"/>
                <w:color w:val="333333"/>
                <w:sz w:val="18"/>
              </w:rPr>
              <w:t>No</w:t>
            </w:r>
          </w:p>
        </w:tc>
      </w:tr>
      <w:tr>
        <w:tc>
          <w:tcPr>
            <w:tcW w:type="dxa" w:w="1680"/>
            <w:shd w:fill="F2F4F8" w:val="clear"/>
          </w:tcPr>
          <w:p>
            <w:r>
              <w:rPr>
                <w:rFonts w:ascii="Calibri" w:hAnsi="Calibri"/>
                <w:color w:val="333333"/>
                <w:sz w:val="18"/>
              </w:rPr>
              <w:t>Mr. Sundar G. Raman</w:t>
            </w:r>
          </w:p>
        </w:tc>
        <w:tc>
          <w:tcPr>
            <w:tcW w:type="dxa" w:w="1680"/>
            <w:shd w:fill="F2F4F8" w:val="clear"/>
          </w:tcPr>
          <w:p>
            <w:r>
              <w:rPr>
                <w:rFonts w:ascii="Calibri" w:hAnsi="Calibri"/>
                <w:color w:val="333333"/>
                <w:sz w:val="18"/>
              </w:rPr>
              <w:t>N/A</w:t>
            </w:r>
          </w:p>
        </w:tc>
        <w:tc>
          <w:tcPr>
            <w:tcW w:type="dxa" w:w="1680"/>
            <w:shd w:fill="F2F4F8" w:val="clear"/>
          </w:tcPr>
          <w:p>
            <w:r>
              <w:rPr>
                <w:rFonts w:ascii="Calibri" w:hAnsi="Calibri"/>
                <w:color w:val="333333"/>
                <w:sz w:val="18"/>
              </w:rPr>
              <w:t>N/A</w:t>
            </w:r>
          </w:p>
        </w:tc>
        <w:tc>
          <w:tcPr>
            <w:tcW w:type="dxa" w:w="1680"/>
            <w:shd w:fill="F2F4F8" w:val="clear"/>
          </w:tcPr>
          <w:p>
            <w:r>
              <w:rPr>
                <w:rFonts w:ascii="Calibri" w:hAnsi="Calibri"/>
                <w:color w:val="333333"/>
                <w:sz w:val="18"/>
              </w:rPr>
              <w:t>N/A</w:t>
            </w:r>
          </w:p>
        </w:tc>
        <w:tc>
          <w:tcPr>
            <w:tcW w:type="dxa" w:w="1680"/>
            <w:shd w:fill="F2F4F8" w:val="clear"/>
          </w:tcPr>
          <w:p>
            <w:r>
              <w:rPr>
                <w:rFonts w:ascii="Calibri" w:hAnsi="Calibri"/>
                <w:color w:val="333333"/>
                <w:sz w:val="18"/>
              </w:rPr>
              <w:t>0</w:t>
            </w:r>
          </w:p>
        </w:tc>
        <w:tc>
          <w:tcPr>
            <w:tcW w:type="dxa" w:w="1680"/>
            <w:shd w:fill="F2F4F8" w:val="clear"/>
          </w:tcPr>
          <w:p>
            <w:r>
              <w:rPr>
                <w:rFonts w:ascii="Calibri" w:hAnsi="Calibri"/>
                <w:color w:val="333333"/>
                <w:sz w:val="18"/>
              </w:rPr>
              <w:t>No</w:t>
            </w:r>
          </w:p>
        </w:tc>
      </w:tr>
    </w:tbl>
    <w:p>
      <w:pPr>
        <w:pStyle w:val="DOBody"/>
        <w:shd w:fill="FFF3CD" w:val="clear"/>
      </w:pPr>
      <w:r>
        <w:rPr>
          <w:b/>
          <w:color w:val="EAB308"/>
          <w:sz w:val="18"/>
        </w:rPr>
        <w:t xml:space="preserve">[ELEVATED] </w:t>
      </w:r>
      <w:r>
        <w:rPr>
          <w:b/>
          <w:sz w:val="20"/>
        </w:rPr>
        <w:t>CEO/Chair Duality</w:t>
      </w:r>
      <w:r>
        <w:rPr>
          <w:color w:val="666666"/>
          <w:sz w:val="16"/>
        </w:rPr>
        <w:t xml:space="preserve"> -- Single individual holds both CEO and Board Chair roles</w:t>
      </w:r>
    </w:p>
    <w:p>
      <w:pPr>
        <w:pStyle w:val="DOCaption"/>
        <w:ind w:left="360"/>
      </w:pPr>
      <w:r>
        <w:rPr>
          <w:i/>
          <w:color w:val="666666"/>
          <w:sz w:val="18"/>
        </w:rPr>
        <w:t>Context: Companies with CEO/Chair duality face 1.8x higher derivative suit filing rates due to governance concentration.</w:t>
      </w:r>
    </w:p>
    <w:p>
      <w:pPr>
        <w:pStyle w:val="DOBody"/>
      </w:pPr>
      <w:r>
        <w:rPr>
          <w:i/>
          <w:color w:val="FFD000"/>
          <w:sz w:val="18"/>
        </w:rPr>
        <w:t>See Meeting Prep: Governance Structure</w:t>
      </w:r>
    </w:p>
    <w:p>
      <w:pPr>
        <w:pStyle w:val="DOHeading3"/>
      </w:pPr>
      <w:r>
        <w:t>Board Quality Metrics</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Metric</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Board Size</w:t>
            </w:r>
          </w:p>
        </w:tc>
        <w:tc>
          <w:tcPr>
            <w:tcW w:type="dxa" w:w="5040"/>
          </w:tcPr>
          <w:p>
            <w:r>
              <w:rPr>
                <w:rFonts w:ascii="Calibri" w:hAnsi="Calibri"/>
                <w:color w:val="333333"/>
                <w:sz w:val="18"/>
              </w:rPr>
              <w:t>N/A</w:t>
            </w:r>
          </w:p>
        </w:tc>
      </w:tr>
      <w:tr>
        <w:tc>
          <w:tcPr>
            <w:tcW w:type="dxa" w:w="5040"/>
            <w:shd w:fill="F2F4F8" w:val="clear"/>
          </w:tcPr>
          <w:p>
            <w:r>
              <w:rPr>
                <w:rFonts w:ascii="Calibri" w:hAnsi="Calibri"/>
                <w:color w:val="333333"/>
                <w:sz w:val="18"/>
              </w:rPr>
              <w:t>Independence Ratio</w:t>
            </w:r>
          </w:p>
        </w:tc>
        <w:tc>
          <w:tcPr>
            <w:tcW w:type="dxa" w:w="5040"/>
            <w:shd w:fill="F2F4F8" w:val="clear"/>
          </w:tcPr>
          <w:p>
            <w:r>
              <w:rPr>
                <w:rFonts w:ascii="Calibri" w:hAnsi="Calibri"/>
                <w:color w:val="333333"/>
                <w:sz w:val="18"/>
              </w:rPr>
              <w:t>N/A</w:t>
            </w:r>
          </w:p>
        </w:tc>
      </w:tr>
      <w:tr>
        <w:tc>
          <w:tcPr>
            <w:tcW w:type="dxa" w:w="5040"/>
          </w:tcPr>
          <w:p>
            <w:r>
              <w:rPr>
                <w:rFonts w:ascii="Calibri" w:hAnsi="Calibri"/>
                <w:color w:val="333333"/>
                <w:sz w:val="18"/>
              </w:rPr>
              <w:t>CEO/Chair Duality</w:t>
            </w:r>
          </w:p>
        </w:tc>
        <w:tc>
          <w:tcPr>
            <w:tcW w:type="dxa" w:w="5040"/>
          </w:tcPr>
          <w:p>
            <w:r>
              <w:rPr>
                <w:rFonts w:ascii="Calibri" w:hAnsi="Calibri"/>
                <w:color w:val="333333"/>
                <w:sz w:val="18"/>
              </w:rPr>
              <w:t>Yes</w:t>
            </w:r>
          </w:p>
        </w:tc>
      </w:tr>
      <w:tr>
        <w:tc>
          <w:tcPr>
            <w:tcW w:type="dxa" w:w="5040"/>
            <w:shd w:fill="F2F4F8" w:val="clear"/>
          </w:tcPr>
          <w:p>
            <w:r>
              <w:rPr>
                <w:rFonts w:ascii="Calibri" w:hAnsi="Calibri"/>
                <w:color w:val="333333"/>
                <w:sz w:val="18"/>
              </w:rPr>
              <w:t>Classified Board</w:t>
            </w:r>
          </w:p>
        </w:tc>
        <w:tc>
          <w:tcPr>
            <w:tcW w:type="dxa" w:w="5040"/>
            <w:shd w:fill="F2F4F8" w:val="clear"/>
          </w:tcPr>
          <w:p>
            <w:r>
              <w:rPr>
                <w:rFonts w:ascii="Calibri" w:hAnsi="Calibri"/>
                <w:color w:val="333333"/>
                <w:sz w:val="18"/>
              </w:rPr>
              <w:t>N/A</w:t>
            </w:r>
          </w:p>
        </w:tc>
      </w:tr>
      <w:tr>
        <w:tc>
          <w:tcPr>
            <w:tcW w:type="dxa" w:w="5040"/>
          </w:tcPr>
          <w:p>
            <w:r>
              <w:rPr>
                <w:rFonts w:ascii="Calibri" w:hAnsi="Calibri"/>
                <w:color w:val="333333"/>
                <w:sz w:val="18"/>
              </w:rPr>
              <w:t>Overboarded Directors</w:t>
            </w:r>
          </w:p>
        </w:tc>
        <w:tc>
          <w:tcPr>
            <w:tcW w:type="dxa" w:w="5040"/>
          </w:tcPr>
          <w:p>
            <w:r>
              <w:rPr>
                <w:rFonts w:ascii="Calibri" w:hAnsi="Calibri"/>
                <w:color w:val="333333"/>
                <w:sz w:val="18"/>
              </w:rPr>
              <w:t>N/A</w:t>
            </w:r>
          </w:p>
        </w:tc>
      </w:tr>
      <w:tr>
        <w:tc>
          <w:tcPr>
            <w:tcW w:type="dxa" w:w="5040"/>
            <w:shd w:fill="F2F4F8" w:val="clear"/>
          </w:tcPr>
          <w:p>
            <w:r>
              <w:rPr>
                <w:rFonts w:ascii="Calibri" w:hAnsi="Calibri"/>
                <w:color w:val="333333"/>
                <w:sz w:val="18"/>
              </w:rPr>
              <w:t>Dual-Class Structure</w:t>
            </w:r>
          </w:p>
        </w:tc>
        <w:tc>
          <w:tcPr>
            <w:tcW w:type="dxa" w:w="5040"/>
            <w:shd w:fill="F2F4F8" w:val="clear"/>
          </w:tcPr>
          <w:p>
            <w:r>
              <w:rPr>
                <w:rFonts w:ascii="Calibri" w:hAnsi="Calibri"/>
                <w:color w:val="333333"/>
                <w:sz w:val="18"/>
              </w:rPr>
              <w:t>N/A</w:t>
            </w:r>
          </w:p>
        </w:tc>
      </w:tr>
    </w:tbl>
    <w:p>
      <w:pPr>
        <w:pStyle w:val="DOBody"/>
      </w:pPr>
      <w:r>
        <w:rPr>
          <w:i/>
          <w:sz w:val="16"/>
        </w:rPr>
        <w:t>D&amp;O Context: CEO/Chair duality reduces board independence in oversight of management, increasing derivative suit risk.</w:t>
      </w:r>
      <w:r>
        <w:rPr>
          <w:b/>
          <w:color w:val="EAB308"/>
          <w:sz w:val="18"/>
        </w:rPr>
        <w:t xml:space="preserve"> [ELEVATED]</w:t>
      </w:r>
    </w:p>
    <w:p>
      <w:pPr>
        <w:pStyle w:val="DOHeading2"/>
      </w:pPr>
      <w:r>
        <w:t>Compensation Analysis</w:t>
      </w:r>
    </w:p>
    <w:p>
      <w:pPr>
        <w:pStyle w:val="DOHeading3"/>
      </w:pPr>
      <w:r>
        <w:t>Summary Compensation Table</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Component</w:t>
            </w:r>
          </w:p>
        </w:tc>
        <w:tc>
          <w:tcPr>
            <w:tcW w:type="dxa" w:w="5040"/>
            <w:shd w:fill="1A1446" w:val="clear"/>
          </w:tcPr>
          <w:p>
            <w:r>
              <w:rPr>
                <w:rFonts w:ascii="Calibri" w:hAnsi="Calibri"/>
                <w:b/>
                <w:color w:val="FFFFFF"/>
                <w:sz w:val="18"/>
              </w:rPr>
              <w:t>Amount</w:t>
            </w:r>
          </w:p>
        </w:tc>
      </w:tr>
      <w:tr>
        <w:tc>
          <w:tcPr>
            <w:tcW w:type="dxa" w:w="5040"/>
          </w:tcPr>
          <w:p>
            <w:r>
              <w:rPr>
                <w:rFonts w:ascii="Calibri" w:hAnsi="Calibri"/>
                <w:color w:val="333333"/>
                <w:sz w:val="18"/>
              </w:rPr>
              <w:t>Total CEO Compensation</w:t>
            </w:r>
          </w:p>
        </w:tc>
        <w:tc>
          <w:tcPr>
            <w:tcW w:type="dxa" w:w="5040"/>
          </w:tcPr>
          <w:p>
            <w:r>
              <w:rPr>
                <w:rFonts w:ascii="Calibri" w:hAnsi="Calibri"/>
                <w:color w:val="333333"/>
                <w:sz w:val="18"/>
              </w:rPr>
              <w:t>$0</w:t>
            </w:r>
          </w:p>
        </w:tc>
      </w:tr>
    </w:tbl>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Metric</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CEO Pay Ratio</w:t>
            </w:r>
          </w:p>
        </w:tc>
        <w:tc>
          <w:tcPr>
            <w:tcW w:type="dxa" w:w="5040"/>
          </w:tcPr>
          <w:p>
            <w:r>
              <w:rPr>
                <w:rFonts w:ascii="Calibri" w:hAnsi="Calibri"/>
                <w:color w:val="333333"/>
                <w:sz w:val="18"/>
              </w:rPr>
              <w:t>276:1</w:t>
            </w:r>
          </w:p>
        </w:tc>
      </w:tr>
    </w:tbl>
    <w:p>
      <w:pPr>
        <w:pStyle w:val="DOHeading3"/>
      </w:pPr>
      <w:r>
        <w:t>Compensation Structure</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Component</w:t>
            </w:r>
          </w:p>
        </w:tc>
        <w:tc>
          <w:tcPr>
            <w:tcW w:type="dxa" w:w="5040"/>
            <w:shd w:fill="1A1446" w:val="clear"/>
          </w:tcPr>
          <w:p>
            <w:r>
              <w:rPr>
                <w:rFonts w:ascii="Calibri" w:hAnsi="Calibri"/>
                <w:b/>
                <w:color w:val="FFFFFF"/>
                <w:sz w:val="18"/>
              </w:rPr>
              <w:t>Detail</w:t>
            </w:r>
          </w:p>
        </w:tc>
      </w:tr>
      <w:tr>
        <w:tc>
          <w:tcPr>
            <w:tcW w:type="dxa" w:w="5040"/>
          </w:tcPr>
          <w:p>
            <w:r>
              <w:rPr>
                <w:rFonts w:ascii="Calibri" w:hAnsi="Calibri"/>
                <w:color w:val="333333"/>
                <w:sz w:val="18"/>
              </w:rPr>
              <w:t>Clawback Policy</w:t>
            </w:r>
          </w:p>
        </w:tc>
        <w:tc>
          <w:tcPr>
            <w:tcW w:type="dxa" w:w="5040"/>
          </w:tcPr>
          <w:p>
            <w:r>
              <w:rPr>
                <w:rFonts w:ascii="Calibri" w:hAnsi="Calibri"/>
                <w:color w:val="333333"/>
                <w:sz w:val="18"/>
              </w:rPr>
              <w:t>Yes</w:t>
            </w:r>
          </w:p>
        </w:tc>
      </w:tr>
      <w:tr>
        <w:tc>
          <w:tcPr>
            <w:tcW w:type="dxa" w:w="5040"/>
            <w:shd w:fill="F2F4F8" w:val="clear"/>
          </w:tcPr>
          <w:p>
            <w:r>
              <w:rPr>
                <w:rFonts w:ascii="Calibri" w:hAnsi="Calibri"/>
                <w:color w:val="333333"/>
                <w:sz w:val="18"/>
              </w:rPr>
              <w:t>Clawback Scope</w:t>
            </w:r>
          </w:p>
        </w:tc>
        <w:tc>
          <w:tcPr>
            <w:tcW w:type="dxa" w:w="5040"/>
            <w:shd w:fill="F2F4F8" w:val="clear"/>
          </w:tcPr>
          <w:p>
            <w:r>
              <w:rPr>
                <w:rFonts w:ascii="Calibri" w:hAnsi="Calibri"/>
                <w:color w:val="333333"/>
                <w:sz w:val="18"/>
              </w:rPr>
              <w:t>BROADER</w:t>
            </w:r>
          </w:p>
        </w:tc>
      </w:tr>
    </w:tbl>
    <w:p>
      <w:pPr>
        <w:pStyle w:val="DOHeading3"/>
      </w:pPr>
      <w:r>
        <w:t>Compensation Red Flags</w:t>
      </w:r>
    </w:p>
    <w:p>
      <w:pPr>
        <w:pStyle w:val="DOBody"/>
      </w:pPr>
      <w:r>
        <w:t>Related-Party Transactions (1): Related-party transactions between executives and company require enhanced disclosure and increase Caremark derivative claim exposure.</w:t>
      </w:r>
      <w:r>
        <w:rPr>
          <w:b/>
          <w:color w:val="EAB308"/>
          <w:sz w:val="18"/>
        </w:rPr>
        <w:t xml:space="preserve"> [ELEVATED]</w:t>
      </w:r>
    </w:p>
    <w:p>
      <w:pPr>
        <w:pStyle w:val="DOBody"/>
      </w:pPr>
      <w:r>
        <w:t>Notable Perquisites: Any senior executives who enroll will be taxed on the benefit value of these services and the Company will not provide any tax gross-ups for these services, Executive Benefits The Company provides certain other limited benefits to senior executives to fulfill particular business purposes, which are primarily for convenience and personal security, However, certain expatriate allowances, relocation reimbursements, and tax equalization payments are made to employees assigned to work outside their home countries, and the Company will cover the personal income taxes due on these items in accordance with expatriate policy because there is a busine: Above-peer perquisites draw proxy advisory negative recommendations.</w:t>
      </w:r>
      <w:r>
        <w:rPr>
          <w:b/>
          <w:color w:val="EAB308"/>
          <w:sz w:val="18"/>
        </w:rPr>
        <w:t xml:space="preserve"> [ELEVATED]</w:t>
      </w:r>
    </w:p>
    <w:p>
      <w:pPr>
        <w:pStyle w:val="DOHeading2"/>
      </w:pPr>
      <w:r>
        <w:t>Ownership Structure</w:t>
      </w:r>
    </w:p>
    <w:p>
      <w:r>
        <w:drawing>
          <wp:inline xmlns:a="http://schemas.openxmlformats.org/drawingml/2006/main" xmlns:pic="http://schemas.openxmlformats.org/drawingml/2006/picture">
            <wp:extent cx="5943600" cy="5430893"/>
            <wp:docPr id="12" name="Picture 12"/>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943600" cy="5430893"/>
                    </a:xfrm>
                    <a:prstGeom prst="rect"/>
                  </pic:spPr>
                </pic:pic>
              </a:graphicData>
            </a:graphic>
          </wp:inline>
        </w:drawing>
      </w:r>
    </w:p>
    <w:p>
      <w:pPr>
        <w:pStyle w:val="DOCaption"/>
      </w:pPr>
      <w:r>
        <w:t>Figure: Ownership breakdown -- institutional, insider, retail float</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Category</w:t>
            </w:r>
          </w:p>
        </w:tc>
        <w:tc>
          <w:tcPr>
            <w:tcW w:type="dxa" w:w="5040"/>
            <w:shd w:fill="1A1446" w:val="clear"/>
          </w:tcPr>
          <w:p>
            <w:r>
              <w:rPr>
                <w:rFonts w:ascii="Calibri" w:hAnsi="Calibri"/>
                <w:b/>
                <w:color w:val="FFFFFF"/>
                <w:sz w:val="18"/>
              </w:rPr>
              <w:t>Percentage</w:t>
            </w:r>
          </w:p>
        </w:tc>
      </w:tr>
      <w:tr>
        <w:tc>
          <w:tcPr>
            <w:tcW w:type="dxa" w:w="5040"/>
          </w:tcPr>
          <w:p>
            <w:r>
              <w:rPr>
                <w:rFonts w:ascii="Calibri" w:hAnsi="Calibri"/>
                <w:color w:val="333333"/>
                <w:sz w:val="18"/>
              </w:rPr>
              <w:t>Institutional Ownership</w:t>
            </w:r>
          </w:p>
        </w:tc>
        <w:tc>
          <w:tcPr>
            <w:tcW w:type="dxa" w:w="5040"/>
          </w:tcPr>
          <w:p>
            <w:r>
              <w:rPr>
                <w:rFonts w:ascii="Calibri" w:hAnsi="Calibri"/>
                <w:color w:val="333333"/>
                <w:sz w:val="18"/>
              </w:rPr>
              <w:t>70.4%</w:t>
            </w:r>
          </w:p>
        </w:tc>
      </w:tr>
      <w:tr>
        <w:tc>
          <w:tcPr>
            <w:tcW w:type="dxa" w:w="5040"/>
            <w:shd w:fill="F2F4F8" w:val="clear"/>
          </w:tcPr>
          <w:p>
            <w:r>
              <w:rPr>
                <w:rFonts w:ascii="Calibri" w:hAnsi="Calibri"/>
                <w:color w:val="333333"/>
                <w:sz w:val="18"/>
              </w:rPr>
              <w:t>Insider Ownership</w:t>
            </w:r>
          </w:p>
        </w:tc>
        <w:tc>
          <w:tcPr>
            <w:tcW w:type="dxa" w:w="5040"/>
            <w:shd w:fill="F2F4F8" w:val="clear"/>
          </w:tcPr>
          <w:p>
            <w:r>
              <w:rPr>
                <w:rFonts w:ascii="Calibri" w:hAnsi="Calibri"/>
                <w:color w:val="333333"/>
                <w:sz w:val="18"/>
              </w:rPr>
              <w:t>0.1%</w:t>
            </w:r>
          </w:p>
        </w:tc>
      </w:tr>
      <w:tr>
        <w:tc>
          <w:tcPr>
            <w:tcW w:type="dxa" w:w="5040"/>
          </w:tcPr>
          <w:p>
            <w:r>
              <w:rPr>
                <w:rFonts w:ascii="Calibri" w:hAnsi="Calibri"/>
                <w:color w:val="333333"/>
                <w:sz w:val="18"/>
              </w:rPr>
              <w:t>Retail Float</w:t>
            </w:r>
          </w:p>
        </w:tc>
        <w:tc>
          <w:tcPr>
            <w:tcW w:type="dxa" w:w="5040"/>
          </w:tcPr>
          <w:p>
            <w:r>
              <w:rPr>
                <w:rFonts w:ascii="Calibri" w:hAnsi="Calibri"/>
                <w:color w:val="333333"/>
                <w:sz w:val="18"/>
              </w:rPr>
              <w:t>29.5%</w:t>
            </w:r>
          </w:p>
        </w:tc>
      </w:tr>
    </w:tbl>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Top Holder</w:t>
            </w:r>
          </w:p>
        </w:tc>
        <w:tc>
          <w:tcPr>
            <w:tcW w:type="dxa" w:w="5040"/>
            <w:shd w:fill="1A1446" w:val="clear"/>
          </w:tcPr>
          <w:p>
            <w:r>
              <w:rPr>
                <w:rFonts w:ascii="Calibri" w:hAnsi="Calibri"/>
                <w:b/>
                <w:color w:val="FFFFFF"/>
                <w:sz w:val="18"/>
              </w:rPr>
              <w:t>Ownership %</w:t>
            </w:r>
          </w:p>
        </w:tc>
      </w:tr>
      <w:tr>
        <w:tc>
          <w:tcPr>
            <w:tcW w:type="dxa" w:w="5040"/>
          </w:tcPr>
          <w:p>
            <w:r>
              <w:rPr>
                <w:rFonts w:ascii="Calibri" w:hAnsi="Calibri"/>
                <w:color w:val="333333"/>
                <w:sz w:val="18"/>
              </w:rPr>
              <w:t>Vanguard Group Inc</w:t>
            </w:r>
          </w:p>
        </w:tc>
        <w:tc>
          <w:tcPr>
            <w:tcW w:type="dxa" w:w="5040"/>
          </w:tcPr>
          <w:p>
            <w:r>
              <w:rPr>
                <w:rFonts w:ascii="Calibri" w:hAnsi="Calibri"/>
                <w:color w:val="333333"/>
                <w:sz w:val="18"/>
              </w:rPr>
              <w:t>0.1%</w:t>
            </w:r>
          </w:p>
        </w:tc>
      </w:tr>
      <w:tr>
        <w:tc>
          <w:tcPr>
            <w:tcW w:type="dxa" w:w="5040"/>
            <w:shd w:fill="F2F4F8" w:val="clear"/>
          </w:tcPr>
          <w:p>
            <w:r>
              <w:rPr>
                <w:rFonts w:ascii="Calibri" w:hAnsi="Calibri"/>
                <w:color w:val="333333"/>
                <w:sz w:val="18"/>
              </w:rPr>
              <w:t>Blackrock Inc.</w:t>
            </w:r>
          </w:p>
        </w:tc>
        <w:tc>
          <w:tcPr>
            <w:tcW w:type="dxa" w:w="5040"/>
            <w:shd w:fill="F2F4F8" w:val="clear"/>
          </w:tcPr>
          <w:p>
            <w:r>
              <w:rPr>
                <w:rFonts w:ascii="Calibri" w:hAnsi="Calibri"/>
                <w:color w:val="333333"/>
                <w:sz w:val="18"/>
              </w:rPr>
              <w:t>0.1%</w:t>
            </w:r>
          </w:p>
        </w:tc>
      </w:tr>
      <w:tr>
        <w:tc>
          <w:tcPr>
            <w:tcW w:type="dxa" w:w="5040"/>
          </w:tcPr>
          <w:p>
            <w:r>
              <w:rPr>
                <w:rFonts w:ascii="Calibri" w:hAnsi="Calibri"/>
                <w:color w:val="333333"/>
                <w:sz w:val="18"/>
              </w:rPr>
              <w:t>State Street Corporation</w:t>
            </w:r>
          </w:p>
        </w:tc>
        <w:tc>
          <w:tcPr>
            <w:tcW w:type="dxa" w:w="5040"/>
          </w:tcPr>
          <w:p>
            <w:r>
              <w:rPr>
                <w:rFonts w:ascii="Calibri" w:hAnsi="Calibri"/>
                <w:color w:val="333333"/>
                <w:sz w:val="18"/>
              </w:rPr>
              <w:t>0.0%</w:t>
            </w:r>
          </w:p>
        </w:tc>
      </w:tr>
      <w:tr>
        <w:tc>
          <w:tcPr>
            <w:tcW w:type="dxa" w:w="5040"/>
            <w:shd w:fill="F2F4F8" w:val="clear"/>
          </w:tcPr>
          <w:p>
            <w:r>
              <w:rPr>
                <w:rFonts w:ascii="Calibri" w:hAnsi="Calibri"/>
                <w:color w:val="333333"/>
                <w:sz w:val="18"/>
              </w:rPr>
              <w:t>Geode Capital Management, LLC</w:t>
            </w:r>
          </w:p>
        </w:tc>
        <w:tc>
          <w:tcPr>
            <w:tcW w:type="dxa" w:w="5040"/>
            <w:shd w:fill="F2F4F8" w:val="clear"/>
          </w:tcPr>
          <w:p>
            <w:r>
              <w:rPr>
                <w:rFonts w:ascii="Calibri" w:hAnsi="Calibri"/>
                <w:color w:val="333333"/>
                <w:sz w:val="18"/>
              </w:rPr>
              <w:t>0.0%</w:t>
            </w:r>
          </w:p>
        </w:tc>
      </w:tr>
      <w:tr>
        <w:tc>
          <w:tcPr>
            <w:tcW w:type="dxa" w:w="5040"/>
          </w:tcPr>
          <w:p>
            <w:r>
              <w:rPr>
                <w:rFonts w:ascii="Calibri" w:hAnsi="Calibri"/>
                <w:color w:val="333333"/>
                <w:sz w:val="18"/>
              </w:rPr>
              <w:t>Morgan Stanley</w:t>
            </w:r>
          </w:p>
        </w:tc>
        <w:tc>
          <w:tcPr>
            <w:tcW w:type="dxa" w:w="5040"/>
          </w:tcPr>
          <w:p>
            <w:r>
              <w:rPr>
                <w:rFonts w:ascii="Calibri" w:hAnsi="Calibri"/>
                <w:color w:val="333333"/>
                <w:sz w:val="18"/>
              </w:rPr>
              <w:t>0.0%</w:t>
            </w:r>
          </w:p>
        </w:tc>
      </w:tr>
    </w:tbl>
    <w:p>
      <w:pPr>
        <w:pStyle w:val="DOHeading2"/>
      </w:pPr>
      <w:r>
        <w:t>Sentiment &amp; Narrative Coherence</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Signal</w:t>
            </w:r>
          </w:p>
        </w:tc>
        <w:tc>
          <w:tcPr>
            <w:tcW w:type="dxa" w:w="5040"/>
            <w:shd w:fill="1A1446" w:val="clear"/>
          </w:tcPr>
          <w:p>
            <w:r>
              <w:rPr>
                <w:rFonts w:ascii="Calibri" w:hAnsi="Calibri"/>
                <w:b/>
                <w:color w:val="FFFFFF"/>
                <w:sz w:val="18"/>
              </w:rPr>
              <w:t>Assessment</w:t>
            </w:r>
          </w:p>
        </w:tc>
      </w:tr>
      <w:tr>
        <w:tc>
          <w:tcPr>
            <w:tcW w:type="dxa" w:w="5040"/>
          </w:tcPr>
          <w:p>
            <w:r>
              <w:rPr>
                <w:rFonts w:ascii="Calibri" w:hAnsi="Calibri"/>
                <w:color w:val="333333"/>
                <w:sz w:val="18"/>
              </w:rPr>
              <w:t>Narrative Coherence</w:t>
            </w:r>
          </w:p>
        </w:tc>
        <w:tc>
          <w:tcPr>
            <w:tcW w:type="dxa" w:w="5040"/>
          </w:tcPr>
          <w:p>
            <w:r>
              <w:rPr>
                <w:rFonts w:ascii="Calibri" w:hAnsi="Calibri"/>
                <w:color w:val="333333"/>
                <w:sz w:val="18"/>
              </w:rPr>
              <w:t>COHERENT</w:t>
            </w:r>
          </w:p>
        </w:tc>
      </w:tr>
    </w:tbl>
    <w:p>
      <w:pPr>
        <w:pStyle w:val="DOHeading2"/>
      </w:pPr>
      <w:r>
        <w:t>Anti-Takeover Provisions</w:t>
      </w:r>
    </w:p>
    <w:p>
      <w:pPr>
        <w:pStyle w:val="DOBody"/>
      </w:pPr>
      <w:r>
        <w:t>Anti-takeover provision data not available. Review DEF 14A and charter documents for complete analysis.</w:t>
      </w:r>
    </w:p>
    <w:p>
      <w:pPr>
        <w:spacing w:before="120" w:after="40"/>
        <w:pBdr>
          <w:bottom w:val="single" w:sz="6" w:space="1" w:color="FFD000"/>
        </w:pBdr>
      </w:pPr>
    </w:p>
    <w:p>
      <w:pPr>
        <w:pStyle w:val="DOBody"/>
        <w:spacing w:before="40" w:after="80"/>
      </w:pPr>
      <w:r>
        <w:rPr>
          <w:b/>
          <w:color w:val="FFB800"/>
          <w:sz w:val="20"/>
        </w:rPr>
        <w:t>ELEVATED CONCERN</w:t>
      </w:r>
    </w:p>
    <w:p>
      <w:pPr>
        <w:pStyle w:val="DOBody"/>
        <w:spacing w:before="40" w:after="120"/>
      </w:pPr>
      <w:r>
        <w:rPr>
          <w:color w:val="333333"/>
          <w:sz w:val="20"/>
        </w:rPr>
        <w:t>Procter &amp; Gamble currently faces six open securities class actions, though none of these zero active SCAs have a defined class period. The SEC is in the comment letter stage, which historically serves as a corrective disclosure catalyst for litigation; this regulatory timeline directly informs the exposure window for any future D&amp;O claim. The company's adjusted SCA filing rate of 2.3% is notably below the sector average of 3.5%, suggesting a historically lower litigation profile that may be shifting given the current six open cases. With a moderate defense strength and a claim probability derived from a high signal density of 70 signals for Factor 1, the primary D&amp;O exposure is the high recurrence probability of a new SCA, benchmarked against peer settlements in the consumer staples sector. Defense cost exposure is immediate given the six open cases, even absent a current active SCA, driving near-term defense expenditures.</w:t>
      </w:r>
    </w:p>
    <w:p>
      <w:pPr>
        <w:pStyle w:val="DOHeading1"/>
      </w:pPr>
      <w:r>
        <w:t>Section 6: Litigation &amp; Regulatory Exposure</w:t>
      </w:r>
    </w:p>
    <w:p>
      <w:pPr>
        <w:pStyle w:val="DOBody"/>
      </w:pPr>
      <w:r>
        <w:rPr>
          <w:rFonts w:ascii="Calibri" w:hAnsi="Calibri"/>
          <w:color w:val="333333"/>
          <w:sz w:val="20"/>
        </w:rPr>
        <w:t>SEC enforcement pipeline position: COMMENT_LETTER. 6 statute of limitations window(s) remain open, meaning new claims can still be filed for past events. Under claims-made D&amp;O policy, coverage is triggered when a claim is reported during the policy period. Defense quality assessment: MODERATE.</w:t>
      </w:r>
    </w:p>
    <w:p>
      <w:pPr>
        <w:pStyle w:val="DOBody"/>
      </w:pPr>
      <w:r>
        <w:rPr>
          <w:sz w:val="20"/>
        </w:rPr>
        <w:t>Litigation Overview: 0 active matter(s), 1 historical matter(s)</w:t>
      </w:r>
    </w:p>
    <w:p>
      <w:pPr>
        <w:pStyle w:val="DOHeading3"/>
      </w:pPr>
      <w:r>
        <w:t>Litigation Timeline</w:t>
      </w:r>
    </w:p>
    <w:p>
      <w:pPr>
        <w:pStyle w:val="DOBody"/>
      </w:pPr>
      <w:r>
        <w:t>Timeline chart not available (no timeline events).</w:t>
      </w:r>
    </w:p>
    <w:p>
      <w:pPr>
        <w:pStyle w:val="DOHeading3"/>
      </w:pPr>
      <w:r>
        <w:t>Securities Class Actions</w:t>
      </w:r>
    </w:p>
    <w:tbl>
      <w:tblPr>
        <w:tblStyle w:val="TableGrid"/>
        <w:tblW w:type="auto" w:w="0"/>
        <w:tblLook w:firstColumn="1" w:firstRow="1" w:lastColumn="0" w:lastRow="0" w:noHBand="0" w:noVBand="1" w:val="04A0"/>
      </w:tblPr>
      <w:tblGrid>
        <w:gridCol w:w="1008"/>
        <w:gridCol w:w="1008"/>
        <w:gridCol w:w="1008"/>
        <w:gridCol w:w="1008"/>
        <w:gridCol w:w="1008"/>
        <w:gridCol w:w="1008"/>
        <w:gridCol w:w="1008"/>
        <w:gridCol w:w="1008"/>
        <w:gridCol w:w="1008"/>
        <w:gridCol w:w="1008"/>
      </w:tblGrid>
      <w:tr>
        <w:tc>
          <w:tcPr>
            <w:tcW w:type="dxa" w:w="1008"/>
            <w:shd w:fill="1A1446" w:val="clear"/>
          </w:tcPr>
          <w:p>
            <w:r>
              <w:rPr>
                <w:rFonts w:ascii="Calibri" w:hAnsi="Calibri"/>
                <w:b/>
                <w:color w:val="FFFFFF"/>
                <w:sz w:val="18"/>
              </w:rPr>
              <w:t>Case Name</w:t>
            </w:r>
          </w:p>
        </w:tc>
        <w:tc>
          <w:tcPr>
            <w:tcW w:type="dxa" w:w="1008"/>
            <w:shd w:fill="1A1446" w:val="clear"/>
          </w:tcPr>
          <w:p>
            <w:r>
              <w:rPr>
                <w:rFonts w:ascii="Calibri" w:hAnsi="Calibri"/>
                <w:b/>
                <w:color w:val="FFFFFF"/>
                <w:sz w:val="18"/>
              </w:rPr>
              <w:t>Legal Theory</w:t>
            </w:r>
          </w:p>
        </w:tc>
        <w:tc>
          <w:tcPr>
            <w:tcW w:type="dxa" w:w="1008"/>
            <w:shd w:fill="1A1446" w:val="clear"/>
          </w:tcPr>
          <w:p>
            <w:r>
              <w:rPr>
                <w:rFonts w:ascii="Calibri" w:hAnsi="Calibri"/>
                <w:b/>
                <w:color w:val="FFFFFF"/>
                <w:sz w:val="18"/>
              </w:rPr>
              <w:t>Coverage</w:t>
            </w:r>
          </w:p>
        </w:tc>
        <w:tc>
          <w:tcPr>
            <w:tcW w:type="dxa" w:w="1008"/>
            <w:shd w:fill="1A1446" w:val="clear"/>
          </w:tcPr>
          <w:p>
            <w:r>
              <w:rPr>
                <w:rFonts w:ascii="Calibri" w:hAnsi="Calibri"/>
                <w:b/>
                <w:color w:val="FFFFFF"/>
                <w:sz w:val="18"/>
              </w:rPr>
              <w:t>Court</w:t>
            </w:r>
          </w:p>
        </w:tc>
        <w:tc>
          <w:tcPr>
            <w:tcW w:type="dxa" w:w="1008"/>
            <w:shd w:fill="1A1446" w:val="clear"/>
          </w:tcPr>
          <w:p>
            <w:r>
              <w:rPr>
                <w:rFonts w:ascii="Calibri" w:hAnsi="Calibri"/>
                <w:b/>
                <w:color w:val="FFFFFF"/>
                <w:sz w:val="18"/>
              </w:rPr>
              <w:t>Filing Date</w:t>
            </w:r>
          </w:p>
        </w:tc>
        <w:tc>
          <w:tcPr>
            <w:tcW w:type="dxa" w:w="1008"/>
            <w:shd w:fill="1A1446" w:val="clear"/>
          </w:tcPr>
          <w:p>
            <w:r>
              <w:rPr>
                <w:rFonts w:ascii="Calibri" w:hAnsi="Calibri"/>
                <w:b/>
                <w:color w:val="FFFFFF"/>
                <w:sz w:val="18"/>
              </w:rPr>
              <w:t>Status</w:t>
            </w:r>
          </w:p>
        </w:tc>
        <w:tc>
          <w:tcPr>
            <w:tcW w:type="dxa" w:w="1008"/>
            <w:shd w:fill="1A1446" w:val="clear"/>
          </w:tcPr>
          <w:p>
            <w:r>
              <w:rPr>
                <w:rFonts w:ascii="Calibri" w:hAnsi="Calibri"/>
                <w:b/>
                <w:color w:val="FFFFFF"/>
                <w:sz w:val="18"/>
              </w:rPr>
              <w:t>Class Period</w:t>
            </w:r>
          </w:p>
        </w:tc>
        <w:tc>
          <w:tcPr>
            <w:tcW w:type="dxa" w:w="1008"/>
            <w:shd w:fill="1A1446" w:val="clear"/>
          </w:tcPr>
          <w:p>
            <w:r>
              <w:rPr>
                <w:rFonts w:ascii="Calibri" w:hAnsi="Calibri"/>
                <w:b/>
                <w:color w:val="FFFFFF"/>
                <w:sz w:val="18"/>
              </w:rPr>
              <w:t>Lead Counsel</w:t>
            </w:r>
          </w:p>
        </w:tc>
        <w:tc>
          <w:tcPr>
            <w:tcW w:type="dxa" w:w="1008"/>
            <w:shd w:fill="1A1446" w:val="clear"/>
          </w:tcPr>
          <w:p>
            <w:r>
              <w:rPr>
                <w:rFonts w:ascii="Calibri" w:hAnsi="Calibri"/>
                <w:b/>
                <w:color w:val="FFFFFF"/>
                <w:sz w:val="18"/>
              </w:rPr>
              <w:t>Settlement</w:t>
            </w:r>
          </w:p>
        </w:tc>
        <w:tc>
          <w:tcPr>
            <w:tcW w:type="dxa" w:w="1008"/>
            <w:shd w:fill="1A1446" w:val="clear"/>
          </w:tcPr>
          <w:p>
            <w:r>
              <w:rPr>
                <w:rFonts w:ascii="Calibri" w:hAnsi="Calibri"/>
                <w:b/>
                <w:color w:val="FFFFFF"/>
                <w:sz w:val="18"/>
              </w:rPr>
              <w:t>Source</w:t>
            </w:r>
          </w:p>
        </w:tc>
      </w:tr>
      <w:tr>
        <w:tc>
          <w:tcPr>
            <w:tcW w:type="dxa" w:w="1008"/>
          </w:tcPr>
          <w:p>
            <w:r>
              <w:rPr>
                <w:rFonts w:ascii="Calibri" w:hAnsi="Calibri"/>
                <w:color w:val="333333"/>
                <w:sz w:val="18"/>
              </w:rPr>
              <w:t>In re Procter &amp; Gamble Company Securities Litigation (2000)</w:t>
            </w:r>
          </w:p>
        </w:tc>
        <w:tc>
          <w:tcPr>
            <w:tcW w:type="dxa" w:w="1008"/>
          </w:tcPr>
          <w:p>
            <w:r>
              <w:rPr>
                <w:rFonts w:ascii="Calibri" w:hAnsi="Calibri"/>
                <w:color w:val="333333"/>
                <w:sz w:val="18"/>
              </w:rPr>
              <w:t>Rule 10b-5</w:t>
            </w:r>
          </w:p>
        </w:tc>
        <w:tc>
          <w:tcPr>
            <w:tcW w:type="dxa" w:w="1008"/>
          </w:tcPr>
          <w:p>
            <w:r>
              <w:rPr>
                <w:rFonts w:ascii="Calibri" w:hAnsi="Calibri"/>
                <w:color w:val="333333"/>
                <w:sz w:val="18"/>
              </w:rPr>
              <w:t>Side C (Entity)</w:t>
            </w:r>
          </w:p>
        </w:tc>
        <w:tc>
          <w:tcPr>
            <w:tcW w:type="dxa" w:w="1008"/>
          </w:tcPr>
          <w:p>
            <w:r>
              <w:rPr>
                <w:rFonts w:ascii="Calibri" w:hAnsi="Calibri"/>
                <w:color w:val="333333"/>
                <w:sz w:val="18"/>
              </w:rPr>
              <w:t>N/A</w:t>
            </w:r>
          </w:p>
        </w:tc>
        <w:tc>
          <w:tcPr>
            <w:tcW w:type="dxa" w:w="1008"/>
          </w:tcPr>
          <w:p>
            <w:r>
              <w:rPr>
                <w:rFonts w:ascii="Calibri" w:hAnsi="Calibri"/>
                <w:color w:val="333333"/>
                <w:sz w:val="18"/>
              </w:rPr>
              <w:t>2000-03-08</w:t>
            </w:r>
          </w:p>
        </w:tc>
        <w:tc>
          <w:tcPr>
            <w:tcW w:type="dxa" w:w="1008"/>
          </w:tcPr>
          <w:p>
            <w:r>
              <w:rPr>
                <w:rFonts w:ascii="Calibri" w:hAnsi="Calibri"/>
                <w:color w:val="333333"/>
                <w:sz w:val="18"/>
              </w:rPr>
              <w:t>SETTLED</w:t>
            </w:r>
          </w:p>
        </w:tc>
        <w:tc>
          <w:tcPr>
            <w:tcW w:type="dxa" w:w="1008"/>
          </w:tcPr>
          <w:p>
            <w:r>
              <w:rPr>
                <w:rFonts w:ascii="Calibri" w:hAnsi="Calibri"/>
                <w:color w:val="333333"/>
                <w:sz w:val="18"/>
              </w:rPr>
              <w:t>Jan 2000 - Jun 2000</w:t>
            </w:r>
          </w:p>
        </w:tc>
        <w:tc>
          <w:tcPr>
            <w:tcW w:type="dxa" w:w="1008"/>
          </w:tcPr>
          <w:p>
            <w:r>
              <w:rPr>
                <w:rFonts w:ascii="Calibri" w:hAnsi="Calibri"/>
                <w:color w:val="333333"/>
                <w:sz w:val="18"/>
              </w:rPr>
              <w:t>N/A</w:t>
            </w:r>
          </w:p>
        </w:tc>
        <w:tc>
          <w:tcPr>
            <w:tcW w:type="dxa" w:w="1008"/>
          </w:tcPr>
          <w:p>
            <w:r>
              <w:rPr>
                <w:rFonts w:ascii="Calibri" w:hAnsi="Calibri"/>
                <w:color w:val="333333"/>
                <w:sz w:val="18"/>
              </w:rPr>
              <w:t>$49.0M</w:t>
            </w:r>
          </w:p>
        </w:tc>
        <w:tc>
          <w:tcPr>
            <w:tcW w:type="dxa" w:w="1008"/>
          </w:tcPr>
          <w:p>
            <w:r>
              <w:rPr>
                <w:rFonts w:ascii="Calibri" w:hAnsi="Calibri"/>
                <w:color w:val="333333"/>
                <w:sz w:val="18"/>
              </w:rPr>
              <w:t>[Supabase SCA database, 2026-04-03, MEDIUM]</w:t>
            </w:r>
          </w:p>
        </w:tc>
      </w:tr>
    </w:tbl>
    <w:p>
      <w:pPr>
        <w:pStyle w:val="DOBody"/>
      </w:pPr>
      <w:r>
        <w:rPr>
          <w:i/>
          <w:sz w:val="16"/>
        </w:rPr>
        <w:t>D&amp;O Context: Historical settlements total $49.0M. Settlement history establishes severity baseline for pricing.</w:t>
      </w:r>
      <w:r>
        <w:rPr>
          <w:b/>
          <w:color w:val="EAB308"/>
          <w:sz w:val="18"/>
        </w:rPr>
        <w:t xml:space="preserve"> [ELEVATED]</w:t>
      </w:r>
    </w:p>
    <w:p>
      <w:pPr>
        <w:pStyle w:val="DOHeading3"/>
      </w:pPr>
      <w:r>
        <w:t>SEC Enforcement Pipeline</w:t>
      </w:r>
    </w:p>
    <w:p>
      <w:pPr>
        <w:pStyle w:val="DOBody"/>
      </w:pPr>
      <w:r>
        <w:rPr>
          <w:sz w:val="20"/>
        </w:rPr>
        <w:t>Pipeline: [Comment Letters] -&gt; (Informal Inquiry) -&gt; (Formal Investigation) -&gt; (Wells Notice) -&gt; (Enforcement Action)</w:t>
      </w:r>
    </w:p>
    <w:p>
      <w:pPr>
        <w:pStyle w:val="DOBody"/>
      </w:pPr>
      <w:r>
        <w:rPr>
          <w:b/>
        </w:rPr>
        <w:t>Current Position: Comment Letters</w:t>
      </w:r>
      <w:r>
        <w:rPr>
          <w:b/>
          <w:color w:val="2563EB"/>
          <w:sz w:val="18"/>
        </w:rPr>
        <w:t xml:space="preserve"> [MODERATE]</w:t>
      </w:r>
    </w:p>
    <w:p>
      <w:pPr>
        <w:pStyle w:val="DOBody"/>
      </w:pPr>
      <w:r>
        <w:rPr>
          <w:rFonts w:ascii="Calibri" w:hAnsi="Calibri"/>
          <w:color w:val="333333"/>
          <w:sz w:val="20"/>
        </w:rPr>
        <w:t>Company is at COMMENT_LETTER stage in the SEC enforcement pipeline, with 1 supporting signal(s) identified.</w:t>
      </w:r>
      <w:r>
        <w:rPr>
          <w:rFonts w:ascii="Consolas" w:hAnsi="Consolas"/>
          <w:color w:val="666666"/>
          <w:sz w:val="16"/>
        </w:rPr>
        <w:t xml:space="preserve">  [10-K Item 3 + Item 1A + 8-K + EFTS, 2026-04-03, LOW]</w:t>
      </w:r>
    </w:p>
    <w:p>
      <w:pPr>
        <w:pStyle w:val="DOHeading3"/>
      </w:pPr>
      <w:r>
        <w:t>Derivative Suits</w:t>
      </w:r>
    </w:p>
    <w:p>
      <w:pPr>
        <w:pStyle w:val="DOBody"/>
      </w:pPr>
      <w:r>
        <w:t>No derivative suit history found.</w:t>
      </w:r>
    </w:p>
    <w:p>
      <w:pPr>
        <w:pStyle w:val="DOHeading3"/>
      </w:pPr>
      <w:r>
        <w:t>Regulatory Proceedings</w:t>
      </w:r>
    </w:p>
    <w:tbl>
      <w:tblPr>
        <w:tblStyle w:val="TableGrid"/>
        <w:tblW w:type="auto" w:w="0"/>
        <w:tblLook w:firstColumn="1" w:firstRow="1" w:lastColumn="0" w:lastRow="0" w:noHBand="0" w:noVBand="1" w:val="04A0"/>
      </w:tblPr>
      <w:tblGrid>
        <w:gridCol w:w="3360"/>
        <w:gridCol w:w="3360"/>
        <w:gridCol w:w="3360"/>
      </w:tblGrid>
      <w:tr>
        <w:tc>
          <w:tcPr>
            <w:tcW w:type="dxa" w:w="3360"/>
            <w:shd w:fill="1A1446" w:val="clear"/>
          </w:tcPr>
          <w:p>
            <w:r>
              <w:rPr>
                <w:rFonts w:ascii="Calibri" w:hAnsi="Calibri"/>
                <w:b/>
                <w:color w:val="FFFFFF"/>
                <w:sz w:val="18"/>
              </w:rPr>
              <w:t>Agency</w:t>
            </w:r>
          </w:p>
        </w:tc>
        <w:tc>
          <w:tcPr>
            <w:tcW w:type="dxa" w:w="3360"/>
            <w:shd w:fill="1A1446" w:val="clear"/>
          </w:tcPr>
          <w:p>
            <w:r>
              <w:rPr>
                <w:rFonts w:ascii="Calibri" w:hAnsi="Calibri"/>
                <w:b/>
                <w:color w:val="FFFFFF"/>
                <w:sz w:val="18"/>
              </w:rPr>
              <w:t>Type</w:t>
            </w:r>
          </w:p>
        </w:tc>
        <w:tc>
          <w:tcPr>
            <w:tcW w:type="dxa" w:w="3360"/>
            <w:shd w:fill="1A1446" w:val="clear"/>
          </w:tcPr>
          <w:p>
            <w:r>
              <w:rPr>
                <w:rFonts w:ascii="Calibri" w:hAnsi="Calibri"/>
                <w:b/>
                <w:color w:val="FFFFFF"/>
                <w:sz w:val="18"/>
              </w:rPr>
              <w:t>Status</w:t>
            </w:r>
          </w:p>
        </w:tc>
      </w:tr>
      <w:tr>
        <w:tc>
          <w:tcPr>
            <w:tcW w:type="dxa" w:w="3360"/>
          </w:tcPr>
          <w:p>
            <w:r>
              <w:rPr>
                <w:rFonts w:ascii="Calibri" w:hAnsi="Calibri"/>
                <w:color w:val="333333"/>
                <w:sz w:val="18"/>
              </w:rPr>
              <w:t>FDA</w:t>
            </w:r>
          </w:p>
        </w:tc>
        <w:tc>
          <w:tcPr>
            <w:tcW w:type="dxa" w:w="3360"/>
          </w:tcPr>
          <w:p>
            <w:r>
              <w:rPr>
                <w:rFonts w:ascii="Calibri" w:hAnsi="Calibri"/>
                <w:color w:val="333333"/>
                <w:sz w:val="18"/>
              </w:rPr>
              <w:t>investigation</w:t>
            </w:r>
          </w:p>
        </w:tc>
        <w:tc>
          <w:tcPr>
            <w:tcW w:type="dxa" w:w="3360"/>
          </w:tcPr>
          <w:p>
            <w:r>
              <w:rPr>
                <w:rFonts w:ascii="Calibri" w:hAnsi="Calibri"/>
                <w:color w:val="333333"/>
                <w:sz w:val="18"/>
              </w:rPr>
              <w:t>disclosed</w:t>
            </w:r>
          </w:p>
        </w:tc>
      </w:tr>
    </w:tbl>
    <w:p>
      <w:pPr>
        <w:pStyle w:val="DOHeading3"/>
      </w:pPr>
      <w:r>
        <w:t>Industry Claim Patterns</w:t>
      </w:r>
    </w:p>
    <w:p>
      <w:pPr>
        <w:pStyle w:val="DOBody"/>
      </w:pPr>
      <w:r>
        <w:t>No industry-specific claim patterns identified.</w:t>
      </w:r>
    </w:p>
    <w:p>
      <w:pPr>
        <w:pStyle w:val="DOHeading3"/>
      </w:pPr>
      <w:r>
        <w:t>Statute of Limitations Map</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1A1446" w:val="clear"/>
          </w:tcPr>
          <w:p>
            <w:r>
              <w:rPr>
                <w:rFonts w:ascii="Calibri" w:hAnsi="Calibri"/>
                <w:b/>
                <w:color w:val="FFFFFF"/>
                <w:sz w:val="18"/>
              </w:rPr>
              <w:t>Claim Type</w:t>
            </w:r>
          </w:p>
        </w:tc>
        <w:tc>
          <w:tcPr>
            <w:tcW w:type="dxa" w:w="2016"/>
            <w:shd w:fill="1A1446" w:val="clear"/>
          </w:tcPr>
          <w:p>
            <w:r>
              <w:rPr>
                <w:rFonts w:ascii="Calibri" w:hAnsi="Calibri"/>
                <w:b/>
                <w:color w:val="FFFFFF"/>
                <w:sz w:val="18"/>
              </w:rPr>
              <w:t>Trigger Date</w:t>
            </w:r>
          </w:p>
        </w:tc>
        <w:tc>
          <w:tcPr>
            <w:tcW w:type="dxa" w:w="2016"/>
            <w:shd w:fill="1A1446" w:val="clear"/>
          </w:tcPr>
          <w:p>
            <w:r>
              <w:rPr>
                <w:rFonts w:ascii="Calibri" w:hAnsi="Calibri"/>
                <w:b/>
                <w:color w:val="FFFFFF"/>
                <w:sz w:val="18"/>
              </w:rPr>
              <w:t>SOL Expiry</w:t>
            </w:r>
          </w:p>
        </w:tc>
        <w:tc>
          <w:tcPr>
            <w:tcW w:type="dxa" w:w="2016"/>
            <w:shd w:fill="1A1446" w:val="clear"/>
          </w:tcPr>
          <w:p>
            <w:r>
              <w:rPr>
                <w:rFonts w:ascii="Calibri" w:hAnsi="Calibri"/>
                <w:b/>
                <w:color w:val="FFFFFF"/>
                <w:sz w:val="18"/>
              </w:rPr>
              <w:t>Repose Expiry</w:t>
            </w:r>
          </w:p>
        </w:tc>
        <w:tc>
          <w:tcPr>
            <w:tcW w:type="dxa" w:w="2016"/>
            <w:shd w:fill="1A1446" w:val="clear"/>
          </w:tcPr>
          <w:p>
            <w:r>
              <w:rPr>
                <w:rFonts w:ascii="Calibri" w:hAnsi="Calibri"/>
                <w:b/>
                <w:color w:val="FFFFFF"/>
                <w:sz w:val="18"/>
              </w:rPr>
              <w:t>Window Open</w:t>
            </w:r>
          </w:p>
        </w:tc>
      </w:tr>
      <w:tr>
        <w:tc>
          <w:tcPr>
            <w:tcW w:type="dxa" w:w="2016"/>
          </w:tcPr>
          <w:p>
            <w:r>
              <w:rPr>
                <w:rFonts w:ascii="Calibri" w:hAnsi="Calibri"/>
                <w:color w:val="333333"/>
                <w:sz w:val="18"/>
              </w:rPr>
              <w:t>employment_discrimination</w:t>
            </w:r>
          </w:p>
        </w:tc>
        <w:tc>
          <w:tcPr>
            <w:tcW w:type="dxa" w:w="2016"/>
          </w:tcPr>
          <w:p>
            <w:r>
              <w:rPr>
                <w:rFonts w:ascii="Calibri" w:hAnsi="Calibri"/>
                <w:color w:val="333333"/>
                <w:sz w:val="18"/>
              </w:rPr>
              <w:t>2025-08-04</w:t>
            </w:r>
          </w:p>
        </w:tc>
        <w:tc>
          <w:tcPr>
            <w:tcW w:type="dxa" w:w="2016"/>
          </w:tcPr>
          <w:p>
            <w:r>
              <w:rPr>
                <w:rFonts w:ascii="Calibri" w:hAnsi="Calibri"/>
                <w:color w:val="333333"/>
                <w:sz w:val="18"/>
              </w:rPr>
              <w:t>2027-08-04</w:t>
            </w:r>
          </w:p>
        </w:tc>
        <w:tc>
          <w:tcPr>
            <w:tcW w:type="dxa" w:w="2016"/>
          </w:tcPr>
          <w:p>
            <w:r>
              <w:rPr>
                <w:rFonts w:ascii="Calibri" w:hAnsi="Calibri"/>
                <w:color w:val="333333"/>
                <w:sz w:val="18"/>
              </w:rPr>
              <w:t>2027-08-04</w:t>
            </w:r>
          </w:p>
        </w:tc>
        <w:tc>
          <w:tcPr>
            <w:tcW w:type="dxa" w:w="2016"/>
          </w:tcPr>
          <w:p>
            <w:r>
              <w:rPr>
                <w:rFonts w:ascii="Calibri" w:hAnsi="Calibri"/>
                <w:color w:val="333333"/>
                <w:sz w:val="18"/>
              </w:rPr>
              <w:t>OPEN</w:t>
            </w:r>
          </w:p>
        </w:tc>
      </w:tr>
      <w:tr>
        <w:tc>
          <w:tcPr>
            <w:tcW w:type="dxa" w:w="2016"/>
            <w:shd w:fill="F2F4F8" w:val="clear"/>
          </w:tcPr>
          <w:p>
            <w:r>
              <w:rPr>
                <w:rFonts w:ascii="Calibri" w:hAnsi="Calibri"/>
                <w:color w:val="333333"/>
                <w:sz w:val="18"/>
              </w:rPr>
              <w:t>antitrust</w:t>
            </w:r>
          </w:p>
        </w:tc>
        <w:tc>
          <w:tcPr>
            <w:tcW w:type="dxa" w:w="2016"/>
            <w:shd w:fill="F2F4F8" w:val="clear"/>
          </w:tcPr>
          <w:p>
            <w:r>
              <w:rPr>
                <w:rFonts w:ascii="Calibri" w:hAnsi="Calibri"/>
                <w:color w:val="333333"/>
                <w:sz w:val="18"/>
              </w:rPr>
              <w:t>2025-08-04</w:t>
            </w:r>
          </w:p>
        </w:tc>
        <w:tc>
          <w:tcPr>
            <w:tcW w:type="dxa" w:w="2016"/>
            <w:shd w:fill="F2F4F8" w:val="clear"/>
          </w:tcPr>
          <w:p>
            <w:r>
              <w:rPr>
                <w:rFonts w:ascii="Calibri" w:hAnsi="Calibri"/>
                <w:color w:val="333333"/>
                <w:sz w:val="18"/>
              </w:rPr>
              <w:t>2029-08-03</w:t>
            </w:r>
          </w:p>
        </w:tc>
        <w:tc>
          <w:tcPr>
            <w:tcW w:type="dxa" w:w="2016"/>
            <w:shd w:fill="F2F4F8" w:val="clear"/>
          </w:tcPr>
          <w:p>
            <w:r>
              <w:rPr>
                <w:rFonts w:ascii="Calibri" w:hAnsi="Calibri"/>
                <w:color w:val="333333"/>
                <w:sz w:val="18"/>
              </w:rPr>
              <w:t>2029-08-03</w:t>
            </w:r>
          </w:p>
        </w:tc>
        <w:tc>
          <w:tcPr>
            <w:tcW w:type="dxa" w:w="2016"/>
            <w:shd w:fill="F2F4F8" w:val="clear"/>
          </w:tcPr>
          <w:p>
            <w:r>
              <w:rPr>
                <w:rFonts w:ascii="Calibri" w:hAnsi="Calibri"/>
                <w:color w:val="333333"/>
                <w:sz w:val="18"/>
              </w:rPr>
              <w:t>OPEN</w:t>
            </w:r>
          </w:p>
        </w:tc>
      </w:tr>
      <w:tr>
        <w:tc>
          <w:tcPr>
            <w:tcW w:type="dxa" w:w="2016"/>
          </w:tcPr>
          <w:p>
            <w:r>
              <w:rPr>
                <w:rFonts w:ascii="Calibri" w:hAnsi="Calibri"/>
                <w:color w:val="333333"/>
                <w:sz w:val="18"/>
              </w:rPr>
              <w:t>FCPA</w:t>
            </w:r>
          </w:p>
        </w:tc>
        <w:tc>
          <w:tcPr>
            <w:tcW w:type="dxa" w:w="2016"/>
          </w:tcPr>
          <w:p>
            <w:r>
              <w:rPr>
                <w:rFonts w:ascii="Calibri" w:hAnsi="Calibri"/>
                <w:color w:val="333333"/>
                <w:sz w:val="18"/>
              </w:rPr>
              <w:t>2025-08-04</w:t>
            </w:r>
          </w:p>
        </w:tc>
        <w:tc>
          <w:tcPr>
            <w:tcW w:type="dxa" w:w="2016"/>
          </w:tcPr>
          <w:p>
            <w:r>
              <w:rPr>
                <w:rFonts w:ascii="Calibri" w:hAnsi="Calibri"/>
                <w:color w:val="333333"/>
                <w:sz w:val="18"/>
              </w:rPr>
              <w:t>2030-08-03</w:t>
            </w:r>
          </w:p>
        </w:tc>
        <w:tc>
          <w:tcPr>
            <w:tcW w:type="dxa" w:w="2016"/>
          </w:tcPr>
          <w:p>
            <w:r>
              <w:rPr>
                <w:rFonts w:ascii="Calibri" w:hAnsi="Calibri"/>
                <w:color w:val="333333"/>
                <w:sz w:val="18"/>
              </w:rPr>
              <w:t>2030-08-03</w:t>
            </w:r>
          </w:p>
        </w:tc>
        <w:tc>
          <w:tcPr>
            <w:tcW w:type="dxa" w:w="2016"/>
          </w:tcPr>
          <w:p>
            <w:r>
              <w:rPr>
                <w:rFonts w:ascii="Calibri" w:hAnsi="Calibri"/>
                <w:color w:val="333333"/>
                <w:sz w:val="18"/>
              </w:rPr>
              <w:t>OPEN</w:t>
            </w:r>
          </w:p>
        </w:tc>
      </w:tr>
      <w:tr>
        <w:tc>
          <w:tcPr>
            <w:tcW w:type="dxa" w:w="2016"/>
            <w:shd w:fill="F2F4F8" w:val="clear"/>
          </w:tcPr>
          <w:p>
            <w:r>
              <w:rPr>
                <w:rFonts w:ascii="Calibri" w:hAnsi="Calibri"/>
                <w:color w:val="333333"/>
                <w:sz w:val="18"/>
              </w:rPr>
              <w:t>environmental</w:t>
            </w:r>
          </w:p>
        </w:tc>
        <w:tc>
          <w:tcPr>
            <w:tcW w:type="dxa" w:w="2016"/>
            <w:shd w:fill="F2F4F8" w:val="clear"/>
          </w:tcPr>
          <w:p>
            <w:r>
              <w:rPr>
                <w:rFonts w:ascii="Calibri" w:hAnsi="Calibri"/>
                <w:color w:val="333333"/>
                <w:sz w:val="18"/>
              </w:rPr>
              <w:t>2025-08-04</w:t>
            </w:r>
          </w:p>
        </w:tc>
        <w:tc>
          <w:tcPr>
            <w:tcW w:type="dxa" w:w="2016"/>
            <w:shd w:fill="F2F4F8" w:val="clear"/>
          </w:tcPr>
          <w:p>
            <w:r>
              <w:rPr>
                <w:rFonts w:ascii="Calibri" w:hAnsi="Calibri"/>
                <w:color w:val="333333"/>
                <w:sz w:val="18"/>
              </w:rPr>
              <w:t>2030-08-03</w:t>
            </w:r>
          </w:p>
        </w:tc>
        <w:tc>
          <w:tcPr>
            <w:tcW w:type="dxa" w:w="2016"/>
            <w:shd w:fill="F2F4F8" w:val="clear"/>
          </w:tcPr>
          <w:p>
            <w:r>
              <w:rPr>
                <w:rFonts w:ascii="Calibri" w:hAnsi="Calibri"/>
                <w:color w:val="333333"/>
                <w:sz w:val="18"/>
              </w:rPr>
              <w:t>2030-08-03</w:t>
            </w:r>
          </w:p>
        </w:tc>
        <w:tc>
          <w:tcPr>
            <w:tcW w:type="dxa" w:w="2016"/>
            <w:shd w:fill="F2F4F8" w:val="clear"/>
          </w:tcPr>
          <w:p>
            <w:r>
              <w:rPr>
                <w:rFonts w:ascii="Calibri" w:hAnsi="Calibri"/>
                <w:color w:val="333333"/>
                <w:sz w:val="18"/>
              </w:rPr>
              <w:t>OPEN</w:t>
            </w:r>
          </w:p>
        </w:tc>
      </w:tr>
      <w:tr>
        <w:tc>
          <w:tcPr>
            <w:tcW w:type="dxa" w:w="2016"/>
          </w:tcPr>
          <w:p>
            <w:r>
              <w:rPr>
                <w:rFonts w:ascii="Calibri" w:hAnsi="Calibri"/>
                <w:color w:val="333333"/>
                <w:sz w:val="18"/>
              </w:rPr>
              <w:t>derivative</w:t>
            </w:r>
          </w:p>
        </w:tc>
        <w:tc>
          <w:tcPr>
            <w:tcW w:type="dxa" w:w="2016"/>
          </w:tcPr>
          <w:p>
            <w:r>
              <w:rPr>
                <w:rFonts w:ascii="Calibri" w:hAnsi="Calibri"/>
                <w:color w:val="333333"/>
                <w:sz w:val="18"/>
              </w:rPr>
              <w:t>2025-08-04</w:t>
            </w:r>
          </w:p>
        </w:tc>
        <w:tc>
          <w:tcPr>
            <w:tcW w:type="dxa" w:w="2016"/>
          </w:tcPr>
          <w:p>
            <w:r>
              <w:rPr>
                <w:rFonts w:ascii="Calibri" w:hAnsi="Calibri"/>
                <w:color w:val="333333"/>
                <w:sz w:val="18"/>
              </w:rPr>
              <w:t>2028-08-03</w:t>
            </w:r>
          </w:p>
        </w:tc>
        <w:tc>
          <w:tcPr>
            <w:tcW w:type="dxa" w:w="2016"/>
          </w:tcPr>
          <w:p>
            <w:r>
              <w:rPr>
                <w:rFonts w:ascii="Calibri" w:hAnsi="Calibri"/>
                <w:color w:val="333333"/>
                <w:sz w:val="18"/>
              </w:rPr>
              <w:t>2031-08-03</w:t>
            </w:r>
          </w:p>
        </w:tc>
        <w:tc>
          <w:tcPr>
            <w:tcW w:type="dxa" w:w="2016"/>
          </w:tcPr>
          <w:p>
            <w:r>
              <w:rPr>
                <w:rFonts w:ascii="Calibri" w:hAnsi="Calibri"/>
                <w:color w:val="333333"/>
                <w:sz w:val="18"/>
              </w:rPr>
              <w:t>OPEN</w:t>
            </w:r>
          </w:p>
        </w:tc>
      </w:tr>
      <w:tr>
        <w:tc>
          <w:tcPr>
            <w:tcW w:type="dxa" w:w="2016"/>
            <w:shd w:fill="F2F4F8" w:val="clear"/>
          </w:tcPr>
          <w:p>
            <w:r>
              <w:rPr>
                <w:rFonts w:ascii="Calibri" w:hAnsi="Calibri"/>
                <w:color w:val="333333"/>
                <w:sz w:val="18"/>
              </w:rPr>
              <w:t>ERISA</w:t>
            </w:r>
          </w:p>
        </w:tc>
        <w:tc>
          <w:tcPr>
            <w:tcW w:type="dxa" w:w="2016"/>
            <w:shd w:fill="F2F4F8" w:val="clear"/>
          </w:tcPr>
          <w:p>
            <w:r>
              <w:rPr>
                <w:rFonts w:ascii="Calibri" w:hAnsi="Calibri"/>
                <w:color w:val="333333"/>
                <w:sz w:val="18"/>
              </w:rPr>
              <w:t>2025-08-04</w:t>
            </w:r>
          </w:p>
        </w:tc>
        <w:tc>
          <w:tcPr>
            <w:tcW w:type="dxa" w:w="2016"/>
            <w:shd w:fill="F2F4F8" w:val="clear"/>
          </w:tcPr>
          <w:p>
            <w:r>
              <w:rPr>
                <w:rFonts w:ascii="Calibri" w:hAnsi="Calibri"/>
                <w:color w:val="333333"/>
                <w:sz w:val="18"/>
              </w:rPr>
              <w:t>2028-08-03</w:t>
            </w:r>
          </w:p>
        </w:tc>
        <w:tc>
          <w:tcPr>
            <w:tcW w:type="dxa" w:w="2016"/>
            <w:shd w:fill="F2F4F8" w:val="clear"/>
          </w:tcPr>
          <w:p>
            <w:r>
              <w:rPr>
                <w:rFonts w:ascii="Calibri" w:hAnsi="Calibri"/>
                <w:color w:val="333333"/>
                <w:sz w:val="18"/>
              </w:rPr>
              <w:t>2031-08-03</w:t>
            </w:r>
          </w:p>
        </w:tc>
        <w:tc>
          <w:tcPr>
            <w:tcW w:type="dxa" w:w="2016"/>
            <w:shd w:fill="F2F4F8" w:val="clear"/>
          </w:tcPr>
          <w:p>
            <w:r>
              <w:rPr>
                <w:rFonts w:ascii="Calibri" w:hAnsi="Calibri"/>
                <w:color w:val="333333"/>
                <w:sz w:val="18"/>
              </w:rPr>
              <w:t>OPEN</w:t>
            </w:r>
          </w:p>
        </w:tc>
      </w:tr>
      <w:tr>
        <w:tc>
          <w:tcPr>
            <w:tcW w:type="dxa" w:w="2016"/>
          </w:tcPr>
          <w:p>
            <w:r>
              <w:rPr>
                <w:rFonts w:ascii="Calibri" w:hAnsi="Calibri"/>
                <w:color w:val="333333"/>
                <w:sz w:val="18"/>
              </w:rPr>
              <w:t>Section_11</w:t>
            </w:r>
          </w:p>
        </w:tc>
        <w:tc>
          <w:tcPr>
            <w:tcW w:type="dxa" w:w="2016"/>
          </w:tcPr>
          <w:p>
            <w:r>
              <w:rPr>
                <w:rFonts w:ascii="Calibri" w:hAnsi="Calibri"/>
                <w:color w:val="333333"/>
                <w:sz w:val="18"/>
              </w:rPr>
              <w:t>2000-06-07</w:t>
            </w:r>
          </w:p>
        </w:tc>
        <w:tc>
          <w:tcPr>
            <w:tcW w:type="dxa" w:w="2016"/>
          </w:tcPr>
          <w:p>
            <w:r>
              <w:rPr>
                <w:rFonts w:ascii="Calibri" w:hAnsi="Calibri"/>
                <w:color w:val="333333"/>
                <w:sz w:val="18"/>
              </w:rPr>
              <w:t>2001-06-07</w:t>
            </w:r>
          </w:p>
        </w:tc>
        <w:tc>
          <w:tcPr>
            <w:tcW w:type="dxa" w:w="2016"/>
          </w:tcPr>
          <w:p>
            <w:r>
              <w:rPr>
                <w:rFonts w:ascii="Calibri" w:hAnsi="Calibri"/>
                <w:color w:val="333333"/>
                <w:sz w:val="18"/>
              </w:rPr>
              <w:t>2003-06-07</w:t>
            </w:r>
          </w:p>
        </w:tc>
        <w:tc>
          <w:tcPr>
            <w:tcW w:type="dxa" w:w="2016"/>
          </w:tcPr>
          <w:p>
            <w:r>
              <w:rPr>
                <w:rFonts w:ascii="Calibri" w:hAnsi="Calibri"/>
                <w:color w:val="333333"/>
                <w:sz w:val="18"/>
              </w:rPr>
              <w:t>CLOSED</w:t>
            </w:r>
          </w:p>
        </w:tc>
      </w:tr>
      <w:tr>
        <w:tc>
          <w:tcPr>
            <w:tcW w:type="dxa" w:w="2016"/>
            <w:shd w:fill="F2F4F8" w:val="clear"/>
          </w:tcPr>
          <w:p>
            <w:r>
              <w:rPr>
                <w:rFonts w:ascii="Calibri" w:hAnsi="Calibri"/>
                <w:color w:val="333333"/>
                <w:sz w:val="18"/>
              </w:rPr>
              <w:t>Section_14a</w:t>
            </w:r>
          </w:p>
        </w:tc>
        <w:tc>
          <w:tcPr>
            <w:tcW w:type="dxa" w:w="2016"/>
            <w:shd w:fill="F2F4F8" w:val="clear"/>
          </w:tcPr>
          <w:p>
            <w:r>
              <w:rPr>
                <w:rFonts w:ascii="Calibri" w:hAnsi="Calibri"/>
                <w:color w:val="333333"/>
                <w:sz w:val="18"/>
              </w:rPr>
              <w:t>2000-06-07</w:t>
            </w:r>
          </w:p>
        </w:tc>
        <w:tc>
          <w:tcPr>
            <w:tcW w:type="dxa" w:w="2016"/>
            <w:shd w:fill="F2F4F8" w:val="clear"/>
          </w:tcPr>
          <w:p>
            <w:r>
              <w:rPr>
                <w:rFonts w:ascii="Calibri" w:hAnsi="Calibri"/>
                <w:color w:val="333333"/>
                <w:sz w:val="18"/>
              </w:rPr>
              <w:t>2001-06-07</w:t>
            </w:r>
          </w:p>
        </w:tc>
        <w:tc>
          <w:tcPr>
            <w:tcW w:type="dxa" w:w="2016"/>
            <w:shd w:fill="F2F4F8" w:val="clear"/>
          </w:tcPr>
          <w:p>
            <w:r>
              <w:rPr>
                <w:rFonts w:ascii="Calibri" w:hAnsi="Calibri"/>
                <w:color w:val="333333"/>
                <w:sz w:val="18"/>
              </w:rPr>
              <w:t>2003-06-07</w:t>
            </w:r>
          </w:p>
        </w:tc>
        <w:tc>
          <w:tcPr>
            <w:tcW w:type="dxa" w:w="2016"/>
            <w:shd w:fill="F2F4F8" w:val="clear"/>
          </w:tcPr>
          <w:p>
            <w:r>
              <w:rPr>
                <w:rFonts w:ascii="Calibri" w:hAnsi="Calibri"/>
                <w:color w:val="333333"/>
                <w:sz w:val="18"/>
              </w:rPr>
              <w:t>CLOSED</w:t>
            </w:r>
          </w:p>
        </w:tc>
      </w:tr>
      <w:tr>
        <w:tc>
          <w:tcPr>
            <w:tcW w:type="dxa" w:w="2016"/>
          </w:tcPr>
          <w:p>
            <w:r>
              <w:rPr>
                <w:rFonts w:ascii="Calibri" w:hAnsi="Calibri"/>
                <w:color w:val="333333"/>
                <w:sz w:val="18"/>
              </w:rPr>
              <w:t>10b-5</w:t>
            </w:r>
          </w:p>
        </w:tc>
        <w:tc>
          <w:tcPr>
            <w:tcW w:type="dxa" w:w="2016"/>
          </w:tcPr>
          <w:p>
            <w:r>
              <w:rPr>
                <w:rFonts w:ascii="Calibri" w:hAnsi="Calibri"/>
                <w:color w:val="333333"/>
                <w:sz w:val="18"/>
              </w:rPr>
              <w:t>2000-06-07</w:t>
            </w:r>
          </w:p>
        </w:tc>
        <w:tc>
          <w:tcPr>
            <w:tcW w:type="dxa" w:w="2016"/>
          </w:tcPr>
          <w:p>
            <w:r>
              <w:rPr>
                <w:rFonts w:ascii="Calibri" w:hAnsi="Calibri"/>
                <w:color w:val="333333"/>
                <w:sz w:val="18"/>
              </w:rPr>
              <w:t>2002-06-07</w:t>
            </w:r>
          </w:p>
        </w:tc>
        <w:tc>
          <w:tcPr>
            <w:tcW w:type="dxa" w:w="2016"/>
          </w:tcPr>
          <w:p>
            <w:r>
              <w:rPr>
                <w:rFonts w:ascii="Calibri" w:hAnsi="Calibri"/>
                <w:color w:val="333333"/>
                <w:sz w:val="18"/>
              </w:rPr>
              <w:t>2005-06-06</w:t>
            </w:r>
          </w:p>
        </w:tc>
        <w:tc>
          <w:tcPr>
            <w:tcW w:type="dxa" w:w="2016"/>
          </w:tcPr>
          <w:p>
            <w:r>
              <w:rPr>
                <w:rFonts w:ascii="Calibri" w:hAnsi="Calibri"/>
                <w:color w:val="333333"/>
                <w:sz w:val="18"/>
              </w:rPr>
              <w:t>CLOSED</w:t>
            </w:r>
          </w:p>
        </w:tc>
      </w:tr>
    </w:tbl>
    <w:p>
      <w:pPr>
        <w:pStyle w:val="DOBody"/>
      </w:pPr>
      <w:r>
        <w:rPr>
          <w:i/>
          <w:sz w:val="16"/>
        </w:rPr>
        <w:t>D&amp;O Context: 6 open exposure window(s). Claims can still be filed within these periods.</w:t>
      </w:r>
      <w:r>
        <w:rPr>
          <w:b/>
          <w:color w:val="EAB308"/>
          <w:sz w:val="18"/>
        </w:rPr>
        <w:t xml:space="preserve"> [ELEVATED]</w:t>
      </w:r>
    </w:p>
    <w:p>
      <w:pPr>
        <w:pStyle w:val="DOHeading3"/>
      </w:pPr>
      <w:r>
        <w:t>Defense Strength Assessment</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Factor</w:t>
            </w:r>
          </w:p>
        </w:tc>
        <w:tc>
          <w:tcPr>
            <w:tcW w:type="dxa" w:w="5040"/>
            <w:shd w:fill="1A1446" w:val="clear"/>
          </w:tcPr>
          <w:p>
            <w:r>
              <w:rPr>
                <w:rFonts w:ascii="Calibri" w:hAnsi="Calibri"/>
                <w:b/>
                <w:color w:val="FFFFFF"/>
                <w:sz w:val="18"/>
              </w:rPr>
              <w:t>Assessment</w:t>
            </w:r>
          </w:p>
        </w:tc>
      </w:tr>
      <w:tr>
        <w:tc>
          <w:tcPr>
            <w:tcW w:type="dxa" w:w="5040"/>
          </w:tcPr>
          <w:p>
            <w:r>
              <w:rPr>
                <w:rFonts w:ascii="Calibri" w:hAnsi="Calibri"/>
                <w:color w:val="333333"/>
                <w:sz w:val="18"/>
              </w:rPr>
              <w:t>Federal Forum Provision</w:t>
            </w:r>
          </w:p>
        </w:tc>
        <w:tc>
          <w:tcPr>
            <w:tcW w:type="dxa" w:w="5040"/>
          </w:tcPr>
          <w:p>
            <w:r>
              <w:rPr>
                <w:rFonts w:ascii="Calibri" w:hAnsi="Calibri"/>
                <w:color w:val="333333"/>
                <w:sz w:val="18"/>
              </w:rPr>
              <w:t>No</w:t>
            </w:r>
          </w:p>
        </w:tc>
      </w:tr>
      <w:tr>
        <w:tc>
          <w:tcPr>
            <w:tcW w:type="dxa" w:w="5040"/>
            <w:shd w:fill="F2F4F8" w:val="clear"/>
          </w:tcPr>
          <w:p>
            <w:r>
              <w:rPr>
                <w:rFonts w:ascii="Calibri" w:hAnsi="Calibri"/>
                <w:color w:val="333333"/>
                <w:sz w:val="18"/>
              </w:rPr>
              <w:t>Exclusive Forum Provision</w:t>
            </w:r>
          </w:p>
        </w:tc>
        <w:tc>
          <w:tcPr>
            <w:tcW w:type="dxa" w:w="5040"/>
            <w:shd w:fill="F2F4F8" w:val="clear"/>
          </w:tcPr>
          <w:p>
            <w:r>
              <w:rPr>
                <w:rFonts w:ascii="Calibri" w:hAnsi="Calibri"/>
                <w:color w:val="333333"/>
                <w:sz w:val="18"/>
              </w:rPr>
              <w:t>No</w:t>
            </w:r>
          </w:p>
        </w:tc>
      </w:tr>
      <w:tr>
        <w:tc>
          <w:tcPr>
            <w:tcW w:type="dxa" w:w="5040"/>
          </w:tcPr>
          <w:p>
            <w:r>
              <w:rPr>
                <w:rFonts w:ascii="Calibri" w:hAnsi="Calibri"/>
                <w:color w:val="333333"/>
                <w:sz w:val="18"/>
              </w:rPr>
              <w:t>PSLRA Safe Harbor</w:t>
            </w:r>
          </w:p>
        </w:tc>
        <w:tc>
          <w:tcPr>
            <w:tcW w:type="dxa" w:w="5040"/>
          </w:tcPr>
          <w:p>
            <w:r>
              <w:rPr>
                <w:rFonts w:ascii="Calibri" w:hAnsi="Calibri"/>
                <w:color w:val="333333"/>
                <w:sz w:val="18"/>
              </w:rPr>
              <w:t>STRONG</w:t>
            </w:r>
          </w:p>
        </w:tc>
      </w:tr>
      <w:tr>
        <w:tc>
          <w:tcPr>
            <w:tcW w:type="dxa" w:w="5040"/>
            <w:shd w:fill="F2F4F8" w:val="clear"/>
          </w:tcPr>
          <w:p>
            <w:r>
              <w:rPr>
                <w:rFonts w:ascii="Calibri" w:hAnsi="Calibri"/>
                <w:color w:val="333333"/>
                <w:sz w:val="18"/>
              </w:rPr>
              <w:t>Truth-on-Market Viability</w:t>
            </w:r>
          </w:p>
        </w:tc>
        <w:tc>
          <w:tcPr>
            <w:tcW w:type="dxa" w:w="5040"/>
            <w:shd w:fill="F2F4F8" w:val="clear"/>
          </w:tcPr>
          <w:p>
            <w:r>
              <w:rPr>
                <w:rFonts w:ascii="Calibri" w:hAnsi="Calibri"/>
                <w:color w:val="333333"/>
                <w:sz w:val="18"/>
              </w:rPr>
              <w:t>NOT_APPLICABLE</w:t>
            </w:r>
          </w:p>
        </w:tc>
      </w:tr>
      <w:tr>
        <w:tc>
          <w:tcPr>
            <w:tcW w:type="dxa" w:w="5040"/>
          </w:tcPr>
          <w:p>
            <w:r>
              <w:rPr>
                <w:rFonts w:ascii="Calibri" w:hAnsi="Calibri"/>
                <w:color w:val="333333"/>
                <w:sz w:val="18"/>
              </w:rPr>
              <w:t>Prior Dismissal Success</w:t>
            </w:r>
          </w:p>
        </w:tc>
        <w:tc>
          <w:tcPr>
            <w:tcW w:type="dxa" w:w="5040"/>
          </w:tcPr>
          <w:p>
            <w:r>
              <w:rPr>
                <w:rFonts w:ascii="Calibri" w:hAnsi="Calibri"/>
                <w:color w:val="333333"/>
                <w:sz w:val="18"/>
              </w:rPr>
              <w:t>No prior dismissals identified in Item 3</w:t>
            </w:r>
          </w:p>
        </w:tc>
      </w:tr>
      <w:tr>
        <w:tc>
          <w:tcPr>
            <w:tcW w:type="dxa" w:w="5040"/>
            <w:shd w:fill="F2F4F8" w:val="clear"/>
          </w:tcPr>
          <w:p>
            <w:r>
              <w:rPr>
                <w:rFonts w:ascii="Calibri" w:hAnsi="Calibri"/>
                <w:color w:val="333333"/>
                <w:sz w:val="18"/>
              </w:rPr>
              <w:t>Overall Defense Strength</w:t>
            </w:r>
          </w:p>
        </w:tc>
        <w:tc>
          <w:tcPr>
            <w:tcW w:type="dxa" w:w="5040"/>
            <w:shd w:fill="F2F4F8" w:val="clear"/>
          </w:tcPr>
          <w:p>
            <w:r>
              <w:rPr>
                <w:rFonts w:ascii="Calibri" w:hAnsi="Calibri"/>
                <w:color w:val="333333"/>
                <w:sz w:val="18"/>
              </w:rPr>
              <w:t>MODERATE</w:t>
            </w:r>
          </w:p>
        </w:tc>
      </w:tr>
    </w:tbl>
    <w:p>
      <w:pPr>
        <w:pStyle w:val="DOBody"/>
      </w:pPr>
      <w:r>
        <w:rPr>
          <w:rFonts w:ascii="Calibri" w:hAnsi="Calibri"/>
          <w:color w:val="333333"/>
          <w:sz w:val="20"/>
        </w:rPr>
        <w:t>No forum selection provisions identified. Safe harbor usage is STRONG with explicit PSLRA citation and specific cautionary language.</w:t>
      </w:r>
      <w:r>
        <w:rPr>
          <w:rFonts w:ascii="Consolas" w:hAnsi="Consolas"/>
          <w:color w:val="666666"/>
          <w:sz w:val="16"/>
        </w:rPr>
        <w:t xml:space="preserve">  [DEF 14A; 10-K, 2026-04-03, LOW]</w:t>
      </w:r>
    </w:p>
    <w:p>
      <w:pPr>
        <w:pStyle w:val="DOHeading3"/>
      </w:pPr>
      <w:r>
        <w:t>Contingent Liabilities</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1A1446" w:val="clear"/>
          </w:tcPr>
          <w:p>
            <w:r>
              <w:rPr>
                <w:rFonts w:ascii="Calibri" w:hAnsi="Calibri"/>
                <w:b/>
                <w:color w:val="FFFFFF"/>
                <w:sz w:val="18"/>
              </w:rPr>
              <w:t>Description</w:t>
            </w:r>
          </w:p>
        </w:tc>
        <w:tc>
          <w:tcPr>
            <w:tcW w:type="dxa" w:w="2520"/>
            <w:shd w:fill="1A1446" w:val="clear"/>
          </w:tcPr>
          <w:p>
            <w:r>
              <w:rPr>
                <w:rFonts w:ascii="Calibri" w:hAnsi="Calibri"/>
                <w:b/>
                <w:color w:val="FFFFFF"/>
                <w:sz w:val="18"/>
              </w:rPr>
              <w:t>ASC 450 Class.</w:t>
            </w:r>
          </w:p>
        </w:tc>
        <w:tc>
          <w:tcPr>
            <w:tcW w:type="dxa" w:w="2520"/>
            <w:shd w:fill="1A1446" w:val="clear"/>
          </w:tcPr>
          <w:p>
            <w:r>
              <w:rPr>
                <w:rFonts w:ascii="Calibri" w:hAnsi="Calibri"/>
                <w:b/>
                <w:color w:val="FFFFFF"/>
                <w:sz w:val="18"/>
              </w:rPr>
              <w:t>Accrued</w:t>
            </w:r>
          </w:p>
        </w:tc>
        <w:tc>
          <w:tcPr>
            <w:tcW w:type="dxa" w:w="2520"/>
            <w:shd w:fill="1A1446" w:val="clear"/>
          </w:tcPr>
          <w:p>
            <w:r>
              <w:rPr>
                <w:rFonts w:ascii="Calibri" w:hAnsi="Calibri"/>
                <w:b/>
                <w:color w:val="FFFFFF"/>
                <w:sz w:val="18"/>
              </w:rPr>
              <w:t>Range</w:t>
            </w:r>
          </w:p>
        </w:tc>
      </w:tr>
      <w:tr>
        <w:tc>
          <w:tcPr>
            <w:tcW w:type="dxa" w:w="2520"/>
          </w:tcPr>
          <w:p>
            <w:r>
              <w:rPr>
                <w:rFonts w:ascii="Calibri" w:hAnsi="Calibri"/>
                <w:color w:val="333333"/>
                <w:sz w:val="18"/>
              </w:rPr>
              <w:t xml:space="preserve">The Company is subject, from time to time, to certain legal </w:t>
            </w:r>
          </w:p>
        </w:tc>
        <w:tc>
          <w:tcPr>
            <w:tcW w:type="dxa" w:w="2520"/>
          </w:tcPr>
          <w:p>
            <w:r>
              <w:rPr>
                <w:rFonts w:ascii="Calibri" w:hAnsi="Calibri"/>
                <w:color w:val="333333"/>
                <w:sz w:val="18"/>
              </w:rPr>
              <w:t>reasonably_possible</w:t>
            </w:r>
          </w:p>
        </w:tc>
        <w:tc>
          <w:tcPr>
            <w:tcW w:type="dxa" w:w="2520"/>
          </w:tcPr>
          <w:p>
            <w:r>
              <w:rPr>
                <w:rFonts w:ascii="Calibri" w:hAnsi="Calibri"/>
                <w:color w:val="333333"/>
                <w:sz w:val="18"/>
              </w:rPr>
              <w:t>N/A</w:t>
            </w:r>
          </w:p>
        </w:tc>
        <w:tc>
          <w:tcPr>
            <w:tcW w:type="dxa" w:w="2520"/>
          </w:tcPr>
          <w:p>
            <w:r>
              <w:rPr>
                <w:rFonts w:ascii="Calibri" w:hAnsi="Calibri"/>
                <w:color w:val="333333"/>
                <w:sz w:val="18"/>
              </w:rPr>
              <w:t>N/A</w:t>
            </w:r>
          </w:p>
        </w:tc>
      </w:tr>
    </w:tbl>
    <w:p>
      <w:pPr>
        <w:pStyle w:val="DOHeading3"/>
      </w:pPr>
      <w:r>
        <w:t>Workforce, Product &amp; Environmental Matters</w:t>
      </w:r>
    </w:p>
    <w:p>
      <w:pPr>
        <w:pStyle w:val="DOBody"/>
      </w:pPr>
      <w:r>
        <w:rPr>
          <w:b/>
          <w:sz w:val="20"/>
        </w:rPr>
        <w:t>Product Liability:</w:t>
      </w:r>
    </w:p>
    <w:p>
      <w:pPr>
        <w:pStyle w:val="DOBody"/>
      </w:pPr>
      <w:r>
        <w:t xml:space="preserve">  - [recall] Our results of operations or cash flows could also be negatively impacted if the Company or one of our brands suffers substantial harm to its reputation due to a significant product recall, product-related 6 The Procter &amp; Gamble Company litigation, defects or impurities in our products, product misuse, changing consumer perceptions of certain ingredients, negative perceptions of packaging (such as plastic and other petroleum-based materials), lack of recyclability or other environmen</w:t>
      </w:r>
    </w:p>
    <w:p>
      <w:pPr>
        <w:pStyle w:val="DOBody"/>
      </w:pPr>
      <w:r>
        <w:rPr>
          <w:b/>
          <w:sz w:val="20"/>
        </w:rPr>
        <w:t>Cybersecurity Incidents:</w:t>
      </w:r>
    </w:p>
    <w:p>
      <w:pPr>
        <w:pStyle w:val="DOBody"/>
      </w:pPr>
      <w:r>
        <w:t xml:space="preserve">  - [data_breach] for issues such as labor disputes or controversies, loss or impairment of key manufacturing sites, discontinuity or disruptions in our internal information and data systems or those of our suppliers, cybersecurity incidents including but not limited to ransomware attacks, misuse of artificial intelligence and machine learning technologies, inability to procure sufficient raw or input materials (including water, recycled materials and materials that meet our labor standards), significant chang...</w:t>
      </w:r>
    </w:p>
    <w:p>
      <w:pPr>
        <w:pStyle w:val="DOBody"/>
      </w:pPr>
      <w:r>
        <w:t xml:space="preserve">  - [data_breach] and other petroleum-based materials), lack of recyclability or other environmental attributes, concerns about actual or alleged labor, equality and inclusion or social practices, privacy failures or data breaches, allegations of product tampering or the distribution and sale of counterfeit products.</w:t>
      </w:r>
    </w:p>
    <w:p>
      <w:pPr>
        <w:pStyle w:val="DOBody"/>
      </w:pPr>
      <w:r>
        <w:t xml:space="preserve">  - [data_breach] A significant information security or operational technology incident, including a cybersecurity incident, or the failure of one or more key information or operations technology systems, networks, hardware, processes and/or associated sites involving the Company or one of its service providers could have a material adverse impact on our business or reputation.</w:t>
      </w:r>
    </w:p>
    <w:p>
      <w:pPr>
        <w:pStyle w:val="DOBody"/>
      </w:pPr>
      <w:r>
        <w:t xml:space="preserve">  - [data_breach] IT/OT databases and systems and our third-party providers' databases and systems have been, and will likely continue to be, subject to advanced computer viruses or other malicious codes, ransomware, unauthorized access attempts, denial of service attacks, phishing, social engineering, hacking and other cyber-attacks.</w:t>
      </w:r>
    </w:p>
    <w:p>
      <w:pPr>
        <w:pStyle w:val="DOBody"/>
      </w:pPr>
      <w:r>
        <w:t xml:space="preserve">  - [data_breach] In addition, if a ransomware attack, other cybersecurity incident or operational disruption occurs, either internally or at our third-party providers, we could be prevented from accessing our data or systems, which may cause interruptions or delays in our business operations, cause us to incur remediation costs, subject us to demands to pay a ransom or damage our</w:t>
      </w:r>
    </w:p>
    <w:p>
      <w:pPr>
        <w:pStyle w:val="DOBody"/>
      </w:pPr>
      <w:r>
        <w:t xml:space="preserve">  - [data_breach] If such a new system or technology does not function properly, provides flawed or inaccurate outputs or exposes us to increased cybersecurity incidents and failures, it could affect our ability to order materials, make and ship orders and process payments in addition to other operational and information integrity and loss issues.</w:t>
      </w:r>
    </w:p>
    <w:p>
      <w:pPr>
        <w:pStyle w:val="DOBody"/>
      </w:pPr>
      <w:r>
        <w:t xml:space="preserve">  - [cyber_attack] oss or impairment of key manufacturing sites, discontinuity or disruptions in our internal information and data systems or those of our suppliers, cybersecurity incidents including but not limited to ransomware attacks, misuse of artificial intelligence and machine learning technologies, inability to procure sufficient raw or input materials (including water, recycled materials and materials that meet our labor standards), significant changes in trade policy, natural disasters, increasing sev...</w:t>
      </w:r>
    </w:p>
    <w:p>
      <w:pPr>
        <w:pStyle w:val="DOBody"/>
      </w:pPr>
      <w:r>
        <w:t xml:space="preserve">  - [cyber_attack] In addition, because the techniques, tools and tactics used in cyber-attacks frequently change, continue to advance in sophistication and may be difficult to detect for periods of time, we and our third-party providers may face difficulties in anticipating and implementing adequate preventative measures or fully mitigating harms after such an attack, including acquired and</w:t>
      </w:r>
    </w:p>
    <w:p>
      <w:pPr>
        <w:pStyle w:val="DOBody"/>
      </w:pPr>
      <w:r>
        <w:t xml:space="preserve">  - [cyber_attack] Our IT/OT databases and systems and our third-party providers' databases and systems have been, and will likely continue to be, subject to advanced computer viruses or other malicious codes, ransomware, unauthorized access attempts, denial of service attacks, phishing, social engineering, hacking and other cyber-attacks.</w:t>
      </w:r>
    </w:p>
    <w:p>
      <w:pPr>
        <w:pStyle w:val="DOBody"/>
      </w:pPr>
      <w:r>
        <w:t xml:space="preserve">  - [cyber_attack] ely continue to be, subject to advanced computer viruses or other malicious codes, ransomware, unauthorized access attempts, denial of service attacks, phishing, social engineering, hacking and other cyber-attacks.</w:t>
      </w:r>
    </w:p>
    <w:p>
      <w:pPr>
        <w:pStyle w:val="DOBody"/>
      </w:pPr>
      <w:r>
        <w:t xml:space="preserve">  - [cyber_attack] nformation, due to any number of causes, including catastrophic events, natural disasters, power outages, computer and telecommunications failures, improper data handling, viruses, phishing attempts, cyber-attacks, malware and ransomware attacks, security incidents, misuse or malicious use of artificial intelligence or employee error or malfeasance, and our business continuity plans do not effectively address these failures on a timely basis, we may suffer interruptions in our ability to mana...</w:t>
      </w:r>
    </w:p>
    <w:p>
      <w:pPr>
        <w:pStyle w:val="DOBody"/>
      </w:pPr>
      <w:r>
        <w:t xml:space="preserve">  - [cyber_attack] er of causes, including catastrophic events, natural disasters, power outages, computer and telecommunications failures, improper data handling, viruses, phishing attempts, cyber-attacks, malware and ransomware attacks, security incidents, misuse or malicious use of artificial intelligence or employee error or malfeasance, and our business continuity plans do not effectively address these failures on a timely basis, we may suffer interruptions in our ability to manage operations and be expose...</w:t>
      </w:r>
    </w:p>
    <w:p>
      <w:pPr>
        <w:pStyle w:val="DOBody"/>
      </w:pPr>
      <w:r>
        <w:t xml:space="preserve">  - [cyber_attack] In addition, if a ransomware attack, other cybersecurity incident or operational disruption occurs, either internally or at our third-party providers, we could be prevented from accessing our data or systems, which may cause interruptions or delays in our business operations, cause us to incur remediation costs, subject us to</w:t>
      </w:r>
    </w:p>
    <w:p>
      <w:pPr>
        <w:pStyle w:val="DOHeading3"/>
      </w:pPr>
      <w:r>
        <w:t>Whistleblower Indicators</w:t>
      </w:r>
    </w:p>
    <w:p>
      <w:pPr>
        <w:pStyle w:val="DOBody"/>
      </w:pPr>
      <w:r>
        <w:t>No whistleblower indicators identified in SEC filings. SEC whistleblower tips are not publicly disclosed; absence does not confirm lack of activity.</w:t>
      </w:r>
    </w:p>
    <w:p>
      <w:pPr>
        <w:spacing w:before="120" w:after="40"/>
        <w:pBdr>
          <w:bottom w:val="single" w:sz="6" w:space="1" w:color="FFD000"/>
        </w:pBdr>
      </w:pPr>
    </w:p>
    <w:p>
      <w:pPr>
        <w:pStyle w:val="DOBody"/>
        <w:spacing w:before="40" w:after="120"/>
      </w:pPr>
      <w:r>
        <w:rPr>
          <w:color w:val="333333"/>
          <w:sz w:val="20"/>
        </w:rPr>
        <w:t>Procter &amp; Gamble's exceptional 91.5 quality score places it firmly in the WIN tier, with an expected claims probability of only 3.9-5.6%. The primary underwriting concern is its persistent history of prior litigation, which contributed a 2.03-point deduction and drives its MODERATE claim band despite its top-tier operational profile. Its active M&amp;A environment, a key risk factor with an 18-signal history, presents a consistent source of potential securities claims, as does a measurable level of short interest that triggered a 1.28-point deduction. For a company of this caliber, the underwriting story is the disconnect between its world-class fundamentals and the steady drumbeat of legal and transactional exposures, which total 8.54 points in deductions, that keep its risk off the floor.</w:t>
      </w:r>
    </w:p>
    <w:p>
      <w:pPr>
        <w:pStyle w:val="DOHeading1"/>
      </w:pPr>
      <w:r>
        <w:t>Section 7: Risk Scoring &amp; Synthesis</w:t>
      </w:r>
    </w:p>
    <w:p>
      <w:pPr>
        <w:pStyle w:val="DOBody"/>
      </w:pPr>
      <w:r>
        <w:rPr>
          <w:rFonts w:ascii="Calibri" w:hAnsi="Calibri"/>
          <w:color w:val="333333"/>
          <w:sz w:val="20"/>
        </w:rPr>
        <w:t>Underwriting tier: **WIN** (quality score: 91.5/100). Recommended action: Must-have account, compete aggressively. Expected claim probability band: 3.9-5.6%. Top risk contributors: IPO/SPAC/M&amp;A (F4: -2.5 pts); Prior Litigation (F1: -2.0 pts); Short Interest (F6: -1.3 pts). Claim probability band: MODERATE (3.9%-5.6%).</w:t>
      </w:r>
    </w:p>
    <w:p>
      <w:pPr>
        <w:pStyle w:val="DOHeading3"/>
      </w:pPr>
      <w:r>
        <w:t>Tier Classification</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Metric</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Quality Score</w:t>
            </w:r>
          </w:p>
        </w:tc>
        <w:tc>
          <w:tcPr>
            <w:tcW w:type="dxa" w:w="5040"/>
          </w:tcPr>
          <w:p>
            <w:r>
              <w:rPr>
                <w:rFonts w:ascii="Calibri" w:hAnsi="Calibri"/>
                <w:color w:val="333333"/>
                <w:sz w:val="18"/>
              </w:rPr>
              <w:t>91.5 / 100</w:t>
            </w:r>
          </w:p>
        </w:tc>
      </w:tr>
      <w:tr>
        <w:tc>
          <w:tcPr>
            <w:tcW w:type="dxa" w:w="5040"/>
            <w:shd w:fill="F2F4F8" w:val="clear"/>
          </w:tcPr>
          <w:p>
            <w:r>
              <w:rPr>
                <w:rFonts w:ascii="Calibri" w:hAnsi="Calibri"/>
                <w:color w:val="333333"/>
                <w:sz w:val="18"/>
              </w:rPr>
              <w:t>Composite Score (pre-ceiling)</w:t>
            </w:r>
          </w:p>
        </w:tc>
        <w:tc>
          <w:tcPr>
            <w:tcW w:type="dxa" w:w="5040"/>
            <w:shd w:fill="F2F4F8" w:val="clear"/>
          </w:tcPr>
          <w:p>
            <w:r>
              <w:rPr>
                <w:rFonts w:ascii="Calibri" w:hAnsi="Calibri"/>
                <w:color w:val="333333"/>
                <w:sz w:val="18"/>
              </w:rPr>
              <w:t>91.5</w:t>
            </w:r>
          </w:p>
        </w:tc>
      </w:tr>
      <w:tr>
        <w:tc>
          <w:tcPr>
            <w:tcW w:type="dxa" w:w="5040"/>
          </w:tcPr>
          <w:p>
            <w:r>
              <w:rPr>
                <w:rFonts w:ascii="Calibri" w:hAnsi="Calibri"/>
                <w:color w:val="333333"/>
                <w:sz w:val="18"/>
              </w:rPr>
              <w:t>Total Risk Points Deducted</w:t>
            </w:r>
          </w:p>
        </w:tc>
        <w:tc>
          <w:tcPr>
            <w:tcW w:type="dxa" w:w="5040"/>
          </w:tcPr>
          <w:p>
            <w:r>
              <w:rPr>
                <w:rFonts w:ascii="Calibri" w:hAnsi="Calibri"/>
                <w:color w:val="333333"/>
                <w:sz w:val="18"/>
              </w:rPr>
              <w:t>8.5</w:t>
            </w:r>
          </w:p>
        </w:tc>
      </w:tr>
      <w:tr>
        <w:tc>
          <w:tcPr>
            <w:tcW w:type="dxa" w:w="5040"/>
            <w:shd w:fill="F2F4F8" w:val="clear"/>
          </w:tcPr>
          <w:p>
            <w:r>
              <w:rPr>
                <w:rFonts w:ascii="Calibri" w:hAnsi="Calibri"/>
                <w:color w:val="333333"/>
                <w:sz w:val="18"/>
              </w:rPr>
              <w:t>Tier</w:t>
            </w:r>
          </w:p>
        </w:tc>
        <w:tc>
          <w:tcPr>
            <w:tcW w:type="dxa" w:w="5040"/>
            <w:shd w:fill="F2F4F8" w:val="clear"/>
          </w:tcPr>
          <w:p>
            <w:r>
              <w:rPr>
                <w:rFonts w:ascii="Calibri" w:hAnsi="Calibri"/>
                <w:color w:val="333333"/>
                <w:sz w:val="18"/>
              </w:rPr>
              <w:t>WIN</w:t>
            </w:r>
          </w:p>
        </w:tc>
      </w:tr>
      <w:tr>
        <w:tc>
          <w:tcPr>
            <w:tcW w:type="dxa" w:w="5040"/>
          </w:tcPr>
          <w:p>
            <w:r>
              <w:rPr>
                <w:rFonts w:ascii="Calibri" w:hAnsi="Calibri"/>
                <w:color w:val="333333"/>
                <w:sz w:val="18"/>
              </w:rPr>
              <w:t>Tier Range</w:t>
            </w:r>
          </w:p>
        </w:tc>
        <w:tc>
          <w:tcPr>
            <w:tcW w:type="dxa" w:w="5040"/>
          </w:tcPr>
          <w:p>
            <w:r>
              <w:rPr>
                <w:rFonts w:ascii="Calibri" w:hAnsi="Calibri"/>
                <w:color w:val="333333"/>
                <w:sz w:val="18"/>
              </w:rPr>
              <w:t>86 - 100</w:t>
            </w:r>
          </w:p>
        </w:tc>
      </w:tr>
      <w:tr>
        <w:tc>
          <w:tcPr>
            <w:tcW w:type="dxa" w:w="5040"/>
            <w:shd w:fill="F2F4F8" w:val="clear"/>
          </w:tcPr>
          <w:p>
            <w:r>
              <w:rPr>
                <w:rFonts w:ascii="Calibri" w:hAnsi="Calibri"/>
                <w:color w:val="333333"/>
                <w:sz w:val="18"/>
              </w:rPr>
              <w:t>Action Guidance</w:t>
            </w:r>
          </w:p>
        </w:tc>
        <w:tc>
          <w:tcPr>
            <w:tcW w:type="dxa" w:w="5040"/>
            <w:shd w:fill="F2F4F8" w:val="clear"/>
          </w:tcPr>
          <w:p>
            <w:r>
              <w:rPr>
                <w:rFonts w:ascii="Calibri" w:hAnsi="Calibri"/>
                <w:color w:val="333333"/>
                <w:sz w:val="18"/>
              </w:rPr>
              <w:t>Must-have account, compete aggressively</w:t>
            </w:r>
          </w:p>
        </w:tc>
      </w:tr>
      <w:tr>
        <w:tc>
          <w:tcPr>
            <w:tcW w:type="dxa" w:w="5040"/>
          </w:tcPr>
          <w:p>
            <w:r>
              <w:rPr>
                <w:rFonts w:ascii="Calibri" w:hAnsi="Calibri"/>
                <w:color w:val="333333"/>
                <w:sz w:val="18"/>
              </w:rPr>
              <w:t>Probability Range</w:t>
            </w:r>
          </w:p>
        </w:tc>
        <w:tc>
          <w:tcPr>
            <w:tcW w:type="dxa" w:w="5040"/>
          </w:tcPr>
          <w:p>
            <w:r>
              <w:rPr>
                <w:rFonts w:ascii="Calibri" w:hAnsi="Calibri"/>
                <w:color w:val="333333"/>
                <w:sz w:val="18"/>
              </w:rPr>
              <w:t>3.9-5.6%</w:t>
            </w:r>
          </w:p>
        </w:tc>
      </w:tr>
      <w:tr>
        <w:tc>
          <w:tcPr>
            <w:tcW w:type="dxa" w:w="5040"/>
            <w:shd w:fill="F2F4F8" w:val="clear"/>
          </w:tcPr>
          <w:p>
            <w:r>
              <w:rPr>
                <w:rFonts w:ascii="Calibri" w:hAnsi="Calibri"/>
                <w:color w:val="333333"/>
                <w:sz w:val="18"/>
              </w:rPr>
              <w:t>Pricing Multiplier</w:t>
            </w:r>
          </w:p>
        </w:tc>
        <w:tc>
          <w:tcPr>
            <w:tcW w:type="dxa" w:w="5040"/>
            <w:shd w:fill="F2F4F8" w:val="clear"/>
          </w:tcPr>
          <w:p>
            <w:r>
              <w:rPr>
                <w:rFonts w:ascii="Calibri" w:hAnsi="Calibri"/>
                <w:color w:val="333333"/>
                <w:sz w:val="18"/>
              </w:rPr>
              <w:t>0.5-0.7x</w:t>
            </w:r>
          </w:p>
        </w:tc>
      </w:tr>
    </w:tbl>
    <w:p>
      <w:pPr>
        <w:pStyle w:val="DOBody"/>
      </w:pPr>
      <w:r>
        <w:rPr>
          <w:b/>
        </w:rPr>
        <w:t>Risk Assessment: LOW</w:t>
      </w:r>
      <w:r>
        <w:rPr>
          <w:b/>
          <w:color w:val="2563EB"/>
          <w:sz w:val="18"/>
        </w:rPr>
        <w:t xml:space="preserve"> [LOW]</w:t>
      </w:r>
    </w:p>
    <w:p>
      <w:pPr>
        <w:pStyle w:val="DOHeading3"/>
      </w:pPr>
      <w:r>
        <w:t>D&amp;O Claim Peril Assessment</w:t>
      </w:r>
    </w:p>
    <w:p>
      <w:pPr>
        <w:pStyle w:val="DOBody"/>
      </w:pPr>
      <w:r>
        <w:t>1 of 8 D&amp;O claim perils show active risk signals. Active perils have at least one causal chain with triggered checks.</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1A1446" w:val="clear"/>
          </w:tcPr>
          <w:p>
            <w:r>
              <w:rPr>
                <w:rFonts w:ascii="Calibri" w:hAnsi="Calibri"/>
                <w:b/>
                <w:color w:val="FFFFFF"/>
                <w:sz w:val="18"/>
              </w:rPr>
              <w:t>Peril</w:t>
            </w:r>
          </w:p>
        </w:tc>
        <w:tc>
          <w:tcPr>
            <w:tcW w:type="dxa" w:w="2520"/>
            <w:shd w:fill="1A1446" w:val="clear"/>
          </w:tcPr>
          <w:p>
            <w:r>
              <w:rPr>
                <w:rFonts w:ascii="Calibri" w:hAnsi="Calibri"/>
                <w:b/>
                <w:color w:val="FFFFFF"/>
                <w:sz w:val="18"/>
              </w:rPr>
              <w:t>Risk Level</w:t>
            </w:r>
          </w:p>
        </w:tc>
        <w:tc>
          <w:tcPr>
            <w:tcW w:type="dxa" w:w="2520"/>
            <w:shd w:fill="1A1446" w:val="clear"/>
          </w:tcPr>
          <w:p>
            <w:r>
              <w:rPr>
                <w:rFonts w:ascii="Calibri" w:hAnsi="Calibri"/>
                <w:b/>
                <w:color w:val="FFFFFF"/>
                <w:sz w:val="18"/>
              </w:rPr>
              <w:t>Active Chains</w:t>
            </w:r>
          </w:p>
        </w:tc>
        <w:tc>
          <w:tcPr>
            <w:tcW w:type="dxa" w:w="2520"/>
            <w:shd w:fill="1A1446" w:val="clear"/>
          </w:tcPr>
          <w:p>
            <w:r>
              <w:rPr>
                <w:rFonts w:ascii="Calibri" w:hAnsi="Calibri"/>
                <w:b/>
                <w:color w:val="FFFFFF"/>
                <w:sz w:val="18"/>
              </w:rPr>
              <w:t>Key Evidence</w:t>
            </w:r>
          </w:p>
        </w:tc>
      </w:tr>
      <w:tr>
        <w:tc>
          <w:tcPr>
            <w:tcW w:type="dxa" w:w="2520"/>
          </w:tcPr>
          <w:p>
            <w:r>
              <w:rPr>
                <w:rFonts w:ascii="Calibri" w:hAnsi="Calibri"/>
                <w:b/>
                <w:color w:val="333333"/>
                <w:sz w:val="18"/>
              </w:rPr>
              <w:t>Securities Claims</w:t>
            </w:r>
          </w:p>
        </w:tc>
        <w:tc>
          <w:tcPr>
            <w:tcW w:type="dxa" w:w="2520"/>
            <w:shd w:fill="DCEEF8" w:val="clear"/>
          </w:tcPr>
          <w:p>
            <w:r>
              <w:rPr>
                <w:rFonts w:ascii="Calibri" w:hAnsi="Calibri"/>
                <w:b/>
                <w:color w:val="4A90D9"/>
                <w:sz w:val="18"/>
              </w:rPr>
              <w:t>LOW</w:t>
            </w:r>
          </w:p>
        </w:tc>
        <w:tc>
          <w:tcPr>
            <w:tcW w:type="dxa" w:w="2520"/>
          </w:tcPr>
          <w:p>
            <w:r>
              <w:rPr>
                <w:rFonts w:ascii="Calibri" w:hAnsi="Calibri"/>
                <w:sz w:val="18"/>
              </w:rPr>
              <w:t>0/5</w:t>
            </w:r>
          </w:p>
        </w:tc>
        <w:tc>
          <w:tcPr>
            <w:tcW w:type="dxa" w:w="2520"/>
          </w:tcPr>
          <w:p>
            <w:r>
              <w:rPr>
                <w:rFonts w:ascii="Calibri" w:hAnsi="Calibri"/>
                <w:color w:val="666666"/>
                <w:sz w:val="18"/>
              </w:rPr>
              <w:t>—</w:t>
            </w:r>
          </w:p>
        </w:tc>
      </w:tr>
      <w:tr>
        <w:tc>
          <w:tcPr>
            <w:tcW w:type="dxa" w:w="2520"/>
          </w:tcPr>
          <w:p>
            <w:r>
              <w:rPr>
                <w:rFonts w:ascii="Calibri" w:hAnsi="Calibri"/>
                <w:b/>
                <w:color w:val="333333"/>
                <w:sz w:val="18"/>
              </w:rPr>
              <w:t>Fiduciary Breach</w:t>
            </w:r>
          </w:p>
        </w:tc>
        <w:tc>
          <w:tcPr>
            <w:tcW w:type="dxa" w:w="2520"/>
            <w:shd w:fill="FFF3CD" w:val="clear"/>
          </w:tcPr>
          <w:p>
            <w:r>
              <w:rPr>
                <w:rFonts w:ascii="Calibri" w:hAnsi="Calibri"/>
                <w:b/>
                <w:color w:val="E67300"/>
                <w:sz w:val="18"/>
              </w:rPr>
              <w:t>MODERATE</w:t>
            </w:r>
          </w:p>
        </w:tc>
        <w:tc>
          <w:tcPr>
            <w:tcW w:type="dxa" w:w="2520"/>
          </w:tcPr>
          <w:p>
            <w:r>
              <w:rPr>
                <w:rFonts w:ascii="Calibri" w:hAnsi="Calibri"/>
                <w:sz w:val="18"/>
              </w:rPr>
              <w:t>1/3</w:t>
            </w:r>
          </w:p>
        </w:tc>
        <w:tc>
          <w:tcPr>
            <w:tcW w:type="dxa" w:w="2520"/>
          </w:tcPr>
          <w:p>
            <w:r>
              <w:rPr>
                <w:rFonts w:ascii="Calibri" w:hAnsi="Calibri"/>
                <w:color w:val="666666"/>
                <w:sz w:val="18"/>
              </w:rPr>
              <w:t>Verified (value: 0); Detected (value). Limited corroborating data available.</w:t>
            </w:r>
          </w:p>
        </w:tc>
      </w:tr>
      <w:tr>
        <w:tc>
          <w:tcPr>
            <w:tcW w:type="dxa" w:w="2520"/>
          </w:tcPr>
          <w:p>
            <w:r>
              <w:rPr>
                <w:rFonts w:ascii="Calibri" w:hAnsi="Calibri"/>
                <w:b/>
                <w:color w:val="333333"/>
                <w:sz w:val="18"/>
              </w:rPr>
              <w:t>Government Enforcement</w:t>
            </w:r>
          </w:p>
        </w:tc>
        <w:tc>
          <w:tcPr>
            <w:tcW w:type="dxa" w:w="2520"/>
            <w:shd w:fill="DCEEF8" w:val="clear"/>
          </w:tcPr>
          <w:p>
            <w:r>
              <w:rPr>
                <w:rFonts w:ascii="Calibri" w:hAnsi="Calibri"/>
                <w:b/>
                <w:color w:val="4A90D9"/>
                <w:sz w:val="18"/>
              </w:rPr>
              <w:t>LOW</w:t>
            </w:r>
          </w:p>
        </w:tc>
        <w:tc>
          <w:tcPr>
            <w:tcW w:type="dxa" w:w="2520"/>
          </w:tcPr>
          <w:p>
            <w:r>
              <w:rPr>
                <w:rFonts w:ascii="Calibri" w:hAnsi="Calibri"/>
                <w:sz w:val="18"/>
              </w:rPr>
              <w:t>0/2</w:t>
            </w:r>
          </w:p>
        </w:tc>
        <w:tc>
          <w:tcPr>
            <w:tcW w:type="dxa" w:w="2520"/>
          </w:tcPr>
          <w:p>
            <w:r>
              <w:rPr>
                <w:rFonts w:ascii="Calibri" w:hAnsi="Calibri"/>
                <w:color w:val="666666"/>
                <w:sz w:val="18"/>
              </w:rPr>
              <w:t>—</w:t>
            </w:r>
          </w:p>
        </w:tc>
      </w:tr>
      <w:tr>
        <w:tc>
          <w:tcPr>
            <w:tcW w:type="dxa" w:w="2520"/>
          </w:tcPr>
          <w:p>
            <w:r>
              <w:rPr>
                <w:rFonts w:ascii="Calibri" w:hAnsi="Calibri"/>
                <w:b/>
                <w:color w:val="333333"/>
                <w:sz w:val="18"/>
              </w:rPr>
              <w:t>Employment &amp; Whistleblower</w:t>
            </w:r>
          </w:p>
        </w:tc>
        <w:tc>
          <w:tcPr>
            <w:tcW w:type="dxa" w:w="2520"/>
            <w:shd w:fill="DCEEF8" w:val="clear"/>
          </w:tcPr>
          <w:p>
            <w:r>
              <w:rPr>
                <w:rFonts w:ascii="Calibri" w:hAnsi="Calibri"/>
                <w:b/>
                <w:color w:val="4A90D9"/>
                <w:sz w:val="18"/>
              </w:rPr>
              <w:t>LOW</w:t>
            </w:r>
          </w:p>
        </w:tc>
        <w:tc>
          <w:tcPr>
            <w:tcW w:type="dxa" w:w="2520"/>
          </w:tcPr>
          <w:p>
            <w:r>
              <w:rPr>
                <w:rFonts w:ascii="Calibri" w:hAnsi="Calibri"/>
                <w:sz w:val="18"/>
              </w:rPr>
              <w:t>0/1</w:t>
            </w:r>
          </w:p>
        </w:tc>
        <w:tc>
          <w:tcPr>
            <w:tcW w:type="dxa" w:w="2520"/>
          </w:tcPr>
          <w:p>
            <w:r>
              <w:rPr>
                <w:rFonts w:ascii="Calibri" w:hAnsi="Calibri"/>
                <w:color w:val="666666"/>
                <w:sz w:val="18"/>
              </w:rPr>
              <w:t>—</w:t>
            </w:r>
          </w:p>
        </w:tc>
      </w:tr>
      <w:tr>
        <w:tc>
          <w:tcPr>
            <w:tcW w:type="dxa" w:w="2520"/>
          </w:tcPr>
          <w:p>
            <w:r>
              <w:rPr>
                <w:rFonts w:ascii="Calibri" w:hAnsi="Calibri"/>
                <w:b/>
                <w:color w:val="333333"/>
                <w:sz w:val="18"/>
              </w:rPr>
              <w:t>Insolvency &amp; Bankruptcy</w:t>
            </w:r>
          </w:p>
        </w:tc>
        <w:tc>
          <w:tcPr>
            <w:tcW w:type="dxa" w:w="2520"/>
            <w:shd w:fill="DCEEF8" w:val="clear"/>
          </w:tcPr>
          <w:p>
            <w:r>
              <w:rPr>
                <w:rFonts w:ascii="Calibri" w:hAnsi="Calibri"/>
                <w:b/>
                <w:color w:val="4A90D9"/>
                <w:sz w:val="18"/>
              </w:rPr>
              <w:t>LOW</w:t>
            </w:r>
          </w:p>
        </w:tc>
        <w:tc>
          <w:tcPr>
            <w:tcW w:type="dxa" w:w="2520"/>
          </w:tcPr>
          <w:p>
            <w:r>
              <w:rPr>
                <w:rFonts w:ascii="Calibri" w:hAnsi="Calibri"/>
                <w:sz w:val="18"/>
              </w:rPr>
              <w:t>0/1</w:t>
            </w:r>
          </w:p>
        </w:tc>
        <w:tc>
          <w:tcPr>
            <w:tcW w:type="dxa" w:w="2520"/>
          </w:tcPr>
          <w:p>
            <w:r>
              <w:rPr>
                <w:rFonts w:ascii="Calibri" w:hAnsi="Calibri"/>
                <w:color w:val="666666"/>
                <w:sz w:val="18"/>
              </w:rPr>
              <w:t>—</w:t>
            </w:r>
          </w:p>
        </w:tc>
      </w:tr>
      <w:tr>
        <w:tc>
          <w:tcPr>
            <w:tcW w:type="dxa" w:w="2520"/>
          </w:tcPr>
          <w:p>
            <w:r>
              <w:rPr>
                <w:rFonts w:ascii="Calibri" w:hAnsi="Calibri"/>
                <w:b/>
                <w:color w:val="333333"/>
                <w:sz w:val="18"/>
              </w:rPr>
              <w:t>Emerging Risks</w:t>
            </w:r>
          </w:p>
        </w:tc>
        <w:tc>
          <w:tcPr>
            <w:tcW w:type="dxa" w:w="2520"/>
            <w:shd w:fill="DCEEF8" w:val="clear"/>
          </w:tcPr>
          <w:p>
            <w:r>
              <w:rPr>
                <w:rFonts w:ascii="Calibri" w:hAnsi="Calibri"/>
                <w:b/>
                <w:color w:val="4A90D9"/>
                <w:sz w:val="18"/>
              </w:rPr>
              <w:t>LOW</w:t>
            </w:r>
          </w:p>
        </w:tc>
        <w:tc>
          <w:tcPr>
            <w:tcW w:type="dxa" w:w="2520"/>
          </w:tcPr>
          <w:p>
            <w:r>
              <w:rPr>
                <w:rFonts w:ascii="Calibri" w:hAnsi="Calibri"/>
                <w:sz w:val="18"/>
              </w:rPr>
              <w:t>0/2</w:t>
            </w:r>
          </w:p>
        </w:tc>
        <w:tc>
          <w:tcPr>
            <w:tcW w:type="dxa" w:w="2520"/>
          </w:tcPr>
          <w:p>
            <w:r>
              <w:rPr>
                <w:rFonts w:ascii="Calibri" w:hAnsi="Calibri"/>
                <w:color w:val="666666"/>
                <w:sz w:val="18"/>
              </w:rPr>
              <w:t>—</w:t>
            </w:r>
          </w:p>
        </w:tc>
      </w:tr>
      <w:tr>
        <w:tc>
          <w:tcPr>
            <w:tcW w:type="dxa" w:w="2520"/>
          </w:tcPr>
          <w:p>
            <w:r>
              <w:rPr>
                <w:rFonts w:ascii="Calibri" w:hAnsi="Calibri"/>
                <w:b/>
                <w:color w:val="333333"/>
                <w:sz w:val="18"/>
              </w:rPr>
              <w:t>Consumer &amp; Product Claims</w:t>
            </w:r>
          </w:p>
        </w:tc>
        <w:tc>
          <w:tcPr>
            <w:tcW w:type="dxa" w:w="2520"/>
            <w:shd w:fill="DCEEF8" w:val="clear"/>
          </w:tcPr>
          <w:p>
            <w:r>
              <w:rPr>
                <w:rFonts w:ascii="Calibri" w:hAnsi="Calibri"/>
                <w:b/>
                <w:color w:val="4A90D9"/>
                <w:sz w:val="18"/>
              </w:rPr>
              <w:t>LOW</w:t>
            </w:r>
          </w:p>
        </w:tc>
        <w:tc>
          <w:tcPr>
            <w:tcW w:type="dxa" w:w="2520"/>
          </w:tcPr>
          <w:p>
            <w:r>
              <w:rPr>
                <w:rFonts w:ascii="Calibri" w:hAnsi="Calibri"/>
                <w:sz w:val="18"/>
              </w:rPr>
              <w:t>0/1</w:t>
            </w:r>
          </w:p>
        </w:tc>
        <w:tc>
          <w:tcPr>
            <w:tcW w:type="dxa" w:w="2520"/>
          </w:tcPr>
          <w:p>
            <w:r>
              <w:rPr>
                <w:rFonts w:ascii="Calibri" w:hAnsi="Calibri"/>
                <w:color w:val="666666"/>
                <w:sz w:val="18"/>
              </w:rPr>
              <w:t>—</w:t>
            </w:r>
          </w:p>
        </w:tc>
      </w:tr>
      <w:tr>
        <w:tc>
          <w:tcPr>
            <w:tcW w:type="dxa" w:w="2520"/>
          </w:tcPr>
          <w:p>
            <w:r>
              <w:rPr>
                <w:rFonts w:ascii="Calibri" w:hAnsi="Calibri"/>
                <w:b/>
                <w:color w:val="333333"/>
                <w:sz w:val="18"/>
              </w:rPr>
              <w:t>Commercial Litigation</w:t>
            </w:r>
          </w:p>
        </w:tc>
        <w:tc>
          <w:tcPr>
            <w:tcW w:type="dxa" w:w="2520"/>
            <w:shd w:fill="DCEEF8" w:val="clear"/>
          </w:tcPr>
          <w:p>
            <w:r>
              <w:rPr>
                <w:rFonts w:ascii="Calibri" w:hAnsi="Calibri"/>
                <w:b/>
                <w:color w:val="4A90D9"/>
                <w:sz w:val="18"/>
              </w:rPr>
              <w:t>LOW</w:t>
            </w:r>
          </w:p>
        </w:tc>
        <w:tc>
          <w:tcPr>
            <w:tcW w:type="dxa" w:w="2520"/>
          </w:tcPr>
          <w:p>
            <w:r>
              <w:rPr>
                <w:rFonts w:ascii="Calibri" w:hAnsi="Calibri"/>
                <w:sz w:val="18"/>
              </w:rPr>
              <w:t>0/1</w:t>
            </w:r>
          </w:p>
        </w:tc>
        <w:tc>
          <w:tcPr>
            <w:tcW w:type="dxa" w:w="2520"/>
          </w:tcPr>
          <w:p>
            <w:r>
              <w:rPr>
                <w:rFonts w:ascii="Calibri" w:hAnsi="Calibri"/>
                <w:color w:val="666666"/>
                <w:sz w:val="18"/>
              </w:rPr>
              <w:t>—</w:t>
            </w:r>
          </w:p>
        </w:tc>
      </w:tr>
    </w:tbl>
    <w:p>
      <w:pPr>
        <w:pStyle w:val="DOHeading3"/>
      </w:pPr>
      <w:r>
        <w:t>Active Peril Analysis</w:t>
      </w:r>
    </w:p>
    <w:p>
      <w:pPr>
        <w:pStyle w:val="DOHeading3"/>
      </w:pPr>
      <w:r>
        <w:t>Fiduciary Breach: MODERATE</w:t>
      </w:r>
      <w:r>
        <w:rPr>
          <w:b/>
          <w:color w:val="2563EB"/>
          <w:sz w:val="18"/>
        </w:rPr>
        <w:t xml:space="preserve"> [MODERATE]</w:t>
      </w:r>
    </w:p>
    <w:p>
      <w:pPr>
        <w:pStyle w:val="DOBody"/>
      </w:pPr>
      <w:r>
        <w:rPr>
          <w:color w:val="666666"/>
          <w:sz w:val="16"/>
        </w:rPr>
        <w:t>Frequency: growing | Severity: variable | Typical range: $1M - $100M</w:t>
      </w:r>
    </w:p>
    <w:p>
      <w:pPr>
        <w:pStyle w:val="DOBody"/>
      </w:pPr>
      <w:r>
        <w:t>1 of 3 causal chains active.</w:t>
      </w:r>
    </w:p>
    <w:p>
      <w:pPr>
        <w:pStyle w:val="DOBody"/>
      </w:pPr>
      <w:r>
        <w:rPr>
          <w:b/>
        </w:rPr>
        <w:t>Chain: Governance Failure → Derivative Suit</w:t>
      </w:r>
      <w:r>
        <w:t xml:space="preserve"> [MODERATE]</w:t>
      </w:r>
    </w:p>
    <w:p>
      <w:pPr>
        <w:pStyle w:val="DOBody"/>
      </w:pPr>
      <w:r>
        <w:rPr>
          <w:i/>
          <w:sz w:val="16"/>
        </w:rPr>
        <w:t>Weak governance structure (low independence, CEO/Chair duality, poor say-on-pay) creates basis for Caremark duty of oversight claims and derivative suits.</w:t>
        <w:br/>
      </w:r>
    </w:p>
    <w:p>
      <w:pPr>
        <w:pStyle w:val="DOBody"/>
      </w:pPr>
      <w:r>
        <w:rPr>
          <w:b/>
          <w:sz w:val="20"/>
        </w:rPr>
        <w:t xml:space="preserve">  Triggers: </w:t>
      </w:r>
      <w:r>
        <w:br/>
        <w:t xml:space="preserve">    • GOV.BOARD.ceo_chair</w:t>
      </w:r>
    </w:p>
    <w:p>
      <w:pPr>
        <w:pStyle w:val="DOBody"/>
      </w:pPr>
      <w:r>
        <w:rPr>
          <w:color w:val="666666"/>
          <w:sz w:val="16"/>
        </w:rPr>
        <w:t xml:space="preserve">  Historical filing rate: 3% | Median severity: $8M</w:t>
      </w:r>
    </w:p>
    <w:p>
      <w:pPr>
        <w:pStyle w:val="DOHeading3"/>
      </w:pPr>
      <w:r>
        <w:t>Composite Score Breakdown</w:t>
      </w:r>
    </w:p>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680"/>
            <w:shd w:fill="1A1446" w:val="clear"/>
          </w:tcPr>
          <w:p>
            <w:r>
              <w:rPr>
                <w:rFonts w:ascii="Calibri" w:hAnsi="Calibri"/>
                <w:b/>
                <w:color w:val="FFFFFF"/>
                <w:sz w:val="18"/>
              </w:rPr>
              <w:t>Factor</w:t>
            </w:r>
          </w:p>
        </w:tc>
        <w:tc>
          <w:tcPr>
            <w:tcW w:type="dxa" w:w="1680"/>
            <w:shd w:fill="1A1446" w:val="clear"/>
          </w:tcPr>
          <w:p>
            <w:r>
              <w:rPr>
                <w:rFonts w:ascii="Calibri" w:hAnsi="Calibri"/>
                <w:b/>
                <w:color w:val="FFFFFF"/>
                <w:sz w:val="18"/>
              </w:rPr>
              <w:t>Name</w:t>
            </w:r>
          </w:p>
        </w:tc>
        <w:tc>
          <w:tcPr>
            <w:tcW w:type="dxa" w:w="1680"/>
            <w:shd w:fill="1A1446" w:val="clear"/>
          </w:tcPr>
          <w:p>
            <w:r>
              <w:rPr>
                <w:rFonts w:ascii="Calibri" w:hAnsi="Calibri"/>
                <w:b/>
                <w:color w:val="FFFFFF"/>
                <w:sz w:val="18"/>
              </w:rPr>
              <w:t>Max Pts</w:t>
            </w:r>
          </w:p>
        </w:tc>
        <w:tc>
          <w:tcPr>
            <w:tcW w:type="dxa" w:w="1680"/>
            <w:shd w:fill="1A1446" w:val="clear"/>
          </w:tcPr>
          <w:p>
            <w:r>
              <w:rPr>
                <w:rFonts w:ascii="Calibri" w:hAnsi="Calibri"/>
                <w:b/>
                <w:color w:val="FFFFFF"/>
                <w:sz w:val="18"/>
              </w:rPr>
              <w:t>Deducted</w:t>
            </w:r>
          </w:p>
        </w:tc>
        <w:tc>
          <w:tcPr>
            <w:tcW w:type="dxa" w:w="1680"/>
            <w:shd w:fill="1A1446" w:val="clear"/>
          </w:tcPr>
          <w:p>
            <w:r>
              <w:rPr>
                <w:rFonts w:ascii="Calibri" w:hAnsi="Calibri"/>
                <w:b/>
                <w:color w:val="FFFFFF"/>
                <w:sz w:val="18"/>
              </w:rPr>
              <w:t>% Used</w:t>
            </w:r>
          </w:p>
        </w:tc>
        <w:tc>
          <w:tcPr>
            <w:tcW w:type="dxa" w:w="1680"/>
            <w:shd w:fill="1A1446" w:val="clear"/>
          </w:tcPr>
          <w:p>
            <w:r>
              <w:rPr>
                <w:rFonts w:ascii="Calibri" w:hAnsi="Calibri"/>
                <w:b/>
                <w:color w:val="FFFFFF"/>
                <w:sz w:val="18"/>
              </w:rPr>
              <w:t>Top Contributor</w:t>
            </w:r>
          </w:p>
        </w:tc>
      </w:tr>
      <w:tr>
        <w:tc>
          <w:tcPr>
            <w:tcW w:type="dxa" w:w="1680"/>
          </w:tcPr>
          <w:p>
            <w:r>
              <w:rPr>
                <w:rFonts w:ascii="Calibri" w:hAnsi="Calibri"/>
                <w:color w:val="333333"/>
                <w:sz w:val="18"/>
              </w:rPr>
              <w:t>F1</w:t>
            </w:r>
          </w:p>
        </w:tc>
        <w:tc>
          <w:tcPr>
            <w:tcW w:type="dxa" w:w="1680"/>
          </w:tcPr>
          <w:p>
            <w:r>
              <w:rPr>
                <w:rFonts w:ascii="Calibri" w:hAnsi="Calibri"/>
                <w:color w:val="333333"/>
                <w:sz w:val="18"/>
              </w:rPr>
              <w:t>Prior Litigation</w:t>
            </w:r>
          </w:p>
        </w:tc>
        <w:tc>
          <w:tcPr>
            <w:tcW w:type="dxa" w:w="1680"/>
          </w:tcPr>
          <w:p>
            <w:r>
              <w:rPr>
                <w:rFonts w:ascii="Calibri" w:hAnsi="Calibri"/>
                <w:color w:val="333333"/>
                <w:sz w:val="18"/>
              </w:rPr>
              <w:t>20</w:t>
            </w:r>
          </w:p>
        </w:tc>
        <w:tc>
          <w:tcPr>
            <w:tcW w:type="dxa" w:w="1680"/>
          </w:tcPr>
          <w:p>
            <w:r>
              <w:rPr>
                <w:rFonts w:ascii="Calibri" w:hAnsi="Calibri"/>
                <w:color w:val="333333"/>
                <w:sz w:val="18"/>
              </w:rPr>
              <w:t>2.0</w:t>
            </w:r>
          </w:p>
        </w:tc>
        <w:tc>
          <w:tcPr>
            <w:tcW w:type="dxa" w:w="1680"/>
          </w:tcPr>
          <w:p>
            <w:r>
              <w:rPr>
                <w:rFonts w:ascii="Calibri" w:hAnsi="Calibri"/>
                <w:color w:val="333333"/>
                <w:sz w:val="18"/>
              </w:rPr>
              <w:t>10%</w:t>
            </w:r>
          </w:p>
        </w:tc>
        <w:tc>
          <w:tcPr>
            <w:tcW w:type="dxa" w:w="1680"/>
          </w:tcPr>
          <w:p>
            <w:r>
              <w:rPr>
                <w:rFonts w:ascii="Calibri" w:hAnsi="Calibri"/>
                <w:color w:val="333333"/>
                <w:sz w:val="18"/>
              </w:rPr>
              <w:t>Signal-driven scoring: 70 signals, coverage=100%</w:t>
            </w:r>
          </w:p>
        </w:tc>
      </w:tr>
      <w:tr>
        <w:tc>
          <w:tcPr>
            <w:tcW w:type="dxa" w:w="1680"/>
            <w:shd w:fill="F2F4F8" w:val="clear"/>
          </w:tcPr>
          <w:p>
            <w:r>
              <w:rPr>
                <w:rFonts w:ascii="Calibri" w:hAnsi="Calibri"/>
                <w:color w:val="333333"/>
                <w:sz w:val="18"/>
              </w:rPr>
              <w:t>F2</w:t>
            </w:r>
          </w:p>
        </w:tc>
        <w:tc>
          <w:tcPr>
            <w:tcW w:type="dxa" w:w="1680"/>
            <w:shd w:fill="F2F4F8" w:val="clear"/>
          </w:tcPr>
          <w:p>
            <w:r>
              <w:rPr>
                <w:rFonts w:ascii="Calibri" w:hAnsi="Calibri"/>
                <w:color w:val="333333"/>
                <w:sz w:val="18"/>
              </w:rPr>
              <w:t>Stock Decline</w:t>
            </w:r>
          </w:p>
        </w:tc>
        <w:tc>
          <w:tcPr>
            <w:tcW w:type="dxa" w:w="1680"/>
            <w:shd w:fill="F2F4F8" w:val="clear"/>
          </w:tcPr>
          <w:p>
            <w:r>
              <w:rPr>
                <w:rFonts w:ascii="Calibri" w:hAnsi="Calibri"/>
                <w:color w:val="333333"/>
                <w:sz w:val="18"/>
              </w:rPr>
              <w:t>15</w:t>
            </w:r>
          </w:p>
        </w:tc>
        <w:tc>
          <w:tcPr>
            <w:tcW w:type="dxa" w:w="1680"/>
            <w:shd w:fill="F2F4F8" w:val="clear"/>
          </w:tcPr>
          <w:p>
            <w:r>
              <w:rPr>
                <w:rFonts w:ascii="Calibri" w:hAnsi="Calibri"/>
                <w:color w:val="333333"/>
                <w:sz w:val="18"/>
              </w:rPr>
              <w:t>0.6</w:t>
            </w:r>
          </w:p>
        </w:tc>
        <w:tc>
          <w:tcPr>
            <w:tcW w:type="dxa" w:w="1680"/>
            <w:shd w:fill="F2F4F8" w:val="clear"/>
          </w:tcPr>
          <w:p>
            <w:r>
              <w:rPr>
                <w:rFonts w:ascii="Calibri" w:hAnsi="Calibri"/>
                <w:color w:val="333333"/>
                <w:sz w:val="18"/>
              </w:rPr>
              <w:t>4%</w:t>
            </w:r>
          </w:p>
        </w:tc>
        <w:tc>
          <w:tcPr>
            <w:tcW w:type="dxa" w:w="1680"/>
            <w:shd w:fill="F2F4F8" w:val="clear"/>
          </w:tcPr>
          <w:p>
            <w:r>
              <w:rPr>
                <w:rFonts w:ascii="Calibri" w:hAnsi="Calibri"/>
                <w:color w:val="333333"/>
                <w:sz w:val="18"/>
              </w:rPr>
              <w:t>Signal-driven scoring: 30 signals, coverage=100%</w:t>
            </w:r>
          </w:p>
        </w:tc>
      </w:tr>
      <w:tr>
        <w:tc>
          <w:tcPr>
            <w:tcW w:type="dxa" w:w="1680"/>
          </w:tcPr>
          <w:p>
            <w:r>
              <w:rPr>
                <w:rFonts w:ascii="Calibri" w:hAnsi="Calibri"/>
                <w:color w:val="333333"/>
                <w:sz w:val="18"/>
              </w:rPr>
              <w:t>F3</w:t>
            </w:r>
          </w:p>
        </w:tc>
        <w:tc>
          <w:tcPr>
            <w:tcW w:type="dxa" w:w="1680"/>
          </w:tcPr>
          <w:p>
            <w:r>
              <w:rPr>
                <w:rFonts w:ascii="Calibri" w:hAnsi="Calibri"/>
                <w:color w:val="333333"/>
                <w:sz w:val="18"/>
              </w:rPr>
              <w:t>Restatement/Audit Issues</w:t>
            </w:r>
          </w:p>
        </w:tc>
        <w:tc>
          <w:tcPr>
            <w:tcW w:type="dxa" w:w="1680"/>
          </w:tcPr>
          <w:p>
            <w:r>
              <w:rPr>
                <w:rFonts w:ascii="Calibri" w:hAnsi="Calibri"/>
                <w:color w:val="333333"/>
                <w:sz w:val="18"/>
              </w:rPr>
              <w:t>12</w:t>
            </w:r>
          </w:p>
        </w:tc>
        <w:tc>
          <w:tcPr>
            <w:tcW w:type="dxa" w:w="1680"/>
          </w:tcPr>
          <w:p>
            <w:r>
              <w:rPr>
                <w:rFonts w:ascii="Calibri" w:hAnsi="Calibri"/>
                <w:color w:val="333333"/>
                <w:sz w:val="18"/>
              </w:rPr>
              <w:t>0.8</w:t>
            </w:r>
          </w:p>
        </w:tc>
        <w:tc>
          <w:tcPr>
            <w:tcW w:type="dxa" w:w="1680"/>
          </w:tcPr>
          <w:p>
            <w:r>
              <w:rPr>
                <w:rFonts w:ascii="Calibri" w:hAnsi="Calibri"/>
                <w:color w:val="333333"/>
                <w:sz w:val="18"/>
              </w:rPr>
              <w:t>6%</w:t>
            </w:r>
          </w:p>
        </w:tc>
        <w:tc>
          <w:tcPr>
            <w:tcW w:type="dxa" w:w="1680"/>
          </w:tcPr>
          <w:p>
            <w:r>
              <w:rPr>
                <w:rFonts w:ascii="Calibri" w:hAnsi="Calibri"/>
                <w:color w:val="333333"/>
                <w:sz w:val="18"/>
              </w:rPr>
              <w:t>Signal-driven scoring: 83 signals, coverage=100%</w:t>
            </w:r>
          </w:p>
        </w:tc>
      </w:tr>
      <w:tr>
        <w:tc>
          <w:tcPr>
            <w:tcW w:type="dxa" w:w="1680"/>
            <w:shd w:fill="F2F4F8" w:val="clear"/>
          </w:tcPr>
          <w:p>
            <w:r>
              <w:rPr>
                <w:rFonts w:ascii="Calibri" w:hAnsi="Calibri"/>
                <w:color w:val="333333"/>
                <w:sz w:val="18"/>
              </w:rPr>
              <w:t>F4</w:t>
            </w:r>
          </w:p>
        </w:tc>
        <w:tc>
          <w:tcPr>
            <w:tcW w:type="dxa" w:w="1680"/>
            <w:shd w:fill="F2F4F8" w:val="clear"/>
          </w:tcPr>
          <w:p>
            <w:r>
              <w:rPr>
                <w:rFonts w:ascii="Calibri" w:hAnsi="Calibri"/>
                <w:color w:val="333333"/>
                <w:sz w:val="18"/>
              </w:rPr>
              <w:t>IPO/SPAC/M&amp;A</w:t>
            </w:r>
          </w:p>
        </w:tc>
        <w:tc>
          <w:tcPr>
            <w:tcW w:type="dxa" w:w="1680"/>
            <w:shd w:fill="F2F4F8" w:val="clear"/>
          </w:tcPr>
          <w:p>
            <w:r>
              <w:rPr>
                <w:rFonts w:ascii="Calibri" w:hAnsi="Calibri"/>
                <w:color w:val="333333"/>
                <w:sz w:val="18"/>
              </w:rPr>
              <w:t>10</w:t>
            </w:r>
          </w:p>
        </w:tc>
        <w:tc>
          <w:tcPr>
            <w:tcW w:type="dxa" w:w="1680"/>
            <w:shd w:fill="F2F4F8" w:val="clear"/>
          </w:tcPr>
          <w:p>
            <w:r>
              <w:rPr>
                <w:rFonts w:ascii="Calibri" w:hAnsi="Calibri"/>
                <w:color w:val="333333"/>
                <w:sz w:val="18"/>
              </w:rPr>
              <w:t>2.5</w:t>
            </w:r>
          </w:p>
        </w:tc>
        <w:tc>
          <w:tcPr>
            <w:tcW w:type="dxa" w:w="1680"/>
            <w:shd w:fill="F2F4F8" w:val="clear"/>
          </w:tcPr>
          <w:p>
            <w:r>
              <w:rPr>
                <w:rFonts w:ascii="Calibri" w:hAnsi="Calibri"/>
                <w:color w:val="333333"/>
                <w:sz w:val="18"/>
              </w:rPr>
              <w:t>25%</w:t>
            </w:r>
          </w:p>
        </w:tc>
        <w:tc>
          <w:tcPr>
            <w:tcW w:type="dxa" w:w="1680"/>
            <w:shd w:fill="F2F4F8" w:val="clear"/>
          </w:tcPr>
          <w:p>
            <w:r>
              <w:rPr>
                <w:rFonts w:ascii="Calibri" w:hAnsi="Calibri"/>
                <w:color w:val="333333"/>
                <w:sz w:val="18"/>
              </w:rPr>
              <w:t>Signal-driven scoring: 18 signals, coverage=100%</w:t>
            </w:r>
          </w:p>
        </w:tc>
      </w:tr>
      <w:tr>
        <w:tc>
          <w:tcPr>
            <w:tcW w:type="dxa" w:w="1680"/>
          </w:tcPr>
          <w:p>
            <w:r>
              <w:rPr>
                <w:rFonts w:ascii="Calibri" w:hAnsi="Calibri"/>
                <w:color w:val="333333"/>
                <w:sz w:val="18"/>
              </w:rPr>
              <w:t>F5</w:t>
            </w:r>
          </w:p>
        </w:tc>
        <w:tc>
          <w:tcPr>
            <w:tcW w:type="dxa" w:w="1680"/>
          </w:tcPr>
          <w:p>
            <w:r>
              <w:rPr>
                <w:rFonts w:ascii="Calibri" w:hAnsi="Calibri"/>
                <w:color w:val="333333"/>
                <w:sz w:val="18"/>
              </w:rPr>
              <w:t>Guidance Misses</w:t>
            </w:r>
          </w:p>
        </w:tc>
        <w:tc>
          <w:tcPr>
            <w:tcW w:type="dxa" w:w="1680"/>
          </w:tcPr>
          <w:p>
            <w:r>
              <w:rPr>
                <w:rFonts w:ascii="Calibri" w:hAnsi="Calibri"/>
                <w:color w:val="333333"/>
                <w:sz w:val="18"/>
              </w:rPr>
              <w:t>12</w:t>
            </w:r>
          </w:p>
        </w:tc>
        <w:tc>
          <w:tcPr>
            <w:tcW w:type="dxa" w:w="1680"/>
          </w:tcPr>
          <w:p>
            <w:r>
              <w:rPr>
                <w:rFonts w:ascii="Calibri" w:hAnsi="Calibri"/>
                <w:color w:val="333333"/>
                <w:sz w:val="18"/>
              </w:rPr>
              <w:t>0.4</w:t>
            </w:r>
          </w:p>
        </w:tc>
        <w:tc>
          <w:tcPr>
            <w:tcW w:type="dxa" w:w="1680"/>
          </w:tcPr>
          <w:p>
            <w:r>
              <w:rPr>
                <w:rFonts w:ascii="Calibri" w:hAnsi="Calibri"/>
                <w:color w:val="333333"/>
                <w:sz w:val="18"/>
              </w:rPr>
              <w:t>3%</w:t>
            </w:r>
          </w:p>
        </w:tc>
        <w:tc>
          <w:tcPr>
            <w:tcW w:type="dxa" w:w="1680"/>
          </w:tcPr>
          <w:p>
            <w:r>
              <w:rPr>
                <w:rFonts w:ascii="Calibri" w:hAnsi="Calibri"/>
                <w:color w:val="333333"/>
                <w:sz w:val="18"/>
              </w:rPr>
              <w:t>Signal-driven scoring: 27 signals, coverage=100%</w:t>
            </w:r>
          </w:p>
        </w:tc>
      </w:tr>
      <w:tr>
        <w:tc>
          <w:tcPr>
            <w:tcW w:type="dxa" w:w="1680"/>
            <w:shd w:fill="F2F4F8" w:val="clear"/>
          </w:tcPr>
          <w:p>
            <w:r>
              <w:rPr>
                <w:rFonts w:ascii="Calibri" w:hAnsi="Calibri"/>
                <w:color w:val="333333"/>
                <w:sz w:val="18"/>
              </w:rPr>
              <w:t>F6</w:t>
            </w:r>
          </w:p>
        </w:tc>
        <w:tc>
          <w:tcPr>
            <w:tcW w:type="dxa" w:w="1680"/>
            <w:shd w:fill="F2F4F8" w:val="clear"/>
          </w:tcPr>
          <w:p>
            <w:r>
              <w:rPr>
                <w:rFonts w:ascii="Calibri" w:hAnsi="Calibri"/>
                <w:color w:val="333333"/>
                <w:sz w:val="18"/>
              </w:rPr>
              <w:t>Short Interest</w:t>
            </w:r>
          </w:p>
        </w:tc>
        <w:tc>
          <w:tcPr>
            <w:tcW w:type="dxa" w:w="1680"/>
            <w:shd w:fill="F2F4F8" w:val="clear"/>
          </w:tcPr>
          <w:p>
            <w:r>
              <w:rPr>
                <w:rFonts w:ascii="Calibri" w:hAnsi="Calibri"/>
                <w:color w:val="333333"/>
                <w:sz w:val="18"/>
              </w:rPr>
              <w:t>8</w:t>
            </w:r>
          </w:p>
        </w:tc>
        <w:tc>
          <w:tcPr>
            <w:tcW w:type="dxa" w:w="1680"/>
            <w:shd w:fill="F2F4F8" w:val="clear"/>
          </w:tcPr>
          <w:p>
            <w:r>
              <w:rPr>
                <w:rFonts w:ascii="Calibri" w:hAnsi="Calibri"/>
                <w:color w:val="333333"/>
                <w:sz w:val="18"/>
              </w:rPr>
              <w:t>1.3</w:t>
            </w:r>
          </w:p>
        </w:tc>
        <w:tc>
          <w:tcPr>
            <w:tcW w:type="dxa" w:w="1680"/>
            <w:shd w:fill="F2F4F8" w:val="clear"/>
          </w:tcPr>
          <w:p>
            <w:r>
              <w:rPr>
                <w:rFonts w:ascii="Calibri" w:hAnsi="Calibri"/>
                <w:color w:val="333333"/>
                <w:sz w:val="18"/>
              </w:rPr>
              <w:t>16%</w:t>
            </w:r>
          </w:p>
        </w:tc>
        <w:tc>
          <w:tcPr>
            <w:tcW w:type="dxa" w:w="1680"/>
            <w:shd w:fill="F2F4F8" w:val="clear"/>
          </w:tcPr>
          <w:p>
            <w:r>
              <w:rPr>
                <w:rFonts w:ascii="Calibri" w:hAnsi="Calibri"/>
                <w:color w:val="333333"/>
                <w:sz w:val="18"/>
              </w:rPr>
              <w:t>Signal-driven scoring: 25 signals, coverage=100%</w:t>
            </w:r>
          </w:p>
        </w:tc>
      </w:tr>
      <w:tr>
        <w:tc>
          <w:tcPr>
            <w:tcW w:type="dxa" w:w="1680"/>
          </w:tcPr>
          <w:p>
            <w:r>
              <w:rPr>
                <w:rFonts w:ascii="Calibri" w:hAnsi="Calibri"/>
                <w:color w:val="333333"/>
                <w:sz w:val="18"/>
              </w:rPr>
              <w:t>F7</w:t>
            </w:r>
          </w:p>
        </w:tc>
        <w:tc>
          <w:tcPr>
            <w:tcW w:type="dxa" w:w="1680"/>
          </w:tcPr>
          <w:p>
            <w:r>
              <w:rPr>
                <w:rFonts w:ascii="Calibri" w:hAnsi="Calibri"/>
                <w:color w:val="333333"/>
                <w:sz w:val="18"/>
              </w:rPr>
              <w:t>Stock Volatility</w:t>
            </w:r>
          </w:p>
        </w:tc>
        <w:tc>
          <w:tcPr>
            <w:tcW w:type="dxa" w:w="1680"/>
          </w:tcPr>
          <w:p>
            <w:r>
              <w:rPr>
                <w:rFonts w:ascii="Calibri" w:hAnsi="Calibri"/>
                <w:color w:val="333333"/>
                <w:sz w:val="18"/>
              </w:rPr>
              <w:t>9</w:t>
            </w:r>
          </w:p>
        </w:tc>
        <w:tc>
          <w:tcPr>
            <w:tcW w:type="dxa" w:w="1680"/>
          </w:tcPr>
          <w:p>
            <w:r>
              <w:rPr>
                <w:rFonts w:ascii="Calibri" w:hAnsi="Calibri"/>
                <w:color w:val="333333"/>
                <w:sz w:val="18"/>
              </w:rPr>
              <w:t>0.1</w:t>
            </w:r>
          </w:p>
        </w:tc>
        <w:tc>
          <w:tcPr>
            <w:tcW w:type="dxa" w:w="1680"/>
          </w:tcPr>
          <w:p>
            <w:r>
              <w:rPr>
                <w:rFonts w:ascii="Calibri" w:hAnsi="Calibri"/>
                <w:color w:val="333333"/>
                <w:sz w:val="18"/>
              </w:rPr>
              <w:t>2%</w:t>
            </w:r>
          </w:p>
        </w:tc>
        <w:tc>
          <w:tcPr>
            <w:tcW w:type="dxa" w:w="1680"/>
          </w:tcPr>
          <w:p>
            <w:r>
              <w:rPr>
                <w:rFonts w:ascii="Calibri" w:hAnsi="Calibri"/>
                <w:color w:val="333333"/>
                <w:sz w:val="18"/>
              </w:rPr>
              <w:t>Signal-driven scoring: 27 signals, coverage=100%</w:t>
            </w:r>
          </w:p>
        </w:tc>
      </w:tr>
      <w:tr>
        <w:tc>
          <w:tcPr>
            <w:tcW w:type="dxa" w:w="1680"/>
            <w:shd w:fill="F2F4F8" w:val="clear"/>
          </w:tcPr>
          <w:p>
            <w:r>
              <w:rPr>
                <w:rFonts w:ascii="Calibri" w:hAnsi="Calibri"/>
                <w:color w:val="333333"/>
                <w:sz w:val="18"/>
              </w:rPr>
              <w:t>F8</w:t>
            </w:r>
          </w:p>
        </w:tc>
        <w:tc>
          <w:tcPr>
            <w:tcW w:type="dxa" w:w="1680"/>
            <w:shd w:fill="F2F4F8" w:val="clear"/>
          </w:tcPr>
          <w:p>
            <w:r>
              <w:rPr>
                <w:rFonts w:ascii="Calibri" w:hAnsi="Calibri"/>
                <w:color w:val="333333"/>
                <w:sz w:val="18"/>
              </w:rPr>
              <w:t>Financial Distress</w:t>
            </w:r>
          </w:p>
        </w:tc>
        <w:tc>
          <w:tcPr>
            <w:tcW w:type="dxa" w:w="1680"/>
            <w:shd w:fill="F2F4F8" w:val="clear"/>
          </w:tcPr>
          <w:p>
            <w:r>
              <w:rPr>
                <w:rFonts w:ascii="Calibri" w:hAnsi="Calibri"/>
                <w:color w:val="333333"/>
                <w:sz w:val="18"/>
              </w:rPr>
              <w:t>8</w:t>
            </w:r>
          </w:p>
        </w:tc>
        <w:tc>
          <w:tcPr>
            <w:tcW w:type="dxa" w:w="1680"/>
            <w:shd w:fill="F2F4F8" w:val="clear"/>
          </w:tcPr>
          <w:p>
            <w:r>
              <w:rPr>
                <w:rFonts w:ascii="Calibri" w:hAnsi="Calibri"/>
                <w:color w:val="333333"/>
                <w:sz w:val="18"/>
              </w:rPr>
              <w:t>0.0</w:t>
            </w:r>
          </w:p>
        </w:tc>
        <w:tc>
          <w:tcPr>
            <w:tcW w:type="dxa" w:w="1680"/>
            <w:shd w:fill="F2F4F8" w:val="clear"/>
          </w:tcPr>
          <w:p>
            <w:r>
              <w:rPr>
                <w:rFonts w:ascii="Calibri" w:hAnsi="Calibri"/>
                <w:color w:val="333333"/>
                <w:sz w:val="18"/>
              </w:rPr>
              <w:t>0%</w:t>
            </w:r>
          </w:p>
        </w:tc>
        <w:tc>
          <w:tcPr>
            <w:tcW w:type="dxa" w:w="1680"/>
            <w:shd w:fill="F2F4F8" w:val="clear"/>
          </w:tcPr>
          <w:p>
            <w:r>
              <w:rPr>
                <w:rFonts w:ascii="Calibri" w:hAnsi="Calibri"/>
                <w:color w:val="333333"/>
                <w:sz w:val="18"/>
              </w:rPr>
              <w:t>Signal-driven scoring: 15 signals, coverage=100%</w:t>
            </w:r>
          </w:p>
        </w:tc>
      </w:tr>
      <w:tr>
        <w:tc>
          <w:tcPr>
            <w:tcW w:type="dxa" w:w="1680"/>
          </w:tcPr>
          <w:p>
            <w:r>
              <w:rPr>
                <w:rFonts w:ascii="Calibri" w:hAnsi="Calibri"/>
                <w:color w:val="333333"/>
                <w:sz w:val="18"/>
              </w:rPr>
              <w:t>F9</w:t>
            </w:r>
          </w:p>
        </w:tc>
        <w:tc>
          <w:tcPr>
            <w:tcW w:type="dxa" w:w="1680"/>
          </w:tcPr>
          <w:p>
            <w:r>
              <w:rPr>
                <w:rFonts w:ascii="Calibri" w:hAnsi="Calibri"/>
                <w:color w:val="333333"/>
                <w:sz w:val="18"/>
              </w:rPr>
              <w:t>Governance Issues</w:t>
            </w:r>
          </w:p>
        </w:tc>
        <w:tc>
          <w:tcPr>
            <w:tcW w:type="dxa" w:w="1680"/>
          </w:tcPr>
          <w:p>
            <w:r>
              <w:rPr>
                <w:rFonts w:ascii="Calibri" w:hAnsi="Calibri"/>
                <w:color w:val="333333"/>
                <w:sz w:val="18"/>
              </w:rPr>
              <w:t>6</w:t>
            </w:r>
          </w:p>
        </w:tc>
        <w:tc>
          <w:tcPr>
            <w:tcW w:type="dxa" w:w="1680"/>
          </w:tcPr>
          <w:p>
            <w:r>
              <w:rPr>
                <w:rFonts w:ascii="Calibri" w:hAnsi="Calibri"/>
                <w:color w:val="333333"/>
                <w:sz w:val="18"/>
              </w:rPr>
              <w:t>0.7</w:t>
            </w:r>
          </w:p>
        </w:tc>
        <w:tc>
          <w:tcPr>
            <w:tcW w:type="dxa" w:w="1680"/>
          </w:tcPr>
          <w:p>
            <w:r>
              <w:rPr>
                <w:rFonts w:ascii="Calibri" w:hAnsi="Calibri"/>
                <w:color w:val="333333"/>
                <w:sz w:val="18"/>
              </w:rPr>
              <w:t>12%</w:t>
            </w:r>
          </w:p>
        </w:tc>
        <w:tc>
          <w:tcPr>
            <w:tcW w:type="dxa" w:w="1680"/>
          </w:tcPr>
          <w:p>
            <w:r>
              <w:rPr>
                <w:rFonts w:ascii="Calibri" w:hAnsi="Calibri"/>
                <w:color w:val="333333"/>
                <w:sz w:val="18"/>
              </w:rPr>
              <w:t>Signal-driven scoring: 40 signals, coverage=100%</w:t>
            </w:r>
          </w:p>
        </w:tc>
      </w:tr>
      <w:tr>
        <w:tc>
          <w:tcPr>
            <w:tcW w:type="dxa" w:w="1680"/>
            <w:shd w:fill="F2F4F8" w:val="clear"/>
          </w:tcPr>
          <w:p>
            <w:r>
              <w:rPr>
                <w:rFonts w:ascii="Calibri" w:hAnsi="Calibri"/>
                <w:color w:val="333333"/>
                <w:sz w:val="18"/>
              </w:rPr>
              <w:t>F10</w:t>
            </w:r>
          </w:p>
        </w:tc>
        <w:tc>
          <w:tcPr>
            <w:tcW w:type="dxa" w:w="1680"/>
            <w:shd w:fill="F2F4F8" w:val="clear"/>
          </w:tcPr>
          <w:p>
            <w:r>
              <w:rPr>
                <w:rFonts w:ascii="Calibri" w:hAnsi="Calibri"/>
                <w:color w:val="333333"/>
                <w:sz w:val="18"/>
              </w:rPr>
              <w:t>Officer Stability</w:t>
            </w:r>
          </w:p>
        </w:tc>
        <w:tc>
          <w:tcPr>
            <w:tcW w:type="dxa" w:w="1680"/>
            <w:shd w:fill="F2F4F8" w:val="clear"/>
          </w:tcPr>
          <w:p>
            <w:r>
              <w:rPr>
                <w:rFonts w:ascii="Calibri" w:hAnsi="Calibri"/>
                <w:color w:val="333333"/>
                <w:sz w:val="18"/>
              </w:rPr>
              <w:t>2</w:t>
            </w:r>
          </w:p>
        </w:tc>
        <w:tc>
          <w:tcPr>
            <w:tcW w:type="dxa" w:w="1680"/>
            <w:shd w:fill="F2F4F8" w:val="clear"/>
          </w:tcPr>
          <w:p>
            <w:r>
              <w:rPr>
                <w:rFonts w:ascii="Calibri" w:hAnsi="Calibri"/>
                <w:color w:val="333333"/>
                <w:sz w:val="18"/>
              </w:rPr>
              <w:t>0.1</w:t>
            </w:r>
          </w:p>
        </w:tc>
        <w:tc>
          <w:tcPr>
            <w:tcW w:type="dxa" w:w="1680"/>
            <w:shd w:fill="F2F4F8" w:val="clear"/>
          </w:tcPr>
          <w:p>
            <w:r>
              <w:rPr>
                <w:rFonts w:ascii="Calibri" w:hAnsi="Calibri"/>
                <w:color w:val="333333"/>
                <w:sz w:val="18"/>
              </w:rPr>
              <w:t>6%</w:t>
            </w:r>
          </w:p>
        </w:tc>
        <w:tc>
          <w:tcPr>
            <w:tcW w:type="dxa" w:w="1680"/>
            <w:shd w:fill="F2F4F8" w:val="clear"/>
          </w:tcPr>
          <w:p>
            <w:r>
              <w:rPr>
                <w:rFonts w:ascii="Calibri" w:hAnsi="Calibri"/>
                <w:color w:val="333333"/>
                <w:sz w:val="18"/>
              </w:rPr>
              <w:t>Signal-driven scoring: 89 signals, coverage=100%</w:t>
            </w:r>
          </w:p>
        </w:tc>
      </w:tr>
    </w:tbl>
    <w:p>
      <w:pPr>
        <w:pStyle w:val="DOHeading3"/>
      </w:pPr>
      <w:r>
        <w:t>10-Factor Risk Profile</w:t>
      </w:r>
    </w:p>
    <w:p>
      <w:r>
        <w:drawing>
          <wp:inline xmlns:a="http://schemas.openxmlformats.org/drawingml/2006/main" xmlns:pic="http://schemas.openxmlformats.org/drawingml/2006/picture">
            <wp:extent cx="5943600" cy="5605068"/>
            <wp:docPr id="13" name="Picture 13"/>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943600" cy="5605068"/>
                    </a:xfrm>
                    <a:prstGeom prst="rect"/>
                  </pic:spPr>
                </pic:pic>
              </a:graphicData>
            </a:graphic>
          </wp:inline>
        </w:drawing>
      </w:r>
    </w:p>
    <w:p>
      <w:pPr>
        <w:pStyle w:val="DOCaption"/>
      </w:pPr>
      <w:r>
        <w:t>Figure: Radar chart showing risk fraction (points deducted / max) for each of the 10 scoring factors. Larger area = higher risk.</w:t>
      </w:r>
    </w:p>
    <w:p>
      <w:pPr>
        <w:pStyle w:val="DOHeading3"/>
      </w:pPr>
      <w:r>
        <w:t>Red Flag Gates</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1A1446" w:val="clear"/>
          </w:tcPr>
          <w:p>
            <w:r>
              <w:rPr>
                <w:rFonts w:ascii="Calibri" w:hAnsi="Calibri"/>
                <w:b/>
                <w:color w:val="FFFFFF"/>
                <w:sz w:val="18"/>
              </w:rPr>
              <w:t>Severity</w:t>
            </w:r>
          </w:p>
        </w:tc>
        <w:tc>
          <w:tcPr>
            <w:tcW w:type="dxa" w:w="2016"/>
            <w:shd w:fill="1A1446" w:val="clear"/>
          </w:tcPr>
          <w:p>
            <w:r>
              <w:rPr>
                <w:rFonts w:ascii="Calibri" w:hAnsi="Calibri"/>
                <w:b/>
                <w:color w:val="FFFFFF"/>
                <w:sz w:val="18"/>
              </w:rPr>
              <w:t>Description</w:t>
            </w:r>
          </w:p>
        </w:tc>
        <w:tc>
          <w:tcPr>
            <w:tcW w:type="dxa" w:w="2016"/>
            <w:shd w:fill="1A1446" w:val="clear"/>
          </w:tcPr>
          <w:p>
            <w:r>
              <w:rPr>
                <w:rFonts w:ascii="Calibri" w:hAnsi="Calibri"/>
                <w:b/>
                <w:color w:val="FFFFFF"/>
                <w:sz w:val="18"/>
              </w:rPr>
              <w:t>Source</w:t>
            </w:r>
          </w:p>
        </w:tc>
        <w:tc>
          <w:tcPr>
            <w:tcW w:type="dxa" w:w="2016"/>
            <w:shd w:fill="1A1446" w:val="clear"/>
          </w:tcPr>
          <w:p>
            <w:r>
              <w:rPr>
                <w:rFonts w:ascii="Calibri" w:hAnsi="Calibri"/>
                <w:b/>
                <w:color w:val="FFFFFF"/>
                <w:sz w:val="18"/>
              </w:rPr>
              <w:t>Impact</w:t>
            </w:r>
          </w:p>
        </w:tc>
        <w:tc>
          <w:tcPr>
            <w:tcW w:type="dxa" w:w="2016"/>
            <w:shd w:fill="1A1446" w:val="clear"/>
          </w:tcPr>
          <w:p>
            <w:r>
              <w:rPr>
                <w:rFonts w:ascii="Calibri" w:hAnsi="Calibri"/>
                <w:b/>
                <w:color w:val="FFFFFF"/>
                <w:sz w:val="18"/>
              </w:rPr>
              <w:t>Trajectory</w:t>
            </w:r>
          </w:p>
        </w:tc>
      </w:tr>
      <w:tr>
        <w:tc>
          <w:tcPr>
            <w:tcW w:type="dxa" w:w="2016"/>
          </w:tcPr>
          <w:p>
            <w:r>
              <w:rPr>
                <w:rFonts w:ascii="Calibri" w:hAnsi="Calibri"/>
                <w:color w:val="333333"/>
                <w:sz w:val="18"/>
              </w:rPr>
              <w:t>LOW</w:t>
            </w:r>
          </w:p>
        </w:tc>
        <w:tc>
          <w:tcPr>
            <w:tcW w:type="dxa" w:w="2016"/>
          </w:tcPr>
          <w:p>
            <w:r>
              <w:rPr>
                <w:rFonts w:ascii="Calibri" w:hAnsi="Calibri"/>
                <w:color w:val="333333"/>
                <w:sz w:val="18"/>
              </w:rPr>
              <w:t>Prior Litigation: 2/20 points</w:t>
            </w:r>
          </w:p>
        </w:tc>
        <w:tc>
          <w:tcPr>
            <w:tcW w:type="dxa" w:w="2016"/>
          </w:tcPr>
          <w:p>
            <w:r>
              <w:rPr>
                <w:rFonts w:ascii="Calibri" w:hAnsi="Calibri"/>
                <w:color w:val="333333"/>
                <w:sz w:val="18"/>
              </w:rPr>
              <w:t>Signal-driven scoring: 70 signals, coverage=100%</w:t>
            </w:r>
          </w:p>
        </w:tc>
        <w:tc>
          <w:tcPr>
            <w:tcW w:type="dxa" w:w="2016"/>
          </w:tcPr>
          <w:p>
            <w:r>
              <w:rPr>
                <w:rFonts w:ascii="Calibri" w:hAnsi="Calibri"/>
                <w:color w:val="333333"/>
                <w:sz w:val="18"/>
              </w:rPr>
              <w:t>F1: 2 pts</w:t>
            </w:r>
          </w:p>
        </w:tc>
        <w:tc>
          <w:tcPr>
            <w:tcW w:type="dxa" w:w="2016"/>
          </w:tcPr>
          <w:p>
            <w:r>
              <w:rPr>
                <w:rFonts w:ascii="Calibri" w:hAnsi="Calibri"/>
                <w:color w:val="333333"/>
                <w:sz w:val="18"/>
              </w:rPr>
              <w:t>NEW</w:t>
            </w:r>
          </w:p>
        </w:tc>
      </w:tr>
      <w:tr>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Stock Decline: 1/15 points</w:t>
            </w:r>
          </w:p>
        </w:tc>
        <w:tc>
          <w:tcPr>
            <w:tcW w:type="dxa" w:w="2016"/>
            <w:shd w:fill="F2F4F8" w:val="clear"/>
          </w:tcPr>
          <w:p>
            <w:r>
              <w:rPr>
                <w:rFonts w:ascii="Calibri" w:hAnsi="Calibri"/>
                <w:color w:val="333333"/>
                <w:sz w:val="18"/>
              </w:rPr>
              <w:t>Signal-driven scoring: 30 signals, coverage=100%; Drop contribution modifier: 0.25x (decay + company-specific + disclosure)</w:t>
            </w:r>
          </w:p>
        </w:tc>
        <w:tc>
          <w:tcPr>
            <w:tcW w:type="dxa" w:w="2016"/>
            <w:shd w:fill="F2F4F8" w:val="clear"/>
          </w:tcPr>
          <w:p>
            <w:r>
              <w:rPr>
                <w:rFonts w:ascii="Calibri" w:hAnsi="Calibri"/>
                <w:color w:val="333333"/>
                <w:sz w:val="18"/>
              </w:rPr>
              <w:t>F2: 1 pts</w:t>
            </w:r>
          </w:p>
        </w:tc>
        <w:tc>
          <w:tcPr>
            <w:tcW w:type="dxa" w:w="2016"/>
            <w:shd w:fill="F2F4F8" w:val="clear"/>
          </w:tcPr>
          <w:p>
            <w:r>
              <w:rPr>
                <w:rFonts w:ascii="Calibri" w:hAnsi="Calibri"/>
                <w:color w:val="333333"/>
                <w:sz w:val="18"/>
              </w:rPr>
              <w:t>NEW</w:t>
            </w:r>
          </w:p>
        </w:tc>
      </w:tr>
      <w:tr>
        <w:tc>
          <w:tcPr>
            <w:tcW w:type="dxa" w:w="2016"/>
          </w:tcPr>
          <w:p>
            <w:r>
              <w:rPr>
                <w:rFonts w:ascii="Calibri" w:hAnsi="Calibri"/>
                <w:color w:val="333333"/>
                <w:sz w:val="18"/>
              </w:rPr>
              <w:t>LOW</w:t>
            </w:r>
          </w:p>
        </w:tc>
        <w:tc>
          <w:tcPr>
            <w:tcW w:type="dxa" w:w="2016"/>
          </w:tcPr>
          <w:p>
            <w:r>
              <w:rPr>
                <w:rFonts w:ascii="Calibri" w:hAnsi="Calibri"/>
                <w:color w:val="333333"/>
                <w:sz w:val="18"/>
              </w:rPr>
              <w:t>Restatement/Audit Issues: 1/12 points</w:t>
            </w:r>
          </w:p>
        </w:tc>
        <w:tc>
          <w:tcPr>
            <w:tcW w:type="dxa" w:w="2016"/>
          </w:tcPr>
          <w:p>
            <w:r>
              <w:rPr>
                <w:rFonts w:ascii="Calibri" w:hAnsi="Calibri"/>
                <w:color w:val="333333"/>
                <w:sz w:val="18"/>
              </w:rPr>
              <w:t>Signal-driven scoring: 83 signals, coverage=100%</w:t>
            </w:r>
          </w:p>
        </w:tc>
        <w:tc>
          <w:tcPr>
            <w:tcW w:type="dxa" w:w="2016"/>
          </w:tcPr>
          <w:p>
            <w:r>
              <w:rPr>
                <w:rFonts w:ascii="Calibri" w:hAnsi="Calibri"/>
                <w:color w:val="333333"/>
                <w:sz w:val="18"/>
              </w:rPr>
              <w:t>F3: 1 pts</w:t>
            </w:r>
          </w:p>
        </w:tc>
        <w:tc>
          <w:tcPr>
            <w:tcW w:type="dxa" w:w="2016"/>
          </w:tcPr>
          <w:p>
            <w:r>
              <w:rPr>
                <w:rFonts w:ascii="Calibri" w:hAnsi="Calibri"/>
                <w:color w:val="333333"/>
                <w:sz w:val="18"/>
              </w:rPr>
              <w:t>NEW</w:t>
            </w:r>
          </w:p>
        </w:tc>
      </w:tr>
      <w:tr>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IPO/SPAC/M&amp;A: 2/10 points</w:t>
            </w:r>
          </w:p>
        </w:tc>
        <w:tc>
          <w:tcPr>
            <w:tcW w:type="dxa" w:w="2016"/>
            <w:shd w:fill="F2F4F8" w:val="clear"/>
          </w:tcPr>
          <w:p>
            <w:r>
              <w:rPr>
                <w:rFonts w:ascii="Calibri" w:hAnsi="Calibri"/>
                <w:color w:val="333333"/>
                <w:sz w:val="18"/>
              </w:rPr>
              <w:t>Signal-driven scoring: 18 signals, coverage=100%</w:t>
            </w:r>
          </w:p>
        </w:tc>
        <w:tc>
          <w:tcPr>
            <w:tcW w:type="dxa" w:w="2016"/>
            <w:shd w:fill="F2F4F8" w:val="clear"/>
          </w:tcPr>
          <w:p>
            <w:r>
              <w:rPr>
                <w:rFonts w:ascii="Calibri" w:hAnsi="Calibri"/>
                <w:color w:val="333333"/>
                <w:sz w:val="18"/>
              </w:rPr>
              <w:t>F4: 2 pts</w:t>
            </w:r>
          </w:p>
        </w:tc>
        <w:tc>
          <w:tcPr>
            <w:tcW w:type="dxa" w:w="2016"/>
            <w:shd w:fill="F2F4F8" w:val="clear"/>
          </w:tcPr>
          <w:p>
            <w:r>
              <w:rPr>
                <w:rFonts w:ascii="Calibri" w:hAnsi="Calibri"/>
                <w:color w:val="333333"/>
                <w:sz w:val="18"/>
              </w:rPr>
              <w:t>NEW</w:t>
            </w:r>
          </w:p>
        </w:tc>
      </w:tr>
      <w:tr>
        <w:tc>
          <w:tcPr>
            <w:tcW w:type="dxa" w:w="2016"/>
          </w:tcPr>
          <w:p>
            <w:r>
              <w:rPr>
                <w:rFonts w:ascii="Calibri" w:hAnsi="Calibri"/>
                <w:color w:val="333333"/>
                <w:sz w:val="18"/>
              </w:rPr>
              <w:t>LOW</w:t>
            </w:r>
          </w:p>
        </w:tc>
        <w:tc>
          <w:tcPr>
            <w:tcW w:type="dxa" w:w="2016"/>
          </w:tcPr>
          <w:p>
            <w:r>
              <w:rPr>
                <w:rFonts w:ascii="Calibri" w:hAnsi="Calibri"/>
                <w:color w:val="333333"/>
                <w:sz w:val="18"/>
              </w:rPr>
              <w:t>Guidance Misses: 0/12 points</w:t>
            </w:r>
          </w:p>
        </w:tc>
        <w:tc>
          <w:tcPr>
            <w:tcW w:type="dxa" w:w="2016"/>
          </w:tcPr>
          <w:p>
            <w:r>
              <w:rPr>
                <w:rFonts w:ascii="Calibri" w:hAnsi="Calibri"/>
                <w:color w:val="333333"/>
                <w:sz w:val="18"/>
              </w:rPr>
              <w:t>Signal-driven scoring: 27 signals, coverage=100%</w:t>
            </w:r>
          </w:p>
        </w:tc>
        <w:tc>
          <w:tcPr>
            <w:tcW w:type="dxa" w:w="2016"/>
          </w:tcPr>
          <w:p>
            <w:r>
              <w:rPr>
                <w:rFonts w:ascii="Calibri" w:hAnsi="Calibri"/>
                <w:color w:val="333333"/>
                <w:sz w:val="18"/>
              </w:rPr>
              <w:t>F5: 0 pts</w:t>
            </w:r>
          </w:p>
        </w:tc>
        <w:tc>
          <w:tcPr>
            <w:tcW w:type="dxa" w:w="2016"/>
          </w:tcPr>
          <w:p>
            <w:r>
              <w:rPr>
                <w:rFonts w:ascii="Calibri" w:hAnsi="Calibri"/>
                <w:color w:val="333333"/>
                <w:sz w:val="18"/>
              </w:rPr>
              <w:t>NEW</w:t>
            </w:r>
          </w:p>
        </w:tc>
      </w:tr>
      <w:tr>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Short Interest: 1/8 points</w:t>
            </w:r>
          </w:p>
        </w:tc>
        <w:tc>
          <w:tcPr>
            <w:tcW w:type="dxa" w:w="2016"/>
            <w:shd w:fill="F2F4F8" w:val="clear"/>
          </w:tcPr>
          <w:p>
            <w:r>
              <w:rPr>
                <w:rFonts w:ascii="Calibri" w:hAnsi="Calibri"/>
                <w:color w:val="333333"/>
                <w:sz w:val="18"/>
              </w:rPr>
              <w:t>Signal-driven scoring: 25 signals, coverage=100%</w:t>
            </w:r>
          </w:p>
        </w:tc>
        <w:tc>
          <w:tcPr>
            <w:tcW w:type="dxa" w:w="2016"/>
            <w:shd w:fill="F2F4F8" w:val="clear"/>
          </w:tcPr>
          <w:p>
            <w:r>
              <w:rPr>
                <w:rFonts w:ascii="Calibri" w:hAnsi="Calibri"/>
                <w:color w:val="333333"/>
                <w:sz w:val="18"/>
              </w:rPr>
              <w:t>F6: 1 pts</w:t>
            </w:r>
          </w:p>
        </w:tc>
        <w:tc>
          <w:tcPr>
            <w:tcW w:type="dxa" w:w="2016"/>
            <w:shd w:fill="F2F4F8" w:val="clear"/>
          </w:tcPr>
          <w:p>
            <w:r>
              <w:rPr>
                <w:rFonts w:ascii="Calibri" w:hAnsi="Calibri"/>
                <w:color w:val="333333"/>
                <w:sz w:val="18"/>
              </w:rPr>
              <w:t>NEW</w:t>
            </w:r>
          </w:p>
        </w:tc>
      </w:tr>
      <w:tr>
        <w:tc>
          <w:tcPr>
            <w:tcW w:type="dxa" w:w="2016"/>
          </w:tcPr>
          <w:p>
            <w:r>
              <w:rPr>
                <w:rFonts w:ascii="Calibri" w:hAnsi="Calibri"/>
                <w:color w:val="333333"/>
                <w:sz w:val="18"/>
              </w:rPr>
              <w:t>LOW</w:t>
            </w:r>
          </w:p>
        </w:tc>
        <w:tc>
          <w:tcPr>
            <w:tcW w:type="dxa" w:w="2016"/>
          </w:tcPr>
          <w:p>
            <w:r>
              <w:rPr>
                <w:rFonts w:ascii="Calibri" w:hAnsi="Calibri"/>
                <w:color w:val="333333"/>
                <w:sz w:val="18"/>
              </w:rPr>
              <w:t>Stock Volatility: 0/9 points</w:t>
            </w:r>
          </w:p>
        </w:tc>
        <w:tc>
          <w:tcPr>
            <w:tcW w:type="dxa" w:w="2016"/>
          </w:tcPr>
          <w:p>
            <w:r>
              <w:rPr>
                <w:rFonts w:ascii="Calibri" w:hAnsi="Calibri"/>
                <w:color w:val="333333"/>
                <w:sz w:val="18"/>
              </w:rPr>
              <w:t>Signal-driven scoring: 27 signals, coverage=100%</w:t>
            </w:r>
          </w:p>
        </w:tc>
        <w:tc>
          <w:tcPr>
            <w:tcW w:type="dxa" w:w="2016"/>
          </w:tcPr>
          <w:p>
            <w:r>
              <w:rPr>
                <w:rFonts w:ascii="Calibri" w:hAnsi="Calibri"/>
                <w:color w:val="333333"/>
                <w:sz w:val="18"/>
              </w:rPr>
              <w:t>F7: 0 pts</w:t>
            </w:r>
          </w:p>
        </w:tc>
        <w:tc>
          <w:tcPr>
            <w:tcW w:type="dxa" w:w="2016"/>
          </w:tcPr>
          <w:p>
            <w:r>
              <w:rPr>
                <w:rFonts w:ascii="Calibri" w:hAnsi="Calibri"/>
                <w:color w:val="333333"/>
                <w:sz w:val="18"/>
              </w:rPr>
              <w:t>NEW</w:t>
            </w:r>
          </w:p>
        </w:tc>
      </w:tr>
      <w:tr>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Governance Issues: 1/6 points</w:t>
            </w:r>
          </w:p>
        </w:tc>
        <w:tc>
          <w:tcPr>
            <w:tcW w:type="dxa" w:w="2016"/>
            <w:shd w:fill="F2F4F8" w:val="clear"/>
          </w:tcPr>
          <w:p>
            <w:r>
              <w:rPr>
                <w:rFonts w:ascii="Calibri" w:hAnsi="Calibri"/>
                <w:color w:val="333333"/>
                <w:sz w:val="18"/>
              </w:rPr>
              <w:t>Signal-driven scoring: 40 signals, coverage=100%</w:t>
            </w:r>
          </w:p>
        </w:tc>
        <w:tc>
          <w:tcPr>
            <w:tcW w:type="dxa" w:w="2016"/>
            <w:shd w:fill="F2F4F8" w:val="clear"/>
          </w:tcPr>
          <w:p>
            <w:r>
              <w:rPr>
                <w:rFonts w:ascii="Calibri" w:hAnsi="Calibri"/>
                <w:color w:val="333333"/>
                <w:sz w:val="18"/>
              </w:rPr>
              <w:t>F9: 1 pts</w:t>
            </w:r>
          </w:p>
        </w:tc>
        <w:tc>
          <w:tcPr>
            <w:tcW w:type="dxa" w:w="2016"/>
            <w:shd w:fill="F2F4F8" w:val="clear"/>
          </w:tcPr>
          <w:p>
            <w:r>
              <w:rPr>
                <w:rFonts w:ascii="Calibri" w:hAnsi="Calibri"/>
                <w:color w:val="333333"/>
                <w:sz w:val="18"/>
              </w:rPr>
              <w:t>NEW</w:t>
            </w:r>
          </w:p>
        </w:tc>
      </w:tr>
      <w:tr>
        <w:tc>
          <w:tcPr>
            <w:tcW w:type="dxa" w:w="2016"/>
          </w:tcPr>
          <w:p>
            <w:r>
              <w:rPr>
                <w:rFonts w:ascii="Calibri" w:hAnsi="Calibri"/>
                <w:color w:val="333333"/>
                <w:sz w:val="18"/>
              </w:rPr>
              <w:t>LOW</w:t>
            </w:r>
          </w:p>
        </w:tc>
        <w:tc>
          <w:tcPr>
            <w:tcW w:type="dxa" w:w="2016"/>
          </w:tcPr>
          <w:p>
            <w:r>
              <w:rPr>
                <w:rFonts w:ascii="Calibri" w:hAnsi="Calibri"/>
                <w:color w:val="333333"/>
                <w:sz w:val="18"/>
              </w:rPr>
              <w:t>Officer Stability: 0/2 points</w:t>
            </w:r>
          </w:p>
        </w:tc>
        <w:tc>
          <w:tcPr>
            <w:tcW w:type="dxa" w:w="2016"/>
          </w:tcPr>
          <w:p>
            <w:r>
              <w:rPr>
                <w:rFonts w:ascii="Calibri" w:hAnsi="Calibri"/>
                <w:color w:val="333333"/>
                <w:sz w:val="18"/>
              </w:rPr>
              <w:t>Signal-driven scoring: 89 signals, coverage=100%</w:t>
            </w:r>
          </w:p>
        </w:tc>
        <w:tc>
          <w:tcPr>
            <w:tcW w:type="dxa" w:w="2016"/>
          </w:tcPr>
          <w:p>
            <w:r>
              <w:rPr>
                <w:rFonts w:ascii="Calibri" w:hAnsi="Calibri"/>
                <w:color w:val="333333"/>
                <w:sz w:val="18"/>
              </w:rPr>
              <w:t>F10: 0 pts</w:t>
            </w:r>
          </w:p>
        </w:tc>
        <w:tc>
          <w:tcPr>
            <w:tcW w:type="dxa" w:w="2016"/>
          </w:tcPr>
          <w:p>
            <w:r>
              <w:rPr>
                <w:rFonts w:ascii="Calibri" w:hAnsi="Calibri"/>
                <w:color w:val="333333"/>
                <w:sz w:val="18"/>
              </w:rPr>
              <w:t>NEW</w:t>
            </w:r>
          </w:p>
        </w:tc>
      </w:tr>
    </w:tbl>
    <w:p>
      <w:pPr>
        <w:pStyle w:val="DOBody"/>
      </w:pPr>
      <w:r>
        <w:t>Critical: 0, High: 0, Moderate: 0, Low: 9</w:t>
      </w:r>
    </w:p>
    <w:p>
      <w:pPr>
        <w:pStyle w:val="DOHeading3"/>
      </w:pPr>
      <w:r>
        <w:t>Risk Type Classification</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Attribute</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Primary Risk Type</w:t>
            </w:r>
          </w:p>
        </w:tc>
        <w:tc>
          <w:tcPr>
            <w:tcW w:type="dxa" w:w="5040"/>
          </w:tcPr>
          <w:p>
            <w:r>
              <w:rPr>
                <w:rFonts w:ascii="Calibri" w:hAnsi="Calibri"/>
                <w:color w:val="333333"/>
                <w:sz w:val="18"/>
              </w:rPr>
              <w:t>GUIDANCE_DEPENDENT</w:t>
            </w:r>
          </w:p>
        </w:tc>
      </w:tr>
      <w:tr>
        <w:tc>
          <w:tcPr>
            <w:tcW w:type="dxa" w:w="5040"/>
            <w:shd w:fill="F2F4F8" w:val="clear"/>
          </w:tcPr>
          <w:p>
            <w:r>
              <w:rPr>
                <w:rFonts w:ascii="Calibri" w:hAnsi="Calibri"/>
                <w:color w:val="333333"/>
                <w:sz w:val="18"/>
              </w:rPr>
              <w:t>Supporting Evidence</w:t>
            </w:r>
          </w:p>
        </w:tc>
        <w:tc>
          <w:tcPr>
            <w:tcW w:type="dxa" w:w="5040"/>
            <w:shd w:fill="F2F4F8" w:val="clear"/>
          </w:tcPr>
          <w:p>
            <w:r>
              <w:rPr>
                <w:rFonts w:ascii="Calibri" w:hAnsi="Calibri"/>
                <w:color w:val="333333"/>
                <w:sz w:val="18"/>
              </w:rPr>
              <w:t>F5 guidance misses: 0.3849056603773585 points; Issues guidance (philosophy: CONSERVATIVE)</w:t>
            </w:r>
          </w:p>
        </w:tc>
      </w:tr>
    </w:tbl>
    <w:p>
      <w:pPr>
        <w:pStyle w:val="DOHeading3"/>
      </w:pPr>
      <w:r>
        <w:t>Severity Scenarios</w:t>
      </w:r>
    </w:p>
    <w:p>
      <w:pPr>
        <w:pStyle w:val="DOBody"/>
      </w:pPr>
      <w:r>
        <w:t>Analysis based on market cap: $335.0B</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1A1446" w:val="clear"/>
          </w:tcPr>
          <w:p>
            <w:r>
              <w:rPr>
                <w:rFonts w:ascii="Calibri" w:hAnsi="Calibri"/>
                <w:b/>
                <w:color w:val="FFFFFF"/>
                <w:sz w:val="18"/>
              </w:rPr>
              <w:t>Percentile</w:t>
            </w:r>
          </w:p>
        </w:tc>
        <w:tc>
          <w:tcPr>
            <w:tcW w:type="dxa" w:w="2016"/>
            <w:shd w:fill="1A1446" w:val="clear"/>
          </w:tcPr>
          <w:p>
            <w:r>
              <w:rPr>
                <w:rFonts w:ascii="Calibri" w:hAnsi="Calibri"/>
                <w:b/>
                <w:color w:val="FFFFFF"/>
                <w:sz w:val="18"/>
              </w:rPr>
              <w:t>Label</w:t>
            </w:r>
          </w:p>
        </w:tc>
        <w:tc>
          <w:tcPr>
            <w:tcW w:type="dxa" w:w="2016"/>
            <w:shd w:fill="1A1446" w:val="clear"/>
          </w:tcPr>
          <w:p>
            <w:r>
              <w:rPr>
                <w:rFonts w:ascii="Calibri" w:hAnsi="Calibri"/>
                <w:b/>
                <w:color w:val="FFFFFF"/>
                <w:sz w:val="18"/>
              </w:rPr>
              <w:t>Settlement Est.</w:t>
            </w:r>
          </w:p>
        </w:tc>
        <w:tc>
          <w:tcPr>
            <w:tcW w:type="dxa" w:w="2016"/>
            <w:shd w:fill="1A1446" w:val="clear"/>
          </w:tcPr>
          <w:p>
            <w:r>
              <w:rPr>
                <w:rFonts w:ascii="Calibri" w:hAnsi="Calibri"/>
                <w:b/>
                <w:color w:val="FFFFFF"/>
                <w:sz w:val="18"/>
              </w:rPr>
              <w:t>Defense Costs</w:t>
            </w:r>
          </w:p>
        </w:tc>
        <w:tc>
          <w:tcPr>
            <w:tcW w:type="dxa" w:w="2016"/>
            <w:shd w:fill="1A1446" w:val="clear"/>
          </w:tcPr>
          <w:p>
            <w:r>
              <w:rPr>
                <w:rFonts w:ascii="Calibri" w:hAnsi="Calibri"/>
                <w:b/>
                <w:color w:val="FFFFFF"/>
                <w:sz w:val="18"/>
              </w:rPr>
              <w:t>Total Exposure</w:t>
            </w:r>
          </w:p>
        </w:tc>
      </w:tr>
      <w:tr>
        <w:tc>
          <w:tcPr>
            <w:tcW w:type="dxa" w:w="2016"/>
          </w:tcPr>
          <w:p>
            <w:r>
              <w:rPr>
                <w:rFonts w:ascii="Calibri" w:hAnsi="Calibri"/>
                <w:color w:val="333333"/>
                <w:sz w:val="18"/>
              </w:rPr>
              <w:t>25th</w:t>
            </w:r>
          </w:p>
        </w:tc>
        <w:tc>
          <w:tcPr>
            <w:tcW w:type="dxa" w:w="2016"/>
          </w:tcPr>
          <w:p>
            <w:r>
              <w:rPr>
                <w:rFonts w:ascii="Calibri" w:hAnsi="Calibri"/>
                <w:color w:val="333333"/>
                <w:sz w:val="18"/>
              </w:rPr>
              <w:t>favorable</w:t>
            </w:r>
          </w:p>
        </w:tc>
        <w:tc>
          <w:tcPr>
            <w:tcW w:type="dxa" w:w="2016"/>
          </w:tcPr>
          <w:p>
            <w:r>
              <w:rPr>
                <w:rFonts w:ascii="Calibri" w:hAnsi="Calibri"/>
                <w:color w:val="333333"/>
                <w:sz w:val="18"/>
              </w:rPr>
              <w:t>$8.4M</w:t>
            </w:r>
          </w:p>
        </w:tc>
        <w:tc>
          <w:tcPr>
            <w:tcW w:type="dxa" w:w="2016"/>
          </w:tcPr>
          <w:p>
            <w:r>
              <w:rPr>
                <w:rFonts w:ascii="Calibri" w:hAnsi="Calibri"/>
                <w:color w:val="333333"/>
                <w:sz w:val="18"/>
              </w:rPr>
              <w:t>$1.3M</w:t>
            </w:r>
          </w:p>
        </w:tc>
        <w:tc>
          <w:tcPr>
            <w:tcW w:type="dxa" w:w="2016"/>
          </w:tcPr>
          <w:p>
            <w:r>
              <w:rPr>
                <w:rFonts w:ascii="Calibri" w:hAnsi="Calibri"/>
                <w:color w:val="333333"/>
                <w:sz w:val="18"/>
              </w:rPr>
              <w:t>$9.6M</w:t>
            </w:r>
          </w:p>
        </w:tc>
      </w:tr>
      <w:tr>
        <w:tc>
          <w:tcPr>
            <w:tcW w:type="dxa" w:w="2016"/>
            <w:shd w:fill="F2F4F8" w:val="clear"/>
          </w:tcPr>
          <w:p>
            <w:r>
              <w:rPr>
                <w:rFonts w:ascii="Calibri" w:hAnsi="Calibri"/>
                <w:color w:val="333333"/>
                <w:sz w:val="18"/>
              </w:rPr>
              <w:t>50th</w:t>
            </w:r>
          </w:p>
        </w:tc>
        <w:tc>
          <w:tcPr>
            <w:tcW w:type="dxa" w:w="2016"/>
            <w:shd w:fill="F2F4F8" w:val="clear"/>
          </w:tcPr>
          <w:p>
            <w:r>
              <w:rPr>
                <w:rFonts w:ascii="Calibri" w:hAnsi="Calibri"/>
                <w:color w:val="333333"/>
                <w:sz w:val="18"/>
              </w:rPr>
              <w:t>median</w:t>
            </w:r>
          </w:p>
        </w:tc>
        <w:tc>
          <w:tcPr>
            <w:tcW w:type="dxa" w:w="2016"/>
            <w:shd w:fill="F2F4F8" w:val="clear"/>
          </w:tcPr>
          <w:p>
            <w:r>
              <w:rPr>
                <w:rFonts w:ascii="Calibri" w:hAnsi="Calibri"/>
                <w:color w:val="333333"/>
                <w:sz w:val="18"/>
              </w:rPr>
              <w:t>$16.8M</w:t>
            </w:r>
          </w:p>
        </w:tc>
        <w:tc>
          <w:tcPr>
            <w:tcW w:type="dxa" w:w="2016"/>
            <w:shd w:fill="F2F4F8" w:val="clear"/>
          </w:tcPr>
          <w:p>
            <w:r>
              <w:rPr>
                <w:rFonts w:ascii="Calibri" w:hAnsi="Calibri"/>
                <w:color w:val="333333"/>
                <w:sz w:val="18"/>
              </w:rPr>
              <w:t>$3.4M</w:t>
            </w:r>
          </w:p>
        </w:tc>
        <w:tc>
          <w:tcPr>
            <w:tcW w:type="dxa" w:w="2016"/>
            <w:shd w:fill="F2F4F8" w:val="clear"/>
          </w:tcPr>
          <w:p>
            <w:r>
              <w:rPr>
                <w:rFonts w:ascii="Calibri" w:hAnsi="Calibri"/>
                <w:color w:val="333333"/>
                <w:sz w:val="18"/>
              </w:rPr>
              <w:t>$20.1M</w:t>
            </w:r>
          </w:p>
        </w:tc>
      </w:tr>
      <w:tr>
        <w:tc>
          <w:tcPr>
            <w:tcW w:type="dxa" w:w="2016"/>
          </w:tcPr>
          <w:p>
            <w:r>
              <w:rPr>
                <w:rFonts w:ascii="Calibri" w:hAnsi="Calibri"/>
                <w:color w:val="333333"/>
                <w:sz w:val="18"/>
              </w:rPr>
              <w:t>75th</w:t>
            </w:r>
          </w:p>
        </w:tc>
        <w:tc>
          <w:tcPr>
            <w:tcW w:type="dxa" w:w="2016"/>
          </w:tcPr>
          <w:p>
            <w:r>
              <w:rPr>
                <w:rFonts w:ascii="Calibri" w:hAnsi="Calibri"/>
                <w:color w:val="333333"/>
                <w:sz w:val="18"/>
              </w:rPr>
              <w:t>adverse</w:t>
            </w:r>
          </w:p>
        </w:tc>
        <w:tc>
          <w:tcPr>
            <w:tcW w:type="dxa" w:w="2016"/>
          </w:tcPr>
          <w:p>
            <w:r>
              <w:rPr>
                <w:rFonts w:ascii="Calibri" w:hAnsi="Calibri"/>
                <w:color w:val="333333"/>
                <w:sz w:val="18"/>
              </w:rPr>
              <w:t>$33.6M</w:t>
            </w:r>
          </w:p>
        </w:tc>
        <w:tc>
          <w:tcPr>
            <w:tcW w:type="dxa" w:w="2016"/>
          </w:tcPr>
          <w:p>
            <w:r>
              <w:rPr>
                <w:rFonts w:ascii="Calibri" w:hAnsi="Calibri"/>
                <w:color w:val="333333"/>
                <w:sz w:val="18"/>
              </w:rPr>
              <w:t>$8.4M</w:t>
            </w:r>
          </w:p>
        </w:tc>
        <w:tc>
          <w:tcPr>
            <w:tcW w:type="dxa" w:w="2016"/>
          </w:tcPr>
          <w:p>
            <w:r>
              <w:rPr>
                <w:rFonts w:ascii="Calibri" w:hAnsi="Calibri"/>
                <w:color w:val="333333"/>
                <w:sz w:val="18"/>
              </w:rPr>
              <w:t>$42.0M</w:t>
            </w:r>
          </w:p>
        </w:tc>
      </w:tr>
      <w:tr>
        <w:tc>
          <w:tcPr>
            <w:tcW w:type="dxa" w:w="2016"/>
            <w:shd w:fill="F2F4F8" w:val="clear"/>
          </w:tcPr>
          <w:p>
            <w:r>
              <w:rPr>
                <w:rFonts w:ascii="Calibri" w:hAnsi="Calibri"/>
                <w:color w:val="333333"/>
                <w:sz w:val="18"/>
              </w:rPr>
              <w:t>95th</w:t>
            </w:r>
          </w:p>
        </w:tc>
        <w:tc>
          <w:tcPr>
            <w:tcW w:type="dxa" w:w="2016"/>
            <w:shd w:fill="F2F4F8" w:val="clear"/>
          </w:tcPr>
          <w:p>
            <w:r>
              <w:rPr>
                <w:rFonts w:ascii="Calibri" w:hAnsi="Calibri"/>
                <w:color w:val="333333"/>
                <w:sz w:val="18"/>
              </w:rPr>
              <w:t>catastrophic</w:t>
            </w:r>
          </w:p>
        </w:tc>
        <w:tc>
          <w:tcPr>
            <w:tcW w:type="dxa" w:w="2016"/>
            <w:shd w:fill="F2F4F8" w:val="clear"/>
          </w:tcPr>
          <w:p>
            <w:r>
              <w:rPr>
                <w:rFonts w:ascii="Calibri" w:hAnsi="Calibri"/>
                <w:color w:val="333333"/>
                <w:sz w:val="18"/>
              </w:rPr>
              <w:t>$67.1M</w:t>
            </w:r>
          </w:p>
        </w:tc>
        <w:tc>
          <w:tcPr>
            <w:tcW w:type="dxa" w:w="2016"/>
            <w:shd w:fill="F2F4F8" w:val="clear"/>
          </w:tcPr>
          <w:p>
            <w:r>
              <w:rPr>
                <w:rFonts w:ascii="Calibri" w:hAnsi="Calibri"/>
                <w:color w:val="333333"/>
                <w:sz w:val="18"/>
              </w:rPr>
              <w:t>$20.1M</w:t>
            </w:r>
          </w:p>
        </w:tc>
        <w:tc>
          <w:tcPr>
            <w:tcW w:type="dxa" w:w="2016"/>
            <w:shd w:fill="F2F4F8" w:val="clear"/>
          </w:tcPr>
          <w:p>
            <w:r>
              <w:rPr>
                <w:rFonts w:ascii="Calibri" w:hAnsi="Calibri"/>
                <w:color w:val="333333"/>
                <w:sz w:val="18"/>
              </w:rPr>
              <w:t>$87.3M</w:t>
            </w:r>
          </w:p>
        </w:tc>
      </w:tr>
    </w:tbl>
    <w:p>
      <w:pPr>
        <w:pStyle w:val="DOHeading3"/>
      </w:pPr>
      <w:r>
        <w:t>Calibration Notes (SECT7-11)</w:t>
      </w:r>
    </w:p>
    <w:p>
      <w:pPr>
        <w:pStyle w:val="DOBody"/>
      </w:pPr>
      <w:r>
        <w:rPr>
          <w:i/>
          <w:sz w:val="16"/>
        </w:rPr>
        <w:t>The following items are flagged NEEDS CALIBRATION and require expert review before final pricing:</w:t>
      </w:r>
    </w:p>
    <w:p>
      <w:pPr>
        <w:pStyle w:val="DOBody"/>
      </w:pPr>
      <w:r>
        <w:t xml:space="preserve">  - SECT7-11: All scoring parameters require calibration against historical cases</w:t>
      </w:r>
    </w:p>
    <w:p>
      <w:pPr>
        <w:pStyle w:val="DOHeading3"/>
      </w:pPr>
      <w:r>
        <w:t>Factor Detail</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1A1446" w:val="clear"/>
          </w:tcPr>
          <w:p>
            <w:r>
              <w:rPr>
                <w:rFonts w:ascii="Calibri" w:hAnsi="Calibri"/>
                <w:b/>
                <w:color w:val="FFFFFF"/>
                <w:sz w:val="18"/>
              </w:rPr>
              <w:t>Factor</w:t>
            </w:r>
          </w:p>
        </w:tc>
        <w:tc>
          <w:tcPr>
            <w:tcW w:type="dxa" w:w="2016"/>
            <w:shd w:fill="1A1446" w:val="clear"/>
          </w:tcPr>
          <w:p>
            <w:r>
              <w:rPr>
                <w:rFonts w:ascii="Calibri" w:hAnsi="Calibri"/>
                <w:b/>
                <w:color w:val="FFFFFF"/>
                <w:sz w:val="18"/>
              </w:rPr>
              <w:t>Name</w:t>
            </w:r>
          </w:p>
        </w:tc>
        <w:tc>
          <w:tcPr>
            <w:tcW w:type="dxa" w:w="2016"/>
            <w:shd w:fill="1A1446" w:val="clear"/>
          </w:tcPr>
          <w:p>
            <w:r>
              <w:rPr>
                <w:rFonts w:ascii="Calibri" w:hAnsi="Calibri"/>
                <w:b/>
                <w:color w:val="FFFFFF"/>
                <w:sz w:val="18"/>
              </w:rPr>
              <w:t>Deducted</w:t>
            </w:r>
          </w:p>
        </w:tc>
        <w:tc>
          <w:tcPr>
            <w:tcW w:type="dxa" w:w="2016"/>
            <w:shd w:fill="1A1446" w:val="clear"/>
          </w:tcPr>
          <w:p>
            <w:r>
              <w:rPr>
                <w:rFonts w:ascii="Calibri" w:hAnsi="Calibri"/>
                <w:b/>
                <w:color w:val="FFFFFF"/>
                <w:sz w:val="18"/>
              </w:rPr>
              <w:t>Rules Triggered</w:t>
            </w:r>
          </w:p>
        </w:tc>
        <w:tc>
          <w:tcPr>
            <w:tcW w:type="dxa" w:w="2016"/>
            <w:shd w:fill="1A1446" w:val="clear"/>
          </w:tcPr>
          <w:p>
            <w:r>
              <w:rPr>
                <w:rFonts w:ascii="Calibri" w:hAnsi="Calibri"/>
                <w:b/>
                <w:color w:val="FFFFFF"/>
                <w:sz w:val="18"/>
              </w:rPr>
              <w:t>Evidence</w:t>
            </w:r>
          </w:p>
        </w:tc>
      </w:tr>
      <w:tr>
        <w:tc>
          <w:tcPr>
            <w:tcW w:type="dxa" w:w="2016"/>
          </w:tcPr>
          <w:p>
            <w:r>
              <w:rPr>
                <w:rFonts w:ascii="Calibri" w:hAnsi="Calibri"/>
                <w:color w:val="333333"/>
                <w:sz w:val="18"/>
              </w:rPr>
              <w:t>F1</w:t>
            </w:r>
          </w:p>
        </w:tc>
        <w:tc>
          <w:tcPr>
            <w:tcW w:type="dxa" w:w="2016"/>
          </w:tcPr>
          <w:p>
            <w:r>
              <w:rPr>
                <w:rFonts w:ascii="Calibri" w:hAnsi="Calibri"/>
                <w:color w:val="333333"/>
                <w:sz w:val="18"/>
              </w:rPr>
              <w:t>Prior Litigation</w:t>
            </w:r>
          </w:p>
        </w:tc>
        <w:tc>
          <w:tcPr>
            <w:tcW w:type="dxa" w:w="2016"/>
          </w:tcPr>
          <w:p>
            <w:r>
              <w:rPr>
                <w:rFonts w:ascii="Calibri" w:hAnsi="Calibri"/>
                <w:color w:val="333333"/>
                <w:sz w:val="18"/>
              </w:rPr>
              <w:t>2.0</w:t>
            </w:r>
          </w:p>
        </w:tc>
        <w:tc>
          <w:tcPr>
            <w:tcW w:type="dxa" w:w="2016"/>
          </w:tcPr>
          <w:p>
            <w:r>
              <w:rPr>
                <w:rFonts w:ascii="Calibri" w:hAnsi="Calibri"/>
                <w:color w:val="333333"/>
                <w:sz w:val="18"/>
              </w:rPr>
              <w:t>N/A</w:t>
            </w:r>
          </w:p>
        </w:tc>
        <w:tc>
          <w:tcPr>
            <w:tcW w:type="dxa" w:w="2016"/>
          </w:tcPr>
          <w:p>
            <w:r>
              <w:rPr>
                <w:rFonts w:ascii="Calibri" w:hAnsi="Calibri"/>
                <w:color w:val="333333"/>
                <w:sz w:val="18"/>
              </w:rPr>
              <w:t>Signal-driven scoring: 70 signals, coverage=100%</w:t>
            </w:r>
          </w:p>
        </w:tc>
      </w:tr>
      <w:tr>
        <w:tc>
          <w:tcPr>
            <w:tcW w:type="dxa" w:w="2016"/>
            <w:shd w:fill="F2F4F8" w:val="clear"/>
          </w:tcPr>
          <w:p>
            <w:r>
              <w:rPr>
                <w:rFonts w:ascii="Calibri" w:hAnsi="Calibri"/>
                <w:color w:val="333333"/>
                <w:sz w:val="18"/>
              </w:rPr>
              <w:t>F2</w:t>
            </w:r>
          </w:p>
        </w:tc>
        <w:tc>
          <w:tcPr>
            <w:tcW w:type="dxa" w:w="2016"/>
            <w:shd w:fill="F2F4F8" w:val="clear"/>
          </w:tcPr>
          <w:p>
            <w:r>
              <w:rPr>
                <w:rFonts w:ascii="Calibri" w:hAnsi="Calibri"/>
                <w:color w:val="333333"/>
                <w:sz w:val="18"/>
              </w:rPr>
              <w:t>Stock Decline</w:t>
            </w:r>
          </w:p>
        </w:tc>
        <w:tc>
          <w:tcPr>
            <w:tcW w:type="dxa" w:w="2016"/>
            <w:shd w:fill="F2F4F8" w:val="clear"/>
          </w:tcPr>
          <w:p>
            <w:r>
              <w:rPr>
                <w:rFonts w:ascii="Calibri" w:hAnsi="Calibri"/>
                <w:color w:val="333333"/>
                <w:sz w:val="18"/>
              </w:rPr>
              <w:t>0.6</w:t>
            </w:r>
          </w:p>
        </w:tc>
        <w:tc>
          <w:tcPr>
            <w:tcW w:type="dxa" w:w="2016"/>
            <w:shd w:fill="F2F4F8" w:val="clear"/>
          </w:tcPr>
          <w:p>
            <w:r>
              <w:rPr>
                <w:rFonts w:ascii="Calibri" w:hAnsi="Calibri"/>
                <w:color w:val="333333"/>
                <w:sz w:val="18"/>
              </w:rPr>
              <w:t>drop_contribution_adjustment</w:t>
            </w:r>
          </w:p>
        </w:tc>
        <w:tc>
          <w:tcPr>
            <w:tcW w:type="dxa" w:w="2016"/>
            <w:shd w:fill="F2F4F8" w:val="clear"/>
          </w:tcPr>
          <w:p>
            <w:r>
              <w:rPr>
                <w:rFonts w:ascii="Calibri" w:hAnsi="Calibri"/>
                <w:color w:val="333333"/>
                <w:sz w:val="18"/>
              </w:rPr>
              <w:t>Signal-driven scoring: 30 signals, coverage=100%; Drop contribution modifier: 0.25x (decay + company-specific + disclosure)</w:t>
            </w:r>
          </w:p>
        </w:tc>
      </w:tr>
      <w:tr>
        <w:tc>
          <w:tcPr>
            <w:tcW w:type="dxa" w:w="2016"/>
          </w:tcPr>
          <w:p>
            <w:r>
              <w:rPr>
                <w:rFonts w:ascii="Calibri" w:hAnsi="Calibri"/>
                <w:color w:val="333333"/>
                <w:sz w:val="18"/>
              </w:rPr>
              <w:t>F3</w:t>
            </w:r>
          </w:p>
        </w:tc>
        <w:tc>
          <w:tcPr>
            <w:tcW w:type="dxa" w:w="2016"/>
          </w:tcPr>
          <w:p>
            <w:r>
              <w:rPr>
                <w:rFonts w:ascii="Calibri" w:hAnsi="Calibri"/>
                <w:color w:val="333333"/>
                <w:sz w:val="18"/>
              </w:rPr>
              <w:t>Restatement/Audit Issues</w:t>
            </w:r>
          </w:p>
        </w:tc>
        <w:tc>
          <w:tcPr>
            <w:tcW w:type="dxa" w:w="2016"/>
          </w:tcPr>
          <w:p>
            <w:r>
              <w:rPr>
                <w:rFonts w:ascii="Calibri" w:hAnsi="Calibri"/>
                <w:color w:val="333333"/>
                <w:sz w:val="18"/>
              </w:rPr>
              <w:t>0.8</w:t>
            </w:r>
          </w:p>
        </w:tc>
        <w:tc>
          <w:tcPr>
            <w:tcW w:type="dxa" w:w="2016"/>
          </w:tcPr>
          <w:p>
            <w:r>
              <w:rPr>
                <w:rFonts w:ascii="Calibri" w:hAnsi="Calibri"/>
                <w:color w:val="333333"/>
                <w:sz w:val="18"/>
              </w:rPr>
              <w:t>N/A</w:t>
            </w:r>
          </w:p>
        </w:tc>
        <w:tc>
          <w:tcPr>
            <w:tcW w:type="dxa" w:w="2016"/>
          </w:tcPr>
          <w:p>
            <w:r>
              <w:rPr>
                <w:rFonts w:ascii="Calibri" w:hAnsi="Calibri"/>
                <w:color w:val="333333"/>
                <w:sz w:val="18"/>
              </w:rPr>
              <w:t>Signal-driven scoring: 83 signals, coverage=100%</w:t>
            </w:r>
          </w:p>
        </w:tc>
      </w:tr>
      <w:tr>
        <w:tc>
          <w:tcPr>
            <w:tcW w:type="dxa" w:w="2016"/>
            <w:shd w:fill="F2F4F8" w:val="clear"/>
          </w:tcPr>
          <w:p>
            <w:r>
              <w:rPr>
                <w:rFonts w:ascii="Calibri" w:hAnsi="Calibri"/>
                <w:color w:val="333333"/>
                <w:sz w:val="18"/>
              </w:rPr>
              <w:t>F4</w:t>
            </w:r>
          </w:p>
        </w:tc>
        <w:tc>
          <w:tcPr>
            <w:tcW w:type="dxa" w:w="2016"/>
            <w:shd w:fill="F2F4F8" w:val="clear"/>
          </w:tcPr>
          <w:p>
            <w:r>
              <w:rPr>
                <w:rFonts w:ascii="Calibri" w:hAnsi="Calibri"/>
                <w:color w:val="333333"/>
                <w:sz w:val="18"/>
              </w:rPr>
              <w:t>IPO/SPAC/M&amp;A</w:t>
            </w:r>
          </w:p>
        </w:tc>
        <w:tc>
          <w:tcPr>
            <w:tcW w:type="dxa" w:w="2016"/>
            <w:shd w:fill="F2F4F8" w:val="clear"/>
          </w:tcPr>
          <w:p>
            <w:r>
              <w:rPr>
                <w:rFonts w:ascii="Calibri" w:hAnsi="Calibri"/>
                <w:color w:val="333333"/>
                <w:sz w:val="18"/>
              </w:rPr>
              <w:t>2.5</w:t>
            </w:r>
          </w:p>
        </w:tc>
        <w:tc>
          <w:tcPr>
            <w:tcW w:type="dxa" w:w="2016"/>
            <w:shd w:fill="F2F4F8" w:val="clear"/>
          </w:tcPr>
          <w:p>
            <w:r>
              <w:rPr>
                <w:rFonts w:ascii="Calibri" w:hAnsi="Calibri"/>
                <w:color w:val="333333"/>
                <w:sz w:val="18"/>
              </w:rPr>
              <w:t>N/A</w:t>
            </w:r>
          </w:p>
        </w:tc>
        <w:tc>
          <w:tcPr>
            <w:tcW w:type="dxa" w:w="2016"/>
            <w:shd w:fill="F2F4F8" w:val="clear"/>
          </w:tcPr>
          <w:p>
            <w:r>
              <w:rPr>
                <w:rFonts w:ascii="Calibri" w:hAnsi="Calibri"/>
                <w:color w:val="333333"/>
                <w:sz w:val="18"/>
              </w:rPr>
              <w:t>Signal-driven scoring: 18 signals, coverage=100%</w:t>
            </w:r>
          </w:p>
        </w:tc>
      </w:tr>
      <w:tr>
        <w:tc>
          <w:tcPr>
            <w:tcW w:type="dxa" w:w="2016"/>
          </w:tcPr>
          <w:p>
            <w:r>
              <w:rPr>
                <w:rFonts w:ascii="Calibri" w:hAnsi="Calibri"/>
                <w:color w:val="333333"/>
                <w:sz w:val="18"/>
              </w:rPr>
              <w:t>F5</w:t>
            </w:r>
          </w:p>
        </w:tc>
        <w:tc>
          <w:tcPr>
            <w:tcW w:type="dxa" w:w="2016"/>
          </w:tcPr>
          <w:p>
            <w:r>
              <w:rPr>
                <w:rFonts w:ascii="Calibri" w:hAnsi="Calibri"/>
                <w:color w:val="333333"/>
                <w:sz w:val="18"/>
              </w:rPr>
              <w:t>Guidance Misses</w:t>
            </w:r>
          </w:p>
        </w:tc>
        <w:tc>
          <w:tcPr>
            <w:tcW w:type="dxa" w:w="2016"/>
          </w:tcPr>
          <w:p>
            <w:r>
              <w:rPr>
                <w:rFonts w:ascii="Calibri" w:hAnsi="Calibri"/>
                <w:color w:val="333333"/>
                <w:sz w:val="18"/>
              </w:rPr>
              <w:t>0.4</w:t>
            </w:r>
          </w:p>
        </w:tc>
        <w:tc>
          <w:tcPr>
            <w:tcW w:type="dxa" w:w="2016"/>
          </w:tcPr>
          <w:p>
            <w:r>
              <w:rPr>
                <w:rFonts w:ascii="Calibri" w:hAnsi="Calibri"/>
                <w:color w:val="333333"/>
                <w:sz w:val="18"/>
              </w:rPr>
              <w:t>N/A</w:t>
            </w:r>
          </w:p>
        </w:tc>
        <w:tc>
          <w:tcPr>
            <w:tcW w:type="dxa" w:w="2016"/>
          </w:tcPr>
          <w:p>
            <w:r>
              <w:rPr>
                <w:rFonts w:ascii="Calibri" w:hAnsi="Calibri"/>
                <w:color w:val="333333"/>
                <w:sz w:val="18"/>
              </w:rPr>
              <w:t>Signal-driven scoring: 27 signals, coverage=100%</w:t>
            </w:r>
          </w:p>
        </w:tc>
      </w:tr>
      <w:tr>
        <w:tc>
          <w:tcPr>
            <w:tcW w:type="dxa" w:w="2016"/>
            <w:shd w:fill="F2F4F8" w:val="clear"/>
          </w:tcPr>
          <w:p>
            <w:r>
              <w:rPr>
                <w:rFonts w:ascii="Calibri" w:hAnsi="Calibri"/>
                <w:color w:val="333333"/>
                <w:sz w:val="18"/>
              </w:rPr>
              <w:t>F6</w:t>
            </w:r>
          </w:p>
        </w:tc>
        <w:tc>
          <w:tcPr>
            <w:tcW w:type="dxa" w:w="2016"/>
            <w:shd w:fill="F2F4F8" w:val="clear"/>
          </w:tcPr>
          <w:p>
            <w:r>
              <w:rPr>
                <w:rFonts w:ascii="Calibri" w:hAnsi="Calibri"/>
                <w:color w:val="333333"/>
                <w:sz w:val="18"/>
              </w:rPr>
              <w:t>Short Interest</w:t>
            </w:r>
          </w:p>
        </w:tc>
        <w:tc>
          <w:tcPr>
            <w:tcW w:type="dxa" w:w="2016"/>
            <w:shd w:fill="F2F4F8" w:val="clear"/>
          </w:tcPr>
          <w:p>
            <w:r>
              <w:rPr>
                <w:rFonts w:ascii="Calibri" w:hAnsi="Calibri"/>
                <w:color w:val="333333"/>
                <w:sz w:val="18"/>
              </w:rPr>
              <w:t>1.3</w:t>
            </w:r>
          </w:p>
        </w:tc>
        <w:tc>
          <w:tcPr>
            <w:tcW w:type="dxa" w:w="2016"/>
            <w:shd w:fill="F2F4F8" w:val="clear"/>
          </w:tcPr>
          <w:p>
            <w:r>
              <w:rPr>
                <w:rFonts w:ascii="Calibri" w:hAnsi="Calibri"/>
                <w:color w:val="333333"/>
                <w:sz w:val="18"/>
              </w:rPr>
              <w:t>N/A</w:t>
            </w:r>
          </w:p>
        </w:tc>
        <w:tc>
          <w:tcPr>
            <w:tcW w:type="dxa" w:w="2016"/>
            <w:shd w:fill="F2F4F8" w:val="clear"/>
          </w:tcPr>
          <w:p>
            <w:r>
              <w:rPr>
                <w:rFonts w:ascii="Calibri" w:hAnsi="Calibri"/>
                <w:color w:val="333333"/>
                <w:sz w:val="18"/>
              </w:rPr>
              <w:t>Signal-driven scoring: 25 signals, coverage=100%</w:t>
            </w:r>
          </w:p>
        </w:tc>
      </w:tr>
      <w:tr>
        <w:tc>
          <w:tcPr>
            <w:tcW w:type="dxa" w:w="2016"/>
          </w:tcPr>
          <w:p>
            <w:r>
              <w:rPr>
                <w:rFonts w:ascii="Calibri" w:hAnsi="Calibri"/>
                <w:color w:val="333333"/>
                <w:sz w:val="18"/>
              </w:rPr>
              <w:t>F7</w:t>
            </w:r>
          </w:p>
        </w:tc>
        <w:tc>
          <w:tcPr>
            <w:tcW w:type="dxa" w:w="2016"/>
          </w:tcPr>
          <w:p>
            <w:r>
              <w:rPr>
                <w:rFonts w:ascii="Calibri" w:hAnsi="Calibri"/>
                <w:color w:val="333333"/>
                <w:sz w:val="18"/>
              </w:rPr>
              <w:t>Stock Volatility</w:t>
            </w:r>
          </w:p>
        </w:tc>
        <w:tc>
          <w:tcPr>
            <w:tcW w:type="dxa" w:w="2016"/>
          </w:tcPr>
          <w:p>
            <w:r>
              <w:rPr>
                <w:rFonts w:ascii="Calibri" w:hAnsi="Calibri"/>
                <w:color w:val="333333"/>
                <w:sz w:val="18"/>
              </w:rPr>
              <w:t>0.1</w:t>
            </w:r>
          </w:p>
        </w:tc>
        <w:tc>
          <w:tcPr>
            <w:tcW w:type="dxa" w:w="2016"/>
          </w:tcPr>
          <w:p>
            <w:r>
              <w:rPr>
                <w:rFonts w:ascii="Calibri" w:hAnsi="Calibri"/>
                <w:color w:val="333333"/>
                <w:sz w:val="18"/>
              </w:rPr>
              <w:t>N/A</w:t>
            </w:r>
          </w:p>
        </w:tc>
        <w:tc>
          <w:tcPr>
            <w:tcW w:type="dxa" w:w="2016"/>
          </w:tcPr>
          <w:p>
            <w:r>
              <w:rPr>
                <w:rFonts w:ascii="Calibri" w:hAnsi="Calibri"/>
                <w:color w:val="333333"/>
                <w:sz w:val="18"/>
              </w:rPr>
              <w:t>Signal-driven scoring: 27 signals, coverage=100%</w:t>
            </w:r>
          </w:p>
        </w:tc>
      </w:tr>
      <w:tr>
        <w:tc>
          <w:tcPr>
            <w:tcW w:type="dxa" w:w="2016"/>
            <w:shd w:fill="F2F4F8" w:val="clear"/>
          </w:tcPr>
          <w:p>
            <w:r>
              <w:rPr>
                <w:rFonts w:ascii="Calibri" w:hAnsi="Calibri"/>
                <w:color w:val="333333"/>
                <w:sz w:val="18"/>
              </w:rPr>
              <w:t>F9</w:t>
            </w:r>
          </w:p>
        </w:tc>
        <w:tc>
          <w:tcPr>
            <w:tcW w:type="dxa" w:w="2016"/>
            <w:shd w:fill="F2F4F8" w:val="clear"/>
          </w:tcPr>
          <w:p>
            <w:r>
              <w:rPr>
                <w:rFonts w:ascii="Calibri" w:hAnsi="Calibri"/>
                <w:color w:val="333333"/>
                <w:sz w:val="18"/>
              </w:rPr>
              <w:t>Governance Issues</w:t>
            </w:r>
          </w:p>
        </w:tc>
        <w:tc>
          <w:tcPr>
            <w:tcW w:type="dxa" w:w="2016"/>
            <w:shd w:fill="F2F4F8" w:val="clear"/>
          </w:tcPr>
          <w:p>
            <w:r>
              <w:rPr>
                <w:rFonts w:ascii="Calibri" w:hAnsi="Calibri"/>
                <w:color w:val="333333"/>
                <w:sz w:val="18"/>
              </w:rPr>
              <w:t>0.7</w:t>
            </w:r>
          </w:p>
        </w:tc>
        <w:tc>
          <w:tcPr>
            <w:tcW w:type="dxa" w:w="2016"/>
            <w:shd w:fill="F2F4F8" w:val="clear"/>
          </w:tcPr>
          <w:p>
            <w:r>
              <w:rPr>
                <w:rFonts w:ascii="Calibri" w:hAnsi="Calibri"/>
                <w:color w:val="333333"/>
                <w:sz w:val="18"/>
              </w:rPr>
              <w:t>N/A</w:t>
            </w:r>
          </w:p>
        </w:tc>
        <w:tc>
          <w:tcPr>
            <w:tcW w:type="dxa" w:w="2016"/>
            <w:shd w:fill="F2F4F8" w:val="clear"/>
          </w:tcPr>
          <w:p>
            <w:r>
              <w:rPr>
                <w:rFonts w:ascii="Calibri" w:hAnsi="Calibri"/>
                <w:color w:val="333333"/>
                <w:sz w:val="18"/>
              </w:rPr>
              <w:t>Signal-driven scoring: 40 signals, coverage=100%</w:t>
            </w:r>
          </w:p>
        </w:tc>
      </w:tr>
      <w:tr>
        <w:tc>
          <w:tcPr>
            <w:tcW w:type="dxa" w:w="2016"/>
          </w:tcPr>
          <w:p>
            <w:r>
              <w:rPr>
                <w:rFonts w:ascii="Calibri" w:hAnsi="Calibri"/>
                <w:color w:val="333333"/>
                <w:sz w:val="18"/>
              </w:rPr>
              <w:t>F10</w:t>
            </w:r>
          </w:p>
        </w:tc>
        <w:tc>
          <w:tcPr>
            <w:tcW w:type="dxa" w:w="2016"/>
          </w:tcPr>
          <w:p>
            <w:r>
              <w:rPr>
                <w:rFonts w:ascii="Calibri" w:hAnsi="Calibri"/>
                <w:color w:val="333333"/>
                <w:sz w:val="18"/>
              </w:rPr>
              <w:t>Officer Stability</w:t>
            </w:r>
          </w:p>
        </w:tc>
        <w:tc>
          <w:tcPr>
            <w:tcW w:type="dxa" w:w="2016"/>
          </w:tcPr>
          <w:p>
            <w:r>
              <w:rPr>
                <w:rFonts w:ascii="Calibri" w:hAnsi="Calibri"/>
                <w:color w:val="333333"/>
                <w:sz w:val="18"/>
              </w:rPr>
              <w:t>0.1</w:t>
            </w:r>
          </w:p>
        </w:tc>
        <w:tc>
          <w:tcPr>
            <w:tcW w:type="dxa" w:w="2016"/>
          </w:tcPr>
          <w:p>
            <w:r>
              <w:rPr>
                <w:rFonts w:ascii="Calibri" w:hAnsi="Calibri"/>
                <w:color w:val="333333"/>
                <w:sz w:val="18"/>
              </w:rPr>
              <w:t>N/A</w:t>
            </w:r>
          </w:p>
        </w:tc>
        <w:tc>
          <w:tcPr>
            <w:tcW w:type="dxa" w:w="2016"/>
          </w:tcPr>
          <w:p>
            <w:r>
              <w:rPr>
                <w:rFonts w:ascii="Calibri" w:hAnsi="Calibri"/>
                <w:color w:val="333333"/>
                <w:sz w:val="18"/>
              </w:rPr>
              <w:t>Signal-driven scoring: 89 signals, coverage=100%</w:t>
            </w:r>
          </w:p>
        </w:tc>
      </w:tr>
    </w:tbl>
    <w:p>
      <w:pPr>
        <w:pStyle w:val="DOBody"/>
      </w:pPr>
      <w:r>
        <w:rPr>
          <w:b/>
          <w:sz w:val="20"/>
        </w:rPr>
        <w:t>Sub-Component Breakdown</w:t>
      </w:r>
    </w:p>
    <w:tbl>
      <w:tblPr>
        <w:tblStyle w:val="TableGrid"/>
        <w:tblW w:type="auto" w:w="0"/>
        <w:tblLook w:firstColumn="1" w:firstRow="1" w:lastColumn="0" w:lastRow="0" w:noHBand="0" w:noVBand="1" w:val="04A0"/>
      </w:tblPr>
      <w:tblGrid>
        <w:gridCol w:w="3360"/>
        <w:gridCol w:w="3360"/>
        <w:gridCol w:w="3360"/>
      </w:tblGrid>
      <w:tr>
        <w:tc>
          <w:tcPr>
            <w:tcW w:type="dxa" w:w="3360"/>
            <w:shd w:fill="1A1446" w:val="clear"/>
          </w:tcPr>
          <w:p>
            <w:r>
              <w:rPr>
                <w:rFonts w:ascii="Calibri" w:hAnsi="Calibri"/>
                <w:b/>
                <w:color w:val="FFFFFF"/>
                <w:sz w:val="18"/>
              </w:rPr>
              <w:t>Factor</w:t>
            </w:r>
          </w:p>
        </w:tc>
        <w:tc>
          <w:tcPr>
            <w:tcW w:type="dxa" w:w="3360"/>
            <w:shd w:fill="1A1446" w:val="clear"/>
          </w:tcPr>
          <w:p>
            <w:r>
              <w:rPr>
                <w:rFonts w:ascii="Calibri" w:hAnsi="Calibri"/>
                <w:b/>
                <w:color w:val="FFFFFF"/>
                <w:sz w:val="18"/>
              </w:rPr>
              <w:t>Component</w:t>
            </w:r>
          </w:p>
        </w:tc>
        <w:tc>
          <w:tcPr>
            <w:tcW w:type="dxa" w:w="3360"/>
            <w:shd w:fill="1A1446" w:val="clear"/>
          </w:tcPr>
          <w:p>
            <w:r>
              <w:rPr>
                <w:rFonts w:ascii="Calibri" w:hAnsi="Calibri"/>
                <w:b/>
                <w:color w:val="FFFFFF"/>
                <w:sz w:val="18"/>
              </w:rPr>
              <w:t>Value</w:t>
            </w:r>
          </w:p>
        </w:tc>
      </w:tr>
      <w:tr>
        <w:tc>
          <w:tcPr>
            <w:tcW w:type="dxa" w:w="3360"/>
          </w:tcPr>
          <w:p>
            <w:r>
              <w:rPr>
                <w:rFonts w:ascii="Calibri" w:hAnsi="Calibri"/>
                <w:color w:val="333333"/>
                <w:sz w:val="18"/>
              </w:rPr>
              <w:t>F1</w:t>
            </w:r>
          </w:p>
        </w:tc>
        <w:tc>
          <w:tcPr>
            <w:tcW w:type="dxa" w:w="3360"/>
          </w:tcPr>
          <w:p>
            <w:r>
              <w:rPr>
                <w:rFonts w:ascii="Calibri" w:hAnsi="Calibri"/>
                <w:color w:val="333333"/>
                <w:sz w:val="18"/>
              </w:rPr>
              <w:t>base</w:t>
            </w:r>
          </w:p>
        </w:tc>
        <w:tc>
          <w:tcPr>
            <w:tcW w:type="dxa" w:w="3360"/>
          </w:tcPr>
          <w:p>
            <w:r>
              <w:rPr>
                <w:rFonts w:ascii="Calibri" w:hAnsi="Calibri"/>
                <w:color w:val="333333"/>
                <w:sz w:val="18"/>
              </w:rPr>
              <w:t>2.03</w:t>
            </w:r>
          </w:p>
        </w:tc>
      </w:tr>
      <w:tr>
        <w:tc>
          <w:tcPr>
            <w:tcW w:type="dxa" w:w="3360"/>
            <w:shd w:fill="F2F4F8" w:val="clear"/>
          </w:tcPr>
          <w:p>
            <w:r>
              <w:rPr>
                <w:rFonts w:ascii="Calibri" w:hAnsi="Calibri"/>
                <w:color w:val="333333"/>
                <w:sz w:val="18"/>
              </w:rPr>
              <w:t>F1</w:t>
            </w:r>
          </w:p>
        </w:tc>
        <w:tc>
          <w:tcPr>
            <w:tcW w:type="dxa" w:w="3360"/>
            <w:shd w:fill="F2F4F8" w:val="clear"/>
          </w:tcPr>
          <w:p>
            <w:r>
              <w:rPr>
                <w:rFonts w:ascii="Calibri" w:hAnsi="Calibri"/>
                <w:color w:val="333333"/>
                <w:sz w:val="18"/>
              </w:rPr>
              <w:t>bonus</w:t>
            </w:r>
          </w:p>
        </w:tc>
        <w:tc>
          <w:tcPr>
            <w:tcW w:type="dxa" w:w="3360"/>
            <w:shd w:fill="F2F4F8" w:val="clear"/>
          </w:tcPr>
          <w:p>
            <w:r>
              <w:rPr>
                <w:rFonts w:ascii="Calibri" w:hAnsi="Calibri"/>
                <w:color w:val="333333"/>
                <w:sz w:val="18"/>
              </w:rPr>
              <w:t>0.00</w:t>
            </w:r>
          </w:p>
        </w:tc>
      </w:tr>
      <w:tr>
        <w:tc>
          <w:tcPr>
            <w:tcW w:type="dxa" w:w="3360"/>
          </w:tcPr>
          <w:p>
            <w:r>
              <w:rPr>
                <w:rFonts w:ascii="Calibri" w:hAnsi="Calibri"/>
                <w:color w:val="333333"/>
                <w:sz w:val="18"/>
              </w:rPr>
              <w:t>F1</w:t>
            </w:r>
          </w:p>
        </w:tc>
        <w:tc>
          <w:tcPr>
            <w:tcW w:type="dxa" w:w="3360"/>
          </w:tcPr>
          <w:p>
            <w:r>
              <w:rPr>
                <w:rFonts w:ascii="Calibri" w:hAnsi="Calibri"/>
                <w:color w:val="333333"/>
                <w:sz w:val="18"/>
              </w:rPr>
              <w:t>modifiers</w:t>
            </w:r>
          </w:p>
        </w:tc>
        <w:tc>
          <w:tcPr>
            <w:tcW w:type="dxa" w:w="3360"/>
          </w:tcPr>
          <w:p>
            <w:r>
              <w:rPr>
                <w:rFonts w:ascii="Calibri" w:hAnsi="Calibri"/>
                <w:color w:val="333333"/>
                <w:sz w:val="18"/>
              </w:rPr>
              <w:t>0.00</w:t>
            </w:r>
          </w:p>
        </w:tc>
      </w:tr>
      <w:tr>
        <w:tc>
          <w:tcPr>
            <w:tcW w:type="dxa" w:w="3360"/>
            <w:shd w:fill="F2F4F8" w:val="clear"/>
          </w:tcPr>
          <w:p>
            <w:r>
              <w:rPr>
                <w:rFonts w:ascii="Calibri" w:hAnsi="Calibri"/>
                <w:color w:val="333333"/>
                <w:sz w:val="18"/>
              </w:rPr>
              <w:t>F1</w:t>
            </w:r>
          </w:p>
        </w:tc>
        <w:tc>
          <w:tcPr>
            <w:tcW w:type="dxa" w:w="3360"/>
            <w:shd w:fill="F2F4F8" w:val="clear"/>
          </w:tcPr>
          <w:p>
            <w:r>
              <w:rPr>
                <w:rFonts w:ascii="Calibri" w:hAnsi="Calibri"/>
                <w:color w:val="333333"/>
                <w:sz w:val="18"/>
              </w:rPr>
              <w:t>hard_triggers</w:t>
            </w:r>
          </w:p>
        </w:tc>
        <w:tc>
          <w:tcPr>
            <w:tcW w:type="dxa" w:w="3360"/>
            <w:shd w:fill="F2F4F8" w:val="clear"/>
          </w:tcPr>
          <w:p>
            <w:r>
              <w:rPr>
                <w:rFonts w:ascii="Calibri" w:hAnsi="Calibri"/>
                <w:color w:val="333333"/>
                <w:sz w:val="18"/>
              </w:rPr>
              <w:t>0.00</w:t>
            </w:r>
          </w:p>
        </w:tc>
      </w:tr>
      <w:tr>
        <w:tc>
          <w:tcPr>
            <w:tcW w:type="dxa" w:w="3360"/>
          </w:tcPr>
          <w:p>
            <w:r>
              <w:rPr>
                <w:rFonts w:ascii="Calibri" w:hAnsi="Calibri"/>
                <w:color w:val="333333"/>
                <w:sz w:val="18"/>
              </w:rPr>
              <w:t>F1</w:t>
            </w:r>
          </w:p>
        </w:tc>
        <w:tc>
          <w:tcPr>
            <w:tcW w:type="dxa" w:w="3360"/>
          </w:tcPr>
          <w:p>
            <w:r>
              <w:rPr>
                <w:rFonts w:ascii="Calibri" w:hAnsi="Calibri"/>
                <w:color w:val="333333"/>
                <w:sz w:val="18"/>
              </w:rPr>
              <w:t>total_before_cap</w:t>
            </w:r>
          </w:p>
        </w:tc>
        <w:tc>
          <w:tcPr>
            <w:tcW w:type="dxa" w:w="3360"/>
          </w:tcPr>
          <w:p>
            <w:r>
              <w:rPr>
                <w:rFonts w:ascii="Calibri" w:hAnsi="Calibri"/>
                <w:color w:val="333333"/>
                <w:sz w:val="18"/>
              </w:rPr>
              <w:t>2.03</w:t>
            </w:r>
          </w:p>
        </w:tc>
      </w:tr>
      <w:tr>
        <w:tc>
          <w:tcPr>
            <w:tcW w:type="dxa" w:w="3360"/>
            <w:shd w:fill="F2F4F8" w:val="clear"/>
          </w:tcPr>
          <w:p>
            <w:r>
              <w:rPr>
                <w:rFonts w:ascii="Calibri" w:hAnsi="Calibri"/>
                <w:color w:val="333333"/>
                <w:sz w:val="18"/>
              </w:rPr>
              <w:t>F1</w:t>
            </w:r>
          </w:p>
        </w:tc>
        <w:tc>
          <w:tcPr>
            <w:tcW w:type="dxa" w:w="3360"/>
            <w:shd w:fill="F2F4F8" w:val="clear"/>
          </w:tcPr>
          <w:p>
            <w:r>
              <w:rPr>
                <w:rFonts w:ascii="Calibri" w:hAnsi="Calibri"/>
                <w:color w:val="333333"/>
                <w:sz w:val="18"/>
              </w:rPr>
              <w:t>capped</w:t>
            </w:r>
          </w:p>
        </w:tc>
        <w:tc>
          <w:tcPr>
            <w:tcW w:type="dxa" w:w="3360"/>
            <w:shd w:fill="F2F4F8" w:val="clear"/>
          </w:tcPr>
          <w:p>
            <w:r>
              <w:rPr>
                <w:rFonts w:ascii="Calibri" w:hAnsi="Calibri"/>
                <w:color w:val="333333"/>
                <w:sz w:val="18"/>
              </w:rPr>
              <w:t>2.03</w:t>
            </w:r>
          </w:p>
        </w:tc>
      </w:tr>
      <w:tr>
        <w:tc>
          <w:tcPr>
            <w:tcW w:type="dxa" w:w="3360"/>
          </w:tcPr>
          <w:p>
            <w:r>
              <w:rPr>
                <w:rFonts w:ascii="Calibri" w:hAnsi="Calibri"/>
                <w:color w:val="333333"/>
                <w:sz w:val="18"/>
              </w:rPr>
              <w:t>F2</w:t>
            </w:r>
          </w:p>
        </w:tc>
        <w:tc>
          <w:tcPr>
            <w:tcW w:type="dxa" w:w="3360"/>
          </w:tcPr>
          <w:p>
            <w:r>
              <w:rPr>
                <w:rFonts w:ascii="Calibri" w:hAnsi="Calibri"/>
                <w:color w:val="333333"/>
                <w:sz w:val="18"/>
              </w:rPr>
              <w:t>base</w:t>
            </w:r>
          </w:p>
        </w:tc>
        <w:tc>
          <w:tcPr>
            <w:tcW w:type="dxa" w:w="3360"/>
          </w:tcPr>
          <w:p>
            <w:r>
              <w:rPr>
                <w:rFonts w:ascii="Calibri" w:hAnsi="Calibri"/>
                <w:color w:val="333333"/>
                <w:sz w:val="18"/>
              </w:rPr>
              <w:t>2.45</w:t>
            </w:r>
          </w:p>
        </w:tc>
      </w:tr>
      <w:tr>
        <w:tc>
          <w:tcPr>
            <w:tcW w:type="dxa" w:w="3360"/>
            <w:shd w:fill="F2F4F8" w:val="clear"/>
          </w:tcPr>
          <w:p>
            <w:r>
              <w:rPr>
                <w:rFonts w:ascii="Calibri" w:hAnsi="Calibri"/>
                <w:color w:val="333333"/>
                <w:sz w:val="18"/>
              </w:rPr>
              <w:t>F2</w:t>
            </w:r>
          </w:p>
        </w:tc>
        <w:tc>
          <w:tcPr>
            <w:tcW w:type="dxa" w:w="3360"/>
            <w:shd w:fill="F2F4F8" w:val="clear"/>
          </w:tcPr>
          <w:p>
            <w:r>
              <w:rPr>
                <w:rFonts w:ascii="Calibri" w:hAnsi="Calibri"/>
                <w:color w:val="333333"/>
                <w:sz w:val="18"/>
              </w:rPr>
              <w:t>bonus</w:t>
            </w:r>
          </w:p>
        </w:tc>
        <w:tc>
          <w:tcPr>
            <w:tcW w:type="dxa" w:w="3360"/>
            <w:shd w:fill="F2F4F8" w:val="clear"/>
          </w:tcPr>
          <w:p>
            <w:r>
              <w:rPr>
                <w:rFonts w:ascii="Calibri" w:hAnsi="Calibri"/>
                <w:color w:val="333333"/>
                <w:sz w:val="18"/>
              </w:rPr>
              <w:t>0.00</w:t>
            </w:r>
          </w:p>
        </w:tc>
      </w:tr>
      <w:tr>
        <w:tc>
          <w:tcPr>
            <w:tcW w:type="dxa" w:w="3360"/>
          </w:tcPr>
          <w:p>
            <w:r>
              <w:rPr>
                <w:rFonts w:ascii="Calibri" w:hAnsi="Calibri"/>
                <w:color w:val="333333"/>
                <w:sz w:val="18"/>
              </w:rPr>
              <w:t>F2</w:t>
            </w:r>
          </w:p>
        </w:tc>
        <w:tc>
          <w:tcPr>
            <w:tcW w:type="dxa" w:w="3360"/>
          </w:tcPr>
          <w:p>
            <w:r>
              <w:rPr>
                <w:rFonts w:ascii="Calibri" w:hAnsi="Calibri"/>
                <w:color w:val="333333"/>
                <w:sz w:val="18"/>
              </w:rPr>
              <w:t>modifiers</w:t>
            </w:r>
          </w:p>
        </w:tc>
        <w:tc>
          <w:tcPr>
            <w:tcW w:type="dxa" w:w="3360"/>
          </w:tcPr>
          <w:p>
            <w:r>
              <w:rPr>
                <w:rFonts w:ascii="Calibri" w:hAnsi="Calibri"/>
                <w:color w:val="333333"/>
                <w:sz w:val="18"/>
              </w:rPr>
              <w:t>0.00</w:t>
            </w:r>
          </w:p>
        </w:tc>
      </w:tr>
      <w:tr>
        <w:tc>
          <w:tcPr>
            <w:tcW w:type="dxa" w:w="3360"/>
            <w:shd w:fill="F2F4F8" w:val="clear"/>
          </w:tcPr>
          <w:p>
            <w:r>
              <w:rPr>
                <w:rFonts w:ascii="Calibri" w:hAnsi="Calibri"/>
                <w:color w:val="333333"/>
                <w:sz w:val="18"/>
              </w:rPr>
              <w:t>F2</w:t>
            </w:r>
          </w:p>
        </w:tc>
        <w:tc>
          <w:tcPr>
            <w:tcW w:type="dxa" w:w="3360"/>
            <w:shd w:fill="F2F4F8" w:val="clear"/>
          </w:tcPr>
          <w:p>
            <w:r>
              <w:rPr>
                <w:rFonts w:ascii="Calibri" w:hAnsi="Calibri"/>
                <w:color w:val="333333"/>
                <w:sz w:val="18"/>
              </w:rPr>
              <w:t>hard_triggers</w:t>
            </w:r>
          </w:p>
        </w:tc>
        <w:tc>
          <w:tcPr>
            <w:tcW w:type="dxa" w:w="3360"/>
            <w:shd w:fill="F2F4F8" w:val="clear"/>
          </w:tcPr>
          <w:p>
            <w:r>
              <w:rPr>
                <w:rFonts w:ascii="Calibri" w:hAnsi="Calibri"/>
                <w:color w:val="333333"/>
                <w:sz w:val="18"/>
              </w:rPr>
              <w:t>0.00</w:t>
            </w:r>
          </w:p>
        </w:tc>
      </w:tr>
      <w:tr>
        <w:tc>
          <w:tcPr>
            <w:tcW w:type="dxa" w:w="3360"/>
          </w:tcPr>
          <w:p>
            <w:r>
              <w:rPr>
                <w:rFonts w:ascii="Calibri" w:hAnsi="Calibri"/>
                <w:color w:val="333333"/>
                <w:sz w:val="18"/>
              </w:rPr>
              <w:t>F2</w:t>
            </w:r>
          </w:p>
        </w:tc>
        <w:tc>
          <w:tcPr>
            <w:tcW w:type="dxa" w:w="3360"/>
          </w:tcPr>
          <w:p>
            <w:r>
              <w:rPr>
                <w:rFonts w:ascii="Calibri" w:hAnsi="Calibri"/>
                <w:color w:val="333333"/>
                <w:sz w:val="18"/>
              </w:rPr>
              <w:t>drop_contribution_modifier</w:t>
            </w:r>
          </w:p>
        </w:tc>
        <w:tc>
          <w:tcPr>
            <w:tcW w:type="dxa" w:w="3360"/>
          </w:tcPr>
          <w:p>
            <w:r>
              <w:rPr>
                <w:rFonts w:ascii="Calibri" w:hAnsi="Calibri"/>
                <w:color w:val="333333"/>
                <w:sz w:val="18"/>
              </w:rPr>
              <w:t>0.25</w:t>
            </w:r>
          </w:p>
        </w:tc>
      </w:tr>
      <w:tr>
        <w:tc>
          <w:tcPr>
            <w:tcW w:type="dxa" w:w="3360"/>
            <w:shd w:fill="F2F4F8" w:val="clear"/>
          </w:tcPr>
          <w:p>
            <w:r>
              <w:rPr>
                <w:rFonts w:ascii="Calibri" w:hAnsi="Calibri"/>
                <w:color w:val="333333"/>
                <w:sz w:val="18"/>
              </w:rPr>
              <w:t>F2</w:t>
            </w:r>
          </w:p>
        </w:tc>
        <w:tc>
          <w:tcPr>
            <w:tcW w:type="dxa" w:w="3360"/>
            <w:shd w:fill="F2F4F8" w:val="clear"/>
          </w:tcPr>
          <w:p>
            <w:r>
              <w:rPr>
                <w:rFonts w:ascii="Calibri" w:hAnsi="Calibri"/>
                <w:color w:val="333333"/>
                <w:sz w:val="18"/>
              </w:rPr>
              <w:t>total_before_cap</w:t>
            </w:r>
          </w:p>
        </w:tc>
        <w:tc>
          <w:tcPr>
            <w:tcW w:type="dxa" w:w="3360"/>
            <w:shd w:fill="F2F4F8" w:val="clear"/>
          </w:tcPr>
          <w:p>
            <w:r>
              <w:rPr>
                <w:rFonts w:ascii="Calibri" w:hAnsi="Calibri"/>
                <w:color w:val="333333"/>
                <w:sz w:val="18"/>
              </w:rPr>
              <w:t>0.61</w:t>
            </w:r>
          </w:p>
        </w:tc>
      </w:tr>
      <w:tr>
        <w:tc>
          <w:tcPr>
            <w:tcW w:type="dxa" w:w="3360"/>
          </w:tcPr>
          <w:p>
            <w:r>
              <w:rPr>
                <w:rFonts w:ascii="Calibri" w:hAnsi="Calibri"/>
                <w:color w:val="333333"/>
                <w:sz w:val="18"/>
              </w:rPr>
              <w:t>F2</w:t>
            </w:r>
          </w:p>
        </w:tc>
        <w:tc>
          <w:tcPr>
            <w:tcW w:type="dxa" w:w="3360"/>
          </w:tcPr>
          <w:p>
            <w:r>
              <w:rPr>
                <w:rFonts w:ascii="Calibri" w:hAnsi="Calibri"/>
                <w:color w:val="333333"/>
                <w:sz w:val="18"/>
              </w:rPr>
              <w:t>capped</w:t>
            </w:r>
          </w:p>
        </w:tc>
        <w:tc>
          <w:tcPr>
            <w:tcW w:type="dxa" w:w="3360"/>
          </w:tcPr>
          <w:p>
            <w:r>
              <w:rPr>
                <w:rFonts w:ascii="Calibri" w:hAnsi="Calibri"/>
                <w:color w:val="333333"/>
                <w:sz w:val="18"/>
              </w:rPr>
              <w:t>0.61</w:t>
            </w:r>
          </w:p>
        </w:tc>
      </w:tr>
      <w:tr>
        <w:tc>
          <w:tcPr>
            <w:tcW w:type="dxa" w:w="3360"/>
            <w:shd w:fill="F2F4F8" w:val="clear"/>
          </w:tcPr>
          <w:p>
            <w:r>
              <w:rPr>
                <w:rFonts w:ascii="Calibri" w:hAnsi="Calibri"/>
                <w:color w:val="333333"/>
                <w:sz w:val="18"/>
              </w:rPr>
              <w:t>F3</w:t>
            </w:r>
          </w:p>
        </w:tc>
        <w:tc>
          <w:tcPr>
            <w:tcW w:type="dxa" w:w="3360"/>
            <w:shd w:fill="F2F4F8" w:val="clear"/>
          </w:tcPr>
          <w:p>
            <w:r>
              <w:rPr>
                <w:rFonts w:ascii="Calibri" w:hAnsi="Calibri"/>
                <w:color w:val="333333"/>
                <w:sz w:val="18"/>
              </w:rPr>
              <w:t>base</w:t>
            </w:r>
          </w:p>
        </w:tc>
        <w:tc>
          <w:tcPr>
            <w:tcW w:type="dxa" w:w="3360"/>
            <w:shd w:fill="F2F4F8" w:val="clear"/>
          </w:tcPr>
          <w:p>
            <w:r>
              <w:rPr>
                <w:rFonts w:ascii="Calibri" w:hAnsi="Calibri"/>
                <w:color w:val="333333"/>
                <w:sz w:val="18"/>
              </w:rPr>
              <w:t>0.90</w:t>
            </w:r>
          </w:p>
        </w:tc>
      </w:tr>
      <w:tr>
        <w:tc>
          <w:tcPr>
            <w:tcW w:type="dxa" w:w="3360"/>
          </w:tcPr>
          <w:p>
            <w:r>
              <w:rPr>
                <w:rFonts w:ascii="Calibri" w:hAnsi="Calibri"/>
                <w:color w:val="333333"/>
                <w:sz w:val="18"/>
              </w:rPr>
              <w:t>F3</w:t>
            </w:r>
          </w:p>
        </w:tc>
        <w:tc>
          <w:tcPr>
            <w:tcW w:type="dxa" w:w="3360"/>
          </w:tcPr>
          <w:p>
            <w:r>
              <w:rPr>
                <w:rFonts w:ascii="Calibri" w:hAnsi="Calibri"/>
                <w:color w:val="333333"/>
                <w:sz w:val="18"/>
              </w:rPr>
              <w:t>bonus</w:t>
            </w:r>
          </w:p>
        </w:tc>
        <w:tc>
          <w:tcPr>
            <w:tcW w:type="dxa" w:w="3360"/>
          </w:tcPr>
          <w:p>
            <w:r>
              <w:rPr>
                <w:rFonts w:ascii="Calibri" w:hAnsi="Calibri"/>
                <w:color w:val="333333"/>
                <w:sz w:val="18"/>
              </w:rPr>
              <w:t>0.00</w:t>
            </w:r>
          </w:p>
        </w:tc>
      </w:tr>
      <w:tr>
        <w:tc>
          <w:tcPr>
            <w:tcW w:type="dxa" w:w="3360"/>
            <w:shd w:fill="F2F4F8" w:val="clear"/>
          </w:tcPr>
          <w:p>
            <w:r>
              <w:rPr>
                <w:rFonts w:ascii="Calibri" w:hAnsi="Calibri"/>
                <w:color w:val="333333"/>
                <w:sz w:val="18"/>
              </w:rPr>
              <w:t>F3</w:t>
            </w:r>
          </w:p>
        </w:tc>
        <w:tc>
          <w:tcPr>
            <w:tcW w:type="dxa" w:w="3360"/>
            <w:shd w:fill="F2F4F8" w:val="clear"/>
          </w:tcPr>
          <w:p>
            <w:r>
              <w:rPr>
                <w:rFonts w:ascii="Calibri" w:hAnsi="Calibri"/>
                <w:color w:val="333333"/>
                <w:sz w:val="18"/>
              </w:rPr>
              <w:t>modifiers</w:t>
            </w:r>
          </w:p>
        </w:tc>
        <w:tc>
          <w:tcPr>
            <w:tcW w:type="dxa" w:w="3360"/>
            <w:shd w:fill="F2F4F8" w:val="clear"/>
          </w:tcPr>
          <w:p>
            <w:r>
              <w:rPr>
                <w:rFonts w:ascii="Calibri" w:hAnsi="Calibri"/>
                <w:color w:val="333333"/>
                <w:sz w:val="18"/>
              </w:rPr>
              <w:t>0.00</w:t>
            </w:r>
          </w:p>
        </w:tc>
      </w:tr>
      <w:tr>
        <w:tc>
          <w:tcPr>
            <w:tcW w:type="dxa" w:w="3360"/>
          </w:tcPr>
          <w:p>
            <w:r>
              <w:rPr>
                <w:rFonts w:ascii="Calibri" w:hAnsi="Calibri"/>
                <w:color w:val="333333"/>
                <w:sz w:val="18"/>
              </w:rPr>
              <w:t>F3</w:t>
            </w:r>
          </w:p>
        </w:tc>
        <w:tc>
          <w:tcPr>
            <w:tcW w:type="dxa" w:w="3360"/>
          </w:tcPr>
          <w:p>
            <w:r>
              <w:rPr>
                <w:rFonts w:ascii="Calibri" w:hAnsi="Calibri"/>
                <w:color w:val="333333"/>
                <w:sz w:val="18"/>
              </w:rPr>
              <w:t>hard_triggers</w:t>
            </w:r>
          </w:p>
        </w:tc>
        <w:tc>
          <w:tcPr>
            <w:tcW w:type="dxa" w:w="3360"/>
          </w:tcPr>
          <w:p>
            <w:r>
              <w:rPr>
                <w:rFonts w:ascii="Calibri" w:hAnsi="Calibri"/>
                <w:color w:val="333333"/>
                <w:sz w:val="18"/>
              </w:rPr>
              <w:t>0.00</w:t>
            </w:r>
          </w:p>
        </w:tc>
      </w:tr>
      <w:tr>
        <w:tc>
          <w:tcPr>
            <w:tcW w:type="dxa" w:w="3360"/>
            <w:shd w:fill="F2F4F8" w:val="clear"/>
          </w:tcPr>
          <w:p>
            <w:r>
              <w:rPr>
                <w:rFonts w:ascii="Calibri" w:hAnsi="Calibri"/>
                <w:color w:val="333333"/>
                <w:sz w:val="18"/>
              </w:rPr>
              <w:t>F3</w:t>
            </w:r>
          </w:p>
        </w:tc>
        <w:tc>
          <w:tcPr>
            <w:tcW w:type="dxa" w:w="3360"/>
            <w:shd w:fill="F2F4F8" w:val="clear"/>
          </w:tcPr>
          <w:p>
            <w:r>
              <w:rPr>
                <w:rFonts w:ascii="Calibri" w:hAnsi="Calibri"/>
                <w:color w:val="333333"/>
                <w:sz w:val="18"/>
              </w:rPr>
              <w:t>total_before_cap</w:t>
            </w:r>
          </w:p>
        </w:tc>
        <w:tc>
          <w:tcPr>
            <w:tcW w:type="dxa" w:w="3360"/>
            <w:shd w:fill="F2F4F8" w:val="clear"/>
          </w:tcPr>
          <w:p>
            <w:r>
              <w:rPr>
                <w:rFonts w:ascii="Calibri" w:hAnsi="Calibri"/>
                <w:color w:val="333333"/>
                <w:sz w:val="18"/>
              </w:rPr>
              <w:t>0.90</w:t>
            </w:r>
          </w:p>
        </w:tc>
      </w:tr>
      <w:tr>
        <w:tc>
          <w:tcPr>
            <w:tcW w:type="dxa" w:w="3360"/>
          </w:tcPr>
          <w:p>
            <w:r>
              <w:rPr>
                <w:rFonts w:ascii="Calibri" w:hAnsi="Calibri"/>
                <w:color w:val="333333"/>
                <w:sz w:val="18"/>
              </w:rPr>
              <w:t>F3</w:t>
            </w:r>
          </w:p>
        </w:tc>
        <w:tc>
          <w:tcPr>
            <w:tcW w:type="dxa" w:w="3360"/>
          </w:tcPr>
          <w:p>
            <w:r>
              <w:rPr>
                <w:rFonts w:ascii="Calibri" w:hAnsi="Calibri"/>
                <w:color w:val="333333"/>
                <w:sz w:val="18"/>
              </w:rPr>
              <w:t>capped</w:t>
            </w:r>
          </w:p>
        </w:tc>
        <w:tc>
          <w:tcPr>
            <w:tcW w:type="dxa" w:w="3360"/>
          </w:tcPr>
          <w:p>
            <w:r>
              <w:rPr>
                <w:rFonts w:ascii="Calibri" w:hAnsi="Calibri"/>
                <w:color w:val="333333"/>
                <w:sz w:val="18"/>
              </w:rPr>
              <w:t>0.90</w:t>
            </w:r>
          </w:p>
        </w:tc>
      </w:tr>
      <w:tr>
        <w:tc>
          <w:tcPr>
            <w:tcW w:type="dxa" w:w="3360"/>
            <w:shd w:fill="F2F4F8" w:val="clear"/>
          </w:tcPr>
          <w:p>
            <w:r>
              <w:rPr>
                <w:rFonts w:ascii="Calibri" w:hAnsi="Calibri"/>
                <w:color w:val="333333"/>
                <w:sz w:val="18"/>
              </w:rPr>
              <w:t>F3</w:t>
            </w:r>
          </w:p>
        </w:tc>
        <w:tc>
          <w:tcPr>
            <w:tcW w:type="dxa" w:w="3360"/>
            <w:shd w:fill="F2F4F8" w:val="clear"/>
          </w:tcPr>
          <w:p>
            <w:r>
              <w:rPr>
                <w:rFonts w:ascii="Calibri" w:hAnsi="Calibri"/>
                <w:color w:val="333333"/>
                <w:sz w:val="18"/>
              </w:rPr>
              <w:t>ies_amplification</w:t>
            </w:r>
          </w:p>
        </w:tc>
        <w:tc>
          <w:tcPr>
            <w:tcW w:type="dxa" w:w="3360"/>
            <w:shd w:fill="F2F4F8" w:val="clear"/>
          </w:tcPr>
          <w:p>
            <w:r>
              <w:rPr>
                <w:rFonts w:ascii="Calibri" w:hAnsi="Calibri"/>
                <w:color w:val="333333"/>
                <w:sz w:val="18"/>
              </w:rPr>
              <w:t>0.85</w:t>
            </w:r>
          </w:p>
        </w:tc>
      </w:tr>
      <w:tr>
        <w:tc>
          <w:tcPr>
            <w:tcW w:type="dxa" w:w="3360"/>
          </w:tcPr>
          <w:p>
            <w:r>
              <w:rPr>
                <w:rFonts w:ascii="Calibri" w:hAnsi="Calibri"/>
                <w:color w:val="333333"/>
                <w:sz w:val="18"/>
              </w:rPr>
              <w:t>F4</w:t>
            </w:r>
          </w:p>
        </w:tc>
        <w:tc>
          <w:tcPr>
            <w:tcW w:type="dxa" w:w="3360"/>
          </w:tcPr>
          <w:p>
            <w:r>
              <w:rPr>
                <w:rFonts w:ascii="Calibri" w:hAnsi="Calibri"/>
                <w:color w:val="333333"/>
                <w:sz w:val="18"/>
              </w:rPr>
              <w:t>base</w:t>
            </w:r>
          </w:p>
        </w:tc>
        <w:tc>
          <w:tcPr>
            <w:tcW w:type="dxa" w:w="3360"/>
          </w:tcPr>
          <w:p>
            <w:r>
              <w:rPr>
                <w:rFonts w:ascii="Calibri" w:hAnsi="Calibri"/>
                <w:color w:val="333333"/>
                <w:sz w:val="18"/>
              </w:rPr>
              <w:t>2.50</w:t>
            </w:r>
          </w:p>
        </w:tc>
      </w:tr>
      <w:tr>
        <w:tc>
          <w:tcPr>
            <w:tcW w:type="dxa" w:w="3360"/>
            <w:shd w:fill="F2F4F8" w:val="clear"/>
          </w:tcPr>
          <w:p>
            <w:r>
              <w:rPr>
                <w:rFonts w:ascii="Calibri" w:hAnsi="Calibri"/>
                <w:color w:val="333333"/>
                <w:sz w:val="18"/>
              </w:rPr>
              <w:t>F4</w:t>
            </w:r>
          </w:p>
        </w:tc>
        <w:tc>
          <w:tcPr>
            <w:tcW w:type="dxa" w:w="3360"/>
            <w:shd w:fill="F2F4F8" w:val="clear"/>
          </w:tcPr>
          <w:p>
            <w:r>
              <w:rPr>
                <w:rFonts w:ascii="Calibri" w:hAnsi="Calibri"/>
                <w:color w:val="333333"/>
                <w:sz w:val="18"/>
              </w:rPr>
              <w:t>bonus</w:t>
            </w:r>
          </w:p>
        </w:tc>
        <w:tc>
          <w:tcPr>
            <w:tcW w:type="dxa" w:w="3360"/>
            <w:shd w:fill="F2F4F8" w:val="clear"/>
          </w:tcPr>
          <w:p>
            <w:r>
              <w:rPr>
                <w:rFonts w:ascii="Calibri" w:hAnsi="Calibri"/>
                <w:color w:val="333333"/>
                <w:sz w:val="18"/>
              </w:rPr>
              <w:t>0.00</w:t>
            </w:r>
          </w:p>
        </w:tc>
      </w:tr>
      <w:tr>
        <w:tc>
          <w:tcPr>
            <w:tcW w:type="dxa" w:w="3360"/>
          </w:tcPr>
          <w:p>
            <w:r>
              <w:rPr>
                <w:rFonts w:ascii="Calibri" w:hAnsi="Calibri"/>
                <w:color w:val="333333"/>
                <w:sz w:val="18"/>
              </w:rPr>
              <w:t>F4</w:t>
            </w:r>
          </w:p>
        </w:tc>
        <w:tc>
          <w:tcPr>
            <w:tcW w:type="dxa" w:w="3360"/>
          </w:tcPr>
          <w:p>
            <w:r>
              <w:rPr>
                <w:rFonts w:ascii="Calibri" w:hAnsi="Calibri"/>
                <w:color w:val="333333"/>
                <w:sz w:val="18"/>
              </w:rPr>
              <w:t>modifiers</w:t>
            </w:r>
          </w:p>
        </w:tc>
        <w:tc>
          <w:tcPr>
            <w:tcW w:type="dxa" w:w="3360"/>
          </w:tcPr>
          <w:p>
            <w:r>
              <w:rPr>
                <w:rFonts w:ascii="Calibri" w:hAnsi="Calibri"/>
                <w:color w:val="333333"/>
                <w:sz w:val="18"/>
              </w:rPr>
              <w:t>0.00</w:t>
            </w:r>
          </w:p>
        </w:tc>
      </w:tr>
      <w:tr>
        <w:tc>
          <w:tcPr>
            <w:tcW w:type="dxa" w:w="3360"/>
            <w:shd w:fill="F2F4F8" w:val="clear"/>
          </w:tcPr>
          <w:p>
            <w:r>
              <w:rPr>
                <w:rFonts w:ascii="Calibri" w:hAnsi="Calibri"/>
                <w:color w:val="333333"/>
                <w:sz w:val="18"/>
              </w:rPr>
              <w:t>F4</w:t>
            </w:r>
          </w:p>
        </w:tc>
        <w:tc>
          <w:tcPr>
            <w:tcW w:type="dxa" w:w="3360"/>
            <w:shd w:fill="F2F4F8" w:val="clear"/>
          </w:tcPr>
          <w:p>
            <w:r>
              <w:rPr>
                <w:rFonts w:ascii="Calibri" w:hAnsi="Calibri"/>
                <w:color w:val="333333"/>
                <w:sz w:val="18"/>
              </w:rPr>
              <w:t>hard_triggers</w:t>
            </w:r>
          </w:p>
        </w:tc>
        <w:tc>
          <w:tcPr>
            <w:tcW w:type="dxa" w:w="3360"/>
            <w:shd w:fill="F2F4F8" w:val="clear"/>
          </w:tcPr>
          <w:p>
            <w:r>
              <w:rPr>
                <w:rFonts w:ascii="Calibri" w:hAnsi="Calibri"/>
                <w:color w:val="333333"/>
                <w:sz w:val="18"/>
              </w:rPr>
              <w:t>0.00</w:t>
            </w:r>
          </w:p>
        </w:tc>
      </w:tr>
      <w:tr>
        <w:tc>
          <w:tcPr>
            <w:tcW w:type="dxa" w:w="3360"/>
          </w:tcPr>
          <w:p>
            <w:r>
              <w:rPr>
                <w:rFonts w:ascii="Calibri" w:hAnsi="Calibri"/>
                <w:color w:val="333333"/>
                <w:sz w:val="18"/>
              </w:rPr>
              <w:t>F4</w:t>
            </w:r>
          </w:p>
        </w:tc>
        <w:tc>
          <w:tcPr>
            <w:tcW w:type="dxa" w:w="3360"/>
          </w:tcPr>
          <w:p>
            <w:r>
              <w:rPr>
                <w:rFonts w:ascii="Calibri" w:hAnsi="Calibri"/>
                <w:color w:val="333333"/>
                <w:sz w:val="18"/>
              </w:rPr>
              <w:t>total_before_cap</w:t>
            </w:r>
          </w:p>
        </w:tc>
        <w:tc>
          <w:tcPr>
            <w:tcW w:type="dxa" w:w="3360"/>
          </w:tcPr>
          <w:p>
            <w:r>
              <w:rPr>
                <w:rFonts w:ascii="Calibri" w:hAnsi="Calibri"/>
                <w:color w:val="333333"/>
                <w:sz w:val="18"/>
              </w:rPr>
              <w:t>2.50</w:t>
            </w:r>
          </w:p>
        </w:tc>
      </w:tr>
      <w:tr>
        <w:tc>
          <w:tcPr>
            <w:tcW w:type="dxa" w:w="3360"/>
            <w:shd w:fill="F2F4F8" w:val="clear"/>
          </w:tcPr>
          <w:p>
            <w:r>
              <w:rPr>
                <w:rFonts w:ascii="Calibri" w:hAnsi="Calibri"/>
                <w:color w:val="333333"/>
                <w:sz w:val="18"/>
              </w:rPr>
              <w:t>F4</w:t>
            </w:r>
          </w:p>
        </w:tc>
        <w:tc>
          <w:tcPr>
            <w:tcW w:type="dxa" w:w="3360"/>
            <w:shd w:fill="F2F4F8" w:val="clear"/>
          </w:tcPr>
          <w:p>
            <w:r>
              <w:rPr>
                <w:rFonts w:ascii="Calibri" w:hAnsi="Calibri"/>
                <w:color w:val="333333"/>
                <w:sz w:val="18"/>
              </w:rPr>
              <w:t>capped</w:t>
            </w:r>
          </w:p>
        </w:tc>
        <w:tc>
          <w:tcPr>
            <w:tcW w:type="dxa" w:w="3360"/>
            <w:shd w:fill="F2F4F8" w:val="clear"/>
          </w:tcPr>
          <w:p>
            <w:r>
              <w:rPr>
                <w:rFonts w:ascii="Calibri" w:hAnsi="Calibri"/>
                <w:color w:val="333333"/>
                <w:sz w:val="18"/>
              </w:rPr>
              <w:t>2.50</w:t>
            </w:r>
          </w:p>
        </w:tc>
      </w:tr>
      <w:tr>
        <w:tc>
          <w:tcPr>
            <w:tcW w:type="dxa" w:w="3360"/>
          </w:tcPr>
          <w:p>
            <w:r>
              <w:rPr>
                <w:rFonts w:ascii="Calibri" w:hAnsi="Calibri"/>
                <w:color w:val="333333"/>
                <w:sz w:val="18"/>
              </w:rPr>
              <w:t>F5</w:t>
            </w:r>
          </w:p>
        </w:tc>
        <w:tc>
          <w:tcPr>
            <w:tcW w:type="dxa" w:w="3360"/>
          </w:tcPr>
          <w:p>
            <w:r>
              <w:rPr>
                <w:rFonts w:ascii="Calibri" w:hAnsi="Calibri"/>
                <w:color w:val="333333"/>
                <w:sz w:val="18"/>
              </w:rPr>
              <w:t>base</w:t>
            </w:r>
          </w:p>
        </w:tc>
        <w:tc>
          <w:tcPr>
            <w:tcW w:type="dxa" w:w="3360"/>
          </w:tcPr>
          <w:p>
            <w:r>
              <w:rPr>
                <w:rFonts w:ascii="Calibri" w:hAnsi="Calibri"/>
                <w:color w:val="333333"/>
                <w:sz w:val="18"/>
              </w:rPr>
              <w:t>0.45</w:t>
            </w:r>
          </w:p>
        </w:tc>
      </w:tr>
      <w:tr>
        <w:tc>
          <w:tcPr>
            <w:tcW w:type="dxa" w:w="3360"/>
            <w:shd w:fill="F2F4F8" w:val="clear"/>
          </w:tcPr>
          <w:p>
            <w:r>
              <w:rPr>
                <w:rFonts w:ascii="Calibri" w:hAnsi="Calibri"/>
                <w:color w:val="333333"/>
                <w:sz w:val="18"/>
              </w:rPr>
              <w:t>F5</w:t>
            </w:r>
          </w:p>
        </w:tc>
        <w:tc>
          <w:tcPr>
            <w:tcW w:type="dxa" w:w="3360"/>
            <w:shd w:fill="F2F4F8" w:val="clear"/>
          </w:tcPr>
          <w:p>
            <w:r>
              <w:rPr>
                <w:rFonts w:ascii="Calibri" w:hAnsi="Calibri"/>
                <w:color w:val="333333"/>
                <w:sz w:val="18"/>
              </w:rPr>
              <w:t>bonus</w:t>
            </w:r>
          </w:p>
        </w:tc>
        <w:tc>
          <w:tcPr>
            <w:tcW w:type="dxa" w:w="3360"/>
            <w:shd w:fill="F2F4F8" w:val="clear"/>
          </w:tcPr>
          <w:p>
            <w:r>
              <w:rPr>
                <w:rFonts w:ascii="Calibri" w:hAnsi="Calibri"/>
                <w:color w:val="333333"/>
                <w:sz w:val="18"/>
              </w:rPr>
              <w:t>0.00</w:t>
            </w:r>
          </w:p>
        </w:tc>
      </w:tr>
      <w:tr>
        <w:tc>
          <w:tcPr>
            <w:tcW w:type="dxa" w:w="3360"/>
          </w:tcPr>
          <w:p>
            <w:r>
              <w:rPr>
                <w:rFonts w:ascii="Calibri" w:hAnsi="Calibri"/>
                <w:color w:val="333333"/>
                <w:sz w:val="18"/>
              </w:rPr>
              <w:t>F5</w:t>
            </w:r>
          </w:p>
        </w:tc>
        <w:tc>
          <w:tcPr>
            <w:tcW w:type="dxa" w:w="3360"/>
          </w:tcPr>
          <w:p>
            <w:r>
              <w:rPr>
                <w:rFonts w:ascii="Calibri" w:hAnsi="Calibri"/>
                <w:color w:val="333333"/>
                <w:sz w:val="18"/>
              </w:rPr>
              <w:t>modifiers</w:t>
            </w:r>
          </w:p>
        </w:tc>
        <w:tc>
          <w:tcPr>
            <w:tcW w:type="dxa" w:w="3360"/>
          </w:tcPr>
          <w:p>
            <w:r>
              <w:rPr>
                <w:rFonts w:ascii="Calibri" w:hAnsi="Calibri"/>
                <w:color w:val="333333"/>
                <w:sz w:val="18"/>
              </w:rPr>
              <w:t>0.00</w:t>
            </w:r>
          </w:p>
        </w:tc>
      </w:tr>
      <w:tr>
        <w:tc>
          <w:tcPr>
            <w:tcW w:type="dxa" w:w="3360"/>
            <w:shd w:fill="F2F4F8" w:val="clear"/>
          </w:tcPr>
          <w:p>
            <w:r>
              <w:rPr>
                <w:rFonts w:ascii="Calibri" w:hAnsi="Calibri"/>
                <w:color w:val="333333"/>
                <w:sz w:val="18"/>
              </w:rPr>
              <w:t>F5</w:t>
            </w:r>
          </w:p>
        </w:tc>
        <w:tc>
          <w:tcPr>
            <w:tcW w:type="dxa" w:w="3360"/>
            <w:shd w:fill="F2F4F8" w:val="clear"/>
          </w:tcPr>
          <w:p>
            <w:r>
              <w:rPr>
                <w:rFonts w:ascii="Calibri" w:hAnsi="Calibri"/>
                <w:color w:val="333333"/>
                <w:sz w:val="18"/>
              </w:rPr>
              <w:t>hard_triggers</w:t>
            </w:r>
          </w:p>
        </w:tc>
        <w:tc>
          <w:tcPr>
            <w:tcW w:type="dxa" w:w="3360"/>
            <w:shd w:fill="F2F4F8" w:val="clear"/>
          </w:tcPr>
          <w:p>
            <w:r>
              <w:rPr>
                <w:rFonts w:ascii="Calibri" w:hAnsi="Calibri"/>
                <w:color w:val="333333"/>
                <w:sz w:val="18"/>
              </w:rPr>
              <w:t>0.00</w:t>
            </w:r>
          </w:p>
        </w:tc>
      </w:tr>
      <w:tr>
        <w:tc>
          <w:tcPr>
            <w:tcW w:type="dxa" w:w="3360"/>
          </w:tcPr>
          <w:p>
            <w:r>
              <w:rPr>
                <w:rFonts w:ascii="Calibri" w:hAnsi="Calibri"/>
                <w:color w:val="333333"/>
                <w:sz w:val="18"/>
              </w:rPr>
              <w:t>F5</w:t>
            </w:r>
          </w:p>
        </w:tc>
        <w:tc>
          <w:tcPr>
            <w:tcW w:type="dxa" w:w="3360"/>
          </w:tcPr>
          <w:p>
            <w:r>
              <w:rPr>
                <w:rFonts w:ascii="Calibri" w:hAnsi="Calibri"/>
                <w:color w:val="333333"/>
                <w:sz w:val="18"/>
              </w:rPr>
              <w:t>total_before_cap</w:t>
            </w:r>
          </w:p>
        </w:tc>
        <w:tc>
          <w:tcPr>
            <w:tcW w:type="dxa" w:w="3360"/>
          </w:tcPr>
          <w:p>
            <w:r>
              <w:rPr>
                <w:rFonts w:ascii="Calibri" w:hAnsi="Calibri"/>
                <w:color w:val="333333"/>
                <w:sz w:val="18"/>
              </w:rPr>
              <w:t>0.45</w:t>
            </w:r>
          </w:p>
        </w:tc>
      </w:tr>
      <w:tr>
        <w:tc>
          <w:tcPr>
            <w:tcW w:type="dxa" w:w="3360"/>
            <w:shd w:fill="F2F4F8" w:val="clear"/>
          </w:tcPr>
          <w:p>
            <w:r>
              <w:rPr>
                <w:rFonts w:ascii="Calibri" w:hAnsi="Calibri"/>
                <w:color w:val="333333"/>
                <w:sz w:val="18"/>
              </w:rPr>
              <w:t>F5</w:t>
            </w:r>
          </w:p>
        </w:tc>
        <w:tc>
          <w:tcPr>
            <w:tcW w:type="dxa" w:w="3360"/>
            <w:shd w:fill="F2F4F8" w:val="clear"/>
          </w:tcPr>
          <w:p>
            <w:r>
              <w:rPr>
                <w:rFonts w:ascii="Calibri" w:hAnsi="Calibri"/>
                <w:color w:val="333333"/>
                <w:sz w:val="18"/>
              </w:rPr>
              <w:t>capped</w:t>
            </w:r>
          </w:p>
        </w:tc>
        <w:tc>
          <w:tcPr>
            <w:tcW w:type="dxa" w:w="3360"/>
            <w:shd w:fill="F2F4F8" w:val="clear"/>
          </w:tcPr>
          <w:p>
            <w:r>
              <w:rPr>
                <w:rFonts w:ascii="Calibri" w:hAnsi="Calibri"/>
                <w:color w:val="333333"/>
                <w:sz w:val="18"/>
              </w:rPr>
              <w:t>0.45</w:t>
            </w:r>
          </w:p>
        </w:tc>
      </w:tr>
      <w:tr>
        <w:tc>
          <w:tcPr>
            <w:tcW w:type="dxa" w:w="3360"/>
          </w:tcPr>
          <w:p>
            <w:r>
              <w:rPr>
                <w:rFonts w:ascii="Calibri" w:hAnsi="Calibri"/>
                <w:color w:val="333333"/>
                <w:sz w:val="18"/>
              </w:rPr>
              <w:t>F5</w:t>
            </w:r>
          </w:p>
        </w:tc>
        <w:tc>
          <w:tcPr>
            <w:tcW w:type="dxa" w:w="3360"/>
          </w:tcPr>
          <w:p>
            <w:r>
              <w:rPr>
                <w:rFonts w:ascii="Calibri" w:hAnsi="Calibri"/>
                <w:color w:val="333333"/>
                <w:sz w:val="18"/>
              </w:rPr>
              <w:t>ies_amplification</w:t>
            </w:r>
          </w:p>
        </w:tc>
        <w:tc>
          <w:tcPr>
            <w:tcW w:type="dxa" w:w="3360"/>
          </w:tcPr>
          <w:p>
            <w:r>
              <w:rPr>
                <w:rFonts w:ascii="Calibri" w:hAnsi="Calibri"/>
                <w:color w:val="333333"/>
                <w:sz w:val="18"/>
              </w:rPr>
              <w:t>0.85</w:t>
            </w:r>
          </w:p>
        </w:tc>
      </w:tr>
      <w:tr>
        <w:tc>
          <w:tcPr>
            <w:tcW w:type="dxa" w:w="3360"/>
            <w:shd w:fill="F2F4F8" w:val="clear"/>
          </w:tcPr>
          <w:p>
            <w:r>
              <w:rPr>
                <w:rFonts w:ascii="Calibri" w:hAnsi="Calibri"/>
                <w:color w:val="333333"/>
                <w:sz w:val="18"/>
              </w:rPr>
              <w:t>F6</w:t>
            </w:r>
          </w:p>
        </w:tc>
        <w:tc>
          <w:tcPr>
            <w:tcW w:type="dxa" w:w="3360"/>
            <w:shd w:fill="F2F4F8" w:val="clear"/>
          </w:tcPr>
          <w:p>
            <w:r>
              <w:rPr>
                <w:rFonts w:ascii="Calibri" w:hAnsi="Calibri"/>
                <w:color w:val="333333"/>
                <w:sz w:val="18"/>
              </w:rPr>
              <w:t>base</w:t>
            </w:r>
          </w:p>
        </w:tc>
        <w:tc>
          <w:tcPr>
            <w:tcW w:type="dxa" w:w="3360"/>
            <w:shd w:fill="F2F4F8" w:val="clear"/>
          </w:tcPr>
          <w:p>
            <w:r>
              <w:rPr>
                <w:rFonts w:ascii="Calibri" w:hAnsi="Calibri"/>
                <w:color w:val="333333"/>
                <w:sz w:val="18"/>
              </w:rPr>
              <w:t>1.50</w:t>
            </w:r>
          </w:p>
        </w:tc>
      </w:tr>
      <w:tr>
        <w:tc>
          <w:tcPr>
            <w:tcW w:type="dxa" w:w="3360"/>
          </w:tcPr>
          <w:p>
            <w:r>
              <w:rPr>
                <w:rFonts w:ascii="Calibri" w:hAnsi="Calibri"/>
                <w:color w:val="333333"/>
                <w:sz w:val="18"/>
              </w:rPr>
              <w:t>F6</w:t>
            </w:r>
          </w:p>
        </w:tc>
        <w:tc>
          <w:tcPr>
            <w:tcW w:type="dxa" w:w="3360"/>
          </w:tcPr>
          <w:p>
            <w:r>
              <w:rPr>
                <w:rFonts w:ascii="Calibri" w:hAnsi="Calibri"/>
                <w:color w:val="333333"/>
                <w:sz w:val="18"/>
              </w:rPr>
              <w:t>bonus</w:t>
            </w:r>
          </w:p>
        </w:tc>
        <w:tc>
          <w:tcPr>
            <w:tcW w:type="dxa" w:w="3360"/>
          </w:tcPr>
          <w:p>
            <w:r>
              <w:rPr>
                <w:rFonts w:ascii="Calibri" w:hAnsi="Calibri"/>
                <w:color w:val="333333"/>
                <w:sz w:val="18"/>
              </w:rPr>
              <w:t>0.00</w:t>
            </w:r>
          </w:p>
        </w:tc>
      </w:tr>
      <w:tr>
        <w:tc>
          <w:tcPr>
            <w:tcW w:type="dxa" w:w="3360"/>
            <w:shd w:fill="F2F4F8" w:val="clear"/>
          </w:tcPr>
          <w:p>
            <w:r>
              <w:rPr>
                <w:rFonts w:ascii="Calibri" w:hAnsi="Calibri"/>
                <w:color w:val="333333"/>
                <w:sz w:val="18"/>
              </w:rPr>
              <w:t>F6</w:t>
            </w:r>
          </w:p>
        </w:tc>
        <w:tc>
          <w:tcPr>
            <w:tcW w:type="dxa" w:w="3360"/>
            <w:shd w:fill="F2F4F8" w:val="clear"/>
          </w:tcPr>
          <w:p>
            <w:r>
              <w:rPr>
                <w:rFonts w:ascii="Calibri" w:hAnsi="Calibri"/>
                <w:color w:val="333333"/>
                <w:sz w:val="18"/>
              </w:rPr>
              <w:t>modifiers</w:t>
            </w:r>
          </w:p>
        </w:tc>
        <w:tc>
          <w:tcPr>
            <w:tcW w:type="dxa" w:w="3360"/>
            <w:shd w:fill="F2F4F8" w:val="clear"/>
          </w:tcPr>
          <w:p>
            <w:r>
              <w:rPr>
                <w:rFonts w:ascii="Calibri" w:hAnsi="Calibri"/>
                <w:color w:val="333333"/>
                <w:sz w:val="18"/>
              </w:rPr>
              <w:t>0.00</w:t>
            </w:r>
          </w:p>
        </w:tc>
      </w:tr>
      <w:tr>
        <w:tc>
          <w:tcPr>
            <w:tcW w:type="dxa" w:w="3360"/>
          </w:tcPr>
          <w:p>
            <w:r>
              <w:rPr>
                <w:rFonts w:ascii="Calibri" w:hAnsi="Calibri"/>
                <w:color w:val="333333"/>
                <w:sz w:val="18"/>
              </w:rPr>
              <w:t>F6</w:t>
            </w:r>
          </w:p>
        </w:tc>
        <w:tc>
          <w:tcPr>
            <w:tcW w:type="dxa" w:w="3360"/>
          </w:tcPr>
          <w:p>
            <w:r>
              <w:rPr>
                <w:rFonts w:ascii="Calibri" w:hAnsi="Calibri"/>
                <w:color w:val="333333"/>
                <w:sz w:val="18"/>
              </w:rPr>
              <w:t>hard_triggers</w:t>
            </w:r>
          </w:p>
        </w:tc>
        <w:tc>
          <w:tcPr>
            <w:tcW w:type="dxa" w:w="3360"/>
          </w:tcPr>
          <w:p>
            <w:r>
              <w:rPr>
                <w:rFonts w:ascii="Calibri" w:hAnsi="Calibri"/>
                <w:color w:val="333333"/>
                <w:sz w:val="18"/>
              </w:rPr>
              <w:t>0.00</w:t>
            </w:r>
          </w:p>
        </w:tc>
      </w:tr>
      <w:tr>
        <w:tc>
          <w:tcPr>
            <w:tcW w:type="dxa" w:w="3360"/>
            <w:shd w:fill="F2F4F8" w:val="clear"/>
          </w:tcPr>
          <w:p>
            <w:r>
              <w:rPr>
                <w:rFonts w:ascii="Calibri" w:hAnsi="Calibri"/>
                <w:color w:val="333333"/>
                <w:sz w:val="18"/>
              </w:rPr>
              <w:t>F6</w:t>
            </w:r>
          </w:p>
        </w:tc>
        <w:tc>
          <w:tcPr>
            <w:tcW w:type="dxa" w:w="3360"/>
            <w:shd w:fill="F2F4F8" w:val="clear"/>
          </w:tcPr>
          <w:p>
            <w:r>
              <w:rPr>
                <w:rFonts w:ascii="Calibri" w:hAnsi="Calibri"/>
                <w:color w:val="333333"/>
                <w:sz w:val="18"/>
              </w:rPr>
              <w:t>total_before_cap</w:t>
            </w:r>
          </w:p>
        </w:tc>
        <w:tc>
          <w:tcPr>
            <w:tcW w:type="dxa" w:w="3360"/>
            <w:shd w:fill="F2F4F8" w:val="clear"/>
          </w:tcPr>
          <w:p>
            <w:r>
              <w:rPr>
                <w:rFonts w:ascii="Calibri" w:hAnsi="Calibri"/>
                <w:color w:val="333333"/>
                <w:sz w:val="18"/>
              </w:rPr>
              <w:t>1.50</w:t>
            </w:r>
          </w:p>
        </w:tc>
      </w:tr>
      <w:tr>
        <w:tc>
          <w:tcPr>
            <w:tcW w:type="dxa" w:w="3360"/>
          </w:tcPr>
          <w:p>
            <w:r>
              <w:rPr>
                <w:rFonts w:ascii="Calibri" w:hAnsi="Calibri"/>
                <w:color w:val="333333"/>
                <w:sz w:val="18"/>
              </w:rPr>
              <w:t>F6</w:t>
            </w:r>
          </w:p>
        </w:tc>
        <w:tc>
          <w:tcPr>
            <w:tcW w:type="dxa" w:w="3360"/>
          </w:tcPr>
          <w:p>
            <w:r>
              <w:rPr>
                <w:rFonts w:ascii="Calibri" w:hAnsi="Calibri"/>
                <w:color w:val="333333"/>
                <w:sz w:val="18"/>
              </w:rPr>
              <w:t>capped</w:t>
            </w:r>
          </w:p>
        </w:tc>
        <w:tc>
          <w:tcPr>
            <w:tcW w:type="dxa" w:w="3360"/>
          </w:tcPr>
          <w:p>
            <w:r>
              <w:rPr>
                <w:rFonts w:ascii="Calibri" w:hAnsi="Calibri"/>
                <w:color w:val="333333"/>
                <w:sz w:val="18"/>
              </w:rPr>
              <w:t>1.50</w:t>
            </w:r>
          </w:p>
        </w:tc>
      </w:tr>
      <w:tr>
        <w:tc>
          <w:tcPr>
            <w:tcW w:type="dxa" w:w="3360"/>
            <w:shd w:fill="F2F4F8" w:val="clear"/>
          </w:tcPr>
          <w:p>
            <w:r>
              <w:rPr>
                <w:rFonts w:ascii="Calibri" w:hAnsi="Calibri"/>
                <w:color w:val="333333"/>
                <w:sz w:val="18"/>
              </w:rPr>
              <w:t>F6</w:t>
            </w:r>
          </w:p>
        </w:tc>
        <w:tc>
          <w:tcPr>
            <w:tcW w:type="dxa" w:w="3360"/>
            <w:shd w:fill="F2F4F8" w:val="clear"/>
          </w:tcPr>
          <w:p>
            <w:r>
              <w:rPr>
                <w:rFonts w:ascii="Calibri" w:hAnsi="Calibri"/>
                <w:color w:val="333333"/>
                <w:sz w:val="18"/>
              </w:rPr>
              <w:t>ies_amplification</w:t>
            </w:r>
          </w:p>
        </w:tc>
        <w:tc>
          <w:tcPr>
            <w:tcW w:type="dxa" w:w="3360"/>
            <w:shd w:fill="F2F4F8" w:val="clear"/>
          </w:tcPr>
          <w:p>
            <w:r>
              <w:rPr>
                <w:rFonts w:ascii="Calibri" w:hAnsi="Calibri"/>
                <w:color w:val="333333"/>
                <w:sz w:val="18"/>
              </w:rPr>
              <w:t>0.85</w:t>
            </w:r>
          </w:p>
        </w:tc>
      </w:tr>
      <w:tr>
        <w:tc>
          <w:tcPr>
            <w:tcW w:type="dxa" w:w="3360"/>
          </w:tcPr>
          <w:p>
            <w:r>
              <w:rPr>
                <w:rFonts w:ascii="Calibri" w:hAnsi="Calibri"/>
                <w:color w:val="333333"/>
                <w:sz w:val="18"/>
              </w:rPr>
              <w:t>F7</w:t>
            </w:r>
          </w:p>
        </w:tc>
        <w:tc>
          <w:tcPr>
            <w:tcW w:type="dxa" w:w="3360"/>
          </w:tcPr>
          <w:p>
            <w:r>
              <w:rPr>
                <w:rFonts w:ascii="Calibri" w:hAnsi="Calibri"/>
                <w:color w:val="333333"/>
                <w:sz w:val="18"/>
              </w:rPr>
              <w:t>base</w:t>
            </w:r>
          </w:p>
        </w:tc>
        <w:tc>
          <w:tcPr>
            <w:tcW w:type="dxa" w:w="3360"/>
          </w:tcPr>
          <w:p>
            <w:r>
              <w:rPr>
                <w:rFonts w:ascii="Calibri" w:hAnsi="Calibri"/>
                <w:color w:val="333333"/>
                <w:sz w:val="18"/>
              </w:rPr>
              <w:t>0.17</w:t>
            </w:r>
          </w:p>
        </w:tc>
      </w:tr>
      <w:tr>
        <w:tc>
          <w:tcPr>
            <w:tcW w:type="dxa" w:w="3360"/>
            <w:shd w:fill="F2F4F8" w:val="clear"/>
          </w:tcPr>
          <w:p>
            <w:r>
              <w:rPr>
                <w:rFonts w:ascii="Calibri" w:hAnsi="Calibri"/>
                <w:color w:val="333333"/>
                <w:sz w:val="18"/>
              </w:rPr>
              <w:t>F7</w:t>
            </w:r>
          </w:p>
        </w:tc>
        <w:tc>
          <w:tcPr>
            <w:tcW w:type="dxa" w:w="3360"/>
            <w:shd w:fill="F2F4F8" w:val="clear"/>
          </w:tcPr>
          <w:p>
            <w:r>
              <w:rPr>
                <w:rFonts w:ascii="Calibri" w:hAnsi="Calibri"/>
                <w:color w:val="333333"/>
                <w:sz w:val="18"/>
              </w:rPr>
              <w:t>bonus</w:t>
            </w:r>
          </w:p>
        </w:tc>
        <w:tc>
          <w:tcPr>
            <w:tcW w:type="dxa" w:w="3360"/>
            <w:shd w:fill="F2F4F8" w:val="clear"/>
          </w:tcPr>
          <w:p>
            <w:r>
              <w:rPr>
                <w:rFonts w:ascii="Calibri" w:hAnsi="Calibri"/>
                <w:color w:val="333333"/>
                <w:sz w:val="18"/>
              </w:rPr>
              <w:t>0.00</w:t>
            </w:r>
          </w:p>
        </w:tc>
      </w:tr>
      <w:tr>
        <w:tc>
          <w:tcPr>
            <w:tcW w:type="dxa" w:w="3360"/>
          </w:tcPr>
          <w:p>
            <w:r>
              <w:rPr>
                <w:rFonts w:ascii="Calibri" w:hAnsi="Calibri"/>
                <w:color w:val="333333"/>
                <w:sz w:val="18"/>
              </w:rPr>
              <w:t>F7</w:t>
            </w:r>
          </w:p>
        </w:tc>
        <w:tc>
          <w:tcPr>
            <w:tcW w:type="dxa" w:w="3360"/>
          </w:tcPr>
          <w:p>
            <w:r>
              <w:rPr>
                <w:rFonts w:ascii="Calibri" w:hAnsi="Calibri"/>
                <w:color w:val="333333"/>
                <w:sz w:val="18"/>
              </w:rPr>
              <w:t>modifiers</w:t>
            </w:r>
          </w:p>
        </w:tc>
        <w:tc>
          <w:tcPr>
            <w:tcW w:type="dxa" w:w="3360"/>
          </w:tcPr>
          <w:p>
            <w:r>
              <w:rPr>
                <w:rFonts w:ascii="Calibri" w:hAnsi="Calibri"/>
                <w:color w:val="333333"/>
                <w:sz w:val="18"/>
              </w:rPr>
              <w:t>0.00</w:t>
            </w:r>
          </w:p>
        </w:tc>
      </w:tr>
      <w:tr>
        <w:tc>
          <w:tcPr>
            <w:tcW w:type="dxa" w:w="3360"/>
            <w:shd w:fill="F2F4F8" w:val="clear"/>
          </w:tcPr>
          <w:p>
            <w:r>
              <w:rPr>
                <w:rFonts w:ascii="Calibri" w:hAnsi="Calibri"/>
                <w:color w:val="333333"/>
                <w:sz w:val="18"/>
              </w:rPr>
              <w:t>F7</w:t>
            </w:r>
          </w:p>
        </w:tc>
        <w:tc>
          <w:tcPr>
            <w:tcW w:type="dxa" w:w="3360"/>
            <w:shd w:fill="F2F4F8" w:val="clear"/>
          </w:tcPr>
          <w:p>
            <w:r>
              <w:rPr>
                <w:rFonts w:ascii="Calibri" w:hAnsi="Calibri"/>
                <w:color w:val="333333"/>
                <w:sz w:val="18"/>
              </w:rPr>
              <w:t>hard_triggers</w:t>
            </w:r>
          </w:p>
        </w:tc>
        <w:tc>
          <w:tcPr>
            <w:tcW w:type="dxa" w:w="3360"/>
            <w:shd w:fill="F2F4F8" w:val="clear"/>
          </w:tcPr>
          <w:p>
            <w:r>
              <w:rPr>
                <w:rFonts w:ascii="Calibri" w:hAnsi="Calibri"/>
                <w:color w:val="333333"/>
                <w:sz w:val="18"/>
              </w:rPr>
              <w:t>0.00</w:t>
            </w:r>
          </w:p>
        </w:tc>
      </w:tr>
      <w:tr>
        <w:tc>
          <w:tcPr>
            <w:tcW w:type="dxa" w:w="3360"/>
          </w:tcPr>
          <w:p>
            <w:r>
              <w:rPr>
                <w:rFonts w:ascii="Calibri" w:hAnsi="Calibri"/>
                <w:color w:val="333333"/>
                <w:sz w:val="18"/>
              </w:rPr>
              <w:t>F7</w:t>
            </w:r>
          </w:p>
        </w:tc>
        <w:tc>
          <w:tcPr>
            <w:tcW w:type="dxa" w:w="3360"/>
          </w:tcPr>
          <w:p>
            <w:r>
              <w:rPr>
                <w:rFonts w:ascii="Calibri" w:hAnsi="Calibri"/>
                <w:color w:val="333333"/>
                <w:sz w:val="18"/>
              </w:rPr>
              <w:t>total_before_cap</w:t>
            </w:r>
          </w:p>
        </w:tc>
        <w:tc>
          <w:tcPr>
            <w:tcW w:type="dxa" w:w="3360"/>
          </w:tcPr>
          <w:p>
            <w:r>
              <w:rPr>
                <w:rFonts w:ascii="Calibri" w:hAnsi="Calibri"/>
                <w:color w:val="333333"/>
                <w:sz w:val="18"/>
              </w:rPr>
              <w:t>0.17</w:t>
            </w:r>
          </w:p>
        </w:tc>
      </w:tr>
      <w:tr>
        <w:tc>
          <w:tcPr>
            <w:tcW w:type="dxa" w:w="3360"/>
            <w:shd w:fill="F2F4F8" w:val="clear"/>
          </w:tcPr>
          <w:p>
            <w:r>
              <w:rPr>
                <w:rFonts w:ascii="Calibri" w:hAnsi="Calibri"/>
                <w:color w:val="333333"/>
                <w:sz w:val="18"/>
              </w:rPr>
              <w:t>F7</w:t>
            </w:r>
          </w:p>
        </w:tc>
        <w:tc>
          <w:tcPr>
            <w:tcW w:type="dxa" w:w="3360"/>
            <w:shd w:fill="F2F4F8" w:val="clear"/>
          </w:tcPr>
          <w:p>
            <w:r>
              <w:rPr>
                <w:rFonts w:ascii="Calibri" w:hAnsi="Calibri"/>
                <w:color w:val="333333"/>
                <w:sz w:val="18"/>
              </w:rPr>
              <w:t>capped</w:t>
            </w:r>
          </w:p>
        </w:tc>
        <w:tc>
          <w:tcPr>
            <w:tcW w:type="dxa" w:w="3360"/>
            <w:shd w:fill="F2F4F8" w:val="clear"/>
          </w:tcPr>
          <w:p>
            <w:r>
              <w:rPr>
                <w:rFonts w:ascii="Calibri" w:hAnsi="Calibri"/>
                <w:color w:val="333333"/>
                <w:sz w:val="18"/>
              </w:rPr>
              <w:t>0.17</w:t>
            </w:r>
          </w:p>
        </w:tc>
      </w:tr>
      <w:tr>
        <w:tc>
          <w:tcPr>
            <w:tcW w:type="dxa" w:w="3360"/>
          </w:tcPr>
          <w:p>
            <w:r>
              <w:rPr>
                <w:rFonts w:ascii="Calibri" w:hAnsi="Calibri"/>
                <w:color w:val="333333"/>
                <w:sz w:val="18"/>
              </w:rPr>
              <w:t>F7</w:t>
            </w:r>
          </w:p>
        </w:tc>
        <w:tc>
          <w:tcPr>
            <w:tcW w:type="dxa" w:w="3360"/>
          </w:tcPr>
          <w:p>
            <w:r>
              <w:rPr>
                <w:rFonts w:ascii="Calibri" w:hAnsi="Calibri"/>
                <w:color w:val="333333"/>
                <w:sz w:val="18"/>
              </w:rPr>
              <w:t>ies_amplification</w:t>
            </w:r>
          </w:p>
        </w:tc>
        <w:tc>
          <w:tcPr>
            <w:tcW w:type="dxa" w:w="3360"/>
          </w:tcPr>
          <w:p>
            <w:r>
              <w:rPr>
                <w:rFonts w:ascii="Calibri" w:hAnsi="Calibri"/>
                <w:color w:val="333333"/>
                <w:sz w:val="18"/>
              </w:rPr>
              <w:t>0.85</w:t>
            </w:r>
          </w:p>
        </w:tc>
      </w:tr>
      <w:tr>
        <w:tc>
          <w:tcPr>
            <w:tcW w:type="dxa" w:w="3360"/>
            <w:shd w:fill="F2F4F8" w:val="clear"/>
          </w:tcPr>
          <w:p>
            <w:r>
              <w:rPr>
                <w:rFonts w:ascii="Calibri" w:hAnsi="Calibri"/>
                <w:color w:val="333333"/>
                <w:sz w:val="18"/>
              </w:rPr>
              <w:t>F9</w:t>
            </w:r>
          </w:p>
        </w:tc>
        <w:tc>
          <w:tcPr>
            <w:tcW w:type="dxa" w:w="3360"/>
            <w:shd w:fill="F2F4F8" w:val="clear"/>
          </w:tcPr>
          <w:p>
            <w:r>
              <w:rPr>
                <w:rFonts w:ascii="Calibri" w:hAnsi="Calibri"/>
                <w:color w:val="333333"/>
                <w:sz w:val="18"/>
              </w:rPr>
              <w:t>base</w:t>
            </w:r>
          </w:p>
        </w:tc>
        <w:tc>
          <w:tcPr>
            <w:tcW w:type="dxa" w:w="3360"/>
            <w:shd w:fill="F2F4F8" w:val="clear"/>
          </w:tcPr>
          <w:p>
            <w:r>
              <w:rPr>
                <w:rFonts w:ascii="Calibri" w:hAnsi="Calibri"/>
                <w:color w:val="333333"/>
                <w:sz w:val="18"/>
              </w:rPr>
              <w:t>0.85</w:t>
            </w:r>
          </w:p>
        </w:tc>
      </w:tr>
      <w:tr>
        <w:tc>
          <w:tcPr>
            <w:tcW w:type="dxa" w:w="3360"/>
          </w:tcPr>
          <w:p>
            <w:r>
              <w:rPr>
                <w:rFonts w:ascii="Calibri" w:hAnsi="Calibri"/>
                <w:color w:val="333333"/>
                <w:sz w:val="18"/>
              </w:rPr>
              <w:t>F9</w:t>
            </w:r>
          </w:p>
        </w:tc>
        <w:tc>
          <w:tcPr>
            <w:tcW w:type="dxa" w:w="3360"/>
          </w:tcPr>
          <w:p>
            <w:r>
              <w:rPr>
                <w:rFonts w:ascii="Calibri" w:hAnsi="Calibri"/>
                <w:color w:val="333333"/>
                <w:sz w:val="18"/>
              </w:rPr>
              <w:t>bonus</w:t>
            </w:r>
          </w:p>
        </w:tc>
        <w:tc>
          <w:tcPr>
            <w:tcW w:type="dxa" w:w="3360"/>
          </w:tcPr>
          <w:p>
            <w:r>
              <w:rPr>
                <w:rFonts w:ascii="Calibri" w:hAnsi="Calibri"/>
                <w:color w:val="333333"/>
                <w:sz w:val="18"/>
              </w:rPr>
              <w:t>0.00</w:t>
            </w:r>
          </w:p>
        </w:tc>
      </w:tr>
      <w:tr>
        <w:tc>
          <w:tcPr>
            <w:tcW w:type="dxa" w:w="3360"/>
            <w:shd w:fill="F2F4F8" w:val="clear"/>
          </w:tcPr>
          <w:p>
            <w:r>
              <w:rPr>
                <w:rFonts w:ascii="Calibri" w:hAnsi="Calibri"/>
                <w:color w:val="333333"/>
                <w:sz w:val="18"/>
              </w:rPr>
              <w:t>F9</w:t>
            </w:r>
          </w:p>
        </w:tc>
        <w:tc>
          <w:tcPr>
            <w:tcW w:type="dxa" w:w="3360"/>
            <w:shd w:fill="F2F4F8" w:val="clear"/>
          </w:tcPr>
          <w:p>
            <w:r>
              <w:rPr>
                <w:rFonts w:ascii="Calibri" w:hAnsi="Calibri"/>
                <w:color w:val="333333"/>
                <w:sz w:val="18"/>
              </w:rPr>
              <w:t>modifiers</w:t>
            </w:r>
          </w:p>
        </w:tc>
        <w:tc>
          <w:tcPr>
            <w:tcW w:type="dxa" w:w="3360"/>
            <w:shd w:fill="F2F4F8" w:val="clear"/>
          </w:tcPr>
          <w:p>
            <w:r>
              <w:rPr>
                <w:rFonts w:ascii="Calibri" w:hAnsi="Calibri"/>
                <w:color w:val="333333"/>
                <w:sz w:val="18"/>
              </w:rPr>
              <w:t>0.00</w:t>
            </w:r>
          </w:p>
        </w:tc>
      </w:tr>
      <w:tr>
        <w:tc>
          <w:tcPr>
            <w:tcW w:type="dxa" w:w="3360"/>
          </w:tcPr>
          <w:p>
            <w:r>
              <w:rPr>
                <w:rFonts w:ascii="Calibri" w:hAnsi="Calibri"/>
                <w:color w:val="333333"/>
                <w:sz w:val="18"/>
              </w:rPr>
              <w:t>F9</w:t>
            </w:r>
          </w:p>
        </w:tc>
        <w:tc>
          <w:tcPr>
            <w:tcW w:type="dxa" w:w="3360"/>
          </w:tcPr>
          <w:p>
            <w:r>
              <w:rPr>
                <w:rFonts w:ascii="Calibri" w:hAnsi="Calibri"/>
                <w:color w:val="333333"/>
                <w:sz w:val="18"/>
              </w:rPr>
              <w:t>hard_triggers</w:t>
            </w:r>
          </w:p>
        </w:tc>
        <w:tc>
          <w:tcPr>
            <w:tcW w:type="dxa" w:w="3360"/>
          </w:tcPr>
          <w:p>
            <w:r>
              <w:rPr>
                <w:rFonts w:ascii="Calibri" w:hAnsi="Calibri"/>
                <w:color w:val="333333"/>
                <w:sz w:val="18"/>
              </w:rPr>
              <w:t>0.00</w:t>
            </w:r>
          </w:p>
        </w:tc>
      </w:tr>
      <w:tr>
        <w:tc>
          <w:tcPr>
            <w:tcW w:type="dxa" w:w="3360"/>
            <w:shd w:fill="F2F4F8" w:val="clear"/>
          </w:tcPr>
          <w:p>
            <w:r>
              <w:rPr>
                <w:rFonts w:ascii="Calibri" w:hAnsi="Calibri"/>
                <w:color w:val="333333"/>
                <w:sz w:val="18"/>
              </w:rPr>
              <w:t>F9</w:t>
            </w:r>
          </w:p>
        </w:tc>
        <w:tc>
          <w:tcPr>
            <w:tcW w:type="dxa" w:w="3360"/>
            <w:shd w:fill="F2F4F8" w:val="clear"/>
          </w:tcPr>
          <w:p>
            <w:r>
              <w:rPr>
                <w:rFonts w:ascii="Calibri" w:hAnsi="Calibri"/>
                <w:color w:val="333333"/>
                <w:sz w:val="18"/>
              </w:rPr>
              <w:t>total_before_cap</w:t>
            </w:r>
          </w:p>
        </w:tc>
        <w:tc>
          <w:tcPr>
            <w:tcW w:type="dxa" w:w="3360"/>
            <w:shd w:fill="F2F4F8" w:val="clear"/>
          </w:tcPr>
          <w:p>
            <w:r>
              <w:rPr>
                <w:rFonts w:ascii="Calibri" w:hAnsi="Calibri"/>
                <w:color w:val="333333"/>
                <w:sz w:val="18"/>
              </w:rPr>
              <w:t>0.85</w:t>
            </w:r>
          </w:p>
        </w:tc>
      </w:tr>
      <w:tr>
        <w:tc>
          <w:tcPr>
            <w:tcW w:type="dxa" w:w="3360"/>
          </w:tcPr>
          <w:p>
            <w:r>
              <w:rPr>
                <w:rFonts w:ascii="Calibri" w:hAnsi="Calibri"/>
                <w:color w:val="333333"/>
                <w:sz w:val="18"/>
              </w:rPr>
              <w:t>F9</w:t>
            </w:r>
          </w:p>
        </w:tc>
        <w:tc>
          <w:tcPr>
            <w:tcW w:type="dxa" w:w="3360"/>
          </w:tcPr>
          <w:p>
            <w:r>
              <w:rPr>
                <w:rFonts w:ascii="Calibri" w:hAnsi="Calibri"/>
                <w:color w:val="333333"/>
                <w:sz w:val="18"/>
              </w:rPr>
              <w:t>capped</w:t>
            </w:r>
          </w:p>
        </w:tc>
        <w:tc>
          <w:tcPr>
            <w:tcW w:type="dxa" w:w="3360"/>
          </w:tcPr>
          <w:p>
            <w:r>
              <w:rPr>
                <w:rFonts w:ascii="Calibri" w:hAnsi="Calibri"/>
                <w:color w:val="333333"/>
                <w:sz w:val="18"/>
              </w:rPr>
              <w:t>0.85</w:t>
            </w:r>
          </w:p>
        </w:tc>
      </w:tr>
      <w:tr>
        <w:tc>
          <w:tcPr>
            <w:tcW w:type="dxa" w:w="3360"/>
            <w:shd w:fill="F2F4F8" w:val="clear"/>
          </w:tcPr>
          <w:p>
            <w:r>
              <w:rPr>
                <w:rFonts w:ascii="Calibri" w:hAnsi="Calibri"/>
                <w:color w:val="333333"/>
                <w:sz w:val="18"/>
              </w:rPr>
              <w:t>F9</w:t>
            </w:r>
          </w:p>
        </w:tc>
        <w:tc>
          <w:tcPr>
            <w:tcW w:type="dxa" w:w="3360"/>
            <w:shd w:fill="F2F4F8" w:val="clear"/>
          </w:tcPr>
          <w:p>
            <w:r>
              <w:rPr>
                <w:rFonts w:ascii="Calibri" w:hAnsi="Calibri"/>
                <w:color w:val="333333"/>
                <w:sz w:val="18"/>
              </w:rPr>
              <w:t>ies_amplification</w:t>
            </w:r>
          </w:p>
        </w:tc>
        <w:tc>
          <w:tcPr>
            <w:tcW w:type="dxa" w:w="3360"/>
            <w:shd w:fill="F2F4F8" w:val="clear"/>
          </w:tcPr>
          <w:p>
            <w:r>
              <w:rPr>
                <w:rFonts w:ascii="Calibri" w:hAnsi="Calibri"/>
                <w:color w:val="333333"/>
                <w:sz w:val="18"/>
              </w:rPr>
              <w:t>0.85</w:t>
            </w:r>
          </w:p>
        </w:tc>
      </w:tr>
      <w:tr>
        <w:tc>
          <w:tcPr>
            <w:tcW w:type="dxa" w:w="3360"/>
          </w:tcPr>
          <w:p>
            <w:r>
              <w:rPr>
                <w:rFonts w:ascii="Calibri" w:hAnsi="Calibri"/>
                <w:color w:val="333333"/>
                <w:sz w:val="18"/>
              </w:rPr>
              <w:t>F10</w:t>
            </w:r>
          </w:p>
        </w:tc>
        <w:tc>
          <w:tcPr>
            <w:tcW w:type="dxa" w:w="3360"/>
          </w:tcPr>
          <w:p>
            <w:r>
              <w:rPr>
                <w:rFonts w:ascii="Calibri" w:hAnsi="Calibri"/>
                <w:color w:val="333333"/>
                <w:sz w:val="18"/>
              </w:rPr>
              <w:t>base</w:t>
            </w:r>
          </w:p>
        </w:tc>
        <w:tc>
          <w:tcPr>
            <w:tcW w:type="dxa" w:w="3360"/>
          </w:tcPr>
          <w:p>
            <w:r>
              <w:rPr>
                <w:rFonts w:ascii="Calibri" w:hAnsi="Calibri"/>
                <w:color w:val="333333"/>
                <w:sz w:val="18"/>
              </w:rPr>
              <w:t>0.12</w:t>
            </w:r>
          </w:p>
        </w:tc>
      </w:tr>
      <w:tr>
        <w:tc>
          <w:tcPr>
            <w:tcW w:type="dxa" w:w="3360"/>
            <w:shd w:fill="F2F4F8" w:val="clear"/>
          </w:tcPr>
          <w:p>
            <w:r>
              <w:rPr>
                <w:rFonts w:ascii="Calibri" w:hAnsi="Calibri"/>
                <w:color w:val="333333"/>
                <w:sz w:val="18"/>
              </w:rPr>
              <w:t>F10</w:t>
            </w:r>
          </w:p>
        </w:tc>
        <w:tc>
          <w:tcPr>
            <w:tcW w:type="dxa" w:w="3360"/>
            <w:shd w:fill="F2F4F8" w:val="clear"/>
          </w:tcPr>
          <w:p>
            <w:r>
              <w:rPr>
                <w:rFonts w:ascii="Calibri" w:hAnsi="Calibri"/>
                <w:color w:val="333333"/>
                <w:sz w:val="18"/>
              </w:rPr>
              <w:t>bonus</w:t>
            </w:r>
          </w:p>
        </w:tc>
        <w:tc>
          <w:tcPr>
            <w:tcW w:type="dxa" w:w="3360"/>
            <w:shd w:fill="F2F4F8" w:val="clear"/>
          </w:tcPr>
          <w:p>
            <w:r>
              <w:rPr>
                <w:rFonts w:ascii="Calibri" w:hAnsi="Calibri"/>
                <w:color w:val="333333"/>
                <w:sz w:val="18"/>
              </w:rPr>
              <w:t>0.00</w:t>
            </w:r>
          </w:p>
        </w:tc>
      </w:tr>
      <w:tr>
        <w:tc>
          <w:tcPr>
            <w:tcW w:type="dxa" w:w="3360"/>
          </w:tcPr>
          <w:p>
            <w:r>
              <w:rPr>
                <w:rFonts w:ascii="Calibri" w:hAnsi="Calibri"/>
                <w:color w:val="333333"/>
                <w:sz w:val="18"/>
              </w:rPr>
              <w:t>F10</w:t>
            </w:r>
          </w:p>
        </w:tc>
        <w:tc>
          <w:tcPr>
            <w:tcW w:type="dxa" w:w="3360"/>
          </w:tcPr>
          <w:p>
            <w:r>
              <w:rPr>
                <w:rFonts w:ascii="Calibri" w:hAnsi="Calibri"/>
                <w:color w:val="333333"/>
                <w:sz w:val="18"/>
              </w:rPr>
              <w:t>modifiers</w:t>
            </w:r>
          </w:p>
        </w:tc>
        <w:tc>
          <w:tcPr>
            <w:tcW w:type="dxa" w:w="3360"/>
          </w:tcPr>
          <w:p>
            <w:r>
              <w:rPr>
                <w:rFonts w:ascii="Calibri" w:hAnsi="Calibri"/>
                <w:color w:val="333333"/>
                <w:sz w:val="18"/>
              </w:rPr>
              <w:t>0.00</w:t>
            </w:r>
          </w:p>
        </w:tc>
      </w:tr>
      <w:tr>
        <w:tc>
          <w:tcPr>
            <w:tcW w:type="dxa" w:w="3360"/>
            <w:shd w:fill="F2F4F8" w:val="clear"/>
          </w:tcPr>
          <w:p>
            <w:r>
              <w:rPr>
                <w:rFonts w:ascii="Calibri" w:hAnsi="Calibri"/>
                <w:color w:val="333333"/>
                <w:sz w:val="18"/>
              </w:rPr>
              <w:t>F10</w:t>
            </w:r>
          </w:p>
        </w:tc>
        <w:tc>
          <w:tcPr>
            <w:tcW w:type="dxa" w:w="3360"/>
            <w:shd w:fill="F2F4F8" w:val="clear"/>
          </w:tcPr>
          <w:p>
            <w:r>
              <w:rPr>
                <w:rFonts w:ascii="Calibri" w:hAnsi="Calibri"/>
                <w:color w:val="333333"/>
                <w:sz w:val="18"/>
              </w:rPr>
              <w:t>hard_triggers</w:t>
            </w:r>
          </w:p>
        </w:tc>
        <w:tc>
          <w:tcPr>
            <w:tcW w:type="dxa" w:w="3360"/>
            <w:shd w:fill="F2F4F8" w:val="clear"/>
          </w:tcPr>
          <w:p>
            <w:r>
              <w:rPr>
                <w:rFonts w:ascii="Calibri" w:hAnsi="Calibri"/>
                <w:color w:val="333333"/>
                <w:sz w:val="18"/>
              </w:rPr>
              <w:t>0.00</w:t>
            </w:r>
          </w:p>
        </w:tc>
      </w:tr>
      <w:tr>
        <w:tc>
          <w:tcPr>
            <w:tcW w:type="dxa" w:w="3360"/>
          </w:tcPr>
          <w:p>
            <w:r>
              <w:rPr>
                <w:rFonts w:ascii="Calibri" w:hAnsi="Calibri"/>
                <w:color w:val="333333"/>
                <w:sz w:val="18"/>
              </w:rPr>
              <w:t>F10</w:t>
            </w:r>
          </w:p>
        </w:tc>
        <w:tc>
          <w:tcPr>
            <w:tcW w:type="dxa" w:w="3360"/>
          </w:tcPr>
          <w:p>
            <w:r>
              <w:rPr>
                <w:rFonts w:ascii="Calibri" w:hAnsi="Calibri"/>
                <w:color w:val="333333"/>
                <w:sz w:val="18"/>
              </w:rPr>
              <w:t>total_before_cap</w:t>
            </w:r>
          </w:p>
        </w:tc>
        <w:tc>
          <w:tcPr>
            <w:tcW w:type="dxa" w:w="3360"/>
          </w:tcPr>
          <w:p>
            <w:r>
              <w:rPr>
                <w:rFonts w:ascii="Calibri" w:hAnsi="Calibri"/>
                <w:color w:val="333333"/>
                <w:sz w:val="18"/>
              </w:rPr>
              <w:t>0.12</w:t>
            </w:r>
          </w:p>
        </w:tc>
      </w:tr>
      <w:tr>
        <w:tc>
          <w:tcPr>
            <w:tcW w:type="dxa" w:w="3360"/>
            <w:shd w:fill="F2F4F8" w:val="clear"/>
          </w:tcPr>
          <w:p>
            <w:r>
              <w:rPr>
                <w:rFonts w:ascii="Calibri" w:hAnsi="Calibri"/>
                <w:color w:val="333333"/>
                <w:sz w:val="18"/>
              </w:rPr>
              <w:t>F10</w:t>
            </w:r>
          </w:p>
        </w:tc>
        <w:tc>
          <w:tcPr>
            <w:tcW w:type="dxa" w:w="3360"/>
            <w:shd w:fill="F2F4F8" w:val="clear"/>
          </w:tcPr>
          <w:p>
            <w:r>
              <w:rPr>
                <w:rFonts w:ascii="Calibri" w:hAnsi="Calibri"/>
                <w:color w:val="333333"/>
                <w:sz w:val="18"/>
              </w:rPr>
              <w:t>capped</w:t>
            </w:r>
          </w:p>
        </w:tc>
        <w:tc>
          <w:tcPr>
            <w:tcW w:type="dxa" w:w="3360"/>
            <w:shd w:fill="F2F4F8" w:val="clear"/>
          </w:tcPr>
          <w:p>
            <w:r>
              <w:rPr>
                <w:rFonts w:ascii="Calibri" w:hAnsi="Calibri"/>
                <w:color w:val="333333"/>
                <w:sz w:val="18"/>
              </w:rPr>
              <w:t>0.12</w:t>
            </w:r>
          </w:p>
        </w:tc>
      </w:tr>
    </w:tbl>
    <w:p>
      <w:pPr>
        <w:pStyle w:val="DOHeading3"/>
      </w:pPr>
      <w:r>
        <w:t>Pattern Detection Results</w:t>
      </w:r>
    </w:p>
    <w:p>
      <w:pPr>
        <w:pStyle w:val="DOBody"/>
      </w:pPr>
      <w:r>
        <w:t>No composite patterns detected.</w:t>
      </w:r>
    </w:p>
    <w:p>
      <w:pPr>
        <w:pStyle w:val="DOHeading3"/>
      </w:pPr>
      <w:r>
        <w:t>Allegation Theory Mapping</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1A1446" w:val="clear"/>
          </w:tcPr>
          <w:p>
            <w:r>
              <w:rPr>
                <w:rFonts w:ascii="Calibri" w:hAnsi="Calibri"/>
                <w:b/>
                <w:color w:val="FFFFFF"/>
                <w:sz w:val="18"/>
              </w:rPr>
              <w:t>Theory</w:t>
            </w:r>
          </w:p>
        </w:tc>
        <w:tc>
          <w:tcPr>
            <w:tcW w:type="dxa" w:w="2520"/>
            <w:shd w:fill="1A1446" w:val="clear"/>
          </w:tcPr>
          <w:p>
            <w:r>
              <w:rPr>
                <w:rFonts w:ascii="Calibri" w:hAnsi="Calibri"/>
                <w:b/>
                <w:color w:val="FFFFFF"/>
                <w:sz w:val="18"/>
              </w:rPr>
              <w:t>Exposure</w:t>
            </w:r>
          </w:p>
        </w:tc>
        <w:tc>
          <w:tcPr>
            <w:tcW w:type="dxa" w:w="2520"/>
            <w:shd w:fill="1A1446" w:val="clear"/>
          </w:tcPr>
          <w:p>
            <w:r>
              <w:rPr>
                <w:rFonts w:ascii="Calibri" w:hAnsi="Calibri"/>
                <w:b/>
                <w:color w:val="FFFFFF"/>
                <w:sz w:val="18"/>
              </w:rPr>
              <w:t>Factor Sources</w:t>
            </w:r>
          </w:p>
        </w:tc>
        <w:tc>
          <w:tcPr>
            <w:tcW w:type="dxa" w:w="2520"/>
            <w:shd w:fill="1A1446" w:val="clear"/>
          </w:tcPr>
          <w:p>
            <w:r>
              <w:rPr>
                <w:rFonts w:ascii="Calibri" w:hAnsi="Calibri"/>
                <w:b/>
                <w:color w:val="FFFFFF"/>
                <w:sz w:val="18"/>
              </w:rPr>
              <w:t>Key Findings</w:t>
            </w:r>
          </w:p>
        </w:tc>
      </w:tr>
      <w:tr>
        <w:tc>
          <w:tcPr>
            <w:tcW w:type="dxa" w:w="2520"/>
          </w:tcPr>
          <w:p>
            <w:r>
              <w:rPr>
                <w:rFonts w:ascii="Calibri" w:hAnsi="Calibri"/>
                <w:color w:val="333333"/>
                <w:sz w:val="18"/>
              </w:rPr>
              <w:t>A_DISCLOSURE</w:t>
            </w:r>
          </w:p>
        </w:tc>
        <w:tc>
          <w:tcPr>
            <w:tcW w:type="dxa" w:w="2520"/>
          </w:tcPr>
          <w:p>
            <w:r>
              <w:rPr>
                <w:rFonts w:ascii="Calibri" w:hAnsi="Calibri"/>
                <w:color w:val="333333"/>
                <w:sz w:val="18"/>
              </w:rPr>
              <w:t>MODERATE</w:t>
            </w:r>
          </w:p>
        </w:tc>
        <w:tc>
          <w:tcPr>
            <w:tcW w:type="dxa" w:w="2520"/>
          </w:tcPr>
          <w:p>
            <w:r>
              <w:rPr>
                <w:rFonts w:ascii="Calibri" w:hAnsi="Calibri"/>
                <w:color w:val="333333"/>
                <w:sz w:val="18"/>
              </w:rPr>
              <w:t>F1, F3, F5</w:t>
            </w:r>
          </w:p>
        </w:tc>
        <w:tc>
          <w:tcPr>
            <w:tcW w:type="dxa" w:w="2520"/>
          </w:tcPr>
          <w:p>
            <w:r>
              <w:rPr>
                <w:rFonts w:ascii="Calibri" w:hAnsi="Calibri"/>
                <w:color w:val="333333"/>
                <w:sz w:val="18"/>
              </w:rPr>
              <w:t>F1: Signal-driven scoring: 70 signals, coverage=100%; F3: Signal-driven scoring: 83 signals, coverage=100%</w:t>
            </w:r>
          </w:p>
        </w:tc>
      </w:tr>
      <w:tr>
        <w:tc>
          <w:tcPr>
            <w:tcW w:type="dxa" w:w="2520"/>
            <w:shd w:fill="F2F4F8" w:val="clear"/>
          </w:tcPr>
          <w:p>
            <w:r>
              <w:rPr>
                <w:rFonts w:ascii="Calibri" w:hAnsi="Calibri"/>
                <w:color w:val="333333"/>
                <w:sz w:val="18"/>
              </w:rPr>
              <w:t>B_GUIDANCE</w:t>
            </w:r>
          </w:p>
        </w:tc>
        <w:tc>
          <w:tcPr>
            <w:tcW w:type="dxa" w:w="2520"/>
            <w:shd w:fill="F2F4F8" w:val="clear"/>
          </w:tcPr>
          <w:p>
            <w:r>
              <w:rPr>
                <w:rFonts w:ascii="Calibri" w:hAnsi="Calibri"/>
                <w:color w:val="333333"/>
                <w:sz w:val="18"/>
              </w:rPr>
              <w:t>LOW</w:t>
            </w:r>
          </w:p>
        </w:tc>
        <w:tc>
          <w:tcPr>
            <w:tcW w:type="dxa" w:w="2520"/>
            <w:shd w:fill="F2F4F8" w:val="clear"/>
          </w:tcPr>
          <w:p>
            <w:r>
              <w:rPr>
                <w:rFonts w:ascii="Calibri" w:hAnsi="Calibri"/>
                <w:color w:val="333333"/>
                <w:sz w:val="18"/>
              </w:rPr>
              <w:t>F2, F5</w:t>
            </w:r>
          </w:p>
        </w:tc>
        <w:tc>
          <w:tcPr>
            <w:tcW w:type="dxa" w:w="2520"/>
            <w:shd w:fill="F2F4F8" w:val="clear"/>
          </w:tcPr>
          <w:p>
            <w:r>
              <w:rPr>
                <w:rFonts w:ascii="Calibri" w:hAnsi="Calibri"/>
                <w:color w:val="333333"/>
                <w:sz w:val="18"/>
              </w:rPr>
              <w:t>F2: Signal-driven scoring: 30 signals, coverage=100%; F2: Drop contribution modifier: 0.25x (decay + company-specific + disclosure)</w:t>
            </w:r>
          </w:p>
        </w:tc>
      </w:tr>
      <w:tr>
        <w:tc>
          <w:tcPr>
            <w:tcW w:type="dxa" w:w="2520"/>
          </w:tcPr>
          <w:p>
            <w:r>
              <w:rPr>
                <w:rFonts w:ascii="Calibri" w:hAnsi="Calibri"/>
                <w:color w:val="333333"/>
                <w:sz w:val="18"/>
              </w:rPr>
              <w:t>C_PRODUCT_OPS</w:t>
            </w:r>
          </w:p>
        </w:tc>
        <w:tc>
          <w:tcPr>
            <w:tcW w:type="dxa" w:w="2520"/>
          </w:tcPr>
          <w:p>
            <w:r>
              <w:rPr>
                <w:rFonts w:ascii="Calibri" w:hAnsi="Calibri"/>
                <w:color w:val="333333"/>
                <w:sz w:val="18"/>
              </w:rPr>
              <w:t>LOW</w:t>
            </w:r>
          </w:p>
        </w:tc>
        <w:tc>
          <w:tcPr>
            <w:tcW w:type="dxa" w:w="2520"/>
          </w:tcPr>
          <w:p>
            <w:r>
              <w:rPr>
                <w:rFonts w:ascii="Calibri" w:hAnsi="Calibri"/>
                <w:color w:val="333333"/>
                <w:sz w:val="18"/>
              </w:rPr>
              <w:t>F7</w:t>
            </w:r>
          </w:p>
        </w:tc>
        <w:tc>
          <w:tcPr>
            <w:tcW w:type="dxa" w:w="2520"/>
          </w:tcPr>
          <w:p>
            <w:r>
              <w:rPr>
                <w:rFonts w:ascii="Calibri" w:hAnsi="Calibri"/>
                <w:color w:val="333333"/>
                <w:sz w:val="18"/>
              </w:rPr>
              <w:t>F7: Signal-driven scoring: 27 signals, coverage=100%; 1 regulatory proceedings</w:t>
            </w:r>
          </w:p>
        </w:tc>
      </w:tr>
      <w:tr>
        <w:tc>
          <w:tcPr>
            <w:tcW w:type="dxa" w:w="2520"/>
            <w:shd w:fill="F2F4F8" w:val="clear"/>
          </w:tcPr>
          <w:p>
            <w:r>
              <w:rPr>
                <w:rFonts w:ascii="Calibri" w:hAnsi="Calibri"/>
                <w:color w:val="333333"/>
                <w:sz w:val="18"/>
              </w:rPr>
              <w:t>D_GOVERNANCE</w:t>
            </w:r>
          </w:p>
        </w:tc>
        <w:tc>
          <w:tcPr>
            <w:tcW w:type="dxa" w:w="2520"/>
            <w:shd w:fill="F2F4F8" w:val="clear"/>
          </w:tcPr>
          <w:p>
            <w:r>
              <w:rPr>
                <w:rFonts w:ascii="Calibri" w:hAnsi="Calibri"/>
                <w:color w:val="333333"/>
                <w:sz w:val="18"/>
              </w:rPr>
              <w:t>LOW</w:t>
            </w:r>
          </w:p>
        </w:tc>
        <w:tc>
          <w:tcPr>
            <w:tcW w:type="dxa" w:w="2520"/>
            <w:shd w:fill="F2F4F8" w:val="clear"/>
          </w:tcPr>
          <w:p>
            <w:r>
              <w:rPr>
                <w:rFonts w:ascii="Calibri" w:hAnsi="Calibri"/>
                <w:color w:val="333333"/>
                <w:sz w:val="18"/>
              </w:rPr>
              <w:t>F9, F10</w:t>
            </w:r>
          </w:p>
        </w:tc>
        <w:tc>
          <w:tcPr>
            <w:tcW w:type="dxa" w:w="2520"/>
            <w:shd w:fill="F2F4F8" w:val="clear"/>
          </w:tcPr>
          <w:p>
            <w:r>
              <w:rPr>
                <w:rFonts w:ascii="Calibri" w:hAnsi="Calibri"/>
                <w:color w:val="333333"/>
                <w:sz w:val="18"/>
              </w:rPr>
              <w:t>F9: Signal-driven scoring: 40 signals, coverage=100%; F10: Signal-driven scoring: 89 signals, coverage=100%</w:t>
            </w:r>
          </w:p>
        </w:tc>
      </w:tr>
      <w:tr>
        <w:tc>
          <w:tcPr>
            <w:tcW w:type="dxa" w:w="2520"/>
          </w:tcPr>
          <w:p>
            <w:r>
              <w:rPr>
                <w:rFonts w:ascii="Calibri" w:hAnsi="Calibri"/>
                <w:color w:val="333333"/>
                <w:sz w:val="18"/>
              </w:rPr>
              <w:t>E_MA</w:t>
            </w:r>
          </w:p>
        </w:tc>
        <w:tc>
          <w:tcPr>
            <w:tcW w:type="dxa" w:w="2520"/>
          </w:tcPr>
          <w:p>
            <w:r>
              <w:rPr>
                <w:rFonts w:ascii="Calibri" w:hAnsi="Calibri"/>
                <w:color w:val="333333"/>
                <w:sz w:val="18"/>
              </w:rPr>
              <w:t>LOW</w:t>
            </w:r>
          </w:p>
        </w:tc>
        <w:tc>
          <w:tcPr>
            <w:tcW w:type="dxa" w:w="2520"/>
          </w:tcPr>
          <w:p>
            <w:r>
              <w:rPr>
                <w:rFonts w:ascii="Calibri" w:hAnsi="Calibri"/>
                <w:color w:val="333333"/>
                <w:sz w:val="18"/>
              </w:rPr>
              <w:t>F4</w:t>
            </w:r>
          </w:p>
        </w:tc>
        <w:tc>
          <w:tcPr>
            <w:tcW w:type="dxa" w:w="2520"/>
          </w:tcPr>
          <w:p>
            <w:r>
              <w:rPr>
                <w:rFonts w:ascii="Calibri" w:hAnsi="Calibri"/>
                <w:color w:val="333333"/>
                <w:sz w:val="18"/>
              </w:rPr>
              <w:t>F4: Signal-driven scoring: 18 signals, coverage=100%</w:t>
            </w:r>
          </w:p>
        </w:tc>
      </w:tr>
    </w:tbl>
    <w:p>
      <w:pPr>
        <w:pStyle w:val="DOBody"/>
      </w:pPr>
      <w:r>
        <w:rPr>
          <w:i/>
          <w:sz w:val="16"/>
        </w:rPr>
        <w:t>D&amp;O Context: Primary allegation exposure is A_DISCLOSURE. MODERATE exposure in: A_DISCLOSURE.</w:t>
      </w:r>
    </w:p>
    <w:p>
      <w:pPr>
        <w:pStyle w:val="DOHeading3"/>
      </w:pPr>
      <w:r>
        <w:t>Claim Probability Detail</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Metric</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Probability Band</w:t>
            </w:r>
          </w:p>
        </w:tc>
        <w:tc>
          <w:tcPr>
            <w:tcW w:type="dxa" w:w="5040"/>
          </w:tcPr>
          <w:p>
            <w:r>
              <w:rPr>
                <w:rFonts w:ascii="Calibri" w:hAnsi="Calibri"/>
                <w:color w:val="333333"/>
                <w:sz w:val="18"/>
              </w:rPr>
              <w:t>MODERATE</w:t>
            </w:r>
          </w:p>
        </w:tc>
      </w:tr>
      <w:tr>
        <w:tc>
          <w:tcPr>
            <w:tcW w:type="dxa" w:w="5040"/>
            <w:shd w:fill="F2F4F8" w:val="clear"/>
          </w:tcPr>
          <w:p>
            <w:r>
              <w:rPr>
                <w:rFonts w:ascii="Calibri" w:hAnsi="Calibri"/>
                <w:color w:val="333333"/>
                <w:sz w:val="18"/>
              </w:rPr>
              <w:t>Range</w:t>
            </w:r>
          </w:p>
        </w:tc>
        <w:tc>
          <w:tcPr>
            <w:tcW w:type="dxa" w:w="5040"/>
            <w:shd w:fill="F2F4F8" w:val="clear"/>
          </w:tcPr>
          <w:p>
            <w:r>
              <w:rPr>
                <w:rFonts w:ascii="Calibri" w:hAnsi="Calibri"/>
                <w:color w:val="333333"/>
                <w:sz w:val="18"/>
              </w:rPr>
              <w:t>3.9% - 5.6%</w:t>
            </w:r>
          </w:p>
        </w:tc>
      </w:tr>
      <w:tr>
        <w:tc>
          <w:tcPr>
            <w:tcW w:type="dxa" w:w="5040"/>
          </w:tcPr>
          <w:p>
            <w:r>
              <w:rPr>
                <w:rFonts w:ascii="Calibri" w:hAnsi="Calibri"/>
                <w:color w:val="333333"/>
                <w:sz w:val="18"/>
              </w:rPr>
              <w:t>Industry Base Rate</w:t>
            </w:r>
          </w:p>
        </w:tc>
        <w:tc>
          <w:tcPr>
            <w:tcW w:type="dxa" w:w="5040"/>
          </w:tcPr>
          <w:p>
            <w:r>
              <w:rPr>
                <w:rFonts w:ascii="Calibri" w:hAnsi="Calibri"/>
                <w:color w:val="333333"/>
                <w:sz w:val="18"/>
              </w:rPr>
              <w:t>3.5%</w:t>
            </w:r>
          </w:p>
        </w:tc>
      </w:tr>
      <w:tr>
        <w:tc>
          <w:tcPr>
            <w:tcW w:type="dxa" w:w="5040"/>
            <w:shd w:fill="F2F4F8" w:val="clear"/>
          </w:tcPr>
          <w:p>
            <w:r>
              <w:rPr>
                <w:rFonts w:ascii="Calibri" w:hAnsi="Calibri"/>
                <w:color w:val="333333"/>
                <w:sz w:val="18"/>
              </w:rPr>
              <w:t>Adjustment Rationale</w:t>
            </w:r>
          </w:p>
        </w:tc>
        <w:tc>
          <w:tcPr>
            <w:tcW w:type="dxa" w:w="5040"/>
            <w:shd w:fill="F2F4F8" w:val="clear"/>
          </w:tcPr>
          <w:p>
            <w:r>
              <w:rPr>
                <w:rFonts w:ascii="Calibri" w:hAnsi="Calibri"/>
                <w:color w:val="333333"/>
                <w:sz w:val="18"/>
              </w:rPr>
              <w:t xml:space="preserve">Industry base rate: 3.5%. Tier WIN (0-2%): Below base rate. Strong risk profile </w:t>
            </w:r>
          </w:p>
        </w:tc>
      </w:tr>
    </w:tbl>
    <w:p>
      <w:pPr>
        <w:pStyle w:val="DOBody"/>
      </w:pPr>
      <w:r>
        <w:rPr>
          <w:b/>
        </w:rPr>
        <w:t>Claim probability: MODERATE</w:t>
      </w:r>
      <w:r>
        <w:rPr>
          <w:b/>
          <w:color w:val="EAB308"/>
          <w:sz w:val="18"/>
        </w:rPr>
        <w:t xml:space="preserve"> [ELEVATED]</w:t>
      </w:r>
    </w:p>
    <w:p>
      <w:pPr>
        <w:pStyle w:val="DOHeading3"/>
      </w:pPr>
      <w:r>
        <w:t>Tower Position Recommendation</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Metric</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Recommended Position</w:t>
            </w:r>
          </w:p>
        </w:tc>
        <w:tc>
          <w:tcPr>
            <w:tcW w:type="dxa" w:w="5040"/>
          </w:tcPr>
          <w:p>
            <w:r>
              <w:rPr>
                <w:rFonts w:ascii="Calibri" w:hAnsi="Calibri"/>
                <w:color w:val="333333"/>
                <w:sz w:val="18"/>
              </w:rPr>
              <w:t>PRIMARY</w:t>
            </w:r>
          </w:p>
        </w:tc>
      </w:tr>
      <w:tr>
        <w:tc>
          <w:tcPr>
            <w:tcW w:type="dxa" w:w="5040"/>
            <w:shd w:fill="F2F4F8" w:val="clear"/>
          </w:tcPr>
          <w:p>
            <w:r>
              <w:rPr>
                <w:rFonts w:ascii="Calibri" w:hAnsi="Calibri"/>
                <w:color w:val="333333"/>
                <w:sz w:val="18"/>
              </w:rPr>
              <w:t>Minimum Attachment</w:t>
            </w:r>
          </w:p>
        </w:tc>
        <w:tc>
          <w:tcPr>
            <w:tcW w:type="dxa" w:w="5040"/>
            <w:shd w:fill="F2F4F8" w:val="clear"/>
          </w:tcPr>
          <w:p>
            <w:r>
              <w:rPr>
                <w:rFonts w:ascii="Calibri" w:hAnsi="Calibri"/>
                <w:color w:val="333333"/>
                <w:sz w:val="18"/>
              </w:rPr>
              <w:t>$16.8M (based on 50th percentile settlement)</w:t>
            </w:r>
          </w:p>
        </w:tc>
      </w:tr>
      <w:tr>
        <w:tc>
          <w:tcPr>
            <w:tcW w:type="dxa" w:w="5040"/>
          </w:tcPr>
          <w:p>
            <w:r>
              <w:rPr>
                <w:rFonts w:ascii="Calibri" w:hAnsi="Calibri"/>
                <w:color w:val="333333"/>
                <w:sz w:val="18"/>
              </w:rPr>
              <w:t>Side A/DIC Assessment</w:t>
            </w:r>
          </w:p>
        </w:tc>
        <w:tc>
          <w:tcPr>
            <w:tcW w:type="dxa" w:w="5040"/>
          </w:tcPr>
          <w:p>
            <w:r>
              <w:rPr>
                <w:rFonts w:ascii="Calibri" w:hAnsi="Calibri"/>
                <w:color w:val="333333"/>
                <w:sz w:val="18"/>
              </w:rPr>
              <w:t>Standard Side A considerations</w:t>
            </w:r>
          </w:p>
        </w:tc>
      </w:tr>
    </w:tbl>
    <w:tbl>
      <w:tblPr>
        <w:tblStyle w:val="TableGrid"/>
        <w:tblW w:type="auto" w:w="0"/>
        <w:tblLook w:firstColumn="1" w:firstRow="1" w:lastColumn="0" w:lastRow="0" w:noHBand="0" w:noVBand="1" w:val="04A0"/>
      </w:tblPr>
      <w:tblGrid>
        <w:gridCol w:w="2520"/>
        <w:gridCol w:w="2520"/>
        <w:gridCol w:w="2520"/>
        <w:gridCol w:w="2520"/>
      </w:tblGrid>
      <w:tr>
        <w:tc>
          <w:tcPr>
            <w:tcW w:type="dxa" w:w="2520"/>
            <w:shd w:fill="1A1446" w:val="clear"/>
          </w:tcPr>
          <w:p>
            <w:r>
              <w:rPr>
                <w:rFonts w:ascii="Calibri" w:hAnsi="Calibri"/>
                <w:b/>
                <w:color w:val="FFFFFF"/>
                <w:sz w:val="18"/>
              </w:rPr>
              <w:t>Position</w:t>
            </w:r>
          </w:p>
        </w:tc>
        <w:tc>
          <w:tcPr>
            <w:tcW w:type="dxa" w:w="2520"/>
            <w:shd w:fill="1A1446" w:val="clear"/>
          </w:tcPr>
          <w:p>
            <w:r>
              <w:rPr>
                <w:rFonts w:ascii="Calibri" w:hAnsi="Calibri"/>
                <w:b/>
                <w:color w:val="FFFFFF"/>
                <w:sz w:val="18"/>
              </w:rPr>
              <w:t>Risk Assessment</w:t>
            </w:r>
          </w:p>
        </w:tc>
        <w:tc>
          <w:tcPr>
            <w:tcW w:type="dxa" w:w="2520"/>
            <w:shd w:fill="1A1446" w:val="clear"/>
          </w:tcPr>
          <w:p>
            <w:r>
              <w:rPr>
                <w:rFonts w:ascii="Calibri" w:hAnsi="Calibri"/>
                <w:b/>
                <w:color w:val="FFFFFF"/>
                <w:sz w:val="18"/>
              </w:rPr>
              <w:t>Premium Guidance</w:t>
            </w:r>
          </w:p>
        </w:tc>
        <w:tc>
          <w:tcPr>
            <w:tcW w:type="dxa" w:w="2520"/>
            <w:shd w:fill="1A1446" w:val="clear"/>
          </w:tcPr>
          <w:p>
            <w:r>
              <w:rPr>
                <w:rFonts w:ascii="Calibri" w:hAnsi="Calibri"/>
                <w:b/>
                <w:color w:val="FFFFFF"/>
                <w:sz w:val="18"/>
              </w:rPr>
              <w:t>Attachment</w:t>
            </w:r>
          </w:p>
        </w:tc>
      </w:tr>
      <w:tr>
        <w:tc>
          <w:tcPr>
            <w:tcW w:type="dxa" w:w="2520"/>
          </w:tcPr>
          <w:p>
            <w:r>
              <w:rPr>
                <w:rFonts w:ascii="Calibri" w:hAnsi="Calibri"/>
                <w:color w:val="333333"/>
                <w:sz w:val="18"/>
              </w:rPr>
              <w:t>PRIMARY</w:t>
            </w:r>
          </w:p>
        </w:tc>
        <w:tc>
          <w:tcPr>
            <w:tcW w:type="dxa" w:w="2520"/>
          </w:tcPr>
          <w:p>
            <w:r>
              <w:rPr>
                <w:rFonts w:ascii="Calibri" w:hAnsi="Calibri"/>
                <w:color w:val="333333"/>
                <w:sz w:val="18"/>
              </w:rPr>
              <w:t>Primary layer carries 57% of expected loss exposur</w:t>
            </w:r>
          </w:p>
        </w:tc>
        <w:tc>
          <w:tcPr>
            <w:tcW w:type="dxa" w:w="2520"/>
          </w:tcPr>
          <w:p>
            <w:r>
              <w:rPr>
                <w:rFonts w:ascii="Calibri" w:hAnsi="Calibri"/>
                <w:color w:val="333333"/>
                <w:sz w:val="18"/>
              </w:rPr>
              <w:t>Full rate, slight discount for</w:t>
            </w:r>
          </w:p>
        </w:tc>
        <w:tc>
          <w:tcPr>
            <w:tcW w:type="dxa" w:w="2520"/>
          </w:tcPr>
          <w:p>
            <w:r>
              <w:rPr>
                <w:rFonts w:ascii="Calibri" w:hAnsi="Calibri"/>
                <w:color w:val="333333"/>
                <w:sz w:val="18"/>
              </w:rPr>
              <w:t>$0 ground-up</w:t>
            </w:r>
          </w:p>
        </w:tc>
      </w:tr>
      <w:tr>
        <w:tc>
          <w:tcPr>
            <w:tcW w:type="dxa" w:w="2520"/>
            <w:shd w:fill="F2F4F8" w:val="clear"/>
          </w:tcPr>
          <w:p>
            <w:r>
              <w:rPr>
                <w:rFonts w:ascii="Calibri" w:hAnsi="Calibri"/>
                <w:color w:val="333333"/>
                <w:sz w:val="18"/>
              </w:rPr>
              <w:t>LOW_EXCESS</w:t>
            </w:r>
          </w:p>
        </w:tc>
        <w:tc>
          <w:tcPr>
            <w:tcW w:type="dxa" w:w="2520"/>
            <w:shd w:fill="F2F4F8" w:val="clear"/>
          </w:tcPr>
          <w:p>
            <w:r>
              <w:rPr>
                <w:rFonts w:ascii="Calibri" w:hAnsi="Calibri"/>
                <w:color w:val="333333"/>
                <w:sz w:val="18"/>
              </w:rPr>
              <w:t>Low excess layer carries 18% of expected loss expo</w:t>
            </w:r>
          </w:p>
        </w:tc>
        <w:tc>
          <w:tcPr>
            <w:tcW w:type="dxa" w:w="2520"/>
            <w:shd w:fill="F2F4F8" w:val="clear"/>
          </w:tcPr>
          <w:p>
            <w:r>
              <w:rPr>
                <w:rFonts w:ascii="Calibri" w:hAnsi="Calibri"/>
                <w:color w:val="333333"/>
                <w:sz w:val="18"/>
              </w:rPr>
              <w:t>Market rate</w:t>
            </w:r>
          </w:p>
        </w:tc>
        <w:tc>
          <w:tcPr>
            <w:tcW w:type="dxa" w:w="2520"/>
            <w:shd w:fill="F2F4F8" w:val="clear"/>
          </w:tcPr>
          <w:p>
            <w:r>
              <w:rPr>
                <w:rFonts w:ascii="Calibri" w:hAnsi="Calibri"/>
                <w:color w:val="333333"/>
                <w:sz w:val="18"/>
              </w:rPr>
              <w:t>$5-15M xs $5-15M</w:t>
            </w:r>
          </w:p>
        </w:tc>
      </w:tr>
      <w:tr>
        <w:tc>
          <w:tcPr>
            <w:tcW w:type="dxa" w:w="2520"/>
          </w:tcPr>
          <w:p>
            <w:r>
              <w:rPr>
                <w:rFonts w:ascii="Calibri" w:hAnsi="Calibri"/>
                <w:color w:val="333333"/>
                <w:sz w:val="18"/>
              </w:rPr>
              <w:t>MID_EXCESS</w:t>
            </w:r>
          </w:p>
        </w:tc>
        <w:tc>
          <w:tcPr>
            <w:tcW w:type="dxa" w:w="2520"/>
          </w:tcPr>
          <w:p>
            <w:r>
              <w:rPr>
                <w:rFonts w:ascii="Calibri" w:hAnsi="Calibri"/>
                <w:color w:val="333333"/>
                <w:sz w:val="18"/>
              </w:rPr>
              <w:t>Mid excess layer carries 13% of expected loss expo</w:t>
            </w:r>
          </w:p>
        </w:tc>
        <w:tc>
          <w:tcPr>
            <w:tcW w:type="dxa" w:w="2520"/>
          </w:tcPr>
          <w:p>
            <w:r>
              <w:rPr>
                <w:rFonts w:ascii="Calibri" w:hAnsi="Calibri"/>
                <w:color w:val="333333"/>
                <w:sz w:val="18"/>
              </w:rPr>
              <w:t>Market to 1.3x</w:t>
            </w:r>
          </w:p>
        </w:tc>
        <w:tc>
          <w:tcPr>
            <w:tcW w:type="dxa" w:w="2520"/>
          </w:tcPr>
          <w:p>
            <w:r>
              <w:rPr>
                <w:rFonts w:ascii="Calibri" w:hAnsi="Calibri"/>
                <w:color w:val="333333"/>
                <w:sz w:val="18"/>
              </w:rPr>
              <w:t>$15-50M xs $15-50M</w:t>
            </w:r>
          </w:p>
        </w:tc>
      </w:tr>
      <w:tr>
        <w:tc>
          <w:tcPr>
            <w:tcW w:type="dxa" w:w="2520"/>
            <w:shd w:fill="F2F4F8" w:val="clear"/>
          </w:tcPr>
          <w:p>
            <w:r>
              <w:rPr>
                <w:rFonts w:ascii="Calibri" w:hAnsi="Calibri"/>
                <w:color w:val="333333"/>
                <w:sz w:val="18"/>
              </w:rPr>
              <w:t>HIGH_EXCESS</w:t>
            </w:r>
          </w:p>
        </w:tc>
        <w:tc>
          <w:tcPr>
            <w:tcW w:type="dxa" w:w="2520"/>
            <w:shd w:fill="F2F4F8" w:val="clear"/>
          </w:tcPr>
          <w:p>
            <w:r>
              <w:rPr>
                <w:rFonts w:ascii="Calibri" w:hAnsi="Calibri"/>
                <w:color w:val="333333"/>
                <w:sz w:val="18"/>
              </w:rPr>
              <w:t>High excess layer carries 11% of expected loss exp</w:t>
            </w:r>
          </w:p>
        </w:tc>
        <w:tc>
          <w:tcPr>
            <w:tcW w:type="dxa" w:w="2520"/>
            <w:shd w:fill="F2F4F8" w:val="clear"/>
          </w:tcPr>
          <w:p>
            <w:r>
              <w:rPr>
                <w:rFonts w:ascii="Calibri" w:hAnsi="Calibri"/>
                <w:color w:val="333333"/>
                <w:sz w:val="18"/>
              </w:rPr>
              <w:t>1.3-2x with attachment</w:t>
            </w:r>
          </w:p>
        </w:tc>
        <w:tc>
          <w:tcPr>
            <w:tcW w:type="dxa" w:w="2520"/>
            <w:shd w:fill="F2F4F8" w:val="clear"/>
          </w:tcPr>
          <w:p>
            <w:r>
              <w:rPr>
                <w:rFonts w:ascii="Calibri" w:hAnsi="Calibri"/>
                <w:color w:val="333333"/>
                <w:sz w:val="18"/>
              </w:rPr>
              <w:t>$50M+ xs $50M+</w:t>
            </w:r>
          </w:p>
        </w:tc>
      </w:tr>
      <w:tr>
        <w:tc>
          <w:tcPr>
            <w:tcW w:type="dxa" w:w="2520"/>
          </w:tcPr>
          <w:p>
            <w:r>
              <w:rPr>
                <w:rFonts w:ascii="Calibri" w:hAnsi="Calibri"/>
                <w:color w:val="333333"/>
                <w:sz w:val="18"/>
              </w:rPr>
              <w:t>DECLINE</w:t>
            </w:r>
          </w:p>
        </w:tc>
        <w:tc>
          <w:tcPr>
            <w:tcW w:type="dxa" w:w="2520"/>
          </w:tcPr>
          <w:p>
            <w:r>
              <w:rPr>
                <w:rFonts w:ascii="Calibri" w:hAnsi="Calibri"/>
                <w:color w:val="333333"/>
                <w:sz w:val="18"/>
              </w:rPr>
              <w:t>WALK+ with compounding factors</w:t>
            </w:r>
          </w:p>
        </w:tc>
        <w:tc>
          <w:tcPr>
            <w:tcW w:type="dxa" w:w="2520"/>
          </w:tcPr>
          <w:p>
            <w:r>
              <w:rPr>
                <w:rFonts w:ascii="Calibri" w:hAnsi="Calibri"/>
                <w:color w:val="333333"/>
                <w:sz w:val="18"/>
              </w:rPr>
              <w:t>N/A</w:t>
            </w:r>
          </w:p>
        </w:tc>
        <w:tc>
          <w:tcPr>
            <w:tcW w:type="dxa" w:w="2520"/>
          </w:tcPr>
          <w:p>
            <w:r>
              <w:rPr>
                <w:rFonts w:ascii="Calibri" w:hAnsi="Calibri"/>
                <w:color w:val="333333"/>
                <w:sz w:val="18"/>
              </w:rPr>
              <w:t>N/A</w:t>
            </w:r>
          </w:p>
        </w:tc>
      </w:tr>
    </w:tbl>
    <w:p>
      <w:pPr>
        <w:pStyle w:val="DOHeading2"/>
      </w:pPr>
      <w:r>
        <w:t>Forensic Composite Scores</w:t>
      </w:r>
    </w:p>
    <w:tbl>
      <w:tblPr>
        <w:tblStyle w:val="TableGrid"/>
        <w:tblW w:type="auto" w:w="0"/>
        <w:tblLook w:firstColumn="1" w:firstRow="1" w:lastColumn="0" w:lastRow="0" w:noHBand="0" w:noVBand="1" w:val="04A0"/>
      </w:tblPr>
      <w:tblGrid>
        <w:gridCol w:w="3360"/>
        <w:gridCol w:w="3360"/>
        <w:gridCol w:w="3360"/>
      </w:tblGrid>
      <w:tr>
        <w:tc>
          <w:tcPr>
            <w:tcW w:type="dxa" w:w="3360"/>
            <w:shd w:fill="1A1446" w:val="clear"/>
          </w:tcPr>
          <w:p>
            <w:r>
              <w:rPr>
                <w:rFonts w:ascii="Calibri" w:hAnsi="Calibri"/>
                <w:b/>
                <w:color w:val="FFFFFF"/>
                <w:sz w:val="18"/>
              </w:rPr>
              <w:t>Composite</w:t>
            </w:r>
          </w:p>
        </w:tc>
        <w:tc>
          <w:tcPr>
            <w:tcW w:type="dxa" w:w="3360"/>
            <w:shd w:fill="1A1446" w:val="clear"/>
          </w:tcPr>
          <w:p>
            <w:r>
              <w:rPr>
                <w:rFonts w:ascii="Calibri" w:hAnsi="Calibri"/>
                <w:b/>
                <w:color w:val="FFFFFF"/>
                <w:sz w:val="18"/>
              </w:rPr>
              <w:t>Score</w:t>
            </w:r>
          </w:p>
        </w:tc>
        <w:tc>
          <w:tcPr>
            <w:tcW w:type="dxa" w:w="3360"/>
            <w:shd w:fill="1A1446" w:val="clear"/>
          </w:tcPr>
          <w:p>
            <w:r>
              <w:rPr>
                <w:rFonts w:ascii="Calibri" w:hAnsi="Calibri"/>
                <w:b/>
                <w:color w:val="FFFFFF"/>
                <w:sz w:val="18"/>
              </w:rPr>
              <w:t>Interpretation</w:t>
            </w:r>
          </w:p>
        </w:tc>
      </w:tr>
      <w:tr>
        <w:tc>
          <w:tcPr>
            <w:tcW w:type="dxa" w:w="3360"/>
          </w:tcPr>
          <w:p>
            <w:r>
              <w:rPr>
                <w:rFonts w:ascii="Calibri" w:hAnsi="Calibri"/>
                <w:color w:val="333333"/>
                <w:sz w:val="18"/>
              </w:rPr>
              <w:t>Financial Integrity Score (FIS)</w:t>
            </w:r>
          </w:p>
        </w:tc>
        <w:tc>
          <w:tcPr>
            <w:tcW w:type="dxa" w:w="3360"/>
          </w:tcPr>
          <w:p>
            <w:r>
              <w:rPr>
                <w:rFonts w:ascii="Calibri" w:hAnsi="Calibri"/>
                <w:color w:val="333333"/>
                <w:sz w:val="18"/>
              </w:rPr>
              <w:t>N/A</w:t>
            </w:r>
          </w:p>
        </w:tc>
        <w:tc>
          <w:tcPr>
            <w:tcW w:type="dxa" w:w="3360"/>
          </w:tcPr>
          <w:p>
            <w:r>
              <w:rPr>
                <w:rFonts w:ascii="Calibri" w:hAnsi="Calibri"/>
                <w:color w:val="333333"/>
                <w:sz w:val="18"/>
              </w:rPr>
              <w:t>Not available</w:t>
            </w:r>
          </w:p>
        </w:tc>
      </w:tr>
      <w:tr>
        <w:tc>
          <w:tcPr>
            <w:tcW w:type="dxa" w:w="3360"/>
            <w:shd w:fill="F2F4F8" w:val="clear"/>
          </w:tcPr>
          <w:p>
            <w:r>
              <w:rPr>
                <w:rFonts w:ascii="Calibri" w:hAnsi="Calibri"/>
                <w:color w:val="333333"/>
                <w:sz w:val="18"/>
              </w:rPr>
              <w:t>Reporting Quality Score (RQS)</w:t>
            </w:r>
          </w:p>
        </w:tc>
        <w:tc>
          <w:tcPr>
            <w:tcW w:type="dxa" w:w="3360"/>
            <w:shd w:fill="F2F4F8" w:val="clear"/>
          </w:tcPr>
          <w:p>
            <w:r>
              <w:rPr>
                <w:rFonts w:ascii="Calibri" w:hAnsi="Calibri"/>
                <w:color w:val="333333"/>
                <w:sz w:val="18"/>
              </w:rPr>
              <w:t>N/A</w:t>
            </w:r>
          </w:p>
        </w:tc>
        <w:tc>
          <w:tcPr>
            <w:tcW w:type="dxa" w:w="3360"/>
            <w:shd w:fill="F2F4F8" w:val="clear"/>
          </w:tcPr>
          <w:p>
            <w:r>
              <w:rPr>
                <w:rFonts w:ascii="Calibri" w:hAnsi="Calibri"/>
                <w:color w:val="333333"/>
                <w:sz w:val="18"/>
              </w:rPr>
              <w:t>Not available</w:t>
            </w:r>
          </w:p>
        </w:tc>
      </w:tr>
      <w:tr>
        <w:tc>
          <w:tcPr>
            <w:tcW w:type="dxa" w:w="3360"/>
          </w:tcPr>
          <w:p>
            <w:r>
              <w:rPr>
                <w:rFonts w:ascii="Calibri" w:hAnsi="Calibri"/>
                <w:color w:val="333333"/>
                <w:sz w:val="18"/>
              </w:rPr>
              <w:t>Cash Flow Quality Score (CFQS)</w:t>
            </w:r>
          </w:p>
        </w:tc>
        <w:tc>
          <w:tcPr>
            <w:tcW w:type="dxa" w:w="3360"/>
          </w:tcPr>
          <w:p>
            <w:r>
              <w:rPr>
                <w:rFonts w:ascii="Calibri" w:hAnsi="Calibri"/>
                <w:color w:val="333333"/>
                <w:sz w:val="18"/>
              </w:rPr>
              <w:t>N/A</w:t>
            </w:r>
          </w:p>
        </w:tc>
        <w:tc>
          <w:tcPr>
            <w:tcW w:type="dxa" w:w="3360"/>
          </w:tcPr>
          <w:p>
            <w:r>
              <w:rPr>
                <w:rFonts w:ascii="Calibri" w:hAnsi="Calibri"/>
                <w:color w:val="333333"/>
                <w:sz w:val="18"/>
              </w:rPr>
              <w:t>Not available</w:t>
            </w:r>
          </w:p>
        </w:tc>
      </w:tr>
    </w:tbl>
    <w:p>
      <w:pPr>
        <w:pStyle w:val="DOHeading2"/>
      </w:pPr>
      <w:r>
        <w:t>Executive Risk Profile</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Metric</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Weighted Score</w:t>
            </w:r>
          </w:p>
        </w:tc>
        <w:tc>
          <w:tcPr>
            <w:tcW w:type="dxa" w:w="5040"/>
          </w:tcPr>
          <w:p>
            <w:r>
              <w:rPr>
                <w:rFonts w:ascii="Calibri" w:hAnsi="Calibri"/>
                <w:color w:val="333333"/>
                <w:sz w:val="18"/>
              </w:rPr>
              <w:t>0</w:t>
            </w:r>
          </w:p>
        </w:tc>
      </w:tr>
      <w:tr>
        <w:tc>
          <w:tcPr>
            <w:tcW w:type="dxa" w:w="5040"/>
            <w:shd w:fill="F2F4F8" w:val="clear"/>
          </w:tcPr>
          <w:p>
            <w:r>
              <w:rPr>
                <w:rFonts w:ascii="Calibri" w:hAnsi="Calibri"/>
                <w:color w:val="333333"/>
                <w:sz w:val="18"/>
              </w:rPr>
              <w:t>Risk Level</w:t>
            </w:r>
          </w:p>
        </w:tc>
        <w:tc>
          <w:tcPr>
            <w:tcW w:type="dxa" w:w="5040"/>
            <w:shd w:fill="F2F4F8" w:val="clear"/>
          </w:tcPr>
          <w:p>
            <w:r>
              <w:rPr>
                <w:rFonts w:ascii="Calibri" w:hAnsi="Calibri"/>
                <w:color w:val="333333"/>
                <w:sz w:val="18"/>
              </w:rPr>
              <w:t>N/A</w:t>
            </w:r>
          </w:p>
        </w:tc>
      </w:tr>
    </w:tbl>
    <w:p>
      <w:pPr>
        <w:pStyle w:val="DOHeading2"/>
      </w:pPr>
      <w:r>
        <w:t>Temporal Signals</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1A1446" w:val="clear"/>
          </w:tcPr>
          <w:p>
            <w:r>
              <w:rPr>
                <w:rFonts w:ascii="Calibri" w:hAnsi="Calibri"/>
                <w:b/>
                <w:color w:val="FFFFFF"/>
                <w:sz w:val="18"/>
              </w:rPr>
              <w:t>Type</w:t>
            </w:r>
          </w:p>
        </w:tc>
        <w:tc>
          <w:tcPr>
            <w:tcW w:type="dxa" w:w="2520"/>
            <w:shd w:fill="1A1446" w:val="clear"/>
          </w:tcPr>
          <w:p>
            <w:r>
              <w:rPr>
                <w:rFonts w:ascii="Calibri" w:hAnsi="Calibri"/>
                <w:b/>
                <w:color w:val="FFFFFF"/>
                <w:sz w:val="18"/>
              </w:rPr>
              <w:t>Direction</w:t>
            </w:r>
          </w:p>
        </w:tc>
        <w:tc>
          <w:tcPr>
            <w:tcW w:type="dxa" w:w="2520"/>
            <w:shd w:fill="1A1446" w:val="clear"/>
          </w:tcPr>
          <w:p>
            <w:r>
              <w:rPr>
                <w:rFonts w:ascii="Calibri" w:hAnsi="Calibri"/>
                <w:b/>
                <w:color w:val="FFFFFF"/>
                <w:sz w:val="18"/>
              </w:rPr>
              <w:t>Magnitude</w:t>
            </w:r>
          </w:p>
        </w:tc>
        <w:tc>
          <w:tcPr>
            <w:tcW w:type="dxa" w:w="2520"/>
            <w:shd w:fill="1A1446" w:val="clear"/>
          </w:tcPr>
          <w:p>
            <w:r>
              <w:rPr>
                <w:rFonts w:ascii="Calibri" w:hAnsi="Calibri"/>
                <w:b/>
                <w:color w:val="FFFFFF"/>
                <w:sz w:val="18"/>
              </w:rPr>
              <w:t>Description</w:t>
            </w:r>
          </w:p>
        </w:tc>
      </w:tr>
      <w:tr>
        <w:tc>
          <w:tcPr>
            <w:tcW w:type="dxa" w:w="2520"/>
          </w:tcPr>
          <w:p>
            <w:r>
              <w:rPr>
                <w:rFonts w:ascii="Calibri" w:hAnsi="Calibri"/>
                <w:color w:val="333333"/>
                <w:sz w:val="18"/>
              </w:rPr>
              <w:t>Unknown</w:t>
            </w:r>
          </w:p>
        </w:tc>
        <w:tc>
          <w:tcPr>
            <w:tcW w:type="dxa" w:w="2520"/>
          </w:tcPr>
          <w:p>
            <w:r>
              <w:rPr>
                <w:rFonts w:ascii="Calibri" w:hAnsi="Calibri"/>
                <w:color w:val="333333"/>
                <w:sz w:val="18"/>
              </w:rPr>
              <w:t>N/A</w:t>
            </w:r>
          </w:p>
        </w:tc>
        <w:tc>
          <w:tcPr>
            <w:tcW w:type="dxa" w:w="2520"/>
          </w:tcPr>
          <w:p>
            <w:r>
              <w:rPr>
                <w:rFonts w:ascii="Calibri" w:hAnsi="Calibri"/>
                <w:color w:val="333333"/>
                <w:sz w:val="18"/>
              </w:rPr>
              <w:t>N/A</w:t>
            </w:r>
          </w:p>
        </w:tc>
        <w:tc>
          <w:tcPr>
            <w:tcW w:type="dxa" w:w="2520"/>
          </w:tcPr>
          <w:p>
            <w:r>
              <w:rPr>
                <w:rFonts w:ascii="Calibri" w:hAnsi="Calibri"/>
                <w:color w:val="333333"/>
                <w:sz w:val="18"/>
              </w:rPr>
            </w:r>
          </w:p>
        </w:tc>
      </w:tr>
      <w:tr>
        <w:tc>
          <w:tcPr>
            <w:tcW w:type="dxa" w:w="2520"/>
            <w:shd w:fill="F2F4F8" w:val="clear"/>
          </w:tcPr>
          <w:p>
            <w:r>
              <w:rPr>
                <w:rFonts w:ascii="Calibri" w:hAnsi="Calibri"/>
                <w:color w:val="333333"/>
                <w:sz w:val="18"/>
              </w:rPr>
              <w:t>Unknown</w:t>
            </w:r>
          </w:p>
        </w:tc>
        <w:tc>
          <w:tcPr>
            <w:tcW w:type="dxa" w:w="2520"/>
            <w:shd w:fill="F2F4F8" w:val="clear"/>
          </w:tcPr>
          <w:p>
            <w:r>
              <w:rPr>
                <w:rFonts w:ascii="Calibri" w:hAnsi="Calibri"/>
                <w:color w:val="333333"/>
                <w:sz w:val="18"/>
              </w:rPr>
              <w:t>N/A</w:t>
            </w:r>
          </w:p>
        </w:tc>
        <w:tc>
          <w:tcPr>
            <w:tcW w:type="dxa" w:w="2520"/>
            <w:shd w:fill="F2F4F8" w:val="clear"/>
          </w:tcPr>
          <w:p>
            <w:r>
              <w:rPr>
                <w:rFonts w:ascii="Calibri" w:hAnsi="Calibri"/>
                <w:color w:val="333333"/>
                <w:sz w:val="18"/>
              </w:rPr>
              <w:t>N/A</w:t>
            </w:r>
          </w:p>
        </w:tc>
        <w:tc>
          <w:tcPr>
            <w:tcW w:type="dxa" w:w="2520"/>
            <w:shd w:fill="F2F4F8" w:val="clear"/>
          </w:tcPr>
          <w:p>
            <w:r>
              <w:rPr>
                <w:rFonts w:ascii="Calibri" w:hAnsi="Calibri"/>
                <w:color w:val="333333"/>
                <w:sz w:val="18"/>
              </w:rPr>
            </w:r>
          </w:p>
        </w:tc>
      </w:tr>
      <w:tr>
        <w:tc>
          <w:tcPr>
            <w:tcW w:type="dxa" w:w="2520"/>
          </w:tcPr>
          <w:p>
            <w:r>
              <w:rPr>
                <w:rFonts w:ascii="Calibri" w:hAnsi="Calibri"/>
                <w:color w:val="333333"/>
                <w:sz w:val="18"/>
              </w:rPr>
              <w:t>Unknown</w:t>
            </w:r>
          </w:p>
        </w:tc>
        <w:tc>
          <w:tcPr>
            <w:tcW w:type="dxa" w:w="2520"/>
          </w:tcPr>
          <w:p>
            <w:r>
              <w:rPr>
                <w:rFonts w:ascii="Calibri" w:hAnsi="Calibri"/>
                <w:color w:val="333333"/>
                <w:sz w:val="18"/>
              </w:rPr>
              <w:t>N/A</w:t>
            </w:r>
          </w:p>
        </w:tc>
        <w:tc>
          <w:tcPr>
            <w:tcW w:type="dxa" w:w="2520"/>
          </w:tcPr>
          <w:p>
            <w:r>
              <w:rPr>
                <w:rFonts w:ascii="Calibri" w:hAnsi="Calibri"/>
                <w:color w:val="333333"/>
                <w:sz w:val="18"/>
              </w:rPr>
              <w:t>N/A</w:t>
            </w:r>
          </w:p>
        </w:tc>
        <w:tc>
          <w:tcPr>
            <w:tcW w:type="dxa" w:w="2520"/>
          </w:tcPr>
          <w:p>
            <w:r>
              <w:rPr>
                <w:rFonts w:ascii="Calibri" w:hAnsi="Calibri"/>
                <w:color w:val="333333"/>
                <w:sz w:val="18"/>
              </w:rPr>
            </w:r>
          </w:p>
        </w:tc>
      </w:tr>
      <w:tr>
        <w:tc>
          <w:tcPr>
            <w:tcW w:type="dxa" w:w="2520"/>
            <w:shd w:fill="F2F4F8" w:val="clear"/>
          </w:tcPr>
          <w:p>
            <w:r>
              <w:rPr>
                <w:rFonts w:ascii="Calibri" w:hAnsi="Calibri"/>
                <w:color w:val="333333"/>
                <w:sz w:val="18"/>
              </w:rPr>
              <w:t>Unknown</w:t>
            </w:r>
          </w:p>
        </w:tc>
        <w:tc>
          <w:tcPr>
            <w:tcW w:type="dxa" w:w="2520"/>
            <w:shd w:fill="F2F4F8" w:val="clear"/>
          </w:tcPr>
          <w:p>
            <w:r>
              <w:rPr>
                <w:rFonts w:ascii="Calibri" w:hAnsi="Calibri"/>
                <w:color w:val="333333"/>
                <w:sz w:val="18"/>
              </w:rPr>
              <w:t>N/A</w:t>
            </w:r>
          </w:p>
        </w:tc>
        <w:tc>
          <w:tcPr>
            <w:tcW w:type="dxa" w:w="2520"/>
            <w:shd w:fill="F2F4F8" w:val="clear"/>
          </w:tcPr>
          <w:p>
            <w:r>
              <w:rPr>
                <w:rFonts w:ascii="Calibri" w:hAnsi="Calibri"/>
                <w:color w:val="333333"/>
                <w:sz w:val="18"/>
              </w:rPr>
              <w:t>N/A</w:t>
            </w:r>
          </w:p>
        </w:tc>
        <w:tc>
          <w:tcPr>
            <w:tcW w:type="dxa" w:w="2520"/>
            <w:shd w:fill="F2F4F8" w:val="clear"/>
          </w:tcPr>
          <w:p>
            <w:r>
              <w:rPr>
                <w:rFonts w:ascii="Calibri" w:hAnsi="Calibri"/>
                <w:color w:val="333333"/>
                <w:sz w:val="18"/>
              </w:rPr>
            </w:r>
          </w:p>
        </w:tc>
      </w:tr>
      <w:tr>
        <w:tc>
          <w:tcPr>
            <w:tcW w:type="dxa" w:w="2520"/>
          </w:tcPr>
          <w:p>
            <w:r>
              <w:rPr>
                <w:rFonts w:ascii="Calibri" w:hAnsi="Calibri"/>
                <w:color w:val="333333"/>
                <w:sz w:val="18"/>
              </w:rPr>
              <w:t>Unknown</w:t>
            </w:r>
          </w:p>
        </w:tc>
        <w:tc>
          <w:tcPr>
            <w:tcW w:type="dxa" w:w="2520"/>
          </w:tcPr>
          <w:p>
            <w:r>
              <w:rPr>
                <w:rFonts w:ascii="Calibri" w:hAnsi="Calibri"/>
                <w:color w:val="333333"/>
                <w:sz w:val="18"/>
              </w:rPr>
              <w:t>N/A</w:t>
            </w:r>
          </w:p>
        </w:tc>
        <w:tc>
          <w:tcPr>
            <w:tcW w:type="dxa" w:w="2520"/>
          </w:tcPr>
          <w:p>
            <w:r>
              <w:rPr>
                <w:rFonts w:ascii="Calibri" w:hAnsi="Calibri"/>
                <w:color w:val="333333"/>
                <w:sz w:val="18"/>
              </w:rPr>
              <w:t>N/A</w:t>
            </w:r>
          </w:p>
        </w:tc>
        <w:tc>
          <w:tcPr>
            <w:tcW w:type="dxa" w:w="2520"/>
          </w:tcPr>
          <w:p>
            <w:r>
              <w:rPr>
                <w:rFonts w:ascii="Calibri" w:hAnsi="Calibri"/>
                <w:color w:val="333333"/>
                <w:sz w:val="18"/>
              </w:rPr>
            </w:r>
          </w:p>
        </w:tc>
      </w:tr>
      <w:tr>
        <w:tc>
          <w:tcPr>
            <w:tcW w:type="dxa" w:w="2520"/>
            <w:shd w:fill="F2F4F8" w:val="clear"/>
          </w:tcPr>
          <w:p>
            <w:r>
              <w:rPr>
                <w:rFonts w:ascii="Calibri" w:hAnsi="Calibri"/>
                <w:color w:val="333333"/>
                <w:sz w:val="18"/>
              </w:rPr>
              <w:t>Unknown</w:t>
            </w:r>
          </w:p>
        </w:tc>
        <w:tc>
          <w:tcPr>
            <w:tcW w:type="dxa" w:w="2520"/>
            <w:shd w:fill="F2F4F8" w:val="clear"/>
          </w:tcPr>
          <w:p>
            <w:r>
              <w:rPr>
                <w:rFonts w:ascii="Calibri" w:hAnsi="Calibri"/>
                <w:color w:val="333333"/>
                <w:sz w:val="18"/>
              </w:rPr>
              <w:t>N/A</w:t>
            </w:r>
          </w:p>
        </w:tc>
        <w:tc>
          <w:tcPr>
            <w:tcW w:type="dxa" w:w="2520"/>
            <w:shd w:fill="F2F4F8" w:val="clear"/>
          </w:tcPr>
          <w:p>
            <w:r>
              <w:rPr>
                <w:rFonts w:ascii="Calibri" w:hAnsi="Calibri"/>
                <w:color w:val="333333"/>
                <w:sz w:val="18"/>
              </w:rPr>
              <w:t>N/A</w:t>
            </w:r>
          </w:p>
        </w:tc>
        <w:tc>
          <w:tcPr>
            <w:tcW w:type="dxa" w:w="2520"/>
            <w:shd w:fill="F2F4F8" w:val="clear"/>
          </w:tcPr>
          <w:p>
            <w:r>
              <w:rPr>
                <w:rFonts w:ascii="Calibri" w:hAnsi="Calibri"/>
                <w:color w:val="333333"/>
                <w:sz w:val="18"/>
              </w:rPr>
            </w:r>
          </w:p>
        </w:tc>
      </w:tr>
      <w:tr>
        <w:tc>
          <w:tcPr>
            <w:tcW w:type="dxa" w:w="2520"/>
          </w:tcPr>
          <w:p>
            <w:r>
              <w:rPr>
                <w:rFonts w:ascii="Calibri" w:hAnsi="Calibri"/>
                <w:color w:val="333333"/>
                <w:sz w:val="18"/>
              </w:rPr>
              <w:t>Unknown</w:t>
            </w:r>
          </w:p>
        </w:tc>
        <w:tc>
          <w:tcPr>
            <w:tcW w:type="dxa" w:w="2520"/>
          </w:tcPr>
          <w:p>
            <w:r>
              <w:rPr>
                <w:rFonts w:ascii="Calibri" w:hAnsi="Calibri"/>
                <w:color w:val="333333"/>
                <w:sz w:val="18"/>
              </w:rPr>
              <w:t>N/A</w:t>
            </w:r>
          </w:p>
        </w:tc>
        <w:tc>
          <w:tcPr>
            <w:tcW w:type="dxa" w:w="2520"/>
          </w:tcPr>
          <w:p>
            <w:r>
              <w:rPr>
                <w:rFonts w:ascii="Calibri" w:hAnsi="Calibri"/>
                <w:color w:val="333333"/>
                <w:sz w:val="18"/>
              </w:rPr>
              <w:t>N/A</w:t>
            </w:r>
          </w:p>
        </w:tc>
        <w:tc>
          <w:tcPr>
            <w:tcW w:type="dxa" w:w="2520"/>
          </w:tcPr>
          <w:p>
            <w:r>
              <w:rPr>
                <w:rFonts w:ascii="Calibri" w:hAnsi="Calibri"/>
                <w:color w:val="333333"/>
                <w:sz w:val="18"/>
              </w:rPr>
            </w:r>
          </w:p>
        </w:tc>
      </w:tr>
    </w:tbl>
    <w:p>
      <w:pPr>
        <w:pStyle w:val="DOHeading2"/>
      </w:pPr>
      <w:r>
        <w:t>NLP Filing Analysis</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Metric</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Readability Score</w:t>
            </w:r>
          </w:p>
        </w:tc>
        <w:tc>
          <w:tcPr>
            <w:tcW w:type="dxa" w:w="5040"/>
          </w:tcPr>
          <w:p>
            <w:r>
              <w:rPr>
                <w:rFonts w:ascii="Calibri" w:hAnsi="Calibri"/>
                <w:color w:val="333333"/>
                <w:sz w:val="18"/>
              </w:rPr>
              <w:t>{'current_fog': 19.51, 'prior_fog': None, 'fog_change': None, 'current_flesch': 20.29, 'prior_flesch': None, 'classification': 'CURRENT_ONLY', 'evidence': 'Current Fog Index: 19.5 (prior year unavailable)'}</w:t>
            </w:r>
          </w:p>
        </w:tc>
      </w:tr>
      <w:tr>
        <w:tc>
          <w:tcPr>
            <w:tcW w:type="dxa" w:w="5040"/>
            <w:shd w:fill="F2F4F8" w:val="clear"/>
          </w:tcPr>
          <w:p>
            <w:r>
              <w:rPr>
                <w:rFonts w:ascii="Calibri" w:hAnsi="Calibri"/>
                <w:color w:val="333333"/>
                <w:sz w:val="18"/>
              </w:rPr>
              <w:t>Tone Assessment</w:t>
            </w:r>
          </w:p>
        </w:tc>
        <w:tc>
          <w:tcPr>
            <w:tcW w:type="dxa" w:w="5040"/>
            <w:shd w:fill="F2F4F8" w:val="clear"/>
          </w:tcPr>
          <w:p>
            <w:r>
              <w:rPr>
                <w:rFonts w:ascii="Calibri" w:hAnsi="Calibri"/>
                <w:color w:val="333333"/>
                <w:sz w:val="18"/>
              </w:rPr>
              <w:t>N/A</w:t>
            </w:r>
          </w:p>
        </w:tc>
      </w:tr>
      <w:tr>
        <w:tc>
          <w:tcPr>
            <w:tcW w:type="dxa" w:w="5040"/>
          </w:tcPr>
          <w:p>
            <w:r>
              <w:rPr>
                <w:rFonts w:ascii="Calibri" w:hAnsi="Calibri"/>
                <w:color w:val="333333"/>
                <w:sz w:val="18"/>
              </w:rPr>
              <w:t>Risk Language Density</w:t>
            </w:r>
          </w:p>
        </w:tc>
        <w:tc>
          <w:tcPr>
            <w:tcW w:type="dxa" w:w="5040"/>
          </w:tcPr>
          <w:p>
            <w:r>
              <w:rPr>
                <w:rFonts w:ascii="Calibri" w:hAnsi="Calibri"/>
                <w:color w:val="333333"/>
                <w:sz w:val="18"/>
              </w:rPr>
              <w:t>N/A</w:t>
            </w:r>
          </w:p>
        </w:tc>
      </w:tr>
    </w:tbl>
    <w:p>
      <w:pPr>
        <w:pStyle w:val="DOHeading2"/>
      </w:pPr>
      <w:r>
        <w:t>Peril Assessment</w:t>
      </w:r>
    </w:p>
    <w:p>
      <w:pPr>
        <w:pStyle w:val="DOHeading3"/>
      </w:pPr>
      <w:r>
        <w:t>Plaintiff Peril Heat Map</w:t>
      </w:r>
    </w:p>
    <w:tbl>
      <w:tblPr>
        <w:tblStyle w:val="TableGrid"/>
        <w:tblW w:type="auto" w:w="0"/>
        <w:tblLook w:firstColumn="1" w:firstRow="1" w:lastColumn="0" w:lastRow="0" w:noHBand="0" w:noVBand="1" w:val="04A0"/>
      </w:tblPr>
      <w:tblGrid>
        <w:gridCol w:w="3360"/>
        <w:gridCol w:w="3360"/>
        <w:gridCol w:w="3360"/>
      </w:tblGrid>
      <w:tr>
        <w:tc>
          <w:tcPr>
            <w:tcW w:type="dxa" w:w="3360"/>
            <w:shd w:fill="1A1446" w:val="clear"/>
          </w:tcPr>
          <w:p>
            <w:r>
              <w:rPr>
                <w:rFonts w:ascii="Calibri" w:hAnsi="Calibri"/>
                <w:b/>
                <w:color w:val="FFFFFF"/>
                <w:sz w:val="18"/>
              </w:rPr>
              <w:t>Plaintiff Type</w:t>
            </w:r>
          </w:p>
        </w:tc>
        <w:tc>
          <w:tcPr>
            <w:tcW w:type="dxa" w:w="3360"/>
            <w:shd w:fill="1A1446" w:val="clear"/>
          </w:tcPr>
          <w:p>
            <w:r>
              <w:rPr>
                <w:rFonts w:ascii="Calibri" w:hAnsi="Calibri"/>
                <w:b/>
                <w:color w:val="FFFFFF"/>
                <w:sz w:val="18"/>
              </w:rPr>
              <w:t>Probability</w:t>
            </w:r>
          </w:p>
        </w:tc>
        <w:tc>
          <w:tcPr>
            <w:tcW w:type="dxa" w:w="3360"/>
            <w:shd w:fill="1A1446" w:val="clear"/>
          </w:tcPr>
          <w:p>
            <w:r>
              <w:rPr>
                <w:rFonts w:ascii="Calibri" w:hAnsi="Calibri"/>
                <w:b/>
                <w:color w:val="FFFFFF"/>
                <w:sz w:val="18"/>
              </w:rPr>
              <w:t>Severity</w:t>
            </w:r>
          </w:p>
        </w:tc>
      </w:tr>
      <w:tr>
        <w:tc>
          <w:tcPr>
            <w:tcW w:type="dxa" w:w="3360"/>
          </w:tcPr>
          <w:p>
            <w:r>
              <w:rPr>
                <w:rFonts w:ascii="Calibri" w:hAnsi="Calibri"/>
                <w:b/>
                <w:color w:val="333333"/>
                <w:sz w:val="18"/>
              </w:rPr>
              <w:t>Shareholders</w:t>
            </w:r>
          </w:p>
        </w:tc>
        <w:tc>
          <w:tcPr>
            <w:tcW w:type="dxa" w:w="3360"/>
            <w:shd w:fill="FFCCBC" w:val="clear"/>
          </w:tcPr>
          <w:p>
            <w:r>
              <w:rPr>
                <w:rFonts w:ascii="Calibri" w:hAnsi="Calibri"/>
                <w:b/>
                <w:color w:val="CC3300"/>
                <w:sz w:val="18"/>
              </w:rPr>
              <w:t>ELEVATED</w:t>
            </w:r>
          </w:p>
        </w:tc>
        <w:tc>
          <w:tcPr>
            <w:tcW w:type="dxa" w:w="3360"/>
            <w:shd w:fill="FFCCBC" w:val="clear"/>
          </w:tcPr>
          <w:p>
            <w:r>
              <w:rPr>
                <w:rFonts w:ascii="Calibri" w:hAnsi="Calibri"/>
                <w:b/>
                <w:color w:val="333333"/>
                <w:sz w:val="18"/>
              </w:rPr>
              <w:t>SIGNIFICANT</w:t>
            </w:r>
          </w:p>
        </w:tc>
      </w:tr>
      <w:tr>
        <w:tc>
          <w:tcPr>
            <w:tcW w:type="dxa" w:w="3360"/>
          </w:tcPr>
          <w:p>
            <w:r>
              <w:rPr>
                <w:rFonts w:ascii="Calibri" w:hAnsi="Calibri"/>
                <w:b/>
                <w:color w:val="333333"/>
                <w:sz w:val="18"/>
              </w:rPr>
              <w:t>Regulators</w:t>
            </w:r>
          </w:p>
        </w:tc>
        <w:tc>
          <w:tcPr>
            <w:tcW w:type="dxa" w:w="3360"/>
            <w:shd w:fill="FFCCBC" w:val="clear"/>
          </w:tcPr>
          <w:p>
            <w:r>
              <w:rPr>
                <w:rFonts w:ascii="Calibri" w:hAnsi="Calibri"/>
                <w:b/>
                <w:color w:val="CC3300"/>
                <w:sz w:val="18"/>
              </w:rPr>
              <w:t>ELEVATED</w:t>
            </w:r>
          </w:p>
        </w:tc>
        <w:tc>
          <w:tcPr>
            <w:tcW w:type="dxa" w:w="3360"/>
            <w:shd w:fill="FFCCBC" w:val="clear"/>
          </w:tcPr>
          <w:p>
            <w:r>
              <w:rPr>
                <w:rFonts w:ascii="Calibri" w:hAnsi="Calibri"/>
                <w:b/>
                <w:color w:val="333333"/>
                <w:sz w:val="18"/>
              </w:rPr>
              <w:t>SIGNIFICANT</w:t>
            </w:r>
          </w:p>
        </w:tc>
      </w:tr>
      <w:tr>
        <w:tc>
          <w:tcPr>
            <w:tcW w:type="dxa" w:w="3360"/>
          </w:tcPr>
          <w:p>
            <w:r>
              <w:rPr>
                <w:rFonts w:ascii="Calibri" w:hAnsi="Calibri"/>
                <w:b/>
                <w:color w:val="333333"/>
                <w:sz w:val="18"/>
              </w:rPr>
              <w:t>Customers</w:t>
            </w:r>
          </w:p>
        </w:tc>
        <w:tc>
          <w:tcPr>
            <w:tcW w:type="dxa" w:w="3360"/>
            <w:shd w:fill="DCEEF8" w:val="clear"/>
          </w:tcPr>
          <w:p>
            <w:r>
              <w:rPr>
                <w:rFonts w:ascii="Calibri" w:hAnsi="Calibri"/>
                <w:b/>
                <w:color w:val="4A90D9"/>
                <w:sz w:val="18"/>
              </w:rPr>
              <w:t>VERY LOW</w:t>
            </w:r>
          </w:p>
        </w:tc>
        <w:tc>
          <w:tcPr>
            <w:tcW w:type="dxa" w:w="3360"/>
            <w:shd w:fill="DCEEF8" w:val="clear"/>
          </w:tcPr>
          <w:p>
            <w:r>
              <w:rPr>
                <w:rFonts w:ascii="Calibri" w:hAnsi="Calibri"/>
                <w:b/>
                <w:color w:val="333333"/>
                <w:sz w:val="18"/>
              </w:rPr>
              <w:t>NUISANCE</w:t>
            </w:r>
          </w:p>
        </w:tc>
      </w:tr>
      <w:tr>
        <w:tc>
          <w:tcPr>
            <w:tcW w:type="dxa" w:w="3360"/>
          </w:tcPr>
          <w:p>
            <w:r>
              <w:rPr>
                <w:rFonts w:ascii="Calibri" w:hAnsi="Calibri"/>
                <w:b/>
                <w:color w:val="333333"/>
                <w:sz w:val="18"/>
              </w:rPr>
              <w:t>Competitors</w:t>
            </w:r>
          </w:p>
        </w:tc>
        <w:tc>
          <w:tcPr>
            <w:tcW w:type="dxa" w:w="3360"/>
            <w:shd w:fill="DCEEF8" w:val="clear"/>
          </w:tcPr>
          <w:p>
            <w:r>
              <w:rPr>
                <w:rFonts w:ascii="Calibri" w:hAnsi="Calibri"/>
                <w:b/>
                <w:color w:val="4A90D9"/>
                <w:sz w:val="18"/>
              </w:rPr>
              <w:t>VERY LOW</w:t>
            </w:r>
          </w:p>
        </w:tc>
        <w:tc>
          <w:tcPr>
            <w:tcW w:type="dxa" w:w="3360"/>
            <w:shd w:fill="DCEEF8" w:val="clear"/>
          </w:tcPr>
          <w:p>
            <w:r>
              <w:rPr>
                <w:rFonts w:ascii="Calibri" w:hAnsi="Calibri"/>
                <w:b/>
                <w:color w:val="333333"/>
                <w:sz w:val="18"/>
              </w:rPr>
              <w:t>NUISANCE</w:t>
            </w:r>
          </w:p>
        </w:tc>
      </w:tr>
      <w:tr>
        <w:tc>
          <w:tcPr>
            <w:tcW w:type="dxa" w:w="3360"/>
          </w:tcPr>
          <w:p>
            <w:r>
              <w:rPr>
                <w:rFonts w:ascii="Calibri" w:hAnsi="Calibri"/>
                <w:b/>
                <w:color w:val="333333"/>
                <w:sz w:val="18"/>
              </w:rPr>
              <w:t>Employees</w:t>
            </w:r>
          </w:p>
        </w:tc>
        <w:tc>
          <w:tcPr>
            <w:tcW w:type="dxa" w:w="3360"/>
            <w:shd w:fill="FFF3CD" w:val="clear"/>
          </w:tcPr>
          <w:p>
            <w:r>
              <w:rPr>
                <w:rFonts w:ascii="Calibri" w:hAnsi="Calibri"/>
                <w:b/>
                <w:color w:val="998800"/>
                <w:sz w:val="18"/>
              </w:rPr>
              <w:t>LOW</w:t>
            </w:r>
          </w:p>
        </w:tc>
        <w:tc>
          <w:tcPr>
            <w:tcW w:type="dxa" w:w="3360"/>
            <w:shd w:fill="FFF3CD" w:val="clear"/>
          </w:tcPr>
          <w:p>
            <w:r>
              <w:rPr>
                <w:rFonts w:ascii="Calibri" w:hAnsi="Calibri"/>
                <w:b/>
                <w:color w:val="333333"/>
                <w:sz w:val="18"/>
              </w:rPr>
              <w:t>MINOR</w:t>
            </w:r>
          </w:p>
        </w:tc>
      </w:tr>
      <w:tr>
        <w:tc>
          <w:tcPr>
            <w:tcW w:type="dxa" w:w="3360"/>
          </w:tcPr>
          <w:p>
            <w:r>
              <w:rPr>
                <w:rFonts w:ascii="Calibri" w:hAnsi="Calibri"/>
                <w:b/>
                <w:color w:val="333333"/>
                <w:sz w:val="18"/>
              </w:rPr>
              <w:t>Creditors</w:t>
            </w:r>
          </w:p>
        </w:tc>
        <w:tc>
          <w:tcPr>
            <w:tcW w:type="dxa" w:w="3360"/>
            <w:shd w:fill="FFF3CD" w:val="clear"/>
          </w:tcPr>
          <w:p>
            <w:r>
              <w:rPr>
                <w:rFonts w:ascii="Calibri" w:hAnsi="Calibri"/>
                <w:b/>
                <w:color w:val="998800"/>
                <w:sz w:val="18"/>
              </w:rPr>
              <w:t>LOW</w:t>
            </w:r>
          </w:p>
        </w:tc>
        <w:tc>
          <w:tcPr>
            <w:tcW w:type="dxa" w:w="3360"/>
            <w:shd w:fill="FFF3CD" w:val="clear"/>
          </w:tcPr>
          <w:p>
            <w:r>
              <w:rPr>
                <w:rFonts w:ascii="Calibri" w:hAnsi="Calibri"/>
                <w:b/>
                <w:color w:val="333333"/>
                <w:sz w:val="18"/>
              </w:rPr>
              <w:t>MINOR</w:t>
            </w:r>
          </w:p>
        </w:tc>
      </w:tr>
      <w:tr>
        <w:tc>
          <w:tcPr>
            <w:tcW w:type="dxa" w:w="3360"/>
          </w:tcPr>
          <w:p>
            <w:r>
              <w:rPr>
                <w:rFonts w:ascii="Calibri" w:hAnsi="Calibri"/>
                <w:b/>
                <w:color w:val="333333"/>
                <w:sz w:val="18"/>
              </w:rPr>
              <w:t>Government</w:t>
            </w:r>
          </w:p>
        </w:tc>
        <w:tc>
          <w:tcPr>
            <w:tcW w:type="dxa" w:w="3360"/>
            <w:shd w:fill="FFE0B2" w:val="clear"/>
          </w:tcPr>
          <w:p>
            <w:r>
              <w:rPr>
                <w:rFonts w:ascii="Calibri" w:hAnsi="Calibri"/>
                <w:b/>
                <w:color w:val="E67300"/>
                <w:sz w:val="18"/>
              </w:rPr>
              <w:t>MODERATE</w:t>
            </w:r>
          </w:p>
        </w:tc>
        <w:tc>
          <w:tcPr>
            <w:tcW w:type="dxa" w:w="3360"/>
            <w:shd w:fill="FFE0B2" w:val="clear"/>
          </w:tcPr>
          <w:p>
            <w:r>
              <w:rPr>
                <w:rFonts w:ascii="Calibri" w:hAnsi="Calibri"/>
                <w:b/>
                <w:color w:val="333333"/>
                <w:sz w:val="18"/>
              </w:rPr>
              <w:t>MODERATE</w:t>
            </w:r>
          </w:p>
        </w:tc>
      </w:tr>
    </w:tbl>
    <w:p>
      <w:pPr>
        <w:pStyle w:val="DOBody"/>
      </w:pPr>
      <w:r>
        <w:rPr>
          <w:color w:val="666666"/>
          <w:sz w:val="16"/>
        </w:rPr>
        <w:t>Shareholders: 40 triggered checks. Key: Litigation History Profile: 1 (elevated vs benchmark of 0)</w:t>
      </w:r>
    </w:p>
    <w:p>
      <w:pPr>
        <w:pStyle w:val="DOBody"/>
      </w:pPr>
      <w:r>
        <w:rPr>
          <w:color w:val="666666"/>
          <w:sz w:val="16"/>
        </w:rPr>
        <w:t>Regulators: 13 triggered checks. Key: Disclosure Complexity Score: 30 (elevated vs benchmark of 25)</w:t>
      </w:r>
    </w:p>
    <w:p>
      <w:pPr>
        <w:pStyle w:val="DOBody"/>
      </w:pPr>
      <w:r>
        <w:rPr>
          <w:color w:val="666666"/>
          <w:sz w:val="16"/>
        </w:rPr>
        <w:t>Government: 3 triggered checks. Key: Product Concentration: 6 (elevated vs benchmark of 3)</w:t>
      </w:r>
    </w:p>
    <w:p>
      <w:pPr>
        <w:pStyle w:val="DOHeading3"/>
      </w:pPr>
      <w:r>
        <w:t>Bear Cases</w:t>
      </w:r>
    </w:p>
    <w:p>
      <w:pPr>
        <w:pStyle w:val="DOHeading3"/>
      </w:pPr>
      <w:r>
        <w:t>Bear Case: A Disclosure</w:t>
      </w:r>
    </w:p>
    <w:p>
      <w:pPr>
        <w:pStyle w:val="DOBody"/>
      </w:pPr>
      <w:r>
        <w:rPr>
          <w:b/>
        </w:rPr>
        <w:t>PROCTER &amp; GAMBLE Co faces elevated exposure to securities disclosure fraud claims. Key risk indicators: Litigation History Profile (critical); VIE/SPE Off-Balance-Sheet Structures (critical). Estimated severity is significant, warranting detailed underwriter review.</w:t>
      </w:r>
    </w:p>
    <w:p>
      <w:pPr>
        <w:pStyle w:val="DOBody"/>
      </w:pPr>
      <w:r>
        <w:rPr>
          <w:i/>
        </w:rPr>
        <w:t>Defense: Defense: No active Section 11 windows — statute of limitations expired for offering claims</w:t>
      </w:r>
    </w:p>
    <w:p>
      <w:pPr>
        <w:pStyle w:val="DOBody"/>
      </w:pPr>
      <w:r>
        <w:rPr>
          <w:b/>
          <w:sz w:val="20"/>
        </w:rPr>
        <w:t>Evidence Chain</w:t>
      </w:r>
    </w:p>
    <w:p>
      <w:pPr>
        <w:pStyle w:val="DOBody"/>
      </w:pPr>
      <w:r>
        <w:rPr>
          <w:sz w:val="16"/>
        </w:rPr>
        <w:t>1. [BIZ.CLASS.litigation_history] Litigation History Profile (Source: total_sca_count)</w:t>
      </w:r>
    </w:p>
    <w:p>
      <w:pPr>
        <w:pStyle w:val="DOBody"/>
      </w:pPr>
      <w:r>
        <w:rPr>
          <w:sz w:val="16"/>
        </w:rPr>
        <w:t>2. [BIZ.STRUCT.vie_spe] VIE/SPE Off-Balance-Sheet Structures (Source: vie_spe_present)</w:t>
      </w:r>
    </w:p>
    <w:p>
      <w:pPr>
        <w:pStyle w:val="DOBody"/>
      </w:pPr>
      <w:r>
        <w:rPr>
          <w:sz w:val="16"/>
        </w:rPr>
        <w:t>3. [BIZ.DEPEND.distribution] Product Concentration (Source: distribution_channels_count)</w:t>
      </w:r>
    </w:p>
    <w:p>
      <w:pPr>
        <w:pStyle w:val="DOBody"/>
      </w:pPr>
      <w:r>
        <w:rPr>
          <w:sz w:val="16"/>
        </w:rPr>
        <w:t>4. [BIZ.EVENT.ipo_exposure] IPO/Offering Exposure Window (Source: event_ipo_exposure_score)</w:t>
      </w:r>
    </w:p>
    <w:p>
      <w:pPr>
        <w:pStyle w:val="DOBody"/>
      </w:pPr>
      <w:r>
        <w:rPr>
          <w:sz w:val="16"/>
        </w:rPr>
        <w:t>5. [BIZ.OPS.workforce] Workforce Distribution (Source: workforce_distribution)</w:t>
      </w:r>
    </w:p>
    <w:p>
      <w:pPr>
        <w:pStyle w:val="DOBody"/>
      </w:pPr>
      <w:r>
        <w:rPr>
          <w:sz w:val="16"/>
        </w:rPr>
        <w:t>6. [BIZ.STRUC.nongaap] Non-GAAP Measure Usage (Source: nongaap_measure_count)</w:t>
      </w:r>
    </w:p>
    <w:p>
      <w:pPr>
        <w:pStyle w:val="DOBody"/>
      </w:pPr>
      <w:r>
        <w:rPr>
          <w:sz w:val="16"/>
        </w:rPr>
        <w:t>7. [EXEC.INSIDER.ceo_net_selling] CEO Net Seller of Stock (Source: value)</w:t>
      </w:r>
    </w:p>
    <w:p>
      <w:pPr>
        <w:pStyle w:val="DOBody"/>
      </w:pPr>
      <w:r>
        <w:rPr>
          <w:sz w:val="16"/>
        </w:rPr>
        <w:t>8. [EXEC.INSIDER.cfo_net_selling] CFO Net Seller of Stock (Source: value)</w:t>
      </w:r>
    </w:p>
    <w:p>
      <w:pPr>
        <w:pStyle w:val="DOBody"/>
      </w:pPr>
      <w:r>
        <w:rPr>
          <w:sz w:val="16"/>
        </w:rPr>
        <w:t>9. [FIN.FORENSIC.intangible_concentration] Intangible Asset Concentration (Source: forensic_intangible_concentration)</w:t>
      </w:r>
    </w:p>
    <w:p>
      <w:pPr>
        <w:pStyle w:val="DOBody"/>
      </w:pPr>
      <w:r>
        <w:rPr>
          <w:sz w:val="16"/>
        </w:rPr>
        <w:t>10. [FIN.FORENSIC.channel_stuffing] Channel Stuffing Indicators (Source: forensic_channel_stuffing)</w:t>
      </w:r>
    </w:p>
    <w:p>
      <w:pPr>
        <w:pStyle w:val="DOBody"/>
      </w:pPr>
      <w:r>
        <w:rPr>
          <w:color w:val="666666"/>
          <w:sz w:val="16"/>
        </w:rPr>
        <w:t>Probability: ELEVATED | Severity: SIGNIFICANT</w:t>
      </w:r>
    </w:p>
    <w:p>
      <w:pPr>
        <w:pStyle w:val="DOHeading3"/>
      </w:pPr>
      <w:r>
        <w:t>Settlement Prediction</w:t>
      </w:r>
    </w:p>
    <w:p>
      <w:pPr>
        <w:pStyle w:val="DOBody"/>
      </w:pPr>
      <w:r>
        <w:t>Settlement prediction computed but no scenarios available.</w:t>
      </w:r>
    </w:p>
    <w:p>
      <w:pPr>
        <w:pStyle w:val="DOHeading3"/>
      </w:pPr>
      <w:r>
        <w:t>Tower Risk Characterization</w:t>
      </w:r>
    </w:p>
    <w:p>
      <w:pPr>
        <w:pStyle w:val="DOBody"/>
      </w:pPr>
      <w:r>
        <w:t>Tower characterization not available.</w:t>
      </w:r>
    </w:p>
    <w:p>
      <w:pPr>
        <w:pStyle w:val="DOHeading2"/>
      </w:pPr>
      <w:r>
        <w:t>Coverage Gaps -- Data Not Available</w:t>
      </w:r>
    </w:p>
    <w:p>
      <w:pPr>
        <w:pStyle w:val="DOBody"/>
      </w:pPr>
      <w:r>
        <w:rPr>
          <w:i/>
        </w:rPr>
        <w:t>The following checks could not be evaluated because required data was not acquired. These items are NOT cleared -- they represent gaps in coverage that should be considered in the underwriting decision.</w:t>
      </w:r>
    </w:p>
    <w:p>
      <w:pPr>
        <w:pStyle w:val="DOHeading3"/>
      </w:pPr>
      <w:r>
        <w:t>Company Profile &amp; Industry</w:t>
      </w:r>
    </w:p>
    <w:p>
      <w:pPr>
        <w:pStyle w:val="DOBody"/>
      </w:pPr>
      <w:r>
        <w:rPr>
          <w:b/>
          <w:sz w:val="16"/>
        </w:rPr>
        <w:t xml:space="preserve">  [EVALUATIVE] </w:t>
      </w:r>
      <w:r>
        <w:rPr>
          <w:sz w:val="16"/>
        </w:rPr>
        <w:t>FWRD.WARN.goodwill_risk (Goodwill Risk): No field_key in data_strategy</w:t>
      </w:r>
    </w:p>
    <w:p>
      <w:pPr>
        <w:pStyle w:val="DOBody"/>
      </w:pPr>
      <w:r>
        <w:rPr>
          <w:b/>
          <w:sz w:val="16"/>
        </w:rPr>
        <w:t xml:space="preserve">  [EVALUATIVE] </w:t>
      </w:r>
      <w:r>
        <w:rPr>
          <w:sz w:val="16"/>
        </w:rPr>
        <w:t>FWRD.WARN.working_capital_trends (Working Capital Trends): No field_key in data_strategy</w:t>
      </w:r>
    </w:p>
    <w:p>
      <w:pPr>
        <w:pStyle w:val="DOHeading3"/>
      </w:pPr>
      <w:r>
        <w:t>Executive Summary &amp; Key Metrics</w:t>
      </w:r>
    </w:p>
    <w:p>
      <w:pPr>
        <w:pStyle w:val="DOBody"/>
      </w:pPr>
      <w:r>
        <w:rPr>
          <w:b/>
          <w:sz w:val="16"/>
        </w:rPr>
        <w:t xml:space="preserve">  [REQUIRED] </w:t>
      </w:r>
      <w:r>
        <w:rPr>
          <w:sz w:val="16"/>
        </w:rPr>
        <w:t>BIZ.SIZE.growth_trajectory (Public Company Tenure): Required data not available from filings</w:t>
      </w:r>
    </w:p>
    <w:p>
      <w:pPr>
        <w:pStyle w:val="DOBody"/>
      </w:pPr>
      <w:r>
        <w:rPr>
          <w:b/>
          <w:sz w:val="16"/>
        </w:rPr>
        <w:t xml:space="preserve">  [REQUIRED] </w:t>
      </w:r>
      <w:r>
        <w:rPr>
          <w:sz w:val="16"/>
        </w:rPr>
        <w:t>BIZ.SIZE.public_tenure (Revenue Growth YoY): Required data not available from filings</w:t>
      </w:r>
    </w:p>
    <w:p>
      <w:pPr>
        <w:pStyle w:val="DOBody"/>
      </w:pPr>
      <w:r>
        <w:rPr>
          <w:b/>
          <w:sz w:val="16"/>
        </w:rPr>
        <w:t xml:space="preserve">  [EVALUATIVE] </w:t>
      </w:r>
      <w:r>
        <w:rPr>
          <w:sz w:val="16"/>
        </w:rPr>
        <w:t>BIZ.STRUCT.subsidiary_count (Subsidiary Count Complexity): Required data not available from filings</w:t>
      </w:r>
    </w:p>
    <w:p>
      <w:pPr>
        <w:pStyle w:val="DOBody"/>
      </w:pPr>
      <w:r>
        <w:rPr>
          <w:b/>
          <w:sz w:val="16"/>
        </w:rPr>
        <w:t xml:space="preserve">  [EVALUATIVE] </w:t>
      </w:r>
      <w:r>
        <w:rPr>
          <w:sz w:val="16"/>
        </w:rPr>
        <w:t>BIZ.DEPEND.labor (Concentration Risk Composite): Required data not available from filings</w:t>
      </w:r>
    </w:p>
    <w:p>
      <w:pPr>
        <w:pStyle w:val="DOBody"/>
      </w:pPr>
      <w:r>
        <w:rPr>
          <w:b/>
          <w:sz w:val="16"/>
        </w:rPr>
        <w:t xml:space="preserve">  [REQUIRED] </w:t>
      </w:r>
      <w:r>
        <w:rPr>
          <w:sz w:val="16"/>
        </w:rPr>
        <w:t>BIZ.MA.acquisition_list (Recent Acquisitions): Required data not available from filings</w:t>
      </w:r>
    </w:p>
    <w:p>
      <w:pPr>
        <w:pStyle w:val="DOBody"/>
      </w:pPr>
      <w:r>
        <w:rPr>
          <w:b/>
          <w:sz w:val="16"/>
        </w:rPr>
        <w:t xml:space="preserve">  [REQUIRED] </w:t>
      </w:r>
      <w:r>
        <w:rPr>
          <w:sz w:val="16"/>
        </w:rPr>
        <w:t>BIZ.MODEL.lifecycle (Segment Lifecycle Risk): Required data not available from filings</w:t>
      </w:r>
    </w:p>
    <w:p>
      <w:pPr>
        <w:pStyle w:val="DOBody"/>
      </w:pPr>
      <w:r>
        <w:rPr>
          <w:b/>
          <w:sz w:val="16"/>
        </w:rPr>
        <w:t xml:space="preserve">  [EVALUATIVE] </w:t>
      </w:r>
      <w:r>
        <w:rPr>
          <w:sz w:val="16"/>
        </w:rPr>
        <w:t>ABS.DISC.audit_fees (Missing Audit Fee Disclosure): Expected signals not found in evaluation results</w:t>
      </w:r>
    </w:p>
    <w:p>
      <w:pPr>
        <w:pStyle w:val="DOBody"/>
      </w:pPr>
      <w:r>
        <w:rPr>
          <w:b/>
          <w:sz w:val="16"/>
        </w:rPr>
        <w:t xml:space="preserve">  [EVALUATIVE] </w:t>
      </w:r>
      <w:r>
        <w:rPr>
          <w:sz w:val="16"/>
        </w:rPr>
        <w:t>ABS.DISC.board_independence (Missing Board Independence Disclosure): Could not determine disclosure presence or absence</w:t>
      </w:r>
    </w:p>
    <w:p>
      <w:pPr>
        <w:pStyle w:val="DOBody"/>
      </w:pPr>
      <w:r>
        <w:rPr>
          <w:b/>
          <w:sz w:val="16"/>
        </w:rPr>
        <w:t xml:space="preserve">  [EVALUATIVE] </w:t>
      </w:r>
      <w:r>
        <w:rPr>
          <w:sz w:val="16"/>
        </w:rPr>
        <w:t>ABS.DISC.clawback_policy (Missing Clawback Policy Disclosure): Expected signals not found in evaluation results</w:t>
      </w:r>
    </w:p>
    <w:p>
      <w:pPr>
        <w:pStyle w:val="DOBody"/>
      </w:pPr>
      <w:r>
        <w:rPr>
          <w:b/>
          <w:sz w:val="16"/>
        </w:rPr>
        <w:t xml:space="preserve">  [EVALUATIVE] </w:t>
      </w:r>
      <w:r>
        <w:rPr>
          <w:sz w:val="16"/>
        </w:rPr>
        <w:t>ABS.DISC.cyber_risk (Missing Cybersecurity Risk Disclosure): Expected signals not found in evaluation results</w:t>
      </w:r>
    </w:p>
    <w:p>
      <w:pPr>
        <w:pStyle w:val="DOBody"/>
      </w:pPr>
      <w:r>
        <w:rPr>
          <w:b/>
          <w:sz w:val="16"/>
        </w:rPr>
        <w:t xml:space="preserve">  [EVALUATIVE] </w:t>
      </w:r>
      <w:r>
        <w:rPr>
          <w:sz w:val="16"/>
        </w:rPr>
        <w:t>ABS.DISC.debt_covenants (Missing Debt Covenant Disclosure): Expected signals not found in evaluation results</w:t>
      </w:r>
    </w:p>
    <w:p>
      <w:pPr>
        <w:pStyle w:val="DOBody"/>
      </w:pPr>
      <w:r>
        <w:rPr>
          <w:b/>
          <w:sz w:val="16"/>
        </w:rPr>
        <w:t xml:space="preserve">  [EVALUATIVE] </w:t>
      </w:r>
      <w:r>
        <w:rPr>
          <w:sz w:val="16"/>
        </w:rPr>
        <w:t>ABS.DISC.derivative_instruments (Missing Derivative Instruments Disclosure): Expected signals not found in evaluation results</w:t>
      </w:r>
    </w:p>
    <w:p>
      <w:pPr>
        <w:pStyle w:val="DOBody"/>
      </w:pPr>
      <w:r>
        <w:rPr>
          <w:b/>
          <w:sz w:val="16"/>
        </w:rPr>
        <w:t xml:space="preserve">  [EVALUATIVE] </w:t>
      </w:r>
      <w:r>
        <w:rPr>
          <w:sz w:val="16"/>
        </w:rPr>
        <w:t>ABS.DISC.esg (Missing ESG Disclosure): Expected signals not found in evaluation results</w:t>
      </w:r>
    </w:p>
    <w:p>
      <w:pPr>
        <w:pStyle w:val="DOBody"/>
      </w:pPr>
      <w:r>
        <w:rPr>
          <w:b/>
          <w:sz w:val="16"/>
        </w:rPr>
        <w:t xml:space="preserve">  [EVALUATIVE] </w:t>
      </w:r>
      <w:r>
        <w:rPr>
          <w:sz w:val="16"/>
        </w:rPr>
        <w:t>ABS.DISC.executive_comp (Missing Executive Compensation Disclosure): Expected signals not found in evaluation results</w:t>
      </w:r>
    </w:p>
    <w:p>
      <w:pPr>
        <w:pStyle w:val="DOBody"/>
      </w:pPr>
      <w:r>
        <w:rPr>
          <w:b/>
          <w:sz w:val="16"/>
        </w:rPr>
        <w:t xml:space="preserve">  [EVALUATIVE] </w:t>
      </w:r>
      <w:r>
        <w:rPr>
          <w:sz w:val="16"/>
        </w:rPr>
        <w:t>ABS.DISC.goodwill_impairment (Missing Goodwill Impairment Disclosure): Expected signals not found in evaluation results</w:t>
      </w:r>
    </w:p>
    <w:p>
      <w:pPr>
        <w:pStyle w:val="DOBody"/>
      </w:pPr>
      <w:r>
        <w:rPr>
          <w:b/>
          <w:sz w:val="16"/>
        </w:rPr>
        <w:t xml:space="preserve">  [EVALUATIVE] </w:t>
      </w:r>
      <w:r>
        <w:rPr>
          <w:sz w:val="16"/>
        </w:rPr>
        <w:t>ABS.DISC.lease_obligations (Missing Lease Obligation Disclosure): Expected signals not found in evaluation results</w:t>
      </w:r>
    </w:p>
    <w:p>
      <w:pPr>
        <w:pStyle w:val="DOBody"/>
      </w:pPr>
      <w:r>
        <w:rPr>
          <w:b/>
          <w:sz w:val="16"/>
        </w:rPr>
        <w:t xml:space="preserve">  [EVALUATIVE] </w:t>
      </w:r>
      <w:r>
        <w:rPr>
          <w:sz w:val="16"/>
        </w:rPr>
        <w:t>ABS.DISC.litigation_contingency (Missing Litigation Contingency Disclosure): Expected signals not found in evaluation results</w:t>
      </w:r>
    </w:p>
    <w:p>
      <w:pPr>
        <w:pStyle w:val="DOBody"/>
      </w:pPr>
      <w:r>
        <w:rPr>
          <w:b/>
          <w:sz w:val="16"/>
        </w:rPr>
        <w:t xml:space="preserve">  [EVALUATIVE] </w:t>
      </w:r>
      <w:r>
        <w:rPr>
          <w:sz w:val="16"/>
        </w:rPr>
        <w:t>ABS.DISC.pension_obligations (Missing Pension Obligation Disclosure): Expected signals not found in evaluation results</w:t>
      </w:r>
    </w:p>
    <w:p>
      <w:pPr>
        <w:pStyle w:val="DOBody"/>
      </w:pPr>
      <w:r>
        <w:rPr>
          <w:b/>
          <w:sz w:val="16"/>
        </w:rPr>
        <w:t xml:space="preserve">  [EVALUATIVE] </w:t>
      </w:r>
      <w:r>
        <w:rPr>
          <w:sz w:val="16"/>
        </w:rPr>
        <w:t>ABS.DISC.related_party (Missing Related-Party Transaction Disclosure): Expected signals not found in evaluation results</w:t>
      </w:r>
    </w:p>
    <w:p>
      <w:pPr>
        <w:pStyle w:val="DOBody"/>
      </w:pPr>
      <w:r>
        <w:rPr>
          <w:b/>
          <w:sz w:val="16"/>
        </w:rPr>
        <w:t xml:space="preserve">  [EVALUATIVE] </w:t>
      </w:r>
      <w:r>
        <w:rPr>
          <w:sz w:val="16"/>
        </w:rPr>
        <w:t>ABS.DISC.revenue_recognition (Missing Revenue Recognition Policy Disclosure): Expected signals not found in evaluation results</w:t>
      </w:r>
    </w:p>
    <w:p>
      <w:pPr>
        <w:pStyle w:val="DOBody"/>
      </w:pPr>
      <w:r>
        <w:rPr>
          <w:b/>
          <w:sz w:val="16"/>
        </w:rPr>
        <w:t xml:space="preserve">  [EVALUATIVE] </w:t>
      </w:r>
      <w:r>
        <w:rPr>
          <w:sz w:val="16"/>
        </w:rPr>
        <w:t>ABS.DISC.risk_factors (Missing Risk Factor Disclosure): Expected signals not found in evaluation results</w:t>
      </w:r>
    </w:p>
    <w:p>
      <w:pPr>
        <w:pStyle w:val="DOBody"/>
      </w:pPr>
      <w:r>
        <w:rPr>
          <w:b/>
          <w:sz w:val="16"/>
        </w:rPr>
        <w:t xml:space="preserve">  [EVALUATIVE] </w:t>
      </w:r>
      <w:r>
        <w:rPr>
          <w:sz w:val="16"/>
        </w:rPr>
        <w:t>ABS.DISC.segment_reporting (Missing Segment Reporting Disclosure): Expected signals not found in evaluation results</w:t>
      </w:r>
    </w:p>
    <w:p>
      <w:pPr>
        <w:pStyle w:val="DOBody"/>
      </w:pPr>
      <w:r>
        <w:rPr>
          <w:b/>
          <w:sz w:val="16"/>
        </w:rPr>
        <w:t xml:space="preserve">  [EVALUATIVE] </w:t>
      </w:r>
      <w:r>
        <w:rPr>
          <w:sz w:val="16"/>
        </w:rPr>
        <w:t>ABS.DISC.stock_comp (Missing Stock Compensation Disclosure): Expected signals not found in evaluation results</w:t>
      </w:r>
    </w:p>
    <w:p>
      <w:pPr>
        <w:pStyle w:val="DOBody"/>
      </w:pPr>
      <w:r>
        <w:rPr>
          <w:b/>
          <w:sz w:val="16"/>
        </w:rPr>
        <w:t xml:space="preserve">  [EVALUATIVE] </w:t>
      </w:r>
      <w:r>
        <w:rPr>
          <w:sz w:val="16"/>
        </w:rPr>
        <w:t>ABS.DISC.tax_positions (Missing Uncertain Tax Position Disclosure): Expected signals not found in evaluation results</w:t>
      </w:r>
    </w:p>
    <w:p>
      <w:pPr>
        <w:pStyle w:val="DOBody"/>
      </w:pPr>
      <w:r>
        <w:rPr>
          <w:b/>
          <w:sz w:val="16"/>
        </w:rPr>
        <w:t xml:space="preserve">  [EVALUATIVE] </w:t>
      </w:r>
      <w:r>
        <w:rPr>
          <w:sz w:val="16"/>
        </w:rPr>
        <w:t>CONJ.COMP.perf_divergence (Compensation-Performance Divergence): 3/3 component signals unavailable</w:t>
      </w:r>
    </w:p>
    <w:p>
      <w:pPr>
        <w:pStyle w:val="DOBody"/>
      </w:pPr>
      <w:r>
        <w:rPr>
          <w:b/>
          <w:sz w:val="16"/>
        </w:rPr>
        <w:t xml:space="preserve">  [EVALUATIVE] </w:t>
      </w:r>
      <w:r>
        <w:rPr>
          <w:sz w:val="16"/>
        </w:rPr>
        <w:t>CONJ.DISTRESS.insider (Financial Distress + Insider Selling): 3/3 component signals unavailable</w:t>
      </w:r>
    </w:p>
    <w:p>
      <w:pPr>
        <w:pStyle w:val="DOBody"/>
      </w:pPr>
      <w:r>
        <w:rPr>
          <w:b/>
          <w:sz w:val="16"/>
        </w:rPr>
        <w:t xml:space="preserve">  [EVALUATIVE] </w:t>
      </w:r>
      <w:r>
        <w:rPr>
          <w:sz w:val="16"/>
        </w:rPr>
        <w:t>CONJ.GOV.governance_event (Weak Governance + Adverse Event): 3/5 component signals unavailable</w:t>
      </w:r>
    </w:p>
    <w:p>
      <w:pPr>
        <w:pStyle w:val="DOBody"/>
      </w:pPr>
      <w:r>
        <w:rPr>
          <w:b/>
          <w:sz w:val="16"/>
        </w:rPr>
        <w:t xml:space="preserve">  [EVALUATIVE] </w:t>
      </w:r>
      <w:r>
        <w:rPr>
          <w:sz w:val="16"/>
        </w:rPr>
        <w:t>CONJ.FIN.growth_margin_guidance (Rapid Growth + Margin Compression + Guidance Miss): 3/3 component signals unavailable</w:t>
      </w:r>
    </w:p>
    <w:p>
      <w:pPr>
        <w:pStyle w:val="DOBody"/>
      </w:pPr>
      <w:r>
        <w:rPr>
          <w:b/>
          <w:sz w:val="16"/>
        </w:rPr>
        <w:t xml:space="preserve">  [EVALUATIVE] </w:t>
      </w:r>
      <w:r>
        <w:rPr>
          <w:sz w:val="16"/>
        </w:rPr>
        <w:t>CONJ.INSIDER.news_gap (Insider Selling + Material News Gap): 3/3 component signals unavailable</w:t>
      </w:r>
    </w:p>
    <w:p>
      <w:pPr>
        <w:pStyle w:val="DOBody"/>
      </w:pPr>
      <w:r>
        <w:rPr>
          <w:b/>
          <w:sz w:val="16"/>
        </w:rPr>
        <w:t xml:space="preserve">  [EVALUATIVE] </w:t>
      </w:r>
      <w:r>
        <w:rPr>
          <w:sz w:val="16"/>
        </w:rPr>
        <w:t>CONJ.REG.litigation (Regulatory Action + New Material Litigation): 3/3 component signals unavailable</w:t>
      </w:r>
    </w:p>
    <w:p>
      <w:pPr>
        <w:pStyle w:val="DOBody"/>
      </w:pPr>
      <w:r>
        <w:rPr>
          <w:b/>
          <w:sz w:val="16"/>
        </w:rPr>
        <w:t xml:space="preserve">  [EVALUATIVE] </w:t>
      </w:r>
      <w:r>
        <w:rPr>
          <w:sz w:val="16"/>
        </w:rPr>
        <w:t>CTX.FIN.capex_sector (Capital Expenditure in Sector Context): Source signal FIN.INVEST.capex_ratio not in results</w:t>
      </w:r>
    </w:p>
    <w:p>
      <w:pPr>
        <w:pStyle w:val="DOBody"/>
      </w:pPr>
      <w:r>
        <w:rPr>
          <w:b/>
          <w:sz w:val="16"/>
        </w:rPr>
        <w:t xml:space="preserve">  [EVALUATIVE] </w:t>
      </w:r>
      <w:r>
        <w:rPr>
          <w:sz w:val="16"/>
        </w:rPr>
        <w:t>CTX.COMP.lifecycle (CEO Compensation in Lifecycle Context): Source signal EXEC.COMP.ceo_total_comp not in results</w:t>
      </w:r>
    </w:p>
    <w:p>
      <w:pPr>
        <w:pStyle w:val="DOBody"/>
      </w:pPr>
      <w:r>
        <w:rPr>
          <w:b/>
          <w:sz w:val="16"/>
        </w:rPr>
        <w:t xml:space="preserve">  [EVALUATIVE] </w:t>
      </w:r>
      <w:r>
        <w:rPr>
          <w:sz w:val="16"/>
        </w:rPr>
        <w:t>CTX.COMP.product_tower (Compensation Severity by Product/Tower): Source signal EXEC.COMP.ceo_total_comp not in results</w:t>
      </w:r>
    </w:p>
    <w:p>
      <w:pPr>
        <w:pStyle w:val="DOBody"/>
      </w:pPr>
      <w:r>
        <w:rPr>
          <w:b/>
          <w:sz w:val="16"/>
        </w:rPr>
        <w:t xml:space="preserve">  [EVALUATIVE] </w:t>
      </w:r>
      <w:r>
        <w:rPr>
          <w:sz w:val="16"/>
        </w:rPr>
        <w:t>CTX.FIN.debt_maturity (Debt Maturity Profile in Lifecycle Context): Source signal FIN.DEBT.maturity_profile not in results</w:t>
      </w:r>
    </w:p>
    <w:p>
      <w:pPr>
        <w:pStyle w:val="DOBody"/>
      </w:pPr>
      <w:r>
        <w:rPr>
          <w:b/>
          <w:sz w:val="16"/>
        </w:rPr>
        <w:t xml:space="preserve">  [EVALUATIVE] </w:t>
      </w:r>
      <w:r>
        <w:rPr>
          <w:sz w:val="16"/>
        </w:rPr>
        <w:t>CTX.FIN.distress_product (Financial Distress by Product/Tower): Source signal FIN.FORENSIC.altman_z not in results</w:t>
      </w:r>
    </w:p>
    <w:p>
      <w:pPr>
        <w:pStyle w:val="DOBody"/>
      </w:pPr>
      <w:r>
        <w:rPr>
          <w:b/>
          <w:sz w:val="16"/>
        </w:rPr>
        <w:t xml:space="preserve">  [EVALUATIVE] </w:t>
      </w:r>
      <w:r>
        <w:rPr>
          <w:sz w:val="16"/>
        </w:rPr>
        <w:t>CTX.FIN.dividend_lifecycle (Dividend Policy in Lifecycle Context): Source signal FIN.RETURN.dividend_yield not in results</w:t>
      </w:r>
    </w:p>
    <w:p>
      <w:pPr>
        <w:pStyle w:val="DOBody"/>
      </w:pPr>
      <w:r>
        <w:rPr>
          <w:b/>
          <w:sz w:val="16"/>
        </w:rPr>
        <w:t xml:space="preserve">  [EVALUATIVE] </w:t>
      </w:r>
      <w:r>
        <w:rPr>
          <w:sz w:val="16"/>
        </w:rPr>
        <w:t>CTX.EXEC.tenure_lifecycle (Executive Tenure in Lifecycle Context): Source signal EXEC.TURN.c_suite not in results</w:t>
      </w:r>
    </w:p>
    <w:p>
      <w:pPr>
        <w:pStyle w:val="DOBody"/>
      </w:pPr>
      <w:r>
        <w:rPr>
          <w:b/>
          <w:sz w:val="16"/>
        </w:rPr>
        <w:t xml:space="preserve">  [EVALUATIVE] </w:t>
      </w:r>
      <w:r>
        <w:rPr>
          <w:sz w:val="16"/>
        </w:rPr>
        <w:t>CTX.GOV.lifecycle (Board Independence in Lifecycle Context): Required context dimensions ['lifecycle_stage'] not available</w:t>
      </w:r>
    </w:p>
    <w:p>
      <w:pPr>
        <w:pStyle w:val="DOBody"/>
      </w:pPr>
      <w:r>
        <w:rPr>
          <w:b/>
          <w:sz w:val="16"/>
        </w:rPr>
        <w:t xml:space="preserve">  [EVALUATIVE] </w:t>
      </w:r>
      <w:r>
        <w:rPr>
          <w:sz w:val="16"/>
        </w:rPr>
        <w:t>CTX.FIN.growth_lifecycle (Revenue Growth in Lifecycle Context): Required context dimensions ['lifecycle_stage'] not available</w:t>
      </w:r>
    </w:p>
    <w:p>
      <w:pPr>
        <w:pStyle w:val="DOBody"/>
      </w:pPr>
      <w:r>
        <w:rPr>
          <w:b/>
          <w:sz w:val="16"/>
        </w:rPr>
        <w:t xml:space="preserve">  [EVALUATIVE] </w:t>
      </w:r>
      <w:r>
        <w:rPr>
          <w:sz w:val="16"/>
        </w:rPr>
        <w:t>CTX.MKT.insider_lifecycle (Insider Trading in Lifecycle Context): Source signal STOCK.INSIDER.net_selling not in results</w:t>
      </w:r>
    </w:p>
    <w:p>
      <w:pPr>
        <w:pStyle w:val="DOBody"/>
      </w:pPr>
      <w:r>
        <w:rPr>
          <w:b/>
          <w:sz w:val="16"/>
        </w:rPr>
        <w:t xml:space="preserve">  [EVALUATIVE] </w:t>
      </w:r>
      <w:r>
        <w:rPr>
          <w:sz w:val="16"/>
        </w:rPr>
        <w:t>CTX.FIN.leverage_sector (Leverage in Sector Context): Source signal FIN.DEBT.leverage_ratio not in results</w:t>
      </w:r>
    </w:p>
    <w:p>
      <w:pPr>
        <w:pStyle w:val="DOBody"/>
      </w:pPr>
      <w:r>
        <w:rPr>
          <w:b/>
          <w:sz w:val="16"/>
        </w:rPr>
        <w:t xml:space="preserve">  [EVALUATIVE] </w:t>
      </w:r>
      <w:r>
        <w:rPr>
          <w:sz w:val="16"/>
        </w:rPr>
        <w:t>CTX.LIT.size (Litigation Frequency by Company Size): Source signal LIT.SCA.active_cases not in results</w:t>
      </w:r>
    </w:p>
    <w:p>
      <w:pPr>
        <w:pStyle w:val="DOBody"/>
      </w:pPr>
      <w:r>
        <w:rPr>
          <w:b/>
          <w:sz w:val="16"/>
        </w:rPr>
        <w:t xml:space="preserve">  [EVALUATIVE] </w:t>
      </w:r>
      <w:r>
        <w:rPr>
          <w:sz w:val="16"/>
        </w:rPr>
        <w:t>CTX.RISK.ma_lifecycle (M&amp;A Activity in Lifecycle Context): Source signal BIZ.MA.acquisition_activity not in results</w:t>
      </w:r>
    </w:p>
    <w:p>
      <w:pPr>
        <w:pStyle w:val="DOBody"/>
      </w:pPr>
      <w:r>
        <w:rPr>
          <w:b/>
          <w:sz w:val="16"/>
        </w:rPr>
        <w:t xml:space="preserve">  [EVALUATIVE] </w:t>
      </w:r>
      <w:r>
        <w:rPr>
          <w:sz w:val="16"/>
        </w:rPr>
        <w:t>CTX.RISK.regulatory_sector (Regulatory Risk in Sector Context): Source signal LIT.SEC.enforcement not in results</w:t>
      </w:r>
    </w:p>
    <w:p>
      <w:pPr>
        <w:pStyle w:val="DOBody"/>
      </w:pPr>
      <w:r>
        <w:rPr>
          <w:b/>
          <w:sz w:val="16"/>
        </w:rPr>
        <w:t xml:space="preserve">  [EVALUATIVE] </w:t>
      </w:r>
      <w:r>
        <w:rPr>
          <w:sz w:val="16"/>
        </w:rPr>
        <w:t>CTX.RISK.rpt_sector (Related-Party Risk in Sector Context): Source signal GOV.RPT.related_party not in results</w:t>
      </w:r>
    </w:p>
    <w:p>
      <w:pPr>
        <w:pStyle w:val="DOBody"/>
      </w:pPr>
      <w:r>
        <w:rPr>
          <w:b/>
          <w:sz w:val="16"/>
        </w:rPr>
        <w:t xml:space="preserve">  [EVALUATIVE] </w:t>
      </w:r>
      <w:r>
        <w:rPr>
          <w:sz w:val="16"/>
        </w:rPr>
        <w:t>CTX.MKT.short_interest_sector (Short Interest in Sector Context): Source signal STOCK.SHORT.interest_ratio not in results</w:t>
      </w:r>
    </w:p>
    <w:p>
      <w:pPr>
        <w:pStyle w:val="DOBody"/>
      </w:pPr>
      <w:r>
        <w:rPr>
          <w:b/>
          <w:sz w:val="16"/>
        </w:rPr>
        <w:t xml:space="preserve">  [EVALUATIVE] </w:t>
      </w:r>
      <w:r>
        <w:rPr>
          <w:sz w:val="16"/>
        </w:rPr>
        <w:t>CTX.MKT.turnover_sector (Stock Turnover in Sector Context): Source signal STOCK.VOL.turnover_rate not in results</w:t>
      </w:r>
    </w:p>
    <w:p>
      <w:pPr>
        <w:pStyle w:val="DOBody"/>
      </w:pPr>
      <w:r>
        <w:rPr>
          <w:b/>
          <w:sz w:val="16"/>
        </w:rPr>
        <w:t xml:space="preserve">  [EVALUATIVE] </w:t>
      </w:r>
      <w:r>
        <w:rPr>
          <w:sz w:val="16"/>
        </w:rPr>
        <w:t>CTX.MKT.volatility_sector (Stock Volatility in Sector Context): Source signal STOCK.VOL.historical not in results</w:t>
      </w:r>
    </w:p>
    <w:p>
      <w:pPr>
        <w:pStyle w:val="DOHeading3"/>
      </w:pPr>
      <w:r>
        <w:t>Financial Health</w:t>
      </w:r>
    </w:p>
    <w:p>
      <w:pPr>
        <w:pStyle w:val="DOBody"/>
      </w:pPr>
      <w:r>
        <w:rPr>
          <w:b/>
          <w:sz w:val="16"/>
        </w:rPr>
        <w:t xml:space="preserve">  [EVALUATIVE] </w:t>
      </w:r>
      <w:r>
        <w:rPr>
          <w:sz w:val="16"/>
        </w:rPr>
        <w:t>FIN.PEER.revenue_bottom_quartile (Revenue Bottom Quartile (Cross-Filer)): No peer comparison data available</w:t>
      </w:r>
    </w:p>
    <w:p>
      <w:pPr>
        <w:pStyle w:val="DOBody"/>
      </w:pPr>
      <w:r>
        <w:rPr>
          <w:b/>
          <w:sz w:val="16"/>
        </w:rPr>
        <w:t xml:space="preserve">  [EVALUATIVE] </w:t>
      </w:r>
      <w:r>
        <w:rPr>
          <w:sz w:val="16"/>
        </w:rPr>
        <w:t>FIN.PEER.leverage_top_decile (Leverage Top Decile (Sector-Relative)): No peer comparison data available</w:t>
      </w:r>
    </w:p>
    <w:p>
      <w:pPr>
        <w:pStyle w:val="DOBody"/>
      </w:pPr>
      <w:r>
        <w:rPr>
          <w:b/>
          <w:sz w:val="16"/>
        </w:rPr>
        <w:t xml:space="preserve">  [EVALUATIVE] </w:t>
      </w:r>
      <w:r>
        <w:rPr>
          <w:sz w:val="16"/>
        </w:rPr>
        <w:t>FIN.PEER.margin_compression (Operating Margin Compression (Cross-Filer)): No peer comparison data available</w:t>
      </w:r>
    </w:p>
    <w:p>
      <w:pPr>
        <w:pStyle w:val="DOBody"/>
      </w:pPr>
      <w:r>
        <w:rPr>
          <w:b/>
          <w:sz w:val="16"/>
        </w:rPr>
        <w:t xml:space="preserve">  [EVALUATIVE] </w:t>
      </w:r>
      <w:r>
        <w:rPr>
          <w:sz w:val="16"/>
        </w:rPr>
        <w:t>FIN.PEER.profitability_laggard (Profitability Laggard (Sector-Relative)): No peer comparison data available</w:t>
      </w:r>
    </w:p>
    <w:p>
      <w:pPr>
        <w:pStyle w:val="DOBody"/>
      </w:pPr>
      <w:r>
        <w:rPr>
          <w:b/>
          <w:sz w:val="16"/>
        </w:rPr>
        <w:t xml:space="preserve">  [EVALUATIVE] </w:t>
      </w:r>
      <w:r>
        <w:rPr>
          <w:sz w:val="16"/>
        </w:rPr>
        <w:t>FIN.PEER.size_outlier_small (Size Outlier Small (Cross-Filer)): No peer comparison data available</w:t>
      </w:r>
    </w:p>
    <w:p>
      <w:pPr>
        <w:pStyle w:val="DOBody"/>
      </w:pPr>
      <w:r>
        <w:rPr>
          <w:b/>
          <w:sz w:val="16"/>
        </w:rPr>
        <w:t xml:space="preserve">  [EVALUATIVE] </w:t>
      </w:r>
      <w:r>
        <w:rPr>
          <w:sz w:val="16"/>
        </w:rPr>
        <w:t>FIN.PEER.cash_flow_weak (Cash Flow Weakness (Cross-Filer)): No peer comparison data available</w:t>
      </w:r>
    </w:p>
    <w:p>
      <w:pPr>
        <w:pStyle w:val="DOBody"/>
      </w:pPr>
      <w:r>
        <w:rPr>
          <w:b/>
          <w:sz w:val="16"/>
        </w:rPr>
        <w:t xml:space="preserve">  [EVALUATIVE] </w:t>
      </w:r>
      <w:r>
        <w:rPr>
          <w:sz w:val="16"/>
        </w:rPr>
        <w:t>LIT.DEFENSE.forum_selection (Federal Forum Selection Clause): Required data not available from filings</w:t>
      </w:r>
    </w:p>
    <w:p>
      <w:pPr>
        <w:pStyle w:val="DOHeading3"/>
      </w:pPr>
      <w:r>
        <w:t>Governance &amp; Leadership</w:t>
      </w:r>
    </w:p>
    <w:p>
      <w:pPr>
        <w:pStyle w:val="DOBody"/>
      </w:pPr>
      <w:r>
        <w:rPr>
          <w:b/>
          <w:sz w:val="16"/>
        </w:rPr>
        <w:t xml:space="preserve">  [EVALUATIVE] </w:t>
      </w:r>
      <w:r>
        <w:rPr>
          <w:sz w:val="16"/>
        </w:rPr>
        <w:t>EXEC.AGGREGATE.board_risk (Board Aggregate Risk Score): Data mapping not configured for this check</w:t>
      </w:r>
    </w:p>
    <w:p>
      <w:pPr>
        <w:pStyle w:val="DOBody"/>
      </w:pPr>
      <w:r>
        <w:rPr>
          <w:b/>
          <w:sz w:val="16"/>
        </w:rPr>
        <w:t xml:space="preserve">  [EVALUATIVE] </w:t>
      </w:r>
      <w:r>
        <w:rPr>
          <w:sz w:val="16"/>
        </w:rPr>
        <w:t>EXEC.AGGREGATE.highest_risk_individual (Highest Individual Risk Score Exceeds Threshold): Data mapping not configured for this check</w:t>
      </w:r>
    </w:p>
    <w:p>
      <w:pPr>
        <w:pStyle w:val="DOBody"/>
      </w:pPr>
      <w:r>
        <w:rPr>
          <w:b/>
          <w:sz w:val="16"/>
        </w:rPr>
        <w:t xml:space="preserve">  [EVALUATIVE] </w:t>
      </w:r>
      <w:r>
        <w:rPr>
          <w:sz w:val="16"/>
        </w:rPr>
        <w:t>EXEC.TENURE.ceo_new (CEO Tenure Less Than 2 Years): Data mapping not configured for this check</w:t>
      </w:r>
    </w:p>
    <w:p>
      <w:pPr>
        <w:pStyle w:val="DOBody"/>
      </w:pPr>
      <w:r>
        <w:rPr>
          <w:b/>
          <w:sz w:val="16"/>
        </w:rPr>
        <w:t xml:space="preserve">  [EVALUATIVE] </w:t>
      </w:r>
      <w:r>
        <w:rPr>
          <w:sz w:val="16"/>
        </w:rPr>
        <w:t>EXEC.TENURE.cfo_new (CFO Tenure Less Than 2 Years): Data mapping not configured for this check</w:t>
      </w:r>
    </w:p>
    <w:p>
      <w:pPr>
        <w:pStyle w:val="DOBody"/>
      </w:pPr>
      <w:r>
        <w:rPr>
          <w:b/>
          <w:sz w:val="16"/>
        </w:rPr>
        <w:t xml:space="preserve">  [REQUIRED] </w:t>
      </w:r>
      <w:r>
        <w:rPr>
          <w:sz w:val="16"/>
        </w:rPr>
        <w:t>EXEC.PROFILE.board_size (Board Size (Number of Members)): Required data not available from filings</w:t>
      </w:r>
    </w:p>
    <w:p>
      <w:pPr>
        <w:pStyle w:val="DOBody"/>
      </w:pPr>
      <w:r>
        <w:rPr>
          <w:b/>
          <w:sz w:val="16"/>
        </w:rPr>
        <w:t xml:space="preserve">  [REQUIRED] </w:t>
      </w:r>
      <w:r>
        <w:rPr>
          <w:sz w:val="16"/>
        </w:rPr>
        <w:t>EXEC.PROFILE.independent_ratio (Board Independence Percentage): Required data not available from filings</w:t>
      </w:r>
    </w:p>
    <w:p>
      <w:pPr>
        <w:pStyle w:val="DOBody"/>
      </w:pPr>
      <w:r>
        <w:rPr>
          <w:b/>
          <w:sz w:val="16"/>
        </w:rPr>
        <w:t xml:space="preserve">  [EVALUATIVE] </w:t>
      </w:r>
      <w:r>
        <w:rPr>
          <w:sz w:val="16"/>
        </w:rPr>
        <w:t>EXEC.PROFILE.overboarded_directors (Directors Serving on 4+ Boards): Required data not available from filings</w:t>
      </w:r>
    </w:p>
    <w:p>
      <w:pPr>
        <w:pStyle w:val="DOBody"/>
      </w:pPr>
      <w:r>
        <w:rPr>
          <w:b/>
          <w:sz w:val="16"/>
        </w:rPr>
        <w:t xml:space="preserve">  [EVALUATIVE] </w:t>
      </w:r>
      <w:r>
        <w:rPr>
          <w:sz w:val="16"/>
        </w:rPr>
        <w:t>GOV.BOARD.size (Board Size): Required data not available from filings</w:t>
      </w:r>
    </w:p>
    <w:p>
      <w:pPr>
        <w:pStyle w:val="DOBody"/>
      </w:pPr>
      <w:r>
        <w:rPr>
          <w:b/>
          <w:sz w:val="16"/>
        </w:rPr>
        <w:t xml:space="preserve">  [EVALUATIVE] </w:t>
      </w:r>
      <w:r>
        <w:rPr>
          <w:sz w:val="16"/>
        </w:rPr>
        <w:t>GOV.BOARD.independence (Board Independence): Required data not available from filings</w:t>
      </w:r>
    </w:p>
    <w:p>
      <w:pPr>
        <w:pStyle w:val="DOBody"/>
      </w:pPr>
      <w:r>
        <w:rPr>
          <w:b/>
          <w:sz w:val="16"/>
        </w:rPr>
        <w:t xml:space="preserve">  [EVALUATIVE] </w:t>
      </w:r>
      <w:r>
        <w:rPr>
          <w:sz w:val="16"/>
        </w:rPr>
        <w:t>GOV.BOARD.diversity (Board Diversity): Required data not available from filings</w:t>
      </w:r>
    </w:p>
    <w:p>
      <w:pPr>
        <w:pStyle w:val="DOBody"/>
      </w:pPr>
      <w:r>
        <w:rPr>
          <w:b/>
          <w:sz w:val="16"/>
        </w:rPr>
        <w:t xml:space="preserve">  [EVALUATIVE] </w:t>
      </w:r>
      <w:r>
        <w:rPr>
          <w:sz w:val="16"/>
        </w:rPr>
        <w:t>GOV.BOARD.tenure (Tenure): Required data not available from filings</w:t>
      </w:r>
    </w:p>
    <w:p>
      <w:pPr>
        <w:pStyle w:val="DOBody"/>
      </w:pPr>
      <w:r>
        <w:rPr>
          <w:b/>
          <w:sz w:val="16"/>
        </w:rPr>
        <w:t xml:space="preserve">  [EVALUATIVE] </w:t>
      </w:r>
      <w:r>
        <w:rPr>
          <w:sz w:val="16"/>
        </w:rPr>
        <w:t>GOV.BOARD.overboarding (Overboarding): Required data not available from filings</w:t>
      </w:r>
    </w:p>
    <w:p>
      <w:pPr>
        <w:pStyle w:val="DOBody"/>
      </w:pPr>
      <w:r>
        <w:rPr>
          <w:b/>
          <w:sz w:val="16"/>
        </w:rPr>
        <w:t xml:space="preserve">  [EVALUATIVE] </w:t>
      </w:r>
      <w:r>
        <w:rPr>
          <w:sz w:val="16"/>
        </w:rPr>
        <w:t>GOV.BOARD.attendance (Attendance): Required data not available from filings</w:t>
      </w:r>
    </w:p>
    <w:p>
      <w:pPr>
        <w:pStyle w:val="DOBody"/>
      </w:pPr>
      <w:r>
        <w:rPr>
          <w:b/>
          <w:sz w:val="16"/>
        </w:rPr>
        <w:t xml:space="preserve">  [EVALUATIVE] </w:t>
      </w:r>
      <w:r>
        <w:rPr>
          <w:sz w:val="16"/>
        </w:rPr>
        <w:t>GOV.BOARD.meetings (Meetings): Required data not available from filings</w:t>
      </w:r>
    </w:p>
    <w:p>
      <w:pPr>
        <w:pStyle w:val="DOBody"/>
      </w:pPr>
      <w:r>
        <w:rPr>
          <w:b/>
          <w:sz w:val="16"/>
        </w:rPr>
        <w:t xml:space="preserve">  [EVALUATIVE] </w:t>
      </w:r>
      <w:r>
        <w:rPr>
          <w:sz w:val="16"/>
        </w:rPr>
        <w:t>GOV.BOARD.succession (Succession): Required data not available from filings</w:t>
      </w:r>
    </w:p>
    <w:p>
      <w:pPr>
        <w:pStyle w:val="DOBody"/>
      </w:pPr>
      <w:r>
        <w:rPr>
          <w:b/>
          <w:sz w:val="16"/>
        </w:rPr>
        <w:t xml:space="preserve">  [EVALUATIVE] </w:t>
      </w:r>
      <w:r>
        <w:rPr>
          <w:sz w:val="16"/>
        </w:rPr>
        <w:t>GOV.EXEC.ceo_profile (CEO Profile): Required data not available from filings</w:t>
      </w:r>
    </w:p>
    <w:p>
      <w:pPr>
        <w:pStyle w:val="DOBody"/>
      </w:pPr>
      <w:r>
        <w:rPr>
          <w:b/>
          <w:sz w:val="16"/>
        </w:rPr>
        <w:t xml:space="preserve">  [EVALUATIVE] </w:t>
      </w:r>
      <w:r>
        <w:rPr>
          <w:sz w:val="16"/>
        </w:rPr>
        <w:t>GOV.EXEC.cfo_profile (CFO Profile): Required data not available from filings</w:t>
      </w:r>
    </w:p>
    <w:p>
      <w:pPr>
        <w:pStyle w:val="DOBody"/>
      </w:pPr>
      <w:r>
        <w:rPr>
          <w:b/>
          <w:sz w:val="16"/>
        </w:rPr>
        <w:t xml:space="preserve">  [EVALUATIVE] </w:t>
      </w:r>
      <w:r>
        <w:rPr>
          <w:sz w:val="16"/>
        </w:rPr>
        <w:t>GOV.EXEC.founder (Founder Status): Required data not available from filings</w:t>
      </w:r>
    </w:p>
    <w:p>
      <w:pPr>
        <w:pStyle w:val="DOBody"/>
      </w:pPr>
      <w:r>
        <w:rPr>
          <w:b/>
          <w:sz w:val="16"/>
        </w:rPr>
        <w:t xml:space="preserve">  [EVALUATIVE] </w:t>
      </w:r>
      <w:r>
        <w:rPr>
          <w:sz w:val="16"/>
        </w:rPr>
        <w:t>GOV.EXEC.key_person (Key Person Risk): Required data not available from filings</w:t>
      </w:r>
    </w:p>
    <w:p>
      <w:pPr>
        <w:pStyle w:val="DOBody"/>
      </w:pPr>
      <w:r>
        <w:rPr>
          <w:b/>
          <w:sz w:val="16"/>
        </w:rPr>
        <w:t xml:space="preserve">  [EVALUATIVE] </w:t>
      </w:r>
      <w:r>
        <w:rPr>
          <w:sz w:val="16"/>
        </w:rPr>
        <w:t>GOV.PAY.golden_para (Golden Para): Required data not available from filings</w:t>
      </w:r>
    </w:p>
    <w:p>
      <w:pPr>
        <w:pStyle w:val="DOBody"/>
      </w:pPr>
      <w:r>
        <w:rPr>
          <w:b/>
          <w:sz w:val="16"/>
        </w:rPr>
        <w:t xml:space="preserve">  [EVALUATIVE] </w:t>
      </w:r>
      <w:r>
        <w:rPr>
          <w:sz w:val="16"/>
        </w:rPr>
        <w:t>GOV.PAY.equity_burn (Equity Burn): Required data not available from filings</w:t>
      </w:r>
    </w:p>
    <w:p>
      <w:pPr>
        <w:pStyle w:val="DOBody"/>
      </w:pPr>
      <w:r>
        <w:rPr>
          <w:b/>
          <w:sz w:val="16"/>
        </w:rPr>
        <w:t xml:space="preserve">  [EVALUATIVE] </w:t>
      </w:r>
      <w:r>
        <w:rPr>
          <w:sz w:val="16"/>
        </w:rPr>
        <w:t>GOV.PAY.hedging (Hedging): Required data not available from filings</w:t>
      </w:r>
    </w:p>
    <w:p>
      <w:pPr>
        <w:pStyle w:val="DOBody"/>
      </w:pPr>
      <w:r>
        <w:rPr>
          <w:b/>
          <w:sz w:val="16"/>
        </w:rPr>
        <w:t xml:space="preserve">  [REQUIRED] </w:t>
      </w:r>
      <w:r>
        <w:rPr>
          <w:sz w:val="16"/>
        </w:rPr>
        <w:t>GOV.RIGHTS.bylaws (Bylaws): Required data not available from filings</w:t>
      </w:r>
    </w:p>
    <w:p>
      <w:pPr>
        <w:pStyle w:val="DOBody"/>
      </w:pPr>
      <w:r>
        <w:rPr>
          <w:b/>
          <w:sz w:val="16"/>
        </w:rPr>
        <w:t xml:space="preserve">  [EVALUATIVE] </w:t>
      </w:r>
      <w:r>
        <w:rPr>
          <w:sz w:val="16"/>
        </w:rPr>
        <w:t>GOV.RIGHTS.takeover (Takeover): Required data not available from filings</w:t>
      </w:r>
    </w:p>
    <w:p>
      <w:pPr>
        <w:pStyle w:val="DOBody"/>
      </w:pPr>
      <w:r>
        <w:rPr>
          <w:b/>
          <w:sz w:val="16"/>
        </w:rPr>
        <w:t xml:space="preserve">  [EVALUATIVE] </w:t>
      </w:r>
      <w:r>
        <w:rPr>
          <w:sz w:val="16"/>
        </w:rPr>
        <w:t>GOV.RIGHTS.proxy_access (Proxy Access): Required data not available from filings</w:t>
      </w:r>
    </w:p>
    <w:p>
      <w:pPr>
        <w:pStyle w:val="DOBody"/>
      </w:pPr>
      <w:r>
        <w:rPr>
          <w:b/>
          <w:sz w:val="16"/>
        </w:rPr>
        <w:t xml:space="preserve">  [REQUIRED] </w:t>
      </w:r>
      <w:r>
        <w:rPr>
          <w:sz w:val="16"/>
        </w:rPr>
        <w:t>GOV.RIGHTS.forum_select (Forum Select): Required data not available from filings</w:t>
      </w:r>
    </w:p>
    <w:p>
      <w:pPr>
        <w:pStyle w:val="DOBody"/>
      </w:pPr>
      <w:r>
        <w:rPr>
          <w:b/>
          <w:sz w:val="16"/>
        </w:rPr>
        <w:t xml:space="preserve">  [EVALUATIVE] </w:t>
      </w:r>
      <w:r>
        <w:rPr>
          <w:sz w:val="16"/>
        </w:rPr>
        <w:t>GOV.RIGHTS.supermajority (Supermajority): Required data not available from filings</w:t>
      </w:r>
    </w:p>
    <w:p>
      <w:pPr>
        <w:pStyle w:val="DOBody"/>
      </w:pPr>
      <w:r>
        <w:rPr>
          <w:b/>
          <w:sz w:val="16"/>
        </w:rPr>
        <w:t xml:space="preserve">  [EVALUATIVE] </w:t>
      </w:r>
      <w:r>
        <w:rPr>
          <w:sz w:val="16"/>
        </w:rPr>
        <w:t>GOV.RIGHTS.action_consent (Action Consent): Required data not available from filings</w:t>
      </w:r>
    </w:p>
    <w:p>
      <w:pPr>
        <w:pStyle w:val="DOBody"/>
      </w:pPr>
      <w:r>
        <w:rPr>
          <w:b/>
          <w:sz w:val="16"/>
        </w:rPr>
        <w:t xml:space="preserve">  [EVALUATIVE] </w:t>
      </w:r>
      <w:r>
        <w:rPr>
          <w:sz w:val="16"/>
        </w:rPr>
        <w:t>GOV.RIGHTS.special_mtg (Special Mtg): Required data not available from filings</w:t>
      </w:r>
    </w:p>
    <w:p>
      <w:pPr>
        <w:pStyle w:val="DOBody"/>
      </w:pPr>
      <w:r>
        <w:rPr>
          <w:b/>
          <w:sz w:val="16"/>
        </w:rPr>
        <w:t xml:space="preserve">  [EVALUATIVE] </w:t>
      </w:r>
      <w:r>
        <w:rPr>
          <w:sz w:val="16"/>
        </w:rPr>
        <w:t>GOV.RIGHTS.classified (Classified): Required data not available from filings</w:t>
      </w:r>
    </w:p>
    <w:p>
      <w:pPr>
        <w:pStyle w:val="DOHeading3"/>
      </w:pPr>
      <w:r>
        <w:t>Market &amp; Trading</w:t>
      </w:r>
    </w:p>
    <w:p>
      <w:pPr>
        <w:pStyle w:val="DOBody"/>
      </w:pPr>
      <w:r>
        <w:rPr>
          <w:b/>
          <w:sz w:val="16"/>
        </w:rPr>
        <w:t xml:space="preserve">  [EVALUATIVE] </w:t>
      </w:r>
      <w:r>
        <w:rPr>
          <w:sz w:val="16"/>
        </w:rPr>
        <w:t>FIN.LIQ.position (Liquidity Position): Required data not available from filings</w:t>
      </w:r>
    </w:p>
    <w:p>
      <w:pPr>
        <w:pStyle w:val="DOBody"/>
      </w:pPr>
      <w:r>
        <w:rPr>
          <w:b/>
          <w:sz w:val="16"/>
        </w:rPr>
        <w:t xml:space="preserve">  [EVALUATIVE] </w:t>
      </w:r>
      <w:r>
        <w:rPr>
          <w:sz w:val="16"/>
        </w:rPr>
        <w:t>FIN.LIQ.working_capital (Working Capital Analysis): Required data not available from filings</w:t>
      </w:r>
    </w:p>
    <w:p>
      <w:pPr>
        <w:pStyle w:val="DOBody"/>
      </w:pPr>
      <w:r>
        <w:rPr>
          <w:b/>
          <w:sz w:val="16"/>
        </w:rPr>
        <w:t xml:space="preserve">  [EVALUATIVE] </w:t>
      </w:r>
      <w:r>
        <w:rPr>
          <w:sz w:val="16"/>
        </w:rPr>
        <w:t>FIN.LIQ.efficiency (Liquidity Efficiency): Required data not available from filings</w:t>
      </w:r>
    </w:p>
    <w:p>
      <w:pPr>
        <w:pStyle w:val="DOBody"/>
      </w:pPr>
      <w:r>
        <w:rPr>
          <w:b/>
          <w:sz w:val="16"/>
        </w:rPr>
        <w:t xml:space="preserve">  [EVALUATIVE] </w:t>
      </w:r>
      <w:r>
        <w:rPr>
          <w:sz w:val="16"/>
        </w:rPr>
        <w:t>FIN.LIQ.trend (Liquidity Trend): Required data not available from filings</w:t>
      </w:r>
    </w:p>
    <w:p>
      <w:pPr>
        <w:pStyle w:val="DOBody"/>
      </w:pPr>
      <w:r>
        <w:rPr>
          <w:b/>
          <w:sz w:val="16"/>
        </w:rPr>
        <w:t xml:space="preserve">  [EVALUATIVE] </w:t>
      </w:r>
      <w:r>
        <w:rPr>
          <w:sz w:val="16"/>
        </w:rPr>
        <w:t>FIN.DEBT.structure (Debt Structure): Required data not available from filings</w:t>
      </w:r>
    </w:p>
    <w:p>
      <w:pPr>
        <w:pStyle w:val="DOBody"/>
      </w:pPr>
      <w:r>
        <w:rPr>
          <w:b/>
          <w:sz w:val="16"/>
        </w:rPr>
        <w:t xml:space="preserve">  [EVALUATIVE] </w:t>
      </w:r>
      <w:r>
        <w:rPr>
          <w:sz w:val="16"/>
        </w:rPr>
        <w:t>FIN.COMP.unvested_cost (Unvested SBC Pipeline): Required data not available from filings</w:t>
      </w:r>
    </w:p>
    <w:p>
      <w:pPr>
        <w:pStyle w:val="DOBody"/>
      </w:pPr>
      <w:r>
        <w:rPr>
          <w:b/>
          <w:sz w:val="16"/>
        </w:rPr>
        <w:t xml:space="preserve">  [EVALUATIVE] </w:t>
      </w:r>
      <w:r>
        <w:rPr>
          <w:sz w:val="16"/>
        </w:rPr>
        <w:t>FIN.COMP.rsu_grants (RSU Grant Trend): Required data not available from filings</w:t>
      </w:r>
    </w:p>
    <w:p>
      <w:pPr>
        <w:pStyle w:val="DOBody"/>
      </w:pPr>
      <w:r>
        <w:rPr>
          <w:b/>
          <w:sz w:val="16"/>
        </w:rPr>
        <w:t xml:space="preserve">  [EVALUATIVE] </w:t>
      </w:r>
      <w:r>
        <w:rPr>
          <w:sz w:val="16"/>
        </w:rPr>
        <w:t>FIN.CAP.buyback_capacity (Buyback Authorization Capacity): Required data not available from filings</w:t>
      </w:r>
    </w:p>
    <w:p>
      <w:pPr>
        <w:pStyle w:val="DOBody"/>
      </w:pPr>
      <w:r>
        <w:rPr>
          <w:b/>
          <w:sz w:val="16"/>
        </w:rPr>
        <w:t xml:space="preserve">  [EVALUATIVE] </w:t>
      </w:r>
      <w:r>
        <w:rPr>
          <w:sz w:val="16"/>
        </w:rPr>
        <w:t>FIN.CAP.allocation_balance (Capital Allocation Balance): Required data not available from filings</w:t>
      </w:r>
    </w:p>
    <w:p>
      <w:pPr>
        <w:pStyle w:val="DOBody"/>
      </w:pPr>
      <w:r>
        <w:rPr>
          <w:b/>
          <w:sz w:val="16"/>
        </w:rPr>
        <w:t xml:space="preserve">  [EVALUATIVE] </w:t>
      </w:r>
      <w:r>
        <w:rPr>
          <w:sz w:val="16"/>
        </w:rPr>
        <w:t>FIN.CONT.loss_accrual (Loss Contingency Accrual): Required data not available from filings</w:t>
      </w:r>
    </w:p>
    <w:p>
      <w:pPr>
        <w:pStyle w:val="DOBody"/>
      </w:pPr>
      <w:r>
        <w:rPr>
          <w:b/>
          <w:sz w:val="16"/>
        </w:rPr>
        <w:t xml:space="preserve">  [EVALUATIVE] </w:t>
      </w:r>
      <w:r>
        <w:rPr>
          <w:sz w:val="16"/>
        </w:rPr>
        <w:t>FIN.CONT.loss_estimate (Loss Contingency Estimate): Required data not available from filings</w:t>
      </w:r>
    </w:p>
    <w:p>
      <w:pPr>
        <w:pStyle w:val="DOBody"/>
      </w:pPr>
      <w:r>
        <w:rPr>
          <w:b/>
          <w:sz w:val="16"/>
        </w:rPr>
        <w:t xml:space="preserve">  [EVALUATIVE] </w:t>
      </w:r>
      <w:r>
        <w:rPr>
          <w:sz w:val="16"/>
        </w:rPr>
        <w:t>FIN.CONT.settlement_activity (Litigation Settlement Activity): Required data not available from filings</w:t>
      </w:r>
    </w:p>
    <w:p>
      <w:pPr>
        <w:pStyle w:val="DOBody"/>
      </w:pPr>
      <w:r>
        <w:rPr>
          <w:b/>
          <w:sz w:val="16"/>
        </w:rPr>
        <w:t xml:space="preserve">  [EVALUATIVE] </w:t>
      </w:r>
      <w:r>
        <w:rPr>
          <w:sz w:val="16"/>
        </w:rPr>
        <w:t>FIN.CONT.warranty_reserve (Product Warranty Reserve): Required data not available from filings</w:t>
      </w:r>
    </w:p>
    <w:p>
      <w:pPr>
        <w:pStyle w:val="DOBody"/>
      </w:pPr>
      <w:r>
        <w:rPr>
          <w:b/>
          <w:sz w:val="16"/>
        </w:rPr>
        <w:t xml:space="preserve">  [EVALUATIVE] </w:t>
      </w:r>
      <w:r>
        <w:rPr>
          <w:sz w:val="16"/>
        </w:rPr>
        <w:t>FIN.DEBT.facility_utilization (Credit Facility Utilization): Required data not available from filings</w:t>
      </w:r>
    </w:p>
    <w:p>
      <w:pPr>
        <w:pStyle w:val="DOBody"/>
      </w:pPr>
      <w:r>
        <w:rPr>
          <w:b/>
          <w:sz w:val="16"/>
        </w:rPr>
        <w:t xml:space="preserve">  [EVALUATIVE] </w:t>
      </w:r>
      <w:r>
        <w:rPr>
          <w:sz w:val="16"/>
        </w:rPr>
        <w:t>FIN.DEBT.maturity_concentration (Debt Maturity Concentration): Data mapping not configured for this check</w:t>
      </w:r>
    </w:p>
    <w:p>
      <w:pPr>
        <w:pStyle w:val="DOBody"/>
      </w:pPr>
      <w:r>
        <w:rPr>
          <w:b/>
          <w:sz w:val="16"/>
        </w:rPr>
        <w:t xml:space="preserve">  [EVALUATIVE] </w:t>
      </w:r>
      <w:r>
        <w:rPr>
          <w:sz w:val="16"/>
        </w:rPr>
        <w:t>FIN.QUALITY.q4_revenue_concentration (Q4 Revenue Concentration): Required data not available from filings</w:t>
      </w:r>
    </w:p>
    <w:p>
      <w:pPr>
        <w:pStyle w:val="DOBody"/>
      </w:pPr>
      <w:r>
        <w:rPr>
          <w:b/>
          <w:sz w:val="16"/>
        </w:rPr>
        <w:t xml:space="preserve">  [EVALUATIVE] </w:t>
      </w:r>
      <w:r>
        <w:rPr>
          <w:sz w:val="16"/>
        </w:rPr>
        <w:t>FIN.QUALITY.revenue_recognition_risk (Revenue Recognition Risk Indicators): Data mapping not configured for this check</w:t>
      </w:r>
    </w:p>
    <w:p>
      <w:pPr>
        <w:pStyle w:val="DOBody"/>
      </w:pPr>
      <w:r>
        <w:rPr>
          <w:b/>
          <w:sz w:val="16"/>
        </w:rPr>
        <w:t xml:space="preserve">  [EVALUATIVE] </w:t>
      </w:r>
      <w:r>
        <w:rPr>
          <w:sz w:val="16"/>
        </w:rPr>
        <w:t>FIN.FORENSIC.level3_fair_value (Level 3 Fair Value Asset Concentration): Data mapping not configured for this check</w:t>
      </w:r>
    </w:p>
    <w:p>
      <w:pPr>
        <w:pStyle w:val="DOBody"/>
      </w:pPr>
      <w:r>
        <w:rPr>
          <w:b/>
          <w:sz w:val="16"/>
        </w:rPr>
        <w:t xml:space="preserve">  [EVALUATIVE] </w:t>
      </w:r>
      <w:r>
        <w:rPr>
          <w:sz w:val="16"/>
        </w:rPr>
        <w:t>FIN.FORENSIC.goodwill_deterioration_pattern (Goodwill Deterioration Pattern): Data mapping not configured for this check</w:t>
      </w:r>
    </w:p>
    <w:p>
      <w:pPr>
        <w:pStyle w:val="DOBody"/>
      </w:pPr>
      <w:r>
        <w:rPr>
          <w:b/>
          <w:sz w:val="16"/>
        </w:rPr>
        <w:t xml:space="preserve">  [EVALUATIVE] </w:t>
      </w:r>
      <w:r>
        <w:rPr>
          <w:sz w:val="16"/>
        </w:rPr>
        <w:t>FIN.FORENSIC.related_party_revenue (Related Party Revenue Concentration): Data mapping not configured for this check</w:t>
      </w:r>
    </w:p>
    <w:p>
      <w:pPr>
        <w:pStyle w:val="DOBody"/>
      </w:pPr>
      <w:r>
        <w:rPr>
          <w:b/>
          <w:sz w:val="16"/>
        </w:rPr>
        <w:t xml:space="preserve">  [EVALUATIVE] </w:t>
      </w:r>
      <w:r>
        <w:rPr>
          <w:sz w:val="16"/>
        </w:rPr>
        <w:t>FWRD.EVENT.ma_integration_risk (M&amp;A Integration Risk): Data mapping not configured for this check</w:t>
      </w:r>
    </w:p>
    <w:p>
      <w:pPr>
        <w:pStyle w:val="DOBody"/>
      </w:pPr>
      <w:r>
        <w:rPr>
          <w:b/>
          <w:sz w:val="16"/>
        </w:rPr>
        <w:t xml:space="preserve">  [EVALUATIVE] </w:t>
      </w:r>
      <w:r>
        <w:rPr>
          <w:sz w:val="16"/>
        </w:rPr>
        <w:t>FIN.FORENSIC.deferred_revenue_divergence (Deferred Revenue Divergence): Data mapping not configured for this check</w:t>
      </w:r>
    </w:p>
    <w:p>
      <w:pPr>
        <w:pStyle w:val="DOBody"/>
      </w:pPr>
      <w:r>
        <w:rPr>
          <w:b/>
          <w:sz w:val="16"/>
        </w:rPr>
        <w:t xml:space="preserve">  [EVALUATIVE] </w:t>
      </w:r>
      <w:r>
        <w:rPr>
          <w:sz w:val="16"/>
        </w:rPr>
        <w:t>FIN.FORENSIC.margin_compression (Forensic Margin Compression): Data mapping not configured for this check</w:t>
      </w:r>
    </w:p>
    <w:p>
      <w:pPr>
        <w:pStyle w:val="DOBody"/>
      </w:pPr>
      <w:r>
        <w:rPr>
          <w:b/>
          <w:sz w:val="16"/>
        </w:rPr>
        <w:t xml:space="preserve">  [EVALUATIVE] </w:t>
      </w:r>
      <w:r>
        <w:rPr>
          <w:sz w:val="16"/>
        </w:rPr>
        <w:t>FIN.FORENSIC.buyback_timing (Share Buyback Timing Quality): Data mapping not configured for this check</w:t>
      </w:r>
    </w:p>
    <w:p>
      <w:pPr>
        <w:pStyle w:val="DOBody"/>
      </w:pPr>
      <w:r>
        <w:rPr>
          <w:b/>
          <w:sz w:val="16"/>
        </w:rPr>
        <w:t xml:space="preserve">  [EVALUATIVE] </w:t>
      </w:r>
      <w:r>
        <w:rPr>
          <w:sz w:val="16"/>
        </w:rPr>
        <w:t>FIN.FORENSIC.debt_maturity_concentration (Debt Maturity Concentration): Data mapping not configured for this check</w:t>
      </w:r>
    </w:p>
    <w:p>
      <w:pPr>
        <w:pStyle w:val="DOBody"/>
      </w:pPr>
      <w:r>
        <w:rPr>
          <w:b/>
          <w:sz w:val="16"/>
        </w:rPr>
        <w:t xml:space="preserve">  [EVALUATIVE] </w:t>
      </w:r>
      <w:r>
        <w:rPr>
          <w:sz w:val="16"/>
        </w:rPr>
        <w:t>FIN.FORENSIC.pension_underfunding (Pension Underfunding Risk): Data mapping not configured for this check</w:t>
      </w:r>
    </w:p>
    <w:p>
      <w:pPr>
        <w:pStyle w:val="DOBody"/>
      </w:pPr>
      <w:r>
        <w:rPr>
          <w:b/>
          <w:sz w:val="16"/>
        </w:rPr>
        <w:t xml:space="preserve">  [EVALUATIVE] </w:t>
      </w:r>
      <w:r>
        <w:rPr>
          <w:sz w:val="16"/>
        </w:rPr>
        <w:t>FIN.FORENSIC.dsri_elevated (Days Sales Receivable Index Elevated): Data mapping not configured for this check</w:t>
      </w:r>
    </w:p>
    <w:p>
      <w:pPr>
        <w:pStyle w:val="DOBody"/>
      </w:pPr>
      <w:r>
        <w:rPr>
          <w:b/>
          <w:sz w:val="16"/>
        </w:rPr>
        <w:t xml:space="preserve">  [EVALUATIVE] </w:t>
      </w:r>
      <w:r>
        <w:rPr>
          <w:sz w:val="16"/>
        </w:rPr>
        <w:t>FIN.FORENSIC.aqi_elevated (Asset Quality Index Elevated): Data mapping not configured for this check</w:t>
      </w:r>
    </w:p>
    <w:p>
      <w:pPr>
        <w:pStyle w:val="DOBody"/>
      </w:pPr>
      <w:r>
        <w:rPr>
          <w:b/>
          <w:sz w:val="16"/>
        </w:rPr>
        <w:t xml:space="preserve">  [EVALUATIVE] </w:t>
      </w:r>
      <w:r>
        <w:rPr>
          <w:sz w:val="16"/>
        </w:rPr>
        <w:t>FIN.FORENSIC.tata_elevated (Total Accruals to Total Assets Elevated): Data mapping not configured for this check</w:t>
      </w:r>
    </w:p>
    <w:p>
      <w:pPr>
        <w:pStyle w:val="DOBody"/>
      </w:pPr>
      <w:r>
        <w:rPr>
          <w:b/>
          <w:sz w:val="16"/>
        </w:rPr>
        <w:t xml:space="preserve">  [EVALUATIVE] </w:t>
      </w:r>
      <w:r>
        <w:rPr>
          <w:sz w:val="16"/>
        </w:rPr>
        <w:t>FIN.FORENSIC.non_gaap_gap (Non-GAAP to GAAP Earnings Gap): Data mapping not configured for this check</w:t>
      </w:r>
    </w:p>
    <w:p>
      <w:pPr>
        <w:pStyle w:val="DOBody"/>
      </w:pPr>
      <w:r>
        <w:rPr>
          <w:b/>
          <w:sz w:val="16"/>
        </w:rPr>
        <w:t xml:space="preserve">  [EVALUATIVE] </w:t>
      </w:r>
      <w:r>
        <w:rPr>
          <w:sz w:val="16"/>
        </w:rPr>
        <w:t>FIN.FORENSIC.goodwill_growth_rate (Goodwill Growth Rate): Data mapping not configured for this check</w:t>
      </w:r>
    </w:p>
    <w:p>
      <w:pPr>
        <w:pStyle w:val="DOBody"/>
      </w:pPr>
      <w:r>
        <w:rPr>
          <w:b/>
          <w:sz w:val="16"/>
        </w:rPr>
        <w:t xml:space="preserve">  [EVALUATIVE] </w:t>
      </w:r>
      <w:r>
        <w:rPr>
          <w:sz w:val="16"/>
        </w:rPr>
        <w:t>FIN.FORENSIC.acquisition_to_revenue (Acquisition Spend Relative to Revenue): Data mapping not configured for this check</w:t>
      </w:r>
    </w:p>
    <w:p>
      <w:pPr>
        <w:pStyle w:val="DOBody"/>
      </w:pPr>
      <w:r>
        <w:rPr>
          <w:b/>
          <w:sz w:val="16"/>
        </w:rPr>
        <w:t xml:space="preserve">  [EVALUATIVE] </w:t>
      </w:r>
      <w:r>
        <w:rPr>
          <w:sz w:val="16"/>
        </w:rPr>
        <w:t>FIN.PROFIT.revenue (Revenue Analysis): Required data not available from filings</w:t>
      </w:r>
    </w:p>
    <w:p>
      <w:pPr>
        <w:pStyle w:val="DOBody"/>
      </w:pPr>
      <w:r>
        <w:rPr>
          <w:b/>
          <w:sz w:val="16"/>
        </w:rPr>
        <w:t xml:space="preserve">  [EVALUATIVE] </w:t>
      </w:r>
      <w:r>
        <w:rPr>
          <w:sz w:val="16"/>
        </w:rPr>
        <w:t>FIN.GUIDE.track_record (Guidance Track Record): Required data not available from filings</w:t>
      </w:r>
    </w:p>
    <w:p>
      <w:pPr>
        <w:pStyle w:val="DOBody"/>
      </w:pPr>
      <w:r>
        <w:rPr>
          <w:b/>
          <w:sz w:val="16"/>
        </w:rPr>
        <w:t xml:space="preserve">  [EVALUATIVE] </w:t>
      </w:r>
      <w:r>
        <w:rPr>
          <w:sz w:val="16"/>
        </w:rPr>
        <w:t>FIN.OBS.contract_liability (Deferred Revenue Execution Risk): Required data not available from filings</w:t>
      </w:r>
    </w:p>
    <w:p>
      <w:pPr>
        <w:pStyle w:val="DOBody"/>
      </w:pPr>
      <w:r>
        <w:rPr>
          <w:b/>
          <w:sz w:val="16"/>
        </w:rPr>
        <w:t xml:space="preserve">  [EVALUATIVE] </w:t>
      </w:r>
      <w:r>
        <w:rPr>
          <w:sz w:val="16"/>
        </w:rPr>
        <w:t>FIN.RESTRUCT.severance (Severance Costs): Required data not available from filings</w:t>
      </w:r>
    </w:p>
    <w:p>
      <w:pPr>
        <w:pStyle w:val="DOBody"/>
      </w:pPr>
      <w:r>
        <w:rPr>
          <w:b/>
          <w:sz w:val="16"/>
        </w:rPr>
        <w:t xml:space="preserve">  [EVALUATIVE] </w:t>
      </w:r>
      <w:r>
        <w:rPr>
          <w:sz w:val="16"/>
        </w:rPr>
        <w:t>FIN.IMPAIR.asset_writedown (Asset Impairment): Required data not available from filings</w:t>
      </w:r>
    </w:p>
    <w:p>
      <w:pPr>
        <w:pStyle w:val="DOBody"/>
      </w:pPr>
      <w:r>
        <w:rPr>
          <w:b/>
          <w:sz w:val="16"/>
        </w:rPr>
        <w:t xml:space="preserve">  [EVALUATIVE] </w:t>
      </w:r>
      <w:r>
        <w:rPr>
          <w:sz w:val="16"/>
        </w:rPr>
        <w:t>FIN.IMPAIR.intangible_writedown (Intangible Asset Impairment): Required data not available from filings</w:t>
      </w:r>
    </w:p>
    <w:p>
      <w:pPr>
        <w:pStyle w:val="DOBody"/>
      </w:pPr>
      <w:r>
        <w:rPr>
          <w:b/>
          <w:sz w:val="16"/>
        </w:rPr>
        <w:t xml:space="preserve">  [REQUIRED] </w:t>
      </w:r>
      <w:r>
        <w:rPr>
          <w:sz w:val="16"/>
        </w:rPr>
        <w:t>NLP.FILING.filing_timing_change (Filing Date Shifted Significantly vs Prior Year): Required data not available from filings</w:t>
      </w:r>
    </w:p>
    <w:p>
      <w:pPr>
        <w:pStyle w:val="DOBody"/>
      </w:pPr>
      <w:r>
        <w:rPr>
          <w:b/>
          <w:sz w:val="16"/>
        </w:rPr>
        <w:t xml:space="preserve">  [EVALUATIVE] </w:t>
      </w:r>
      <w:r>
        <w:rPr>
          <w:sz w:val="16"/>
        </w:rPr>
        <w:t>FIN.FORENSIC.m_score_composite (Beneish M-Score Composite (XBRL)): Data mapping not configured for this check</w:t>
      </w:r>
    </w:p>
    <w:p>
      <w:pPr>
        <w:pStyle w:val="DOBody"/>
      </w:pPr>
      <w:r>
        <w:rPr>
          <w:sz w:val="16"/>
        </w:rPr>
        <w:t>Gap breakdown: Required items: 9 | Evaluative checks: 118</w:t>
      </w:r>
    </w:p>
    <w:p>
      <w:pPr>
        <w:pStyle w:val="DOBody"/>
      </w:pPr>
      <w:r>
        <w:rPr>
          <w:b/>
        </w:rPr>
        <w:t>Total: 127 checks data-unavailable out of 566 total checks (78% coverage)</w:t>
      </w:r>
    </w:p>
    <w:p>
      <w:pPr>
        <w:spacing w:before="120" w:after="40"/>
        <w:pBdr>
          <w:bottom w:val="single" w:sz="6" w:space="1" w:color="FFD000"/>
        </w:pBdr>
      </w:pPr>
    </w:p>
    <w:p>
      <w:pPr>
        <w:pStyle w:val="DOHeading2"/>
      </w:pPr>
      <w:r>
        <w:t>Calibration Notes</w:t>
      </w:r>
    </w:p>
    <w:p>
      <w:pPr>
        <w:pStyle w:val="DOHeading3"/>
      </w:pPr>
      <w:r>
        <w:t>System Intelligence Status</w:t>
      </w:r>
    </w:p>
    <w:p>
      <w:pPr>
        <w:pStyle w:val="DOBody"/>
      </w:pPr>
      <w:r>
        <w:rPr>
          <w:b/>
        </w:rPr>
        <w:t>Checks active</w:t>
      </w:r>
      <w:r>
        <w:t>: 601</w:t>
      </w:r>
    </w:p>
    <w:p>
      <w:pPr>
        <w:pStyle w:val="DOBody"/>
      </w:pPr>
      <w:r>
        <w:rPr>
          <w:b/>
        </w:rPr>
        <w:t>Checks incubating</w:t>
      </w:r>
      <w:r>
        <w:t>: 0 (pending human approval)</w:t>
      </w:r>
    </w:p>
    <w:p>
      <w:pPr>
        <w:pStyle w:val="DOBody"/>
      </w:pPr>
      <w:r>
        <w:rPr>
          <w:b/>
        </w:rPr>
        <w:t>Pending feedback</w:t>
      </w:r>
      <w:r>
        <w:t>: 0 entries</w:t>
      </w:r>
    </w:p>
    <w:p>
      <w:pPr>
        <w:pStyle w:val="DOHeading3"/>
      </w:pPr>
      <w:r>
        <w:t>Recent Calibration Changes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sz w:val="18"/>
              </w:rPr>
              <w:t>Date</w:t>
            </w:r>
          </w:p>
        </w:tc>
        <w:tc>
          <w:tcPr>
            <w:tcW w:type="dxa" w:w="2520"/>
          </w:tcPr>
          <w:p>
            <w:r>
              <w:rPr>
                <w:b/>
                <w:sz w:val="18"/>
              </w:rPr>
              <w:t>Check</w:t>
            </w:r>
          </w:p>
        </w:tc>
        <w:tc>
          <w:tcPr>
            <w:tcW w:type="dxa" w:w="2520"/>
          </w:tcPr>
          <w:p>
            <w:r>
              <w:rPr>
                <w:b/>
                <w:sz w:val="18"/>
              </w:rPr>
              <w:t>Change</w:t>
            </w:r>
          </w:p>
        </w:tc>
        <w:tc>
          <w:tcPr>
            <w:tcW w:type="dxa" w:w="2520"/>
          </w:tcPr>
          <w:p>
            <w:r>
              <w:rPr>
                <w:b/>
                <w:sz w:val="18"/>
              </w:rPr>
              <w:t>Changed By</w:t>
            </w:r>
          </w:p>
        </w:tc>
      </w:tr>
      <w:tr>
        <w:tc>
          <w:tcPr>
            <w:tcW w:type="dxa" w:w="2520"/>
          </w:tcPr>
          <w:p>
            <w:r>
              <w:rPr>
                <w:sz w:val="18"/>
              </w:rPr>
              <w:t>2026-04-02</w:t>
            </w:r>
          </w:p>
        </w:tc>
        <w:tc>
          <w:tcPr>
            <w:tcW w:type="dxa" w:w="2520"/>
          </w:tcPr>
          <w:p>
            <w:r>
              <w:rPr>
                <w:sz w:val="18"/>
              </w:rPr>
              <w:t>UTILIZATION_MGMT_SCRUTINY</w:t>
            </w:r>
          </w:p>
        </w:tc>
        <w:tc>
          <w:tcPr>
            <w:tcW w:type="dxa" w:w="2520"/>
          </w:tcPr>
          <w:p>
            <w:r>
              <w:rPr>
                <w:sz w:val="18"/>
              </w:rPr>
              <w:t>Proposed by ingestion of 'blind_spot:UNH:UnitedHealth Group</w:t>
            </w:r>
          </w:p>
        </w:tc>
        <w:tc>
          <w:tcPr>
            <w:tcW w:type="dxa" w:w="2520"/>
          </w:tcPr>
          <w:p>
            <w:r>
              <w:rPr>
                <w:sz w:val="18"/>
              </w:rPr>
              <w:t>ingestion_pipeline</w:t>
            </w:r>
          </w:p>
        </w:tc>
      </w:tr>
      <w:tr>
        <w:tc>
          <w:tcPr>
            <w:tcW w:type="dxa" w:w="2520"/>
          </w:tcPr>
          <w:p>
            <w:r>
              <w:rPr>
                <w:sz w:val="18"/>
              </w:rPr>
              <w:t>2026-04-02</w:t>
            </w:r>
          </w:p>
        </w:tc>
        <w:tc>
          <w:tcPr>
            <w:tcW w:type="dxa" w:w="2520"/>
          </w:tcPr>
          <w:p>
            <w:r>
              <w:rPr>
                <w:sz w:val="18"/>
              </w:rPr>
              <w:t>PUBLIC_OUTRAGE_IMPACT</w:t>
            </w:r>
          </w:p>
        </w:tc>
        <w:tc>
          <w:tcPr>
            <w:tcW w:type="dxa" w:w="2520"/>
          </w:tcPr>
          <w:p>
            <w:r>
              <w:rPr>
                <w:sz w:val="18"/>
              </w:rPr>
              <w:t>Proposed by ingestion of 'blind_spot:UNH:UnitedHealth Group</w:t>
            </w:r>
          </w:p>
        </w:tc>
        <w:tc>
          <w:tcPr>
            <w:tcW w:type="dxa" w:w="2520"/>
          </w:tcPr>
          <w:p>
            <w:r>
              <w:rPr>
                <w:sz w:val="18"/>
              </w:rPr>
              <w:t>ingestion_pipeline</w:t>
            </w:r>
          </w:p>
        </w:tc>
      </w:tr>
      <w:tr>
        <w:tc>
          <w:tcPr>
            <w:tcW w:type="dxa" w:w="2520"/>
          </w:tcPr>
          <w:p>
            <w:r>
              <w:rPr>
                <w:sz w:val="18"/>
              </w:rPr>
              <w:t>2026-04-02</w:t>
            </w:r>
          </w:p>
        </w:tc>
        <w:tc>
          <w:tcPr>
            <w:tcW w:type="dxa" w:w="2520"/>
          </w:tcPr>
          <w:p>
            <w:r>
              <w:rPr>
                <w:sz w:val="18"/>
              </w:rPr>
              <w:t>GUIDANCE_CHANGE_POST_CRISIS</w:t>
            </w:r>
          </w:p>
        </w:tc>
        <w:tc>
          <w:tcPr>
            <w:tcW w:type="dxa" w:w="2520"/>
          </w:tcPr>
          <w:p>
            <w:r>
              <w:rPr>
                <w:sz w:val="18"/>
              </w:rPr>
              <w:t>Proposed by ingestion of 'blind_spot:UNH:UnitedHealth Group</w:t>
            </w:r>
          </w:p>
        </w:tc>
        <w:tc>
          <w:tcPr>
            <w:tcW w:type="dxa" w:w="2520"/>
          </w:tcPr>
          <w:p>
            <w:r>
              <w:rPr>
                <w:sz w:val="18"/>
              </w:rPr>
              <w:t>ingestion_pipeline</w:t>
            </w:r>
          </w:p>
        </w:tc>
      </w:tr>
      <w:tr>
        <w:tc>
          <w:tcPr>
            <w:tcW w:type="dxa" w:w="2520"/>
          </w:tcPr>
          <w:p>
            <w:r>
              <w:rPr>
                <w:sz w:val="18"/>
              </w:rPr>
              <w:t>2026-04-02</w:t>
            </w:r>
          </w:p>
        </w:tc>
        <w:tc>
          <w:tcPr>
            <w:tcW w:type="dxa" w:w="2520"/>
          </w:tcPr>
          <w:p>
            <w:r>
              <w:rPr>
                <w:sz w:val="18"/>
              </w:rPr>
              <w:t>VAERS_DATA_MONITORING</w:t>
            </w:r>
          </w:p>
        </w:tc>
        <w:tc>
          <w:tcPr>
            <w:tcW w:type="dxa" w:w="2520"/>
          </w:tcPr>
          <w:p>
            <w:r>
              <w:rPr>
                <w:sz w:val="18"/>
              </w:rPr>
              <w:t>Proposed by ingestion of 'blind_spot:MRNA:Moderna, Inc. Secu</w:t>
            </w:r>
          </w:p>
        </w:tc>
        <w:tc>
          <w:tcPr>
            <w:tcW w:type="dxa" w:w="2520"/>
          </w:tcPr>
          <w:p>
            <w:r>
              <w:rPr>
                <w:sz w:val="18"/>
              </w:rPr>
              <w:t>ingestion_pipeline</w:t>
            </w:r>
          </w:p>
        </w:tc>
      </w:tr>
      <w:tr>
        <w:tc>
          <w:tcPr>
            <w:tcW w:type="dxa" w:w="2520"/>
          </w:tcPr>
          <w:p>
            <w:r>
              <w:rPr>
                <w:sz w:val="18"/>
              </w:rPr>
              <w:t>2026-04-02</w:t>
            </w:r>
          </w:p>
        </w:tc>
        <w:tc>
          <w:tcPr>
            <w:tcW w:type="dxa" w:w="2520"/>
          </w:tcPr>
          <w:p>
            <w:r>
              <w:rPr>
                <w:sz w:val="18"/>
              </w:rPr>
              <w:t>VACCINE_SAFETY_OVERSIGHT_BOARD</w:t>
            </w:r>
          </w:p>
        </w:tc>
        <w:tc>
          <w:tcPr>
            <w:tcW w:type="dxa" w:w="2520"/>
          </w:tcPr>
          <w:p>
            <w:r>
              <w:rPr>
                <w:sz w:val="18"/>
              </w:rPr>
              <w:t>Proposed by ingestion of 'blind_spot:MRNA:Moderna, Inc. Secu</w:t>
            </w:r>
          </w:p>
        </w:tc>
        <w:tc>
          <w:tcPr>
            <w:tcW w:type="dxa" w:w="2520"/>
          </w:tcPr>
          <w:p>
            <w:r>
              <w:rPr>
                <w:sz w:val="18"/>
              </w:rPr>
              <w:t>ingestion_pipeline</w:t>
            </w:r>
          </w:p>
        </w:tc>
      </w:tr>
      <w:tr>
        <w:tc>
          <w:tcPr>
            <w:tcW w:type="dxa" w:w="2520"/>
          </w:tcPr>
          <w:p>
            <w:r>
              <w:rPr>
                <w:sz w:val="18"/>
              </w:rPr>
              <w:t>2026-04-02</w:t>
            </w:r>
          </w:p>
        </w:tc>
        <w:tc>
          <w:tcPr>
            <w:tcW w:type="dxa" w:w="2520"/>
          </w:tcPr>
          <w:p>
            <w:r>
              <w:rPr>
                <w:sz w:val="18"/>
              </w:rPr>
              <w:t>PEDIATRIC_SAFETY_DISCLOSURE_GAP</w:t>
            </w:r>
          </w:p>
        </w:tc>
        <w:tc>
          <w:tcPr>
            <w:tcW w:type="dxa" w:w="2520"/>
          </w:tcPr>
          <w:p>
            <w:r>
              <w:rPr>
                <w:sz w:val="18"/>
              </w:rPr>
              <w:t>Proposed by ingestion of 'blind_spot:MRNA:Moderna, Inc. Secu</w:t>
            </w:r>
          </w:p>
        </w:tc>
        <w:tc>
          <w:tcPr>
            <w:tcW w:type="dxa" w:w="2520"/>
          </w:tcPr>
          <w:p>
            <w:r>
              <w:rPr>
                <w:sz w:val="18"/>
              </w:rPr>
              <w:t>ingestion_pipeline</w:t>
            </w:r>
          </w:p>
        </w:tc>
      </w:tr>
      <w:tr>
        <w:tc>
          <w:tcPr>
            <w:tcW w:type="dxa" w:w="2520"/>
          </w:tcPr>
          <w:p>
            <w:r>
              <w:rPr>
                <w:sz w:val="18"/>
              </w:rPr>
              <w:t>2026-04-02</w:t>
            </w:r>
          </w:p>
        </w:tc>
        <w:tc>
          <w:tcPr>
            <w:tcW w:type="dxa" w:w="2520"/>
          </w:tcPr>
          <w:p>
            <w:r>
              <w:rPr>
                <w:sz w:val="18"/>
              </w:rPr>
              <w:t>GOV.FOUNDER_CRIMINAL_EXPOSURE</w:t>
            </w:r>
          </w:p>
        </w:tc>
        <w:tc>
          <w:tcPr>
            <w:tcW w:type="dxa" w:w="2520"/>
          </w:tcPr>
          <w:p>
            <w:r>
              <w:rPr>
                <w:sz w:val="18"/>
              </w:rPr>
              <w:t>Proposed by ingestion of 'blind_spot:NVDA:Super Micro Comput</w:t>
            </w:r>
          </w:p>
        </w:tc>
        <w:tc>
          <w:tcPr>
            <w:tcW w:type="dxa" w:w="2520"/>
          </w:tcPr>
          <w:p>
            <w:r>
              <w:rPr>
                <w:sz w:val="18"/>
              </w:rPr>
              <w:t>ingestion_pipeline</w:t>
            </w:r>
          </w:p>
        </w:tc>
      </w:tr>
      <w:tr>
        <w:tc>
          <w:tcPr>
            <w:tcW w:type="dxa" w:w="2520"/>
          </w:tcPr>
          <w:p>
            <w:r>
              <w:rPr>
                <w:sz w:val="18"/>
              </w:rPr>
              <w:t>2026-04-02</w:t>
            </w:r>
          </w:p>
        </w:tc>
        <w:tc>
          <w:tcPr>
            <w:tcW w:type="dxa" w:w="2520"/>
          </w:tcPr>
          <w:p>
            <w:r>
              <w:rPr>
                <w:sz w:val="18"/>
              </w:rPr>
              <w:t>BIZ.CHINA_EXPOSURE_DISCLOSURE</w:t>
            </w:r>
          </w:p>
        </w:tc>
        <w:tc>
          <w:tcPr>
            <w:tcW w:type="dxa" w:w="2520"/>
          </w:tcPr>
          <w:p>
            <w:r>
              <w:rPr>
                <w:sz w:val="18"/>
              </w:rPr>
              <w:t>Proposed by ingestion of 'blind_spot:NVDA:Super Micro Comput</w:t>
            </w:r>
          </w:p>
        </w:tc>
        <w:tc>
          <w:tcPr>
            <w:tcW w:type="dxa" w:w="2520"/>
          </w:tcPr>
          <w:p>
            <w:r>
              <w:rPr>
                <w:sz w:val="18"/>
              </w:rPr>
              <w:t>ingestion_pipeline</w:t>
            </w:r>
          </w:p>
        </w:tc>
      </w:tr>
      <w:tr>
        <w:tc>
          <w:tcPr>
            <w:tcW w:type="dxa" w:w="2520"/>
          </w:tcPr>
          <w:p>
            <w:r>
              <w:rPr>
                <w:sz w:val="18"/>
              </w:rPr>
              <w:t>2026-04-02</w:t>
            </w:r>
          </w:p>
        </w:tc>
        <w:tc>
          <w:tcPr>
            <w:tcW w:type="dxa" w:w="2520"/>
          </w:tcPr>
          <w:p>
            <w:r>
              <w:rPr>
                <w:sz w:val="18"/>
              </w:rPr>
              <w:t>GOV.EXPORT_CONTROL_COMPLIANCE</w:t>
            </w:r>
          </w:p>
        </w:tc>
        <w:tc>
          <w:tcPr>
            <w:tcW w:type="dxa" w:w="2520"/>
          </w:tcPr>
          <w:p>
            <w:r>
              <w:rPr>
                <w:sz w:val="18"/>
              </w:rPr>
              <w:t>Proposed by ingestion of 'blind_spot:NVDA:Super Micro Comput</w:t>
            </w:r>
          </w:p>
        </w:tc>
        <w:tc>
          <w:tcPr>
            <w:tcW w:type="dxa" w:w="2520"/>
          </w:tcPr>
          <w:p>
            <w:r>
              <w:rPr>
                <w:sz w:val="18"/>
              </w:rPr>
              <w:t>ingestion_pipeline</w:t>
            </w:r>
          </w:p>
        </w:tc>
      </w:tr>
      <w:tr>
        <w:tc>
          <w:tcPr>
            <w:tcW w:type="dxa" w:w="2520"/>
          </w:tcPr>
          <w:p>
            <w:r>
              <w:rPr>
                <w:sz w:val="18"/>
              </w:rPr>
              <w:t>2026-04-02</w:t>
            </w:r>
          </w:p>
        </w:tc>
        <w:tc>
          <w:tcPr>
            <w:tcW w:type="dxa" w:w="2520"/>
          </w:tcPr>
          <w:p>
            <w:r>
              <w:rPr>
                <w:sz w:val="18"/>
              </w:rPr>
              <w:t>AI_DEVELOPMENT_TIMELINE_DISCLOSURE</w:t>
            </w:r>
          </w:p>
        </w:tc>
        <w:tc>
          <w:tcPr>
            <w:tcW w:type="dxa" w:w="2520"/>
          </w:tcPr>
          <w:p>
            <w:r>
              <w:rPr>
                <w:sz w:val="18"/>
              </w:rPr>
              <w:t>Proposed by ingestion of 'blind_spot:AAPL:AAPL LAWSUIT: Appl</w:t>
            </w:r>
          </w:p>
        </w:tc>
        <w:tc>
          <w:tcPr>
            <w:tcW w:type="dxa" w:w="2520"/>
          </w:tcPr>
          <w:p>
            <w:r>
              <w:rPr>
                <w:sz w:val="18"/>
              </w:rPr>
              <w:t>ingestion_pipeline</w:t>
            </w:r>
          </w:p>
        </w:tc>
      </w:tr>
    </w:tbl>
    <w:p>
      <w:pPr>
        <w:pStyle w:val="DOHeading3"/>
      </w:pPr>
      <w:r>
        <w:t>Discovery Findings</w:t>
      </w:r>
    </w:p>
    <w:p>
      <w:pPr>
        <w:pStyle w:val="DOBody"/>
      </w:pPr>
      <w:r>
        <w:t>2 document(s) analyzed, 0 proposal(s) generated, from blind spot search</w:t>
      </w:r>
    </w:p>
    <w:p>
      <w:pPr>
        <w:pStyle w:val="DOHeading3"/>
      </w:pPr>
      <w:r>
        <w:t>Feedback for PG</w:t>
      </w:r>
    </w:p>
    <w:p>
      <w:pPr>
        <w:pStyle w:val="DOBody"/>
      </w:pPr>
      <w:r>
        <w:t>No pending feedback for PG.</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999999"/>
        <w:sz w:val="14"/>
      </w:rPr>
      <w:t>Angry Dolphin Underwriting | Confidential</w:t>
    </w:r>
    <w:r>
      <w:rPr>
        <w:color w:val="999999"/>
        <w:sz w:val="14"/>
      </w:rPr>
      <w:t xml:space="preserve">  |  Page </w:t>
    </w:r>
    <w: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1A1446"/>
        <w:sz w:val="16"/>
      </w:rPr>
      <w:t>PROCTER &amp; GAMBLE Co (PG)</w:t>
    </w:r>
    <w:r>
      <w:rPr>
        <w:color w:val="999999"/>
        <w:sz w:val="16"/>
      </w:rPr>
      <w:t xml:space="preserve">  |  Generated: 2026-04-03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Heading1">
    <w:name w:val="DOHeading1"/>
    <w:pPr>
      <w:keepNext/>
      <w:spacing w:before="480" w:after="160"/>
    </w:pPr>
    <w:rPr>
      <w:rFonts w:ascii="Georgia" w:hAnsi="Georgia"/>
      <w:b/>
      <w:color w:val="1A1446"/>
      <w:sz w:val="40"/>
    </w:rPr>
  </w:style>
  <w:style w:type="paragraph" w:customStyle="1" w:styleId="DOHeading2">
    <w:name w:val="DOHeading2"/>
    <w:pPr>
      <w:keepNext/>
      <w:spacing w:before="280" w:after="80"/>
    </w:pPr>
    <w:rPr>
      <w:rFonts w:ascii="Georgia" w:hAnsi="Georgia"/>
      <w:b/>
      <w:color w:val="1A1446"/>
      <w:sz w:val="28"/>
    </w:rPr>
  </w:style>
  <w:style w:type="paragraph" w:customStyle="1" w:styleId="DOHeading3">
    <w:name w:val="DOHeading3"/>
    <w:pPr>
      <w:keepNext/>
      <w:spacing w:before="200" w:after="60"/>
    </w:pPr>
    <w:rPr>
      <w:rFonts w:ascii="Georgia" w:hAnsi="Georgia"/>
      <w:b/>
      <w:color w:val="1A1446"/>
      <w:sz w:val="24"/>
    </w:rPr>
  </w:style>
  <w:style w:type="paragraph" w:customStyle="1" w:styleId="DOBody">
    <w:name w:val="DOBody"/>
    <w:pPr>
      <w:spacing w:after="80"/>
    </w:pPr>
    <w:rPr>
      <w:rFonts w:ascii="Calibri" w:hAnsi="Calibri"/>
      <w:color w:val="333333"/>
      <w:sz w:val="20"/>
    </w:rPr>
  </w:style>
  <w:style w:type="paragraph" w:customStyle="1" w:styleId="DOCaption">
    <w:name w:val="DOCaption"/>
    <w:pPr>
      <w:spacing w:before="40" w:after="120"/>
    </w:pPr>
    <w:rPr>
      <w:rFonts w:ascii="Calibri" w:hAnsi="Calibri"/>
      <w:color w:val="666666"/>
      <w:sz w:val="18"/>
    </w:rPr>
  </w:style>
  <w:style w:type="paragraph" w:customStyle="1" w:styleId="DOCitation">
    <w:name w:val="DOCitation"/>
    <w:pPr>
      <w:spacing w:after="40"/>
    </w:pPr>
    <w:rPr>
      <w:rFonts w:ascii="Consolas" w:hAnsi="Consolas"/>
      <w:color w:val="666666"/>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