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Super Micro Computer, Inc. (SMCI)</w:t>
      </w:r>
    </w:p>
    <w:p>
      <w:pPr>
        <w:pStyle w:val="DOBody"/>
      </w:pPr>
      <w:r>
        <w:rPr>
          <w:color w:val="666666"/>
          <w:sz w:val="20"/>
        </w:rPr>
        <w:t>Generated: April 03,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Super Micro Computer, Inc. (SMCI) presents a high-severity D&amp;O risk profile, meriting a **WATCH** tier classification that mandates senior underwriting review. The core forensic finding is the active *In re Super Micro Computer, Inc. Securities Litigation (2024)*, which imposes a 55-point scoring ceiling and drives a modeled claim probability band of 6.41% to 9.15%. This litigation is compounded by a catastrophic 62.8% stock decline from its 52-week high and a severe 33.8% drop in the last seven days alone, creating the precise volatility that fuels shareholder lawsuits. The "Prior Litigation" factor alone deducted 4.92 points from the underwriting score, against a maximum of 20, indicating a persistent legal overhang. Guidance misses, deducting 1.7 points, and elevated short interest, deducting 1.55 points, further evidence management credibility challenges in a volatile TECH sector. These negatives outweigh mitigants like the absence of SEC investigations, a stable C-suite over 18 months, and positive recent free cash flow. The 11.18% inherent risk percentage and composite score of 87.36 reflect this acute tension between operational strength and extreme securities litigation exposure. Consequently, any D&amp;O placement must be carefully structured with explicit exclusions for the 2024 securities class action and priced to reflect the ELEVATED claim band.</w:t>
      </w:r>
    </w:p>
    <w:p>
      <w:pPr>
        <w:pStyle w:val="DOHeading1"/>
      </w:pPr>
      <w:r>
        <w:t>Executive Summary</w:t>
      </w:r>
    </w:p>
    <w:p>
      <w:pPr>
        <w:pStyle w:val="DOHeading2"/>
      </w:pPr>
      <w:r>
        <w:t>Underwriting Thesis</w:t>
      </w:r>
    </w:p>
    <w:p>
      <w:pPr>
        <w:pStyle w:val="DOBody"/>
      </w:pPr>
      <w:r>
        <w:rPr>
          <w:color w:val="1A1446"/>
        </w:rPr>
        <w:t>Super Micro Computer, Inc. is a $13.9B (Decile 4 of 10) large-cap technology company that would normally present as a stronger underwriting account were it not for critical red flags: Active Securities Class Action and Catastrophic Stock Drop. These findings impose a hard quality score ceiling of 50, placing the account in WATCH tier (33/100) regardless of other favorable factors. The balance sheet is strong (D/E 0.02, Z-Score 4.14), eliminating financial distress as a D&amp;O claim catalyst. The primary risk driver is Prior Litigation, driving elevated risk in this area. Signal-driven scoring: 66 signals, coverage=100%. At a 6-9% claim probability (11.2% adjusted rate, 2.2x the Technology sector baseline of 5.0%), this account requires Write carefully, senior review required.</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Super Micro Computer, Inc.</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SMCI</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Computer Hardware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$13.9B  [Decile 4]  (Ranks at the 0th percentile among 10 peers)</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$22.0B</w:t>
            </w:r>
          </w:p>
        </w:tc>
        <w:tc>
          <w:tcPr>
            <w:tcW w:type="dxa" w:w="3360"/>
          </w:tcPr>
          <w:p>
            <w:r>
              <w:rPr>
                <w:rFonts w:ascii="Calibri" w:hAnsi="Calibri"/>
                <w:color w:val="333333"/>
                <w:sz w:val="18"/>
              </w:rPr>
              <w:t>[10-K 2025-06-30 CIK1375365 accn:0001375365-25-000027, filed 2025-06-30,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6,238</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3571 -- Electronic Computers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45202030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334111</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06-30</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WATCH</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87.4/100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33.0/100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4.9, F2: 1.1, F3: 1.1, F4: 0.9, F5: 1.7, F6: 1.5, F7: 0.4, F8: 0.0, F9: 0.8, F10: 0.1</w:t>
            </w:r>
          </w:p>
        </w:tc>
      </w:tr>
      <w:tr>
        <w:tc>
          <w:tcPr>
            <w:tcW w:type="dxa" w:w="5040"/>
          </w:tcPr>
          <w:p>
            <w:r>
              <w:rPr>
                <w:rFonts w:ascii="Calibri" w:hAnsi="Calibri"/>
                <w:color w:val="333333"/>
                <w:sz w:val="18"/>
              </w:rPr>
              <w:t>Score Ceiling</w:t>
            </w:r>
          </w:p>
        </w:tc>
        <w:tc>
          <w:tcPr>
            <w:tcW w:type="dxa" w:w="5040"/>
          </w:tcPr>
          <w:p>
            <w:r>
              <w:rPr>
                <w:rFonts w:ascii="Calibri" w:hAnsi="Calibri"/>
                <w:color w:val="333333"/>
                <w:sz w:val="18"/>
              </w:rPr>
              <w:t>Capped at 50 by CRF-9 (Recent Drop - 7 Day)</w:t>
            </w:r>
          </w:p>
        </w:tc>
      </w:tr>
      <w:tr>
        <w:tc>
          <w:tcPr>
            <w:tcW w:type="dxa" w:w="5040"/>
            <w:shd w:fill="F2F4F8" w:val="clear"/>
          </w:tcPr>
          <w:p>
            <w:r>
              <w:rPr>
                <w:rFonts w:ascii="Calibri" w:hAnsi="Calibri"/>
                <w:color w:val="333333"/>
                <w:sz w:val="18"/>
              </w:rPr>
              <w:t>Position</w:t>
            </w:r>
          </w:p>
        </w:tc>
        <w:tc>
          <w:tcPr>
            <w:tcW w:type="dxa" w:w="5040"/>
            <w:shd w:fill="F2F4F8" w:val="clear"/>
          </w:tcPr>
          <w:p>
            <w:r>
              <w:rPr>
                <w:rFonts w:ascii="Calibri" w:hAnsi="Calibri"/>
                <w:color w:val="333333"/>
                <w:sz w:val="18"/>
              </w:rPr>
              <w:t>87.4 falls in WATCH range (31-50)</w:t>
            </w:r>
          </w:p>
        </w:tc>
      </w:tr>
      <w:tr>
        <w:tc>
          <w:tcPr>
            <w:tcW w:type="dxa" w:w="5040"/>
          </w:tcPr>
          <w:p>
            <w:r>
              <w:rPr>
                <w:rFonts w:ascii="Calibri" w:hAnsi="Calibri"/>
                <w:color w:val="333333"/>
                <w:sz w:val="18"/>
              </w:rPr>
              <w:t>Appetite</w:t>
            </w:r>
          </w:p>
        </w:tc>
        <w:tc>
          <w:tcPr>
            <w:tcW w:type="dxa" w:w="5040"/>
          </w:tcPr>
          <w:p>
            <w:r>
              <w:rPr>
                <w:rFonts w:ascii="Calibri" w:hAnsi="Calibri"/>
                <w:color w:val="333333"/>
                <w:sz w:val="18"/>
              </w:rPr>
              <w:t>Write carefully, senior review required</w:t>
            </w:r>
          </w:p>
        </w:tc>
      </w:tr>
    </w:tbl>
    <w:p>
      <w:pPr>
        <w:pStyle w:val="DOBody"/>
      </w:pPr>
      <w:r>
        <w:t>Classification: WATCH</w:t>
      </w:r>
      <w:r>
        <w:rPr>
          <w:b/>
          <w:color w:val="EA580C"/>
          <w:sz w:val="18"/>
        </w:rPr>
        <w:t xml:space="preserve"> [HIGH]</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  [Decile 4]</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Technology (Base rate: 5.0%)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1.28x (LARGE cap multiplier) -&gt; 6.4%</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1.75x (quality score multiplier) -&gt; 11.2%</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$15.0M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$39.0M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$57.0M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$75.0M</w:t>
            </w:r>
          </w:p>
        </w:tc>
      </w:tr>
    </w:tbl>
    <w:p>
      <w:pPr>
        <w:pStyle w:val="DOBody"/>
      </w:pPr>
      <w:r>
        <w:t>At a 11.2% adjusted claim rate, the company faces 2.2x its sector baseline of 5.0% for Technology companies. This rate reflects the LARGE cap multiplier (1.28x) combined with the quality score multiplier (1.75x from WATCH tier classification). If the score improved to WRITE tier, the rate would drop to approximately 6.4%.</w:t>
      </w:r>
    </w:p>
    <w:p>
      <w:pPr>
        <w:pStyle w:val="DOCaption"/>
      </w:pPr>
      <w:r>
        <w:t>Note: NEEDS CALIBRATION</w:t>
      </w:r>
    </w:p>
    <w:p>
      <w:pPr>
        <w:pStyle w:val="DOHeading3"/>
      </w:pPr>
      <w:r>
        <w:t>Underwriting Headwinds</w:t>
      </w:r>
    </w:p>
    <w:p>
      <w:pPr>
        <w:pStyle w:val="DOBody"/>
      </w:pPr>
      <w:r>
        <w:rPr>
          <w:b/>
        </w:rPr>
        <w:t>1. Critical Red Flag</w:t>
      </w:r>
      <w:r>
        <w:rPr>
          <w:b/>
          <w:color w:val="DC2626"/>
          <w:sz w:val="18"/>
        </w:rPr>
        <w:t xml:space="preserve"> [CRITICAL]</w:t>
      </w:r>
    </w:p>
    <w:p>
      <w:pPr>
        <w:pStyle w:val="DOBody"/>
      </w:pPr>
      <w:r>
        <w:t>Critical Red Flag: Active Securities Class Action — Active SCA: In re Super Micro Computer, Inc. Securities Litigation (2024). This triggers a Critical Red Flag, imposing a score ceiling of 33. (see Litigation)</w:t>
      </w:r>
    </w:p>
    <w:p>
      <w:pPr>
        <w:pStyle w:val="DOBody"/>
      </w:pPr>
      <w:r>
        <w:rPr>
          <w:b/>
        </w:rPr>
        <w:t>2. Critical Red Flag</w:t>
      </w:r>
      <w:r>
        <w:rPr>
          <w:b/>
          <w:color w:val="DC2626"/>
          <w:sz w:val="18"/>
        </w:rPr>
        <w:t xml:space="preserve"> [CRITICAL]</w:t>
      </w:r>
    </w:p>
    <w:p>
      <w:pPr>
        <w:pStyle w:val="DOBody"/>
      </w:pPr>
      <w:r>
        <w:t>Super Micro Computer, Inc.'s stock exhibits elevated volatility with a -63% dip of -62.8% from its 52-week high. The estimated DDL of $1078.1B amplifies settlement severity for any corrective disclosure event. Short interest at 19.7% of float indicates institutional bearish positioning that often precedes or amplifies SCA filings. This triggers a Critical Red Flag, imposing a score ceiling of 33. (see Market &amp; Trading)</w:t>
      </w:r>
    </w:p>
    <w:p>
      <w:pPr>
        <w:pStyle w:val="DOBody"/>
      </w:pPr>
      <w:r>
        <w:rPr>
          <w:b/>
        </w:rPr>
        <w:t>3. Critical Red Flag</w:t>
      </w:r>
      <w:r>
        <w:rPr>
          <w:b/>
          <w:color w:val="DC2626"/>
          <w:sz w:val="18"/>
        </w:rPr>
        <w:t xml:space="preserve"> [CRITICAL]</w:t>
      </w:r>
    </w:p>
    <w:p>
      <w:pPr>
        <w:pStyle w:val="DOBody"/>
      </w:pPr>
      <w:r>
        <w:t>Critical Red Flag: Recent Drop - 7 Day — 7-day drop: 33.8% (3 days ago). This triggers a Critical Red Flag, imposing a score ceiling of 33.</w:t>
      </w:r>
    </w:p>
    <w:p>
      <w:pPr>
        <w:pStyle w:val="DOBody"/>
      </w:pPr>
      <w:r>
        <w:rPr>
          <w:b/>
        </w:rPr>
        <w:t>4. Structural Complexity &amp; Litigation History</w:t>
      </w:r>
      <w:r>
        <w:rPr>
          <w:b/>
          <w:color w:val="EA580C"/>
          <w:sz w:val="18"/>
        </w:rPr>
        <w:t xml:space="preserve"> [HIGH]</w:t>
      </w:r>
    </w:p>
    <w:p>
      <w:pPr>
        <w:pStyle w:val="DOBody"/>
      </w:pPr>
      <w:r>
        <w:t>Super Micro Computer, Inc. has 1 subsidiaries, increasing multi-jurisdictional litigation exposure. The current docket includes 3 securities class actions. With 3 pending matters at $13.9B market cap, Super Micro Computer, Inc. has an active litigation profile that will factor into loss-pick and pricing. (see Litigation)</w:t>
      </w:r>
    </w:p>
    <w:p>
      <w:pPr>
        <w:pStyle w:val="DOBody"/>
      </w:pPr>
      <w:r>
        <w:rPr>
          <w:b/>
        </w:rPr>
        <w:t>5. Earnings Guidance Track Record</w:t>
      </w:r>
      <w:r>
        <w:rPr>
          <w:b/>
          <w:color w:val="EA580C"/>
          <w:sz w:val="18"/>
        </w:rPr>
        <w:t xml:space="preserve"> [HIGH]</w:t>
      </w:r>
    </w:p>
    <w:p>
      <w:pPr>
        <w:pStyle w:val="DOBody"/>
      </w:pPr>
      <w:r>
        <w:t>Super Micro Computer, Inc. has missed earnings guidance in 5 quarters, with management credibility score at 70%. At $13.9B market cap with an estimated DDL of $1078.1B, guidance misses generate large absolute loss figures that attract institutional lead plaintiffs. (see Market &amp; Trading)</w:t>
      </w:r>
    </w:p>
    <w:p>
      <w:pPr>
        <w:pStyle w:val="DOHeading3"/>
      </w:pPr>
      <w:r>
        <w:t>Risk Mitigants</w:t>
      </w:r>
    </w:p>
    <w:p>
      <w:pPr>
        <w:pStyle w:val="DOBody"/>
      </w:pPr>
      <w:r>
        <w:rPr>
          <w:b/>
        </w:rPr>
        <w:t>1. Clean Regulatory Record</w:t>
      </w:r>
    </w:p>
    <w:p>
      <w:pPr>
        <w:pStyle w:val="DOBody"/>
      </w:pPr>
      <w:r>
        <w:t>Super Micro Computer, Inc. has no active SEC enforcement pipeline activity, open investigations, or pending Wells Notices. A clean regulatory record for Super Micro Computer, Inc. eliminates the highest-severity D&amp;O claim catalyst and supports favorable underwriting consideration. (see Litigation)</w:t>
      </w:r>
    </w:p>
    <w:p>
      <w:pPr>
        <w:pStyle w:val="DOBody"/>
      </w:pPr>
      <w:r>
        <w:rPr>
          <w:b/>
        </w:rPr>
        <w:t>2. Sound Financial Position</w:t>
      </w:r>
    </w:p>
    <w:p>
      <w:pPr>
        <w:pStyle w:val="DOBody"/>
      </w:pPr>
      <w:r>
        <w:t>No financial distress indicators present (Altman Z-Score of 4.14, D/E of 0.02, current ratio of 3.8x, interest coverage of 75.6x). An Altman Z of 4.14 places Super Micro Computer, Inc. firmly in the safe zone, eliminating going-concern, covenant violation, and creditor-related D&amp;O exposure. (see Financial Health)</w:t>
      </w:r>
    </w:p>
    <w:p>
      <w:pPr>
        <w:pStyle w:val="DOBody"/>
      </w:pPr>
      <w:r>
        <w:rPr>
          <w:b/>
        </w:rPr>
        <w:t>3. Stable Executive Leadership</w:t>
      </w:r>
    </w:p>
    <w:p>
      <w:pPr>
        <w:pStyle w:val="DOBody"/>
      </w:pPr>
      <w:r>
        <w:t>Charles Liang has led Super Micro Computer, Inc. for 11 years with no recent C-suite departures. This 11-year leadership continuity during sustained financial health demonstrates management competence that undermines scienter allegations in any potential securities complaint. (see Governance)</w:t>
      </w:r>
    </w:p>
    <w:p>
      <w:pPr>
        <w:pStyle w:val="DOBody"/>
      </w:pPr>
      <w:r>
        <w:rPr>
          <w:b/>
        </w:rPr>
        <w:t xml:space="preserve">4. Positive free cash flow from most recent period, indicating </w:t>
      </w:r>
    </w:p>
    <w:p>
      <w:pPr>
        <w:pStyle w:val="DOBody"/>
      </w:pPr>
      <w:r>
        <w:t>Positive free cash flow from most recent period, indicating operational strength. (see Financial Health)</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6.4% - 9.2%</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$2.8B</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$5.8B</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$12.0B</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$25.0B</w:t>
            </w:r>
          </w:p>
        </w:tc>
      </w:tr>
    </w:tbl>
    <w:p>
      <w:pPr>
        <w:pStyle w:val="DOBody"/>
      </w:pPr>
      <w:r>
        <w:t>Probability Band: ELEVATED</w:t>
      </w:r>
      <w:r>
        <w:rPr>
          <w:b/>
          <w:color w:val="EA580C"/>
          <w:sz w:val="18"/>
        </w:rPr>
        <w:t xml:space="preserve"> [HIGH]</w:t>
      </w:r>
    </w:p>
    <w:p>
      <w:pPr>
        <w:pStyle w:val="DOBody"/>
      </w:pPr>
      <w:r>
        <w:t>The 6-9% probability band represents approximately 2x the Technology sector base rate of 5.0%. Accounts in WATCH tier historically produce claims at elevated frequency. Industry base rate: 5.0%. Tier WATCH (10-15%): Significantly above base rate. Concentration of risk factors suggests elevated claim likelihood. NEEDS CALIBRATION: Probability estimates are indicative and require actuarial validation per SECT7-11. Enhanced frequency: 6.50% base x 0.85 hazard x 1.65 signal = 9.15%.</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Mid Excess</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$4806.0M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Super Micro Computer, Inc. designs and sells application-optimized server and storage systems, with 92% of its revenue from this hardware, creating intense board-level pressure to maintain its position in the competitive AI and enterprise data center markets. The company, public for 19 years, holds a $13.94B market cap with 6,238 employees, classifying it as a Large Accelerated Filer and elevating disclosure standards and shareholder expectations.</w:t>
        <w:br/>
        <w:br/>
        <w:t>Revenue Model</w:t>
        <w:br/>
        <w:t>Revenue concentration in server and storage system sales (92%) creates high exposure to cyclical capital expenditure swings, and the lack of recurring software revenue makes its $13.94B business model vulnerable to rapid technology shifts. This dependence means the revenue engine breaks if AI investment slows, directly exposing directors to allegations of strategic failure for not diversifying.</w:t>
        <w:br/>
        <w:br/>
        <w:t>D&amp;O Risk Profile</w:t>
        <w:br/>
        <w:t>The primary D&amp;O narrative includes IP litigation risk in SIC 3571, where patent claims are a standard weapon, threatening stock volatility and derivative suits. Its operations in the United States, Asia, and Europe complicate regulatory compliance across jurisdictions, increasing disclosure liability under conflicting laws. While its 19-year public history offers governance maturity, the velocity of change in its core AI market elevates the risk of strategic missteps and subsequent shareholder allegations of oversight failures.</w:t>
      </w:r>
    </w:p>
    <w:p>
      <w:pPr>
        <w:pStyle w:val="DOHeading1"/>
      </w:pPr>
      <w:r>
        <w:t>Section 2: Company Profile</w:t>
      </w:r>
    </w:p>
    <w:p>
      <w:pPr>
        <w:pStyle w:val="DOBody"/>
      </w:pPr>
      <w:r>
        <w:rPr>
          <w:rFonts w:ascii="Calibri" w:hAnsi="Calibri"/>
          <w:color w:val="333333"/>
          <w:sz w:val="20"/>
        </w:rPr>
        <w:t>Super Micro Computer, Inc. operates in the Computer Hardware industry. The company has 6,238 employees and $13.9B market cap. Key D&amp;O exposure factors include: Regulatory Multi Jurisdiction, Transaction Litigation Risk, Ip Litigation Risk.</w:t>
      </w:r>
      <w:r>
        <w:rPr>
          <w:rFonts w:ascii="Consolas" w:hAnsi="Consolas"/>
          <w:color w:val="666666"/>
          <w:sz w:val="16"/>
        </w:rPr>
        <w:t xml:space="preserve">  [derived:section_summary, 2026-04-03,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Super Micro Computer, Inc.</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SMCI</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1375365</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3571</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Electronic Computers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45202030</w:t>
            </w:r>
          </w:p>
        </w:tc>
        <w:tc>
          <w:tcPr>
            <w:tcW w:type="dxa" w:w="3360"/>
          </w:tcPr>
          <w:p>
            <w:r>
              <w:rPr>
                <w:rFonts w:ascii="Calibri" w:hAnsi="Calibri"/>
                <w:color w:val="333333"/>
                <w:sz w:val="18"/>
              </w:rPr>
              <w:t>[SIC-&gt;GICS mapping (SIC 3571), filed 2026-04-03,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334111</w:t>
            </w:r>
          </w:p>
        </w:tc>
        <w:tc>
          <w:tcPr>
            <w:tcW w:type="dxa" w:w="3360"/>
            <w:shd w:fill="F2F4F8" w:val="clear"/>
          </w:tcPr>
          <w:p>
            <w:r>
              <w:rPr>
                <w:rFonts w:ascii="Calibri" w:hAnsi="Calibri"/>
                <w:color w:val="333333"/>
                <w:sz w:val="18"/>
              </w:rPr>
              <w:t>[SIC-&gt;NAICS crosswalk (SIC 3571), filed 2026-04-03,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CA</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06-30</w:t>
            </w:r>
          </w:p>
        </w:tc>
        <w:tc>
          <w:tcPr>
            <w:tcW w:type="dxa" w:w="3360"/>
            <w:shd w:fill="F2F4F8" w:val="clear"/>
          </w:tcPr>
          <w:p>
            <w:r>
              <w:rPr>
                <w:rFonts w:ascii="Calibri" w:hAnsi="Calibri"/>
                <w:color w:val="333333"/>
                <w:sz w:val="18"/>
              </w:rPr>
              <w:t>[SEC EDGAR submissions, filed 2026-04-03, HIGH confidence]</w:t>
            </w:r>
          </w:p>
        </w:tc>
      </w:tr>
    </w:tbl>
    <w:p>
      <w:pPr>
        <w:pStyle w:val="DOHeading2"/>
      </w:pPr>
      <w:r>
        <w:t>Business Description</w:t>
      </w:r>
    </w:p>
    <w:p>
      <w:pPr>
        <w:pStyle w:val="DOBody"/>
      </w:pPr>
      <w:r>
        <w:rPr>
          <w:rFonts w:ascii="Calibri" w:hAnsi="Calibri"/>
          <w:color w:val="333333"/>
          <w:sz w:val="20"/>
        </w:rPr>
        <w:t>Super Micro Computer, Inc. is a Silicon Valley-based provider of accelerated compute platforms, offering application-optimized high-performance and high-efficiency server and storage systems for markets including enterprise data centers, cloud computing, artificial intelligence (AI), 5G, and edge computing. The company generates revenue primarily through the sale of server and storage systems (92.2% of net sales in fiscal 2023), complemented by subsystems and accessories (7.8%). Its business model leverages a modular and open architecture (Server Building Block Solutions®) to rapidly develop and customize products, enabling quick time-to-market with new technologies. Profitability is driven by design control, internal manufacturing capabilities, and a focus on energy-efficient solutions that reduce total cost of ownership for customers. The company operates globally with manufacturing facilities in the United States, Taiwan, and the Netherlands, and sells through a combination of direct sales and indirect channel partners.</w:t>
      </w:r>
      <w:r>
        <w:rPr>
          <w:rFonts w:ascii="Consolas" w:hAnsi="Consolas"/>
          <w:color w:val="666666"/>
          <w:sz w:val="16"/>
        </w:rPr>
        <w:t xml:space="preserve">  [10-K (LLM), filed 2026-04-03, HIGH confidence]</w:t>
      </w:r>
    </w:p>
    <w:p>
      <w:pPr>
        <w:pStyle w:val="DOHeading2"/>
      </w:pPr>
      <w:r>
        <w:t>Subsidiaries</w:t>
      </w:r>
    </w:p>
    <w:p>
      <w:pPr>
        <w:pStyle w:val="DOBody"/>
      </w:pPr>
      <w:r>
        <w:rPr>
          <w:rFonts w:ascii="Calibri" w:hAnsi="Calibri"/>
          <w:color w:val="333333"/>
          <w:sz w:val="20"/>
        </w:rPr>
        <w:t>Total subsidiaries: 1</w:t>
      </w:r>
      <w:r>
        <w:rPr>
          <w:rFonts w:ascii="Consolas" w:hAnsi="Consolas"/>
          <w:color w:val="666666"/>
          <w:sz w:val="16"/>
        </w:rPr>
        <w:t xml:space="preserve">  [Exhibit 21 (subsidiary list), filed 2026-04-03, HIGH confidence]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TRANSACTION</w:t>
            </w:r>
          </w:p>
        </w:tc>
      </w:tr>
      <w:tr>
        <w:tc>
          <w:tcPr>
            <w:tcW w:type="dxa" w:w="5040"/>
            <w:shd w:fill="F2F4F8" w:val="clear"/>
          </w:tcPr>
          <w:p>
            <w:r>
              <w:rPr>
                <w:rFonts w:ascii="Calibri" w:hAnsi="Calibri"/>
                <w:color w:val="333333"/>
                <w:sz w:val="18"/>
              </w:rPr>
              <w:t>Concentration Risk</w:t>
            </w:r>
          </w:p>
        </w:tc>
        <w:tc>
          <w:tcPr>
            <w:tcW w:type="dxa" w:w="5040"/>
            <w:shd w:fill="F2F4F8" w:val="clear"/>
          </w:tcPr>
          <w:p>
            <w:r>
              <w:rPr>
                <w:rFonts w:ascii="Calibri" w:hAnsi="Calibri"/>
                <w:color w:val="333333"/>
                <w:sz w:val="18"/>
              </w:rPr>
              <w:t>LOW (Score: 1/3) - Single geography 68%</w:t>
            </w:r>
          </w:p>
        </w:tc>
      </w:tr>
      <w:tr>
        <w:tc>
          <w:tcPr>
            <w:tcW w:type="dxa" w:w="5040"/>
          </w:tcPr>
          <w:p>
            <w:r>
              <w:rPr>
                <w:rFonts w:ascii="Calibri" w:hAnsi="Calibri"/>
                <w:color w:val="333333"/>
                <w:sz w:val="18"/>
              </w:rPr>
              <w:t>Key Person Risk</w:t>
            </w:r>
          </w:p>
        </w:tc>
        <w:tc>
          <w:tcPr>
            <w:tcW w:type="dxa" w:w="5040"/>
          </w:tcPr>
          <w:p>
            <w:r>
              <w:rPr>
                <w:rFonts w:ascii="Calibri" w:hAnsi="Calibri"/>
                <w:color w:val="333333"/>
                <w:sz w:val="18"/>
              </w:rPr>
              <w:t>HIGH (Score: 3/3) - Founder-led | CEO tenure: 30yr | Succession: No</w:t>
            </w:r>
          </w:p>
        </w:tc>
      </w:tr>
      <w:tr>
        <w:tc>
          <w:tcPr>
            <w:tcW w:type="dxa" w:w="5040"/>
            <w:shd w:fill="F2F4F8" w:val="clear"/>
          </w:tcPr>
          <w:p>
            <w:r>
              <w:rPr>
                <w:rFonts w:ascii="Calibri" w:hAnsi="Calibri"/>
                <w:color w:val="333333"/>
                <w:sz w:val="18"/>
              </w:rPr>
              <w:t>Disruption Risk</w:t>
            </w:r>
          </w:p>
        </w:tc>
        <w:tc>
          <w:tcPr>
            <w:tcW w:type="dxa" w:w="5040"/>
            <w:shd w:fill="F2F4F8" w:val="clear"/>
          </w:tcPr>
          <w:p>
            <w:r>
              <w:rPr>
                <w:rFonts w:ascii="Calibri" w:hAnsi="Calibri"/>
                <w:color w:val="333333"/>
                <w:sz w:val="18"/>
              </w:rPr>
              <w:t>HIGH (4 threats) - Increased competition from ODMs with low-cost manufacturing.; Industry consolidation leading to stronger competitors.; Technological shifts and new product introductions.; Market evolution with growth of public cloud shifting server purchasing to lower margin vendors.</w:t>
            </w:r>
          </w:p>
        </w:tc>
      </w:tr>
    </w:tbl>
    <w:p>
      <w:pPr>
        <w:pStyle w:val="DOHeading2"/>
      </w:pPr>
      <w:r>
        <w:t>Operational Complexity</w:t>
      </w:r>
    </w:p>
    <w:p>
      <w:pPr>
        <w:pStyle w:val="DOBody"/>
      </w:pPr>
      <w:r>
        <w:rPr>
          <w:b/>
        </w:rPr>
        <w:t>Complexity Score: 6238/20 --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1 (0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6,238 (55.3% international)</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100/100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WEAK</w:t>
            </w:r>
          </w:p>
        </w:tc>
      </w:tr>
    </w:tbl>
    <w:p>
      <w:pPr>
        <w:pStyle w:val="DOCaption"/>
      </w:pPr>
      <w:r>
        <w:t>Structural Indicators: [X] VIE / SPE  |  [ ] Dual-Class  |  [ ] Holding Depth  |  [X]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LOW (Score: 0/4) | 1 acquisition year | Acq/Rev: 0.0%</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- 19 years public</w:t>
            </w:r>
          </w:p>
        </w:tc>
      </w:tr>
    </w:tbl>
    <w:p>
      <w:pPr>
        <w:pStyle w:val="DOBody"/>
      </w:pPr>
      <w:r>
        <w:rPr>
          <w:b/>
        </w:rPr>
        <w:t>Business Changes:</w:t>
      </w:r>
    </w:p>
    <w:p>
      <w:pPr>
        <w:pStyle w:val="DOBody"/>
      </w:pPr>
      <w:r>
        <w:t xml:space="preserve">  - 15 current event filings (8-K), most recent 2026-03-20</w:t>
      </w:r>
    </w:p>
    <w:p>
      <w:pPr>
        <w:pStyle w:val="DOBody"/>
      </w:pPr>
      <w:r>
        <w:t xml:space="preserve">  - M&amp;A activity indicated (acquisition)</w:t>
      </w:r>
    </w:p>
    <w:p>
      <w:pPr>
        <w:pStyle w:val="DOHeading2"/>
      </w:pPr>
      <w:r>
        <w:t>Structural Complexity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Disclosure Complexity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Non-GAAP Usage</w:t>
            </w:r>
          </w:p>
        </w:tc>
        <w:tc>
          <w:tcPr>
            <w:tcW w:type="dxa" w:w="5040"/>
            <w:shd w:fill="F2F4F8" w:val="clear"/>
          </w:tcPr>
          <w:p>
            <w:r>
              <w:rPr>
                <w:rFonts w:ascii="Calibri" w:hAnsi="Calibri"/>
                <w:color w:val="333333"/>
                <w:sz w:val="18"/>
              </w:rPr>
              <w:t>LOW</w:t>
            </w:r>
          </w:p>
        </w:tc>
      </w:tr>
      <w:tr>
        <w:tc>
          <w:tcPr>
            <w:tcW w:type="dxa" w:w="5040"/>
          </w:tcPr>
          <w:p>
            <w:r>
              <w:rPr>
                <w:rFonts w:ascii="Calibri" w:hAnsi="Calibri"/>
                <w:color w:val="333333"/>
                <w:sz w:val="18"/>
              </w:rPr>
              <w:t>Related Party Density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Off-Balance-Sheet Exposure</w:t>
            </w:r>
          </w:p>
        </w:tc>
        <w:tc>
          <w:tcPr>
            <w:tcW w:type="dxa" w:w="5040"/>
            <w:shd w:fill="F2F4F8" w:val="clear"/>
          </w:tcPr>
          <w:p>
            <w:r>
              <w:rPr>
                <w:rFonts w:ascii="Calibri" w:hAnsi="Calibri"/>
                <w:color w:val="333333"/>
                <w:sz w:val="18"/>
              </w:rPr>
              <w:t>MODERATE (1)</w:t>
            </w:r>
          </w:p>
        </w:tc>
      </w:tr>
      <w:tr>
        <w:tc>
          <w:tcPr>
            <w:tcW w:type="dxa" w:w="5040"/>
          </w:tcPr>
          <w:p>
            <w:r>
              <w:rPr>
                <w:rFonts w:ascii="Calibri" w:hAnsi="Calibri"/>
                <w:color w:val="333333"/>
                <w:sz w:val="18"/>
              </w:rPr>
              <w:t>Holding Structure Depth</w:t>
            </w:r>
          </w:p>
        </w:tc>
        <w:tc>
          <w:tcPr>
            <w:tcW w:type="dxa" w:w="5040"/>
          </w:tcPr>
          <w:p>
            <w:r>
              <w:rPr>
                <w:rFonts w:ascii="Calibri" w:hAnsi="Calibri"/>
                <w:color w:val="333333"/>
                <w:sz w:val="18"/>
              </w:rPr>
              <w:t>LOW</w:t>
            </w:r>
          </w:p>
        </w:tc>
      </w:tr>
    </w:tbl>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13%</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14%</w:t>
            </w:r>
          </w:p>
        </w:tc>
      </w:tr>
      <w:tr>
        <w:tc>
          <w:tcPr>
            <w:tcW w:type="dxa" w:w="2016"/>
            <w:shd w:fill="F2F4F8" w:val="clear"/>
          </w:tcPr>
          <w:p>
            <w:r>
              <w:rPr>
                <w:rFonts w:ascii="Calibri" w:hAnsi="Calibri"/>
                <w:color w:val="333333"/>
                <w:sz w:val="18"/>
              </w:rPr>
              <w:t>CRM</w:t>
            </w:r>
          </w:p>
        </w:tc>
        <w:tc>
          <w:tcPr>
            <w:tcW w:type="dxa" w:w="2016"/>
            <w:shd w:fill="F2F4F8" w:val="clear"/>
          </w:tcPr>
          <w:p>
            <w:r>
              <w:rPr>
                <w:rFonts w:ascii="Calibri" w:hAnsi="Calibri"/>
                <w:color w:val="333333"/>
                <w:sz w:val="18"/>
              </w:rPr>
              <w:t>Salesforce, Inc.</w:t>
            </w:r>
          </w:p>
        </w:tc>
        <w:tc>
          <w:tcPr>
            <w:tcW w:type="dxa" w:w="2016"/>
            <w:shd w:fill="F2F4F8" w:val="clear"/>
          </w:tcPr>
          <w:p>
            <w:r>
              <w:rPr>
                <w:rFonts w:ascii="Calibri" w:hAnsi="Calibri"/>
                <w:color w:val="333333"/>
                <w:sz w:val="18"/>
              </w:rPr>
              <w:t>$175.4B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22%</w:t>
            </w:r>
          </w:p>
        </w:tc>
      </w:tr>
      <w:tr>
        <w:tc>
          <w:tcPr>
            <w:tcW w:type="dxa" w:w="2016"/>
          </w:tcPr>
          <w:p>
            <w:r>
              <w:rPr>
                <w:rFonts w:ascii="Calibri" w:hAnsi="Calibri"/>
                <w:color w:val="333333"/>
                <w:sz w:val="18"/>
              </w:rPr>
              <w:t>ADBE</w:t>
            </w:r>
          </w:p>
        </w:tc>
        <w:tc>
          <w:tcPr>
            <w:tcW w:type="dxa" w:w="2016"/>
          </w:tcPr>
          <w:p>
            <w:r>
              <w:rPr>
                <w:rFonts w:ascii="Calibri" w:hAnsi="Calibri"/>
                <w:color w:val="333333"/>
                <w:sz w:val="18"/>
              </w:rPr>
              <w:t>Adobe Inc.</w:t>
            </w:r>
          </w:p>
        </w:tc>
        <w:tc>
          <w:tcPr>
            <w:tcW w:type="dxa" w:w="2016"/>
          </w:tcPr>
          <w:p>
            <w:r>
              <w:rPr>
                <w:rFonts w:ascii="Calibri" w:hAnsi="Calibri"/>
                <w:color w:val="333333"/>
                <w:sz w:val="18"/>
              </w:rPr>
              <w:t>$99.0B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25%</w:t>
            </w:r>
          </w:p>
        </w:tc>
      </w:tr>
      <w:tr>
        <w:tc>
          <w:tcPr>
            <w:tcW w:type="dxa" w:w="2016"/>
            <w:shd w:fill="F2F4F8" w:val="clear"/>
          </w:tcPr>
          <w:p>
            <w:r>
              <w:rPr>
                <w:rFonts w:ascii="Calibri" w:hAnsi="Calibri"/>
                <w:color w:val="333333"/>
                <w:sz w:val="18"/>
              </w:rPr>
              <w:t>ORCL</w:t>
            </w:r>
          </w:p>
        </w:tc>
        <w:tc>
          <w:tcPr>
            <w:tcW w:type="dxa" w:w="2016"/>
            <w:shd w:fill="F2F4F8" w:val="clear"/>
          </w:tcPr>
          <w:p>
            <w:r>
              <w:rPr>
                <w:rFonts w:ascii="Calibri" w:hAnsi="Calibri"/>
                <w:color w:val="333333"/>
                <w:sz w:val="18"/>
              </w:rPr>
              <w:t>Oracle Corporation</w:t>
            </w:r>
          </w:p>
        </w:tc>
        <w:tc>
          <w:tcPr>
            <w:tcW w:type="dxa" w:w="2016"/>
            <w:shd w:fill="F2F4F8" w:val="clear"/>
          </w:tcPr>
          <w:p>
            <w:r>
              <w:rPr>
                <w:rFonts w:ascii="Calibri" w:hAnsi="Calibri"/>
                <w:color w:val="333333"/>
                <w:sz w:val="18"/>
              </w:rPr>
              <w:t>$421.0B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18%</w:t>
            </w:r>
          </w:p>
        </w:tc>
      </w:tr>
      <w:tr>
        <w:tc>
          <w:tcPr>
            <w:tcW w:type="dxa" w:w="2016"/>
          </w:tcPr>
          <w:p>
            <w:r>
              <w:rPr>
                <w:rFonts w:ascii="Calibri" w:hAnsi="Calibri"/>
                <w:color w:val="333333"/>
                <w:sz w:val="18"/>
              </w:rPr>
              <w:t>CSCO</w:t>
            </w:r>
          </w:p>
        </w:tc>
        <w:tc>
          <w:tcPr>
            <w:tcW w:type="dxa" w:w="2016"/>
          </w:tcPr>
          <w:p>
            <w:r>
              <w:rPr>
                <w:rFonts w:ascii="Calibri" w:hAnsi="Calibri"/>
                <w:color w:val="333333"/>
                <w:sz w:val="18"/>
              </w:rPr>
              <w:t>Cisco Systems, Inc.</w:t>
            </w:r>
          </w:p>
        </w:tc>
        <w:tc>
          <w:tcPr>
            <w:tcW w:type="dxa" w:w="2016"/>
          </w:tcPr>
          <w:p>
            <w:r>
              <w:rPr>
                <w:rFonts w:ascii="Calibri" w:hAnsi="Calibri"/>
                <w:color w:val="333333"/>
                <w:sz w:val="18"/>
              </w:rPr>
              <w:t>$312.2B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19%</w:t>
            </w:r>
          </w:p>
        </w:tc>
      </w:tr>
      <w:tr>
        <w:tc>
          <w:tcPr>
            <w:tcW w:type="dxa" w:w="2016"/>
            <w:shd w:fill="F2F4F8" w:val="clear"/>
          </w:tcPr>
          <w:p>
            <w:r>
              <w:rPr>
                <w:rFonts w:ascii="Calibri" w:hAnsi="Calibri"/>
                <w:color w:val="333333"/>
                <w:sz w:val="18"/>
              </w:rPr>
              <w:t>INTC</w:t>
            </w:r>
          </w:p>
        </w:tc>
        <w:tc>
          <w:tcPr>
            <w:tcW w:type="dxa" w:w="2016"/>
            <w:shd w:fill="F2F4F8" w:val="clear"/>
          </w:tcPr>
          <w:p>
            <w:r>
              <w:rPr>
                <w:rFonts w:ascii="Calibri" w:hAnsi="Calibri"/>
                <w:color w:val="333333"/>
                <w:sz w:val="18"/>
              </w:rPr>
              <w:t>Intel Corporation</w:t>
            </w:r>
          </w:p>
        </w:tc>
        <w:tc>
          <w:tcPr>
            <w:tcW w:type="dxa" w:w="2016"/>
            <w:shd w:fill="F2F4F8" w:val="clear"/>
          </w:tcPr>
          <w:p>
            <w:r>
              <w:rPr>
                <w:rFonts w:ascii="Calibri" w:hAnsi="Calibri"/>
                <w:color w:val="333333"/>
                <w:sz w:val="18"/>
              </w:rPr>
              <w:t>$253.0B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20%</w:t>
            </w:r>
          </w:p>
        </w:tc>
      </w:tr>
    </w:tbl>
    <w:p>
      <w:pPr>
        <w:pStyle w:val="DOBody"/>
      </w:pPr>
      <w:r>
        <w:rPr>
          <w:rFonts w:ascii="Calibri" w:hAnsi="Calibri"/>
          <w:color w:val="333333"/>
          <w:sz w:val="20"/>
        </w:rPr>
        <w:t>The peer group of 10 companies shares the same industry classification (SIC 3571). Super Micro Computer, Inc. ranks at the 0th percentile among 10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United States</w:t>
            </w:r>
          </w:p>
        </w:tc>
        <w:tc>
          <w:tcPr>
            <w:tcW w:type="dxa" w:w="3360"/>
          </w:tcPr>
          <w:p>
            <w:r>
              <w:rPr>
                <w:rFonts w:ascii="Calibri" w:hAnsi="Calibri"/>
                <w:color w:val="333333"/>
                <w:sz w:val="18"/>
              </w:rPr>
              <w:t>N/A</w:t>
            </w:r>
          </w:p>
        </w:tc>
        <w:tc>
          <w:tcPr>
            <w:tcW w:type="dxa" w:w="3360"/>
          </w:tcPr>
          <w:p>
            <w:r>
              <w:rPr>
                <w:rFonts w:ascii="Calibri" w:hAnsi="Calibri"/>
                <w:color w:val="333333"/>
                <w:sz w:val="18"/>
              </w:rPr>
              <w:t>67.9%</w:t>
            </w:r>
          </w:p>
        </w:tc>
      </w:tr>
      <w:tr>
        <w:tc>
          <w:tcPr>
            <w:tcW w:type="dxa" w:w="3360"/>
            <w:shd w:fill="F2F4F8" w:val="clear"/>
          </w:tcPr>
          <w:p>
            <w:r>
              <w:rPr>
                <w:rFonts w:ascii="Calibri" w:hAnsi="Calibri"/>
                <w:color w:val="333333"/>
                <w:sz w:val="18"/>
              </w:rPr>
              <w:t>Asia</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14.7%</w:t>
            </w:r>
          </w:p>
        </w:tc>
      </w:tr>
      <w:tr>
        <w:tc>
          <w:tcPr>
            <w:tcW w:type="dxa" w:w="3360"/>
          </w:tcPr>
          <w:p>
            <w:r>
              <w:rPr>
                <w:rFonts w:ascii="Calibri" w:hAnsi="Calibri"/>
                <w:color w:val="333333"/>
                <w:sz w:val="18"/>
              </w:rPr>
              <w:t>Europe</w:t>
            </w:r>
          </w:p>
        </w:tc>
        <w:tc>
          <w:tcPr>
            <w:tcW w:type="dxa" w:w="3360"/>
          </w:tcPr>
          <w:p>
            <w:r>
              <w:rPr>
                <w:rFonts w:ascii="Calibri" w:hAnsi="Calibri"/>
                <w:color w:val="333333"/>
                <w:sz w:val="18"/>
              </w:rPr>
              <w:t>N/A</w:t>
            </w:r>
          </w:p>
        </w:tc>
        <w:tc>
          <w:tcPr>
            <w:tcW w:type="dxa" w:w="3360"/>
          </w:tcPr>
          <w:p>
            <w:r>
              <w:rPr>
                <w:rFonts w:ascii="Calibri" w:hAnsi="Calibri"/>
                <w:color w:val="333333"/>
                <w:sz w:val="18"/>
              </w:rPr>
              <w:t>14.1%</w:t>
            </w:r>
          </w:p>
        </w:tc>
      </w:tr>
      <w:tr>
        <w:tc>
          <w:tcPr>
            <w:tcW w:type="dxa" w:w="3360"/>
            <w:shd w:fill="F2F4F8" w:val="clear"/>
          </w:tcPr>
          <w:p>
            <w:r>
              <w:rPr>
                <w:rFonts w:ascii="Calibri" w:hAnsi="Calibri"/>
                <w:color w:val="333333"/>
                <w:sz w:val="18"/>
              </w:rPr>
              <w:t>Others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3.3%</w:t>
            </w:r>
          </w:p>
        </w:tc>
      </w:tr>
    </w:tbl>
    <w:p>
      <w:pPr>
        <w:pStyle w:val="DOHeading2"/>
      </w:pPr>
      <w:r>
        <w:t>Customer &amp; Supplier Concentration</w:t>
      </w:r>
    </w:p>
    <w:p>
      <w:pPr>
        <w:pStyle w:val="DOHeading3"/>
      </w:pPr>
      <w:r>
        <w:t>Key Suppliers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Supplier</w:t>
            </w:r>
          </w:p>
        </w:tc>
        <w:tc>
          <w:tcPr>
            <w:tcW w:type="dxa" w:w="3360"/>
            <w:shd w:fill="1A1446" w:val="clear"/>
          </w:tcPr>
          <w:p>
            <w:r>
              <w:rPr>
                <w:rFonts w:ascii="Calibri" w:hAnsi="Calibri"/>
                <w:b/>
                <w:color w:val="FFFFFF"/>
                <w:sz w:val="18"/>
              </w:rPr>
              <w:t>Dependency</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Two suppliers accounted for 13.5% and 30.7% of total purchases in fiscal 2023.</w:t>
            </w:r>
          </w:p>
        </w:tc>
        <w:tc>
          <w:tcPr>
            <w:tcW w:type="dxa" w:w="3360"/>
          </w:tcPr>
          <w:p>
            <w:r>
              <w:rPr>
                <w:rFonts w:ascii="Calibri" w:hAnsi="Calibri"/>
                <w:color w:val="333333"/>
                <w:sz w:val="18"/>
              </w:rPr>
              <w:t>N/A</w:t>
            </w:r>
          </w:p>
        </w:tc>
        <w:tc>
          <w:tcPr>
            <w:tcW w:type="dxa" w:w="3360"/>
          </w:tcPr>
          <w:p>
            <w:r>
              <w:rPr>
                <w:rFonts w:ascii="Calibri" w:hAnsi="Calibri"/>
                <w:color w:val="333333"/>
                <w:sz w:val="18"/>
              </w:rPr>
              <w:t>[10-K (LLM), 2026-04-03, HIGH]</w:t>
            </w:r>
          </w:p>
        </w:tc>
      </w:tr>
      <w:tr>
        <w:tc>
          <w:tcPr>
            <w:tcW w:type="dxa" w:w="3360"/>
            <w:shd w:fill="F2F4F8" w:val="clear"/>
          </w:tcPr>
          <w:p>
            <w:r>
              <w:rPr>
                <w:rFonts w:ascii="Calibri" w:hAnsi="Calibri"/>
                <w:color w:val="333333"/>
                <w:sz w:val="18"/>
              </w:rPr>
              <w:t>Ablecom and Compuware (related parties) accounted for 6.6% of cost of sales in fiscal 2023.</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[10-K (LLM), 2026-04-03, HIGH]</w:t>
            </w:r>
          </w:p>
        </w:tc>
      </w:tr>
    </w:tbl>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 (TECH)</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19</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6.5%</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$40.0M -- $150.0M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$2.1B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1.30x</w:t>
            </w:r>
          </w:p>
        </w:tc>
      </w:tr>
    </w:tbl>
    <w:p>
      <w:pPr>
        <w:pStyle w:val="DOHeading2"/>
      </w:pPr>
      <w:r>
        <w:t>Hazard Profile (Inherent Exposure Score)</w:t>
      </w:r>
    </w:p>
    <w:p>
      <w:pPr>
        <w:pStyle w:val="DOBody"/>
      </w:pPr>
      <w:r>
        <w:rPr>
          <w:b/>
        </w:rPr>
        <w:t>IES: 35/100 (MODERATE) | Multiplier: 0.85x | Data Coverage: 89%</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Compliance Infrastructure</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5 material weakness(es) disclosed</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83</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Multiple OBS indicators: FINANCIAL: Adverse economic conditions may harm our business., FINANCIAL: Our revenue and margins for a particular period are difficult to predict., OTHER: If negative publicity arises with respect to us, our employees, our third-party service providers or our partners, our business and operating results could be adversely affected.; Estimated from related indicators.</w:t>
            </w:r>
          </w:p>
        </w:tc>
      </w:tr>
      <w:tr>
        <w:tc>
          <w:tcPr>
            <w:tcW w:type="dxa" w:w="2520"/>
          </w:tcPr>
          <w:p>
            <w:r>
              <w:rPr>
                <w:rFonts w:ascii="Calibri" w:hAnsi="Calibri"/>
                <w:color w:val="333333"/>
                <w:sz w:val="18"/>
              </w:rPr>
              <w:t>Industry Regulatory Spotlight</w:t>
            </w:r>
          </w:p>
        </w:tc>
        <w:tc>
          <w:tcPr>
            <w:tcW w:type="dxa" w:w="2520"/>
          </w:tcPr>
          <w:p>
            <w:r>
              <w:rPr>
                <w:rFonts w:ascii="Calibri" w:hAnsi="Calibri"/>
                <w:color w:val="333333"/>
                <w:sz w:val="18"/>
              </w:rPr>
              <w:t>83</w:t>
            </w:r>
          </w:p>
        </w:tc>
        <w:tc>
          <w:tcPr>
            <w:tcW w:type="dxa" w:w="2520"/>
          </w:tcPr>
          <w:p>
            <w:r>
              <w:rPr>
                <w:rFonts w:ascii="Calibri" w:hAnsi="Calibri"/>
                <w:color w:val="333333"/>
                <w:sz w:val="18"/>
              </w:rPr>
              <w:t>CRITICAL</w:t>
            </w:r>
          </w:p>
        </w:tc>
        <w:tc>
          <w:tcPr>
            <w:tcW w:type="dxa" w:w="2520"/>
          </w:tcPr>
          <w:p>
            <w:r>
              <w:rPr>
                <w:rFonts w:ascii="Calibri" w:hAnsi="Calibri"/>
                <w:color w:val="333333"/>
                <w:sz w:val="18"/>
              </w:rPr>
              <w:t>Sector 'TECH' regulatory spotlight level: 2.5/3.0</w:t>
            </w:r>
          </w:p>
        </w:tc>
      </w:tr>
      <w:tr>
        <w:tc>
          <w:tcPr>
            <w:tcW w:type="dxa" w:w="2520"/>
            <w:shd w:fill="F2F4F8" w:val="clear"/>
          </w:tcPr>
          <w:p>
            <w:r>
              <w:rPr>
                <w:rFonts w:ascii="Calibri" w:hAnsi="Calibri"/>
                <w:color w:val="333333"/>
                <w:sz w:val="18"/>
              </w:rPr>
              <w:t>Speed of Growth</w:t>
            </w:r>
          </w:p>
        </w:tc>
        <w:tc>
          <w:tcPr>
            <w:tcW w:type="dxa" w:w="2520"/>
            <w:shd w:fill="F2F4F8" w:val="clear"/>
          </w:tcPr>
          <w:p>
            <w:r>
              <w:rPr>
                <w:rFonts w:ascii="Calibri" w:hAnsi="Calibri"/>
                <w:color w:val="333333"/>
                <w:sz w:val="18"/>
              </w:rPr>
              <w:t>80</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Revenue growth 46.6% (HIGH)</w:t>
            </w:r>
          </w:p>
        </w:tc>
      </w:tr>
      <w:tr>
        <w:tc>
          <w:tcPr>
            <w:tcW w:type="dxa" w:w="2520"/>
          </w:tcPr>
          <w:p>
            <w:r>
              <w:rPr>
                <w:rFonts w:ascii="Calibri" w:hAnsi="Calibri"/>
                <w:color w:val="333333"/>
                <w:sz w:val="18"/>
              </w:rPr>
              <w:t>Industry Sector Risk Tier</w:t>
            </w:r>
          </w:p>
        </w:tc>
        <w:tc>
          <w:tcPr>
            <w:tcW w:type="dxa" w:w="2520"/>
          </w:tcPr>
          <w:p>
            <w:r>
              <w:rPr>
                <w:rFonts w:ascii="Calibri" w:hAnsi="Calibri"/>
                <w:color w:val="333333"/>
                <w:sz w:val="18"/>
              </w:rPr>
              <w:t>70</w:t>
            </w:r>
          </w:p>
        </w:tc>
        <w:tc>
          <w:tcPr>
            <w:tcW w:type="dxa" w:w="2520"/>
          </w:tcPr>
          <w:p>
            <w:r>
              <w:rPr>
                <w:rFonts w:ascii="Calibri" w:hAnsi="Calibri"/>
                <w:color w:val="333333"/>
                <w:sz w:val="18"/>
              </w:rPr>
              <w:t>HIGH</w:t>
            </w:r>
          </w:p>
        </w:tc>
        <w:tc>
          <w:tcPr>
            <w:tcW w:type="dxa" w:w="2520"/>
          </w:tcPr>
          <w:p>
            <w:r>
              <w:rPr>
                <w:rFonts w:ascii="Calibri" w:hAnsi="Calibri"/>
                <w:color w:val="333333"/>
                <w:sz w:val="18"/>
              </w:rPr>
              <w:t>Sector 'TECH' maps to risk score 7.0/10.0</w:t>
            </w:r>
          </w:p>
        </w:tc>
      </w:tr>
      <w:tr>
        <w:tc>
          <w:tcPr>
            <w:tcW w:type="dxa" w:w="2520"/>
            <w:shd w:fill="F2F4F8" w:val="clear"/>
          </w:tcPr>
          <w:p>
            <w:r>
              <w:rPr>
                <w:rFonts w:ascii="Calibri" w:hAnsi="Calibri"/>
                <w:color w:val="333333"/>
                <w:sz w:val="18"/>
              </w:rPr>
              <w:t>Board Independence</w:t>
            </w:r>
          </w:p>
        </w:tc>
        <w:tc>
          <w:tcPr>
            <w:tcW w:type="dxa" w:w="2520"/>
            <w:shd w:fill="F2F4F8" w:val="clear"/>
          </w:tcPr>
          <w:p>
            <w:r>
              <w:rPr>
                <w:rFonts w:ascii="Calibri" w:hAnsi="Calibri"/>
                <w:color w:val="333333"/>
                <w:sz w:val="18"/>
              </w:rPr>
              <w:t>70</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Proxy: independence score 3.0; Estimated from related indicators.</w:t>
            </w:r>
          </w:p>
        </w:tc>
      </w:tr>
      <w:tr>
        <w:tc>
          <w:tcPr>
            <w:tcW w:type="dxa" w:w="2520"/>
          </w:tcPr>
          <w:p>
            <w:r>
              <w:rPr>
                <w:rFonts w:ascii="Calibri" w:hAnsi="Calibri"/>
                <w:color w:val="333333"/>
                <w:sz w:val="18"/>
              </w:rPr>
              <w:t>Industry Expertise Match</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No executives with explicit TECH background in bios</w:t>
            </w:r>
          </w:p>
        </w:tc>
      </w:tr>
      <w:tr>
        <w:tc>
          <w:tcPr>
            <w:tcW w:type="dxa" w:w="2520"/>
            <w:shd w:fill="F2F4F8" w:val="clear"/>
          </w:tcPr>
          <w:p>
            <w:r>
              <w:rPr>
                <w:rFonts w:ascii="Calibri" w:hAnsi="Calibri"/>
                <w:color w:val="333333"/>
                <w:sz w:val="18"/>
              </w:rPr>
              <w:t>Industry Litigation Wave</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Sector 'TECH' litigation wave level: 2.0/3.0</w:t>
            </w:r>
          </w:p>
        </w:tc>
      </w:tr>
      <w:tr>
        <w:tc>
          <w:tcPr>
            <w:tcW w:type="dxa" w:w="2520"/>
          </w:tcPr>
          <w:p>
            <w:r>
              <w:rPr>
                <w:rFonts w:ascii="Calibri" w:hAnsi="Calibri"/>
                <w:color w:val="333333"/>
                <w:sz w:val="18"/>
              </w:rPr>
              <w:t>Anti-Takeover Provisions</w:t>
            </w:r>
          </w:p>
        </w:tc>
        <w:tc>
          <w:tcPr>
            <w:tcW w:type="dxa" w:w="2520"/>
          </w:tcPr>
          <w:p>
            <w:r>
              <w:rPr>
                <w:rFonts w:ascii="Calibri" w:hAnsi="Calibri"/>
                <w:color w:val="333333"/>
                <w:sz w:val="18"/>
              </w:rPr>
              <w:t>60</w:t>
            </w:r>
          </w:p>
        </w:tc>
        <w:tc>
          <w:tcPr>
            <w:tcW w:type="dxa" w:w="2520"/>
          </w:tcPr>
          <w:p>
            <w:r>
              <w:rPr>
                <w:rFonts w:ascii="Calibri" w:hAnsi="Calibri"/>
                <w:color w:val="333333"/>
                <w:sz w:val="18"/>
              </w:rPr>
              <w:t>ELEVATED</w:t>
            </w:r>
          </w:p>
        </w:tc>
        <w:tc>
          <w:tcPr>
            <w:tcW w:type="dxa" w:w="2520"/>
          </w:tcPr>
          <w:p>
            <w:r>
              <w:rPr>
                <w:rFonts w:ascii="Calibri" w:hAnsi="Calibri"/>
                <w:color w:val="333333"/>
                <w:sz w:val="18"/>
              </w:rPr>
              <w:t>Proxy: governance score 39.6; Estimated from related indicators.</w:t>
            </w:r>
          </w:p>
        </w:tc>
      </w:tr>
      <w:tr>
        <w:tc>
          <w:tcPr>
            <w:tcW w:type="dxa" w:w="2520"/>
            <w:shd w:fill="F2F4F8" w:val="clear"/>
          </w:tcPr>
          <w:p>
            <w:r>
              <w:rPr>
                <w:rFonts w:ascii="Calibri" w:hAnsi="Calibri"/>
                <w:color w:val="333333"/>
                <w:sz w:val="18"/>
              </w:rPr>
              <w:t>Regulatory Intensity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'TECH' regulatory intensity: 2.5/5.0</w:t>
            </w:r>
          </w:p>
        </w:tc>
      </w:tr>
      <w:tr>
        <w:tc>
          <w:tcPr>
            <w:tcW w:type="dxa" w:w="2520"/>
          </w:tcPr>
          <w:p>
            <w:r>
              <w:rPr>
                <w:rFonts w:ascii="Calibri" w:hAnsi="Calibri"/>
                <w:color w:val="333333"/>
                <w:sz w:val="18"/>
              </w:rPr>
              <w:t>IP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Proxy: 1 scale/growth keyword hits in risk factors; Estimated from related indicators.</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Goodwill-Heavy Balance Sheet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Audit Committee Quality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Committee quality score 0.0/10 (weak); Estimated from related indicators.</w:t>
            </w:r>
          </w:p>
        </w:tc>
      </w:tr>
      <w:tr>
        <w:tc>
          <w:tcPr>
            <w:tcW w:type="dxa" w:w="2520"/>
            <w:shd w:fill="F2F4F8" w:val="clear"/>
          </w:tcPr>
          <w:p>
            <w:r>
              <w:rPr>
                <w:rFonts w:ascii="Calibri" w:hAnsi="Calibri"/>
                <w:color w:val="333333"/>
                <w:sz w:val="18"/>
              </w:rPr>
              <w:t>Method of Going Public</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Geopolitical Risk</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4 geographic regions (moderate international exposure)</w:t>
            </w:r>
          </w:p>
        </w:tc>
      </w:tr>
      <w:tr>
        <w:tc>
          <w:tcPr>
            <w:tcW w:type="dxa" w:w="2520"/>
            <w:shd w:fill="F2F4F8" w:val="clear"/>
          </w:tcPr>
          <w:p>
            <w:r>
              <w:rPr>
                <w:rFonts w:ascii="Calibri" w:hAnsi="Calibri"/>
                <w:color w:val="333333"/>
                <w:sz w:val="18"/>
              </w:rPr>
              <w:t>Crypto / Digital Asset Exposure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Social Media / Public Persona Risk</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bl>
    <w:p>
      <w:pPr>
        <w:pStyle w:val="DOHeading3"/>
      </w:pPr>
      <w:r>
        <w:t>Interaction Effects</w:t>
      </w:r>
    </w:p>
    <w:p>
      <w:pPr>
        <w:pStyle w:val="DOBody"/>
      </w:pPr>
      <w:r>
        <w:rPr>
          <w:b/>
        </w:rPr>
        <w:t>Elevated Co-occurrence (1.13x): 9 dimensions scoring above 60% threshold</w:t>
      </w:r>
    </w:p>
    <w:p>
      <w:pPr>
        <w:pStyle w:val="DOBody"/>
      </w:pPr>
      <w:r>
        <w:rPr>
          <w:b/>
        </w:rPr>
        <w:t>Category Concentration (H4) (1.05x): 3 elevated dimensions in category H4</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Compliance Infrastructure</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5 material weakness(es) disclosed</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83</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Multiple OBS indicators: FINANCIAL: Adverse economic conditions may harm our business., FINANCIAL: Our revenue and margins for a particular period are difficult to predict., OTHER: If negative publicity arises with respect to us, our employees, our third-party service providers or our partners, our business and operating results could be adversely affected.</w:t>
            </w:r>
          </w:p>
        </w:tc>
      </w:tr>
      <w:tr>
        <w:tc>
          <w:tcPr>
            <w:tcW w:type="dxa" w:w="2016"/>
          </w:tcPr>
          <w:p>
            <w:r>
              <w:rPr>
                <w:rFonts w:ascii="Calibri" w:hAnsi="Calibri"/>
                <w:color w:val="333333"/>
                <w:sz w:val="18"/>
              </w:rPr>
              <w:t>Industry Regulatory Spotlight</w:t>
            </w:r>
          </w:p>
        </w:tc>
        <w:tc>
          <w:tcPr>
            <w:tcW w:type="dxa" w:w="2016"/>
          </w:tcPr>
          <w:p>
            <w:r>
              <w:rPr>
                <w:rFonts w:ascii="Calibri" w:hAnsi="Calibri"/>
                <w:color w:val="333333"/>
                <w:sz w:val="18"/>
              </w:rPr>
              <w:t>83</w:t>
            </w:r>
          </w:p>
        </w:tc>
        <w:tc>
          <w:tcPr>
            <w:tcW w:type="dxa" w:w="2016"/>
          </w:tcPr>
          <w:p>
            <w:r>
              <w:rPr>
                <w:rFonts w:ascii="Calibri" w:hAnsi="Calibri"/>
                <w:color w:val="333333"/>
                <w:sz w:val="18"/>
              </w:rPr>
              <w:t>CRITICAL</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'TECH' regulatory spotlight level: 2.5/3.0</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80</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growth 46.6% (HIGH)</w:t>
            </w:r>
          </w:p>
        </w:tc>
      </w:tr>
      <w:tr>
        <w:tc>
          <w:tcPr>
            <w:tcW w:type="dxa" w:w="2016"/>
          </w:tcPr>
          <w:p>
            <w:r>
              <w:rPr>
                <w:rFonts w:ascii="Calibri" w:hAnsi="Calibri"/>
                <w:color w:val="333333"/>
                <w:sz w:val="18"/>
              </w:rPr>
              <w:t>Industry Sector Risk Tier</w:t>
            </w:r>
          </w:p>
        </w:tc>
        <w:tc>
          <w:tcPr>
            <w:tcW w:type="dxa" w:w="2016"/>
          </w:tcPr>
          <w:p>
            <w:r>
              <w:rPr>
                <w:rFonts w:ascii="Calibri" w:hAnsi="Calibri"/>
                <w:color w:val="333333"/>
                <w:sz w:val="18"/>
              </w:rPr>
              <w:t>70</w:t>
            </w:r>
          </w:p>
        </w:tc>
        <w:tc>
          <w:tcPr>
            <w:tcW w:type="dxa" w:w="2016"/>
          </w:tcPr>
          <w:p>
            <w:r>
              <w:rPr>
                <w:rFonts w:ascii="Calibri" w:hAnsi="Calibri"/>
                <w:color w:val="333333"/>
                <w:sz w:val="18"/>
              </w:rPr>
              <w:t>HIGH</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'TECH' maps to risk score 7.0/10.0</w:t>
            </w:r>
          </w:p>
        </w:tc>
      </w:tr>
      <w:tr>
        <w:tc>
          <w:tcPr>
            <w:tcW w:type="dxa" w:w="2016"/>
            <w:shd w:fill="F2F4F8" w:val="clear"/>
          </w:tcPr>
          <w:p>
            <w:r>
              <w:rPr>
                <w:rFonts w:ascii="Calibri" w:hAnsi="Calibri"/>
                <w:color w:val="333333"/>
                <w:sz w:val="18"/>
              </w:rPr>
              <w:t>Board Independence</w:t>
            </w:r>
          </w:p>
        </w:tc>
        <w:tc>
          <w:tcPr>
            <w:tcW w:type="dxa" w:w="2016"/>
            <w:shd w:fill="F2F4F8" w:val="clear"/>
          </w:tcPr>
          <w:p>
            <w:r>
              <w:rPr>
                <w:rFonts w:ascii="Calibri" w:hAnsi="Calibri"/>
                <w:color w:val="333333"/>
                <w:sz w:val="18"/>
              </w:rPr>
              <w:t>70</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independence score 3.0</w:t>
            </w:r>
          </w:p>
        </w:tc>
      </w:tr>
      <w:tr>
        <w:tc>
          <w:tcPr>
            <w:tcW w:type="dxa" w:w="2016"/>
          </w:tcPr>
          <w:p>
            <w:r>
              <w:rPr>
                <w:rFonts w:ascii="Calibri" w:hAnsi="Calibri"/>
                <w:color w:val="333333"/>
                <w:sz w:val="18"/>
              </w:rPr>
              <w:t>Industry Expertise Match</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executives with explicit TECH background in bios</w:t>
            </w:r>
          </w:p>
        </w:tc>
      </w:tr>
      <w:tr>
        <w:tc>
          <w:tcPr>
            <w:tcW w:type="dxa" w:w="2016"/>
            <w:shd w:fill="F2F4F8" w:val="clear"/>
          </w:tcPr>
          <w:p>
            <w:r>
              <w:rPr>
                <w:rFonts w:ascii="Calibri" w:hAnsi="Calibri"/>
                <w:color w:val="333333"/>
                <w:sz w:val="18"/>
              </w:rPr>
              <w:t>Industry Litigation Wave</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'TECH' litigation wave level: 2.0/3.0</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60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governance score 39.6</w:t>
            </w:r>
          </w:p>
        </w:tc>
      </w:tr>
      <w:tr>
        <w:tc>
          <w:tcPr>
            <w:tcW w:type="dxa" w:w="2016"/>
            <w:shd w:fill="F2F4F8" w:val="clear"/>
          </w:tcPr>
          <w:p>
            <w:r>
              <w:rPr>
                <w:rFonts w:ascii="Calibri" w:hAnsi="Calibri"/>
                <w:color w:val="333333"/>
                <w:sz w:val="18"/>
              </w:rPr>
              <w:t>Regulatory Intensity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'TECH' regulatory intensity: 2.5/5.0</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Proxy: 1 scale/growth keyword hits in risk factors</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Audit Committee Quality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Committee quality score 0.0/10 (weak)</w:t>
            </w:r>
          </w:p>
        </w:tc>
      </w:tr>
      <w:tr>
        <w:tc>
          <w:tcPr>
            <w:tcW w:type="dxa" w:w="2016"/>
            <w:shd w:fill="F2F4F8" w:val="clear"/>
          </w:tcPr>
          <w:p>
            <w:r>
              <w:rPr>
                <w:rFonts w:ascii="Calibri" w:hAnsi="Calibri"/>
                <w:color w:val="333333"/>
                <w:sz w:val="18"/>
              </w:rPr>
              <w:t>Method of Going Public</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Geopolitical Risk</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4 geographic regions (moderate international exposure)</w:t>
            </w:r>
          </w:p>
        </w:tc>
      </w:tr>
      <w:tr>
        <w:tc>
          <w:tcPr>
            <w:tcW w:type="dxa" w:w="2016"/>
            <w:shd w:fill="F2F4F8" w:val="clear"/>
          </w:tcPr>
          <w:p>
            <w:r>
              <w:rPr>
                <w:rFonts w:ascii="Calibri" w:hAnsi="Calibri"/>
                <w:color w:val="333333"/>
                <w:sz w:val="18"/>
              </w:rPr>
              <w:t>Crypto / Digital Asset Exposure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Social Media / Public Persona Risk</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Geographic Complexity</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4 regions, 1 subsidiaries (MODERATE)</w:t>
            </w:r>
          </w:p>
        </w:tc>
      </w:tr>
      <w:tr>
        <w:tc>
          <w:tcPr>
            <w:tcW w:type="dxa" w:w="2016"/>
          </w:tcPr>
          <w:p>
            <w:r>
              <w:rPr>
                <w:rFonts w:ascii="Calibri" w:hAnsi="Calibri"/>
                <w:color w:val="333333"/>
                <w:sz w:val="18"/>
              </w:rPr>
              <w:t>Key Person Dependency</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Proxy: 2 key person dependency mentions in risk factors</w:t>
            </w:r>
          </w:p>
        </w:tc>
      </w:tr>
      <w:tr>
        <w:tc>
          <w:tcPr>
            <w:tcW w:type="dxa" w:w="2016"/>
            <w:shd w:fill="F2F4F8" w:val="clear"/>
          </w:tcPr>
          <w:p>
            <w:r>
              <w:rPr>
                <w:rFonts w:ascii="Calibri" w:hAnsi="Calibri"/>
                <w:color w:val="333333"/>
                <w:sz w:val="18"/>
              </w:rPr>
              <w:t>Related Party Transactions</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Proxy: 1 related-party keyword hits</w:t>
            </w:r>
          </w:p>
        </w:tc>
      </w:tr>
      <w:tr>
        <w:tc>
          <w:tcPr>
            <w:tcW w:type="dxa" w:w="2016"/>
          </w:tcPr>
          <w:p>
            <w:r>
              <w:rPr>
                <w:rFonts w:ascii="Calibri" w:hAnsi="Calibri"/>
                <w:color w:val="333333"/>
                <w:sz w:val="18"/>
              </w:rPr>
              <w:t>Shareholder Rights</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Governance score 39.6/100 (moderate)</w:t>
            </w:r>
          </w:p>
        </w:tc>
      </w:tr>
      <w:tr>
        <w:tc>
          <w:tcPr>
            <w:tcW w:type="dxa" w:w="2016"/>
            <w:shd w:fill="F2F4F8" w:val="clear"/>
          </w:tcPr>
          <w:p>
            <w:r>
              <w:rPr>
                <w:rFonts w:ascii="Calibri" w:hAnsi="Calibri"/>
                <w:color w:val="333333"/>
                <w:sz w:val="18"/>
              </w:rPr>
              <w:t>Business Model Complexity</w:t>
            </w:r>
          </w:p>
        </w:tc>
        <w:tc>
          <w:tcPr>
            <w:tcW w:type="dxa" w:w="2016"/>
            <w:shd w:fill="F2F4F8" w:val="clear"/>
          </w:tcPr>
          <w:p>
            <w:r>
              <w:rPr>
                <w:rFonts w:ascii="Calibri" w:hAnsi="Calibri"/>
                <w:color w:val="333333"/>
                <w:sz w:val="18"/>
              </w:rPr>
              <w:t>30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VIE/off-balance-sheet entities present</w:t>
            </w:r>
          </w:p>
        </w:tc>
      </w:tr>
      <w:tr>
        <w:tc>
          <w:tcPr>
            <w:tcW w:type="dxa" w:w="2016"/>
          </w:tcPr>
          <w:p>
            <w:r>
              <w:rPr>
                <w:rFonts w:ascii="Calibri" w:hAnsi="Calibri"/>
                <w:color w:val="333333"/>
                <w:sz w:val="18"/>
              </w:rPr>
              <w:t>Technology Platform Dependency</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Low platform keyword count (4) for non-tech sector</w:t>
            </w:r>
          </w:p>
        </w:tc>
      </w:tr>
      <w:tr>
        <w:tc>
          <w:tcPr>
            <w:tcW w:type="dxa" w:w="2016"/>
            <w:shd w:fill="F2F4F8" w:val="clear"/>
          </w:tcPr>
          <w:p>
            <w:r>
              <w:rPr>
                <w:rFonts w:ascii="Calibri" w:hAnsi="Calibri"/>
                <w:color w:val="333333"/>
                <w:sz w:val="18"/>
              </w:rPr>
              <w:t>State of Incorporation</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Incorporated in CA</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20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Proxy: 1 capital markets keyword hits</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Founder-Led vs Professional Management</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Professional (non-founder) CEO</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1.58 -- aligned</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Minimal cybersecurity disclosure (1 mention)</w:t>
            </w:r>
          </w:p>
        </w:tc>
      </w:tr>
      <w:tr>
        <w:tc>
          <w:tcPr>
            <w:tcW w:type="dxa" w:w="2016"/>
          </w:tcPr>
          <w:p>
            <w:r>
              <w:rPr>
                <w:rFonts w:ascii="Calibri" w:hAnsi="Calibri"/>
                <w:color w:val="333333"/>
                <w:sz w:val="18"/>
              </w:rPr>
              <w:t>Customer &amp; Supplier Concentration</w:t>
            </w:r>
          </w:p>
        </w:tc>
        <w:tc>
          <w:tcPr>
            <w:tcW w:type="dxa" w:w="2016"/>
          </w:tcPr>
          <w:p>
            <w:r>
              <w:rPr>
                <w:rFonts w:ascii="Calibri" w:hAnsi="Calibri"/>
                <w:color w:val="333333"/>
                <w:sz w:val="18"/>
              </w:rPr>
              <w:t>12</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2 material supplier(s) disclosed</w:t>
            </w:r>
          </w:p>
        </w:tc>
      </w:tr>
      <w:tr>
        <w:tc>
          <w:tcPr>
            <w:tcW w:type="dxa" w:w="2016"/>
            <w:shd w:fill="F2F4F8" w:val="clear"/>
          </w:tcPr>
          <w:p>
            <w:r>
              <w:rPr>
                <w:rFonts w:ascii="Calibri" w:hAnsi="Calibri"/>
                <w:color w:val="333333"/>
                <w:sz w:val="18"/>
              </w:rPr>
              <w:t>AI Adoption &amp; Governance</w:t>
            </w:r>
          </w:p>
        </w:tc>
        <w:tc>
          <w:tcPr>
            <w:tcW w:type="dxa" w:w="2016"/>
            <w:shd w:fill="F2F4F8" w:val="clear"/>
          </w:tcPr>
          <w:p>
            <w:r>
              <w:rPr>
                <w:rFonts w:ascii="Calibri" w:hAnsi="Calibri"/>
                <w:color w:val="333333"/>
                <w:sz w:val="18"/>
              </w:rPr>
              <w:t>12</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AI risk score 0/100 (LOW)</w:t>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Capital Intensity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CapEx/Revenue 0.6% (LOW)</w:t>
            </w:r>
          </w:p>
        </w:tc>
      </w:tr>
      <w:tr>
        <w:tc>
          <w:tcPr>
            <w:tcW w:type="dxa" w:w="2016"/>
          </w:tcPr>
          <w:p>
            <w:r>
              <w:rPr>
                <w:rFonts w:ascii="Calibri" w:hAnsi="Calibri"/>
                <w:color w:val="333333"/>
                <w:sz w:val="18"/>
              </w:rPr>
              <w:t>Dual-Class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Management Public Company Experience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CEO tenure 11.0y (experienced)</w:t>
            </w:r>
          </w:p>
        </w:tc>
      </w:tr>
      <w:tr>
        <w:tc>
          <w:tcPr>
            <w:tcW w:type="dxa" w:w="2016"/>
          </w:tcPr>
          <w:p>
            <w:r>
              <w:rPr>
                <w:rFonts w:ascii="Calibri" w:hAnsi="Calibri"/>
                <w:color w:val="333333"/>
                <w:sz w:val="18"/>
              </w:rPr>
              <w:t>Board Governance Experience &amp; Quality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Tone at the Top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Estimated from related indicators.</w:t>
            </w:r>
          </w:p>
        </w:tc>
      </w:tr>
      <w:tr>
        <w:tc>
          <w:tcPr>
            <w:tcW w:type="dxa" w:w="2016"/>
          </w:tcPr>
          <w:p>
            <w:r>
              <w:rPr>
                <w:rFonts w:ascii="Calibri" w:hAnsi="Calibri"/>
                <w:color w:val="333333"/>
                <w:sz w:val="18"/>
              </w:rPr>
              <w:t>Leverage &amp; Capital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Debt/Equity 0.02 (LOW)</w:t>
            </w:r>
          </w:p>
        </w:tc>
      </w:tr>
      <w:tr>
        <w:tc>
          <w:tcPr>
            <w:tcW w:type="dxa" w:w="2016"/>
            <w:shd w:fill="F2F4F8" w:val="clear"/>
          </w:tcPr>
          <w:p>
            <w:r>
              <w:rPr>
                <w:rFonts w:ascii="Calibri" w:hAnsi="Calibri"/>
                <w:color w:val="333333"/>
                <w:sz w:val="18"/>
              </w:rPr>
              <w:t>Earnings Quality Characteristics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Beneish M-Score -2.32 -- safe zone</w:t>
            </w:r>
          </w:p>
        </w:tc>
      </w:tr>
      <w:tr>
        <w:tc>
          <w:tcPr>
            <w:tcW w:type="dxa" w:w="2016"/>
          </w:tcPr>
          <w:p>
            <w:r>
              <w:rPr>
                <w:rFonts w:ascii="Calibri" w:hAnsi="Calibri"/>
                <w:color w:val="333333"/>
                <w:sz w:val="18"/>
              </w:rPr>
              <w:t>Pre-Revenue / Cash Burn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Revenue-generating company with positive cash flow profile</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separated</w:t>
            </w:r>
          </w:p>
        </w:tc>
      </w:tr>
      <w:tr>
        <w:tc>
          <w:tcPr>
            <w:tcW w:type="dxa" w:w="2016"/>
          </w:tcPr>
          <w:p>
            <w:r>
              <w:rPr>
                <w:rFonts w:ascii="Calibri" w:hAnsi="Calibri"/>
                <w:color w:val="333333"/>
                <w:sz w:val="18"/>
              </w:rPr>
              <w:t>Compensation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Clawback policy in place</w:t>
            </w:r>
          </w:p>
        </w:tc>
      </w:tr>
      <w:tr>
        <w:tc>
          <w:tcPr>
            <w:tcW w:type="dxa" w:w="2016"/>
            <w:shd w:fill="F2F4F8" w:val="clear"/>
          </w:tcPr>
          <w:p>
            <w:r>
              <w:rPr>
                <w:rFonts w:ascii="Calibri" w:hAnsi="Calibri"/>
                <w:color w:val="333333"/>
                <w:sz w:val="18"/>
              </w:rPr>
              <w:t>IPO Recency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IPO 19 years ago (MINIMAL -- mature public company)</w:t>
            </w:r>
          </w:p>
        </w:tc>
      </w:tr>
      <w:tr>
        <w:tc>
          <w:tcPr>
            <w:tcW w:type="dxa" w:w="2016"/>
          </w:tcPr>
          <w:p>
            <w:r>
              <w:rPr>
                <w:rFonts w:ascii="Calibri" w:hAnsi="Calibri"/>
                <w:color w:val="333333"/>
                <w:sz w:val="18"/>
              </w:rPr>
              <w:t>Exchange &amp; Index Membership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Listed on Nasdaq (major exchange -- standard oversight)</w:t>
            </w:r>
          </w:p>
        </w:tc>
      </w:tr>
      <w:tr>
        <w:tc>
          <w:tcPr>
            <w:tcW w:type="dxa" w:w="2016"/>
            <w:shd w:fill="F2F4F8" w:val="clear"/>
          </w:tcPr>
          <w:p>
            <w:r>
              <w:rPr>
                <w:rFonts w:ascii="Calibri" w:hAnsi="Calibri"/>
                <w:color w:val="333333"/>
                <w:sz w:val="18"/>
              </w:rPr>
              <w:t>FPI / ADR Status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Domestic issuer (standard SEC reporting)</w:t>
            </w:r>
          </w:p>
        </w:tc>
      </w:tr>
      <w:tr>
        <w:tc>
          <w:tcPr>
            <w:tcW w:type="dxa" w:w="2016"/>
          </w:tcPr>
          <w:p>
            <w:r>
              <w:rPr>
                <w:rFonts w:ascii="Calibri" w:hAnsi="Calibri"/>
                <w:color w:val="333333"/>
                <w:sz w:val="18"/>
              </w:rPr>
              <w:t>Seasoning &amp; Track Record</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19 years as public company (established)</w:t>
            </w:r>
          </w:p>
        </w:tc>
      </w:tr>
      <w:tr>
        <w:tc>
          <w:tcPr>
            <w:tcW w:type="dxa" w:w="2016"/>
            <w:shd w:fill="F2F4F8" w:val="clear"/>
          </w:tcPr>
          <w:p>
            <w:r>
              <w:rPr>
                <w:rFonts w:ascii="Calibri" w:hAnsi="Calibri"/>
                <w:color w:val="333333"/>
                <w:sz w:val="18"/>
              </w:rPr>
              <w:t>ESG / Climate Exposure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ESG/climate exposure indicators found</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workforce/labor model risk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30.3</w:t>
            </w:r>
          </w:p>
        </w:tc>
        <w:tc>
          <w:tcPr>
            <w:tcW w:type="dxa" w:w="1680"/>
          </w:tcPr>
          <w:p>
            <w:r>
              <w:rPr>
                <w:rFonts w:ascii="Calibri" w:hAnsi="Calibri"/>
                <w:color w:val="333333"/>
                <w:sz w:val="18"/>
              </w:rPr>
              <w:t>9.9</w:t>
            </w:r>
          </w:p>
        </w:tc>
        <w:tc>
          <w:tcPr>
            <w:tcW w:type="dxa" w:w="1680"/>
          </w:tcPr>
          <w:p>
            <w:r>
              <w:rPr>
                <w:rFonts w:ascii="Calibri" w:hAnsi="Calibri"/>
                <w:color w:val="333333"/>
                <w:sz w:val="18"/>
              </w:rPr>
              <w:t>12/13</w:t>
            </w:r>
          </w:p>
        </w:tc>
        <w:tc>
          <w:tcPr>
            <w:tcW w:type="dxa" w:w="1680"/>
          </w:tcPr>
          <w:p>
            <w:r>
              <w:rPr>
                <w:rFonts w:ascii="Calibri" w:hAnsi="Calibri"/>
                <w:color w:val="333333"/>
                <w:sz w:val="18"/>
              </w:rPr>
              <w:t>92%</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27.1</w:t>
            </w:r>
          </w:p>
        </w:tc>
        <w:tc>
          <w:tcPr>
            <w:tcW w:type="dxa" w:w="1680"/>
            <w:shd w:fill="F2F4F8" w:val="clear"/>
          </w:tcPr>
          <w:p>
            <w:r>
              <w:rPr>
                <w:rFonts w:ascii="Calibri" w:hAnsi="Calibri"/>
                <w:color w:val="333333"/>
                <w:sz w:val="18"/>
              </w:rPr>
              <w:t>4.1</w:t>
            </w:r>
          </w:p>
        </w:tc>
        <w:tc>
          <w:tcPr>
            <w:tcW w:type="dxa" w:w="1680"/>
            <w:shd w:fill="F2F4F8" w:val="clear"/>
          </w:tcPr>
          <w:p>
            <w:r>
              <w:rPr>
                <w:rFonts w:ascii="Calibri" w:hAnsi="Calibri"/>
                <w:color w:val="333333"/>
                <w:sz w:val="18"/>
              </w:rPr>
              <w:t>7/8</w:t>
            </w:r>
          </w:p>
        </w:tc>
        <w:tc>
          <w:tcPr>
            <w:tcW w:type="dxa" w:w="1680"/>
            <w:shd w:fill="F2F4F8" w:val="clear"/>
          </w:tcPr>
          <w:p>
            <w:r>
              <w:rPr>
                <w:rFonts w:ascii="Calibri" w:hAnsi="Calibri"/>
                <w:color w:val="333333"/>
                <w:sz w:val="18"/>
              </w:rPr>
              <w:t>88%</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25.4</w:t>
            </w:r>
          </w:p>
        </w:tc>
        <w:tc>
          <w:tcPr>
            <w:tcW w:type="dxa" w:w="1680"/>
          </w:tcPr>
          <w:p>
            <w:r>
              <w:rPr>
                <w:rFonts w:ascii="Calibri" w:hAnsi="Calibri"/>
                <w:color w:val="333333"/>
                <w:sz w:val="18"/>
              </w:rPr>
              <w:t>3.8</w:t>
            </w:r>
          </w:p>
        </w:tc>
        <w:tc>
          <w:tcPr>
            <w:tcW w:type="dxa" w:w="1680"/>
          </w:tcPr>
          <w:p>
            <w:r>
              <w:rPr>
                <w:rFonts w:ascii="Calibri" w:hAnsi="Calibri"/>
                <w:color w:val="333333"/>
                <w:sz w:val="18"/>
              </w:rPr>
              <w:t>7/8</w:t>
            </w:r>
          </w:p>
        </w:tc>
        <w:tc>
          <w:tcPr>
            <w:tcW w:type="dxa" w:w="1680"/>
          </w:tcPr>
          <w:p>
            <w:r>
              <w:rPr>
                <w:rFonts w:ascii="Calibri" w:hAnsi="Calibri"/>
                <w:color w:val="333333"/>
                <w:sz w:val="18"/>
              </w:rPr>
              <w:t>88%</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42.3</w:t>
            </w:r>
          </w:p>
        </w:tc>
        <w:tc>
          <w:tcPr>
            <w:tcW w:type="dxa" w:w="1680"/>
            <w:shd w:fill="F2F4F8" w:val="clear"/>
          </w:tcPr>
          <w:p>
            <w:r>
              <w:rPr>
                <w:rFonts w:ascii="Calibri" w:hAnsi="Calibri"/>
                <w:color w:val="333333"/>
                <w:sz w:val="18"/>
              </w:rPr>
              <w:t>3.2</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10.0</w:t>
            </w:r>
          </w:p>
        </w:tc>
        <w:tc>
          <w:tcPr>
            <w:tcW w:type="dxa" w:w="1680"/>
          </w:tcPr>
          <w:p>
            <w:r>
              <w:rPr>
                <w:rFonts w:ascii="Calibri" w:hAnsi="Calibri"/>
                <w:color w:val="333333"/>
                <w:sz w:val="18"/>
              </w:rPr>
              <w:t>1.0</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57.1</w:t>
            </w:r>
          </w:p>
        </w:tc>
        <w:tc>
          <w:tcPr>
            <w:tcW w:type="dxa" w:w="1680"/>
            <w:shd w:fill="F2F4F8" w:val="clear"/>
          </w:tcPr>
          <w:p>
            <w:r>
              <w:rPr>
                <w:rFonts w:ascii="Calibri" w:hAnsi="Calibri"/>
                <w:color w:val="333333"/>
                <w:sz w:val="18"/>
              </w:rPr>
              <w:t>5.7</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21.5</w:t>
            </w:r>
          </w:p>
        </w:tc>
        <w:tc>
          <w:tcPr>
            <w:tcW w:type="dxa" w:w="1680"/>
          </w:tcPr>
          <w:p>
            <w:r>
              <w:rPr>
                <w:rFonts w:ascii="Calibri" w:hAnsi="Calibri"/>
                <w:color w:val="333333"/>
                <w:sz w:val="18"/>
              </w:rPr>
              <w:t>2.1</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System security violations, data protection breaches, cyber-attacks and other related cyber-security issues could disrupt our internal operations.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Malicious computer programmers and hackers may be able to penetrate our network and misappropriate or compromise our confidential information or that of third parties, create system disruptions or cause shutdowns.</w:t>
            </w:r>
          </w:p>
        </w:tc>
      </w:tr>
      <w:tr>
        <w:tc>
          <w:tcPr>
            <w:tcW w:type="dxa" w:w="2016"/>
            <w:shd w:fill="F2F4F8" w:val="clear"/>
          </w:tcPr>
          <w:p>
            <w:r>
              <w:rPr>
                <w:rFonts w:ascii="Calibri" w:hAnsi="Calibri"/>
                <w:color w:val="333333"/>
                <w:sz w:val="18"/>
              </w:rPr>
              <w:t>Adverse economic conditions may harm our business.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If economic conditions, including inflation, increased interest rates, economic output and currency exchange rates, in these markets and other key potential markets for our Total IT Solutions remain uncertain or further deteriorate, including as a result of the downturn in the global economy, the Russia-Ukraine conflict and related sanctions and trade restrictions, the effects of the COVID-19 pandemic or other reasons, customers may delay or reduce their spending.</w:t>
            </w:r>
          </w:p>
        </w:tc>
      </w:tr>
      <w:tr>
        <w:tc>
          <w:tcPr>
            <w:tcW w:type="dxa" w:w="2016"/>
          </w:tcPr>
          <w:p>
            <w:r>
              <w:rPr>
                <w:rFonts w:ascii="Calibri" w:hAnsi="Calibri"/>
                <w:color w:val="333333"/>
                <w:sz w:val="18"/>
              </w:rPr>
              <w:t>Our cost structure and ability to deliver server solutions to customers in a timely manner may be adversely affected by volatility of the market for core components.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Prices of certain materials and core components utilized in the manufacture of our server and storage solutions, such as GPUs, serverboards, chassis, CPUs, memory, hard drives and SSDs, represent a significant portion of our cost of sales.</w:t>
            </w:r>
          </w:p>
        </w:tc>
      </w:tr>
      <w:tr>
        <w:tc>
          <w:tcPr>
            <w:tcW w:type="dxa" w:w="2016"/>
            <w:shd w:fill="F2F4F8" w:val="clear"/>
          </w:tcPr>
          <w:p>
            <w:r>
              <w:rPr>
                <w:rFonts w:ascii="Calibri" w:hAnsi="Calibri"/>
                <w:color w:val="333333"/>
                <w:sz w:val="18"/>
              </w:rPr>
              <w:t>Recent events in eastern Europe and the Taiwan strait present challenges and risks to us.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The crisis in eastern Europe continues to pose challenges to global companies, including us, which have customers in the impacted regions. The U.S. and other global governments have placed restrictions on how companies may transact with businesses in these regions, particularly Russia, Belarus and restricted areas in Ukraine.</w:t>
            </w:r>
          </w:p>
        </w:tc>
      </w:tr>
      <w:tr>
        <w:tc>
          <w:tcPr>
            <w:tcW w:type="dxa" w:w="2016"/>
          </w:tcPr>
          <w:p>
            <w:r>
              <w:rPr>
                <w:rFonts w:ascii="Calibri" w:hAnsi="Calibri"/>
                <w:color w:val="333333"/>
                <w:sz w:val="18"/>
              </w:rPr>
              <w:t>Our quarterly operating results have fluctuated and will likely fluctuate in the future.</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We believe that our quarterly operating results will continue to be subject to fluctuation due to various factors, many of which are beyond our control.</w:t>
            </w:r>
          </w:p>
        </w:tc>
      </w:tr>
      <w:tr>
        <w:tc>
          <w:tcPr>
            <w:tcW w:type="dxa" w:w="2016"/>
            <w:shd w:fill="F2F4F8" w:val="clear"/>
          </w:tcPr>
          <w:p>
            <w:r>
              <w:rPr>
                <w:rFonts w:ascii="Calibri" w:hAnsi="Calibri"/>
                <w:color w:val="333333"/>
                <w:sz w:val="18"/>
              </w:rPr>
              <w:t>Our revenue and margins for a particular period are difficult to predict.</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As a result of a variety of factors discussed in this Annual Report, our revenue and margins for a particular quarter are difficult to predict, especially in light of a challenging and inconsistent global macroeconomic environment, lingering impacts of the COVID-19 pandemic, the global economic downturn, recent events in eastern Europe, volatility in emergent and rapidly evolving markets (such as AI), steps we are taking in response thereto, increased competition, the effects of the ongoing trade disputes between the United States and China and related market uncertainty.</w:t>
            </w:r>
          </w:p>
        </w:tc>
      </w:tr>
      <w:tr>
        <w:tc>
          <w:tcPr>
            <w:tcW w:type="dxa" w:w="2016"/>
          </w:tcPr>
          <w:p>
            <w:r>
              <w:rPr>
                <w:rFonts w:ascii="Calibri" w:hAnsi="Calibri"/>
                <w:color w:val="333333"/>
                <w:sz w:val="18"/>
              </w:rPr>
              <w:t>If we fail to meet any publicly announced financial guidance or other expectations about our business, it could cause our stock to decline in value.</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We generally provide forward looking financial guidance when we announce our financial results for the prior quarter. No assurances can be given that we will continue to provide forward looking financial guidance, and if we do issue forward looking guidance, the uncertainties related to these items could cause us to revise such guidance.</w:t>
            </w:r>
          </w:p>
        </w:tc>
      </w:tr>
      <w:tr>
        <w:tc>
          <w:tcPr>
            <w:tcW w:type="dxa" w:w="2016"/>
            <w:shd w:fill="F2F4F8" w:val="clear"/>
          </w:tcPr>
          <w:p>
            <w:r>
              <w:rPr>
                <w:rFonts w:ascii="Calibri" w:hAnsi="Calibri"/>
                <w:color w:val="333333"/>
                <w:sz w:val="18"/>
              </w:rPr>
              <w:t>We may be unable to secure additional financing on favorable terms, or at all.</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We may need to expand our existing credit facilities, enter into new credit facilities or engage in equity, debt or other type of financings to secure additional capital to continue or increase our rate of growth.</w:t>
            </w:r>
          </w:p>
        </w:tc>
      </w:tr>
      <w:tr>
        <w:tc>
          <w:tcPr>
            <w:tcW w:type="dxa" w:w="2016"/>
          </w:tcPr>
          <w:p>
            <w:r>
              <w:rPr>
                <w:rFonts w:ascii="Calibri" w:hAnsi="Calibri"/>
                <w:color w:val="333333"/>
                <w:sz w:val="18"/>
              </w:rPr>
              <w:t>Increases in average selling prices for our Total IT Solutions have historically significantly contributed to increases in net sales.</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Increases in average selling prices for our server solutions have significantly contributed to increases in net sales in some of the periods covered by this Annual Report.</w:t>
            </w:r>
          </w:p>
        </w:tc>
      </w:tr>
      <w:tr>
        <w:tc>
          <w:tcPr>
            <w:tcW w:type="dxa" w:w="2016"/>
            <w:shd w:fill="F2F4F8" w:val="clear"/>
          </w:tcPr>
          <w:p>
            <w:r>
              <w:rPr>
                <w:rFonts w:ascii="Calibri" w:hAnsi="Calibri"/>
                <w:color w:val="333333"/>
                <w:sz w:val="18"/>
              </w:rPr>
              <w:t>Our growth into markets outside the United States exposes us to risks inherent in international business operations.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We market and sell our systems and subsystems and accessories both inside and outside the United States. We intend to expand our international sales efforts, especially into Asia, and we are expanding our business operations in Europe and Asia, particularly in Taiwan, Malaysia, the Netherlands and Japan.</w:t>
            </w:r>
          </w:p>
        </w:tc>
      </w:tr>
    </w:tbl>
    <w:p>
      <w:pPr>
        <w:pStyle w:val="DOCaption"/>
      </w:pPr>
      <w:r>
        <w:t>10 D&amp;O-relevant risk factors (0 new this year, 4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Super Micro’s stock has collapsed 62.76% from its 52-week high of $62.36 to a current price of $23.22, a decline that comfortably exceeds the typical threshold for stock-drop litigation under *Dura Pharmaceuticals*. The most severe single-day drop of 33.32% on March 20, 2026, was triggered directly by an 8-K filing, providing a clear event for plaintiffs to allege material misrepresentation or omission. Insider activity reinforces scienter risk under *Tellabs*, with net selling of $3.47 million in shares and zero percent executed under 10b5-1 plans, indicating all sales were discretionary and stripping management of a key defense. The short interest holding steady at 19.7% of the float reflects a persistent, sophisticated bearish bet that will aggressively parse any disclosure for litigation. The analyst consensus is a stagnant "Hold" with zero recent upgrades or downgrades, suggesting a lack of external catalysts to reverse the narrative and supporting a claim of prolonged disclosure failure. This combination—a catastrophic 62.76% price decline pinned to a specific disclosure, coincident unplanned insider selling, and a high 19.7% short interest—creates a textbook securities class action setup. Underwriting this D&amp;O risk requires heavy weighting on the side of severity, given the readily available loss causation argument from the 33.32% single-day drop. The absence of 10b5-1 plans for insider sales makes every trade look suspicious in hindsight and directly elevates scienter allegations.</w:t>
      </w:r>
    </w:p>
    <w:p>
      <w:pPr>
        <w:pStyle w:val="DOHeading1"/>
      </w:pPr>
      <w:r>
        <w:t>Section 4: Market &amp; Trading Analysis</w:t>
      </w:r>
    </w:p>
    <w:p>
      <w:pPr>
        <w:pStyle w:val="DOBody"/>
      </w:pPr>
      <w:r>
        <w:rPr>
          <w:rFonts w:ascii="Calibri" w:hAnsi="Calibri"/>
          <w:color w:val="333333"/>
          <w:sz w:val="20"/>
        </w:rPr>
        <w:t>The stock has suffered a severe 62.8% decline from its 52-week high ($62 to $23). Declines of this magnitude almost invariably attract securities litigation. Worst single-day decline: 33.3% on 2026-03-20 triggered by 8-K_filing. Short interest of 19.7% of float is elevated (6-month trend: STABLE), indicating institutional bearish conviction. Analyst consensus: HOLD. Stock-drop litigation risk is severe.</w:t>
      </w:r>
    </w:p>
    <w:p>
      <w:pPr>
        <w:pStyle w:val="DOHeading2"/>
      </w:pPr>
      <w:r>
        <w:t>Stock Performance</w:t>
      </w:r>
    </w:p>
    <w:p>
      <w:r>
        <w:drawing>
          <wp:inline xmlns:a="http://schemas.openxmlformats.org/drawingml/2006/main" xmlns:pic="http://schemas.openxmlformats.org/drawingml/2006/picture">
            <wp:extent cx="5943600" cy="3901686"/>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901686"/>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0472"/>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0472"/>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615118"/>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615118"/>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615118"/>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615118"/>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22990"/>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22990"/>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83842"/>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83842"/>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23881"/>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23881"/>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$23.22</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$62.36</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$19.48</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-28.2%</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-66.2%</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85.3%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1.49</w:t>
            </w:r>
          </w:p>
        </w:tc>
      </w:tr>
    </w:tbl>
    <w:p>
      <w:pPr>
        <w:pStyle w:val="DOBody"/>
      </w:pPr>
      <w:r>
        <w:t>171 significant stock decline events detected in the 1Y period: 137 critical (&gt;10%), 34 notable (5-10%). 171 were company-specific, 4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2026-03-20 to 2026-04-02 (14d)</w:t>
            </w:r>
          </w:p>
        </w:tc>
        <w:tc>
          <w:tcPr>
            <w:tcW w:type="dxa" w:w="1440"/>
            <w:shd w:fill="FCE8E6" w:val="clear"/>
          </w:tcPr>
          <w:p>
            <w:r>
              <w:rPr>
                <w:rFonts w:ascii="Calibri" w:hAnsi="Calibri"/>
                <w:color w:val="333333"/>
                <w:sz w:val="18"/>
              </w:rPr>
              <w:t>-38.9%</w:t>
            </w:r>
          </w:p>
        </w:tc>
        <w:tc>
          <w:tcPr>
            <w:tcW w:type="dxa" w:w="1440"/>
            <w:shd w:fill="FCE8E6" w:val="clear"/>
          </w:tcPr>
          <w:p>
            <w:r>
              <w:rPr>
                <w:rFonts w:ascii="Calibri" w:hAnsi="Calibri"/>
                <w:color w:val="333333"/>
                <w:sz w:val="18"/>
              </w:rPr>
              <w:t>95%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2026-03-30 (20d)</w:t>
            </w:r>
          </w:p>
        </w:tc>
        <w:tc>
          <w:tcPr>
            <w:tcW w:type="dxa" w:w="1440"/>
            <w:shd w:fill="F2F4F8" w:val="clear"/>
            <w:shd w:fill="FCE8E6" w:val="clear"/>
          </w:tcPr>
          <w:p>
            <w:r>
              <w:rPr>
                <w:rFonts w:ascii="Calibri" w:hAnsi="Calibri"/>
                <w:color w:val="333333"/>
                <w:sz w:val="18"/>
              </w:rPr>
              <w:t>-33.8%</w:t>
            </w:r>
          </w:p>
        </w:tc>
        <w:tc>
          <w:tcPr>
            <w:tcW w:type="dxa" w:w="1440"/>
            <w:shd w:fill="F2F4F8" w:val="clear"/>
            <w:shd w:fill="FCE8E6" w:val="clear"/>
          </w:tcPr>
          <w:p>
            <w:r>
              <w:rPr>
                <w:rFonts w:ascii="Calibri" w:hAnsi="Calibri"/>
                <w:color w:val="333333"/>
                <w:sz w:val="18"/>
              </w:rPr>
              <w:t>99%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2026-03-20</w:t>
            </w:r>
          </w:p>
        </w:tc>
        <w:tc>
          <w:tcPr>
            <w:tcW w:type="dxa" w:w="1440"/>
            <w:shd w:fill="FCE8E6" w:val="clear"/>
          </w:tcPr>
          <w:p>
            <w:r>
              <w:rPr>
                <w:rFonts w:ascii="Calibri" w:hAnsi="Calibri"/>
                <w:color w:val="333333"/>
                <w:sz w:val="18"/>
              </w:rPr>
              <w:t>-33.3%</w:t>
            </w:r>
          </w:p>
        </w:tc>
        <w:tc>
          <w:tcPr>
            <w:tcW w:type="dxa" w:w="1440"/>
            <w:shd w:fill="FCE8E6" w:val="clear"/>
          </w:tcPr>
          <w:p>
            <w:r>
              <w:rPr>
                <w:rFonts w:ascii="Calibri" w:hAnsi="Calibri"/>
                <w:color w:val="333333"/>
                <w:sz w:val="18"/>
              </w:rPr>
              <w:t>95%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2026-03-27 (20d)</w:t>
            </w:r>
          </w:p>
        </w:tc>
        <w:tc>
          <w:tcPr>
            <w:tcW w:type="dxa" w:w="1440"/>
            <w:shd w:fill="F2F4F8" w:val="clear"/>
            <w:shd w:fill="FCE8E6" w:val="clear"/>
          </w:tcPr>
          <w:p>
            <w:r>
              <w:rPr>
                <w:rFonts w:ascii="Calibri" w:hAnsi="Calibri"/>
                <w:color w:val="333333"/>
                <w:sz w:val="18"/>
              </w:rPr>
              <w:t>-32.2%</w:t>
            </w:r>
          </w:p>
        </w:tc>
        <w:tc>
          <w:tcPr>
            <w:tcW w:type="dxa" w:w="1440"/>
            <w:shd w:fill="F2F4F8" w:val="clear"/>
            <w:shd w:fill="FCE8E6" w:val="clear"/>
          </w:tcPr>
          <w:p>
            <w:r>
              <w:rPr>
                <w:rFonts w:ascii="Calibri" w:hAnsi="Calibri"/>
                <w:color w:val="333333"/>
                <w:sz w:val="18"/>
              </w:rPr>
              <w:t>98%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2026-03-23 (5d)</w:t>
            </w:r>
          </w:p>
        </w:tc>
        <w:tc>
          <w:tcPr>
            <w:tcW w:type="dxa" w:w="1440"/>
            <w:shd w:fill="FCE8E6" w:val="clear"/>
          </w:tcPr>
          <w:p>
            <w:r>
              <w:rPr>
                <w:rFonts w:ascii="Calibri" w:hAnsi="Calibri"/>
                <w:color w:val="333333"/>
                <w:sz w:val="18"/>
              </w:rPr>
              <w:t>-32.3%</w:t>
            </w:r>
          </w:p>
        </w:tc>
        <w:tc>
          <w:tcPr>
            <w:tcW w:type="dxa" w:w="1440"/>
            <w:shd w:fill="FCE8E6" w:val="clear"/>
          </w:tcPr>
          <w:p>
            <w:r>
              <w:rPr>
                <w:rFonts w:ascii="Calibri" w:hAnsi="Calibri"/>
                <w:color w:val="333333"/>
                <w:sz w:val="18"/>
              </w:rPr>
              <w:t>96%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2026-04-01 (20d)</w:t>
            </w:r>
          </w:p>
        </w:tc>
        <w:tc>
          <w:tcPr>
            <w:tcW w:type="dxa" w:w="1440"/>
            <w:shd w:fill="F2F4F8" w:val="clear"/>
            <w:shd w:fill="FCE8E6" w:val="clear"/>
          </w:tcPr>
          <w:p>
            <w:r>
              <w:rPr>
                <w:rFonts w:ascii="Calibri" w:hAnsi="Calibri"/>
                <w:color w:val="333333"/>
                <w:sz w:val="18"/>
              </w:rPr>
              <w:t>-31.1%</w:t>
            </w:r>
          </w:p>
        </w:tc>
        <w:tc>
          <w:tcPr>
            <w:tcW w:type="dxa" w:w="1440"/>
            <w:shd w:fill="F2F4F8" w:val="clear"/>
            <w:shd w:fill="FCE8E6" w:val="clear"/>
          </w:tcPr>
          <w:p>
            <w:r>
              <w:rPr>
                <w:rFonts w:ascii="Calibri" w:hAnsi="Calibri"/>
                <w:color w:val="333333"/>
                <w:sz w:val="18"/>
              </w:rPr>
              <w:t>100%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2026-03-26 (20d)</w:t>
            </w:r>
          </w:p>
        </w:tc>
        <w:tc>
          <w:tcPr>
            <w:tcW w:type="dxa" w:w="1440"/>
            <w:shd w:fill="FCE8E6" w:val="clear"/>
          </w:tcPr>
          <w:p>
            <w:r>
              <w:rPr>
                <w:rFonts w:ascii="Calibri" w:hAnsi="Calibri"/>
                <w:color w:val="333333"/>
                <w:sz w:val="18"/>
              </w:rPr>
              <w:t>-31.2%</w:t>
            </w:r>
          </w:p>
        </w:tc>
        <w:tc>
          <w:tcPr>
            <w:tcW w:type="dxa" w:w="1440"/>
            <w:shd w:fill="FCE8E6" w:val="clear"/>
          </w:tcPr>
          <w:p>
            <w:r>
              <w:rPr>
                <w:rFonts w:ascii="Calibri" w:hAnsi="Calibri"/>
                <w:color w:val="333333"/>
                <w:sz w:val="18"/>
              </w:rPr>
              <w:t>97%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2026-03-24 (5d)</w:t>
            </w:r>
          </w:p>
        </w:tc>
        <w:tc>
          <w:tcPr>
            <w:tcW w:type="dxa" w:w="1440"/>
            <w:shd w:fill="F2F4F8" w:val="clear"/>
            <w:shd w:fill="FCE8E6" w:val="clear"/>
          </w:tcPr>
          <w:p>
            <w:r>
              <w:rPr>
                <w:rFonts w:ascii="Calibri" w:hAnsi="Calibri"/>
                <w:color w:val="333333"/>
                <w:sz w:val="18"/>
              </w:rPr>
              <w:t>-29.4%</w:t>
            </w:r>
          </w:p>
        </w:tc>
        <w:tc>
          <w:tcPr>
            <w:tcW w:type="dxa" w:w="1440"/>
            <w:shd w:fill="F2F4F8" w:val="clear"/>
            <w:shd w:fill="FCE8E6" w:val="clear"/>
          </w:tcPr>
          <w:p>
            <w:r>
              <w:rPr>
                <w:rFonts w:ascii="Calibri" w:hAnsi="Calibri"/>
                <w:color w:val="333333"/>
                <w:sz w:val="18"/>
              </w:rPr>
              <w:t>97%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2026-04-02 (20d)</w:t>
            </w:r>
          </w:p>
        </w:tc>
        <w:tc>
          <w:tcPr>
            <w:tcW w:type="dxa" w:w="1440"/>
            <w:shd w:fill="FCE8E6" w:val="clear"/>
          </w:tcPr>
          <w:p>
            <w:r>
              <w:rPr>
                <w:rFonts w:ascii="Calibri" w:hAnsi="Calibri"/>
                <w:color w:val="333333"/>
                <w:sz w:val="18"/>
              </w:rPr>
              <w:t>-28.0%</w:t>
            </w:r>
          </w:p>
        </w:tc>
        <w:tc>
          <w:tcPr>
            <w:tcW w:type="dxa" w:w="1440"/>
            <w:shd w:fill="FCE8E6" w:val="clear"/>
          </w:tcPr>
          <w:p>
            <w:r>
              <w:rPr>
                <w:rFonts w:ascii="Calibri" w:hAnsi="Calibri"/>
                <w:color w:val="333333"/>
                <w:sz w:val="18"/>
              </w:rPr>
              <w:t>100%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2026-03-25 (20d)</w:t>
            </w:r>
          </w:p>
        </w:tc>
        <w:tc>
          <w:tcPr>
            <w:tcW w:type="dxa" w:w="1440"/>
            <w:shd w:fill="F2F4F8" w:val="clear"/>
            <w:shd w:fill="FCE8E6" w:val="clear"/>
          </w:tcPr>
          <w:p>
            <w:r>
              <w:rPr>
                <w:rFonts w:ascii="Calibri" w:hAnsi="Calibri"/>
                <w:color w:val="333333"/>
                <w:sz w:val="18"/>
              </w:rPr>
              <w:t>-28.4%</w:t>
            </w:r>
          </w:p>
        </w:tc>
        <w:tc>
          <w:tcPr>
            <w:tcW w:type="dxa" w:w="1440"/>
            <w:shd w:fill="F2F4F8" w:val="clear"/>
            <w:shd w:fill="FCE8E6" w:val="clear"/>
          </w:tcPr>
          <w:p>
            <w:r>
              <w:rPr>
                <w:rFonts w:ascii="Calibri" w:hAnsi="Calibri"/>
                <w:color w:val="333333"/>
                <w:sz w:val="18"/>
              </w:rPr>
              <w:t>97%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2026-03-31 (20d)</w:t>
            </w:r>
          </w:p>
        </w:tc>
        <w:tc>
          <w:tcPr>
            <w:tcW w:type="dxa" w:w="1440"/>
            <w:shd w:fill="FCE8E6" w:val="clear"/>
          </w:tcPr>
          <w:p>
            <w:r>
              <w:rPr>
                <w:rFonts w:ascii="Calibri" w:hAnsi="Calibri"/>
                <w:color w:val="333333"/>
                <w:sz w:val="18"/>
              </w:rPr>
              <w:t>-25.8%</w:t>
            </w:r>
          </w:p>
        </w:tc>
        <w:tc>
          <w:tcPr>
            <w:tcW w:type="dxa" w:w="1440"/>
            <w:shd w:fill="FCE8E6" w:val="clear"/>
          </w:tcPr>
          <w:p>
            <w:r>
              <w:rPr>
                <w:rFonts w:ascii="Calibri" w:hAnsi="Calibri"/>
                <w:color w:val="333333"/>
                <w:sz w:val="18"/>
              </w:rPr>
              <w:t>99%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2025-11-25 (20d)</w:t>
            </w:r>
          </w:p>
        </w:tc>
        <w:tc>
          <w:tcPr>
            <w:tcW w:type="dxa" w:w="1440"/>
            <w:shd w:fill="F2F4F8" w:val="clear"/>
            <w:shd w:fill="FCE8E6" w:val="clear"/>
          </w:tcPr>
          <w:p>
            <w:r>
              <w:rPr>
                <w:rFonts w:ascii="Calibri" w:hAnsi="Calibri"/>
                <w:color w:val="333333"/>
                <w:sz w:val="18"/>
              </w:rPr>
              <w:t>-38.0%</w:t>
            </w:r>
          </w:p>
        </w:tc>
        <w:tc>
          <w:tcPr>
            <w:tcW w:type="dxa" w:w="1440"/>
            <w:shd w:fill="F2F4F8" w:val="clear"/>
            <w:shd w:fill="FCE8E6" w:val="clear"/>
          </w:tcPr>
          <w:p>
            <w:r>
              <w:rPr>
                <w:rFonts w:ascii="Calibri" w:hAnsi="Calibri"/>
                <w:color w:val="333333"/>
                <w:sz w:val="18"/>
              </w:rPr>
              <w:t>61%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2025-11-26 (20d)</w:t>
            </w:r>
          </w:p>
        </w:tc>
        <w:tc>
          <w:tcPr>
            <w:tcW w:type="dxa" w:w="1440"/>
            <w:shd w:fill="FCE8E6" w:val="clear"/>
          </w:tcPr>
          <w:p>
            <w:r>
              <w:rPr>
                <w:rFonts w:ascii="Calibri" w:hAnsi="Calibri"/>
                <w:color w:val="333333"/>
                <w:sz w:val="18"/>
              </w:rPr>
              <w:t>-37.7%</w:t>
            </w:r>
          </w:p>
        </w:tc>
        <w:tc>
          <w:tcPr>
            <w:tcW w:type="dxa" w:w="1440"/>
            <w:shd w:fill="FCE8E6" w:val="clear"/>
          </w:tcPr>
          <w:p>
            <w:r>
              <w:rPr>
                <w:rFonts w:ascii="Calibri" w:hAnsi="Calibri"/>
                <w:color w:val="333333"/>
                <w:sz w:val="18"/>
              </w:rPr>
              <w:t>61%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2025-11-04 to 2025-12-03 (30d)</w:t>
            </w:r>
          </w:p>
        </w:tc>
        <w:tc>
          <w:tcPr>
            <w:tcW w:type="dxa" w:w="1440"/>
            <w:shd w:fill="F2F4F8" w:val="clear"/>
            <w:shd w:fill="FCE8E6" w:val="clear"/>
          </w:tcPr>
          <w:p>
            <w:r>
              <w:rPr>
                <w:rFonts w:ascii="Calibri" w:hAnsi="Calibri"/>
                <w:color w:val="333333"/>
                <w:sz w:val="18"/>
              </w:rPr>
              <w:t>-46.2%</w:t>
            </w:r>
          </w:p>
        </w:tc>
        <w:tc>
          <w:tcPr>
            <w:tcW w:type="dxa" w:w="1440"/>
            <w:shd w:fill="F2F4F8" w:val="clear"/>
            <w:shd w:fill="FCE8E6" w:val="clear"/>
          </w:tcPr>
          <w:p>
            <w:r>
              <w:rPr>
                <w:rFonts w:ascii="Calibri" w:hAnsi="Calibri"/>
                <w:color w:val="333333"/>
                <w:sz w:val="18"/>
              </w:rPr>
              <w:t>59%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2025-12-01 (20d)</w:t>
            </w:r>
          </w:p>
        </w:tc>
        <w:tc>
          <w:tcPr>
            <w:tcW w:type="dxa" w:w="1440"/>
            <w:shd w:fill="FCE8E6" w:val="clear"/>
          </w:tcPr>
          <w:p>
            <w:r>
              <w:rPr>
                <w:rFonts w:ascii="Calibri" w:hAnsi="Calibri"/>
                <w:color w:val="333333"/>
                <w:sz w:val="18"/>
              </w:rPr>
              <w:t>-35.7%</w:t>
            </w:r>
          </w:p>
        </w:tc>
        <w:tc>
          <w:tcPr>
            <w:tcW w:type="dxa" w:w="1440"/>
            <w:shd w:fill="FCE8E6" w:val="clear"/>
          </w:tcPr>
          <w:p>
            <w:r>
              <w:rPr>
                <w:rFonts w:ascii="Calibri" w:hAnsi="Calibri"/>
                <w:color w:val="333333"/>
                <w:sz w:val="18"/>
              </w:rPr>
              <w:t>63%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2025-12-02 (20d)</w:t>
            </w:r>
          </w:p>
        </w:tc>
        <w:tc>
          <w:tcPr>
            <w:tcW w:type="dxa" w:w="1440"/>
            <w:shd w:fill="F2F4F8" w:val="clear"/>
            <w:shd w:fill="FCE8E6" w:val="clear"/>
          </w:tcPr>
          <w:p>
            <w:r>
              <w:rPr>
                <w:rFonts w:ascii="Calibri" w:hAnsi="Calibri"/>
                <w:color w:val="333333"/>
                <w:sz w:val="18"/>
              </w:rPr>
              <w:t>-35.1%</w:t>
            </w:r>
          </w:p>
        </w:tc>
        <w:tc>
          <w:tcPr>
            <w:tcW w:type="dxa" w:w="1440"/>
            <w:shd w:fill="F2F4F8" w:val="clear"/>
            <w:shd w:fill="FCE8E6" w:val="clear"/>
          </w:tcPr>
          <w:p>
            <w:r>
              <w:rPr>
                <w:rFonts w:ascii="Calibri" w:hAnsi="Calibri"/>
                <w:color w:val="333333"/>
                <w:sz w:val="18"/>
              </w:rPr>
              <w:t>63%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2025-11-18 (20d)</w:t>
            </w:r>
          </w:p>
        </w:tc>
        <w:tc>
          <w:tcPr>
            <w:tcW w:type="dxa" w:w="1440"/>
            <w:shd w:fill="FCE8E6" w:val="clear"/>
          </w:tcPr>
          <w:p>
            <w:r>
              <w:rPr>
                <w:rFonts w:ascii="Calibri" w:hAnsi="Calibri"/>
                <w:color w:val="333333"/>
                <w:sz w:val="18"/>
              </w:rPr>
              <w:t>-36.3%</w:t>
            </w:r>
          </w:p>
        </w:tc>
        <w:tc>
          <w:tcPr>
            <w:tcW w:type="dxa" w:w="1440"/>
            <w:shd w:fill="FCE8E6" w:val="clear"/>
          </w:tcPr>
          <w:p>
            <w:r>
              <w:rPr>
                <w:rFonts w:ascii="Calibri" w:hAnsi="Calibri"/>
                <w:color w:val="333333"/>
                <w:sz w:val="18"/>
              </w:rPr>
              <w:t>59%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2025-11-24 (20d)</w:t>
            </w:r>
          </w:p>
        </w:tc>
        <w:tc>
          <w:tcPr>
            <w:tcW w:type="dxa" w:w="1440"/>
            <w:shd w:fill="F2F4F8" w:val="clear"/>
            <w:shd w:fill="FCE8E6" w:val="clear"/>
          </w:tcPr>
          <w:p>
            <w:r>
              <w:rPr>
                <w:rFonts w:ascii="Calibri" w:hAnsi="Calibri"/>
                <w:color w:val="333333"/>
                <w:sz w:val="18"/>
              </w:rPr>
              <w:t>-35.4%</w:t>
            </w:r>
          </w:p>
        </w:tc>
        <w:tc>
          <w:tcPr>
            <w:tcW w:type="dxa" w:w="1440"/>
            <w:shd w:fill="F2F4F8" w:val="clear"/>
            <w:shd w:fill="FCE8E6" w:val="clear"/>
          </w:tcPr>
          <w:p>
            <w:r>
              <w:rPr>
                <w:rFonts w:ascii="Calibri" w:hAnsi="Calibri"/>
                <w:color w:val="333333"/>
                <w:sz w:val="18"/>
              </w:rPr>
              <w:t>61%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2025-11-19 (20d)</w:t>
            </w:r>
          </w:p>
        </w:tc>
        <w:tc>
          <w:tcPr>
            <w:tcW w:type="dxa" w:w="1440"/>
            <w:shd w:fill="FCE8E6" w:val="clear"/>
          </w:tcPr>
          <w:p>
            <w:r>
              <w:rPr>
                <w:rFonts w:ascii="Calibri" w:hAnsi="Calibri"/>
                <w:color w:val="333333"/>
                <w:sz w:val="18"/>
              </w:rPr>
              <w:t>-35.8%</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2025-11-20 (20d)</w:t>
            </w:r>
          </w:p>
        </w:tc>
        <w:tc>
          <w:tcPr>
            <w:tcW w:type="dxa" w:w="1440"/>
            <w:shd w:fill="F2F4F8" w:val="clear"/>
            <w:shd w:fill="FCE8E6" w:val="clear"/>
          </w:tcPr>
          <w:p>
            <w:r>
              <w:rPr>
                <w:rFonts w:ascii="Calibri" w:hAnsi="Calibri"/>
                <w:color w:val="333333"/>
                <w:sz w:val="18"/>
              </w:rPr>
              <w:t>-34.1%</w:t>
            </w:r>
          </w:p>
        </w:tc>
        <w:tc>
          <w:tcPr>
            <w:tcW w:type="dxa" w:w="1440"/>
            <w:shd w:fill="F2F4F8" w:val="clear"/>
            <w:shd w:fill="FCE8E6" w:val="clear"/>
          </w:tcPr>
          <w:p>
            <w:r>
              <w:rPr>
                <w:rFonts w:ascii="Calibri" w:hAnsi="Calibri"/>
                <w:color w:val="333333"/>
                <w:sz w:val="18"/>
              </w:rPr>
              <w:t>60%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2025-11-13 (20d)</w:t>
            </w:r>
          </w:p>
        </w:tc>
        <w:tc>
          <w:tcPr>
            <w:tcW w:type="dxa" w:w="1440"/>
            <w:shd w:fill="FCE8E6" w:val="clear"/>
          </w:tcPr>
          <w:p>
            <w:r>
              <w:rPr>
                <w:rFonts w:ascii="Calibri" w:hAnsi="Calibri"/>
                <w:color w:val="333333"/>
                <w:sz w:val="18"/>
              </w:rPr>
              <w:t>-34.8%</w:t>
            </w:r>
          </w:p>
        </w:tc>
        <w:tc>
          <w:tcPr>
            <w:tcW w:type="dxa" w:w="1440"/>
            <w:shd w:fill="FCE8E6" w:val="clear"/>
          </w:tcPr>
          <w:p>
            <w:r>
              <w:rPr>
                <w:rFonts w:ascii="Calibri" w:hAnsi="Calibri"/>
                <w:color w:val="333333"/>
                <w:sz w:val="18"/>
              </w:rPr>
              <w:t>58%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2025-11-28 (20d)</w:t>
            </w:r>
          </w:p>
        </w:tc>
        <w:tc>
          <w:tcPr>
            <w:tcW w:type="dxa" w:w="1440"/>
            <w:shd w:fill="F2F4F8" w:val="clear"/>
            <w:shd w:fill="FCE8E6" w:val="clear"/>
          </w:tcPr>
          <w:p>
            <w:r>
              <w:rPr>
                <w:rFonts w:ascii="Calibri" w:hAnsi="Calibri"/>
                <w:color w:val="333333"/>
                <w:sz w:val="18"/>
              </w:rPr>
              <w:t>-32.8%</w:t>
            </w:r>
          </w:p>
        </w:tc>
        <w:tc>
          <w:tcPr>
            <w:tcW w:type="dxa" w:w="1440"/>
            <w:shd w:fill="F2F4F8" w:val="clear"/>
            <w:shd w:fill="FCE8E6" w:val="clear"/>
          </w:tcPr>
          <w:p>
            <w:r>
              <w:rPr>
                <w:rFonts w:ascii="Calibri" w:hAnsi="Calibri"/>
                <w:color w:val="333333"/>
                <w:sz w:val="18"/>
              </w:rPr>
              <w:t>62%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2025-11-21 (20d)</w:t>
            </w:r>
          </w:p>
        </w:tc>
        <w:tc>
          <w:tcPr>
            <w:tcW w:type="dxa" w:w="1440"/>
            <w:shd w:fill="FCE8E6" w:val="clear"/>
          </w:tcPr>
          <w:p>
            <w:r>
              <w:rPr>
                <w:rFonts w:ascii="Calibri" w:hAnsi="Calibri"/>
                <w:color w:val="333333"/>
                <w:sz w:val="18"/>
              </w:rPr>
              <w:t>-33.3%</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2025-12-03 (20d)</w:t>
            </w:r>
          </w:p>
        </w:tc>
        <w:tc>
          <w:tcPr>
            <w:tcW w:type="dxa" w:w="1440"/>
            <w:shd w:fill="F2F4F8" w:val="clear"/>
            <w:shd w:fill="FCE8E6" w:val="clear"/>
          </w:tcPr>
          <w:p>
            <w:r>
              <w:rPr>
                <w:rFonts w:ascii="Calibri" w:hAnsi="Calibri"/>
                <w:color w:val="333333"/>
                <w:sz w:val="18"/>
              </w:rPr>
              <w:t>-28.9%</w:t>
            </w:r>
          </w:p>
        </w:tc>
        <w:tc>
          <w:tcPr>
            <w:tcW w:type="dxa" w:w="1440"/>
            <w:shd w:fill="F2F4F8" w:val="clear"/>
            <w:shd w:fill="FCE8E6" w:val="clear"/>
          </w:tcPr>
          <w:p>
            <w:r>
              <w:rPr>
                <w:rFonts w:ascii="Calibri" w:hAnsi="Calibri"/>
                <w:color w:val="333333"/>
                <w:sz w:val="18"/>
              </w:rPr>
              <w:t>63%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2025-11-14 (20d)</w:t>
            </w:r>
          </w:p>
        </w:tc>
        <w:tc>
          <w:tcPr>
            <w:tcW w:type="dxa" w:w="1440"/>
            <w:shd w:fill="FCE8E6" w:val="clear"/>
          </w:tcPr>
          <w:p>
            <w:r>
              <w:rPr>
                <w:rFonts w:ascii="Calibri" w:hAnsi="Calibri"/>
                <w:color w:val="333333"/>
                <w:sz w:val="18"/>
              </w:rPr>
              <w:t>-30.2%</w:t>
            </w:r>
          </w:p>
        </w:tc>
        <w:tc>
          <w:tcPr>
            <w:tcW w:type="dxa" w:w="1440"/>
            <w:shd w:fill="FCE8E6" w:val="clear"/>
          </w:tcPr>
          <w:p>
            <w:r>
              <w:rPr>
                <w:rFonts w:ascii="Calibri" w:hAnsi="Calibri"/>
                <w:color w:val="333333"/>
                <w:sz w:val="18"/>
              </w:rPr>
              <w:t>59%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2025-11-06 (20d)</w:t>
            </w:r>
          </w:p>
        </w:tc>
        <w:tc>
          <w:tcPr>
            <w:tcW w:type="dxa" w:w="1440"/>
            <w:shd w:fill="F2F4F8" w:val="clear"/>
            <w:shd w:fill="FCE8E6" w:val="clear"/>
          </w:tcPr>
          <w:p>
            <w:r>
              <w:rPr>
                <w:rFonts w:ascii="Calibri" w:hAnsi="Calibri"/>
                <w:color w:val="333333"/>
                <w:sz w:val="18"/>
              </w:rPr>
              <w:t>-30.4%</w:t>
            </w:r>
          </w:p>
        </w:tc>
        <w:tc>
          <w:tcPr>
            <w:tcW w:type="dxa" w:w="1440"/>
            <w:shd w:fill="F2F4F8" w:val="clear"/>
            <w:shd w:fill="FCE8E6" w:val="clear"/>
          </w:tcPr>
          <w:p>
            <w:r>
              <w:rPr>
                <w:rFonts w:ascii="Calibri" w:hAnsi="Calibri"/>
                <w:color w:val="333333"/>
                <w:sz w:val="18"/>
              </w:rPr>
              <w:t>57%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2025-11-12 (20d)</w:t>
            </w:r>
          </w:p>
        </w:tc>
        <w:tc>
          <w:tcPr>
            <w:tcW w:type="dxa" w:w="1440"/>
            <w:shd w:fill="FCE8E6" w:val="clear"/>
          </w:tcPr>
          <w:p>
            <w:r>
              <w:rPr>
                <w:rFonts w:ascii="Calibri" w:hAnsi="Calibri"/>
                <w:color w:val="333333"/>
                <w:sz w:val="18"/>
              </w:rPr>
              <w:t>-29.7%</w:t>
            </w:r>
          </w:p>
        </w:tc>
        <w:tc>
          <w:tcPr>
            <w:tcW w:type="dxa" w:w="1440"/>
            <w:shd w:fill="FCE8E6" w:val="clear"/>
          </w:tcPr>
          <w:p>
            <w:r>
              <w:rPr>
                <w:rFonts w:ascii="Calibri" w:hAnsi="Calibri"/>
                <w:color w:val="333333"/>
                <w:sz w:val="18"/>
              </w:rPr>
              <w:t>58%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2025-11-05 (20d)</w:t>
            </w:r>
          </w:p>
        </w:tc>
        <w:tc>
          <w:tcPr>
            <w:tcW w:type="dxa" w:w="1440"/>
            <w:shd w:fill="F2F4F8" w:val="clear"/>
            <w:shd w:fill="FCE8E6" w:val="clear"/>
          </w:tcPr>
          <w:p>
            <w:r>
              <w:rPr>
                <w:rFonts w:ascii="Calibri" w:hAnsi="Calibri"/>
                <w:color w:val="333333"/>
                <w:sz w:val="18"/>
              </w:rPr>
              <w:t>-28.4%</w:t>
            </w:r>
          </w:p>
        </w:tc>
        <w:tc>
          <w:tcPr>
            <w:tcW w:type="dxa" w:w="1440"/>
            <w:shd w:fill="F2F4F8" w:val="clear"/>
            <w:shd w:fill="FCE8E6" w:val="clear"/>
          </w:tcPr>
          <w:p>
            <w:r>
              <w:rPr>
                <w:rFonts w:ascii="Calibri" w:hAnsi="Calibri"/>
                <w:color w:val="333333"/>
                <w:sz w:val="18"/>
              </w:rPr>
              <w:t>57%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2025-11-11 (20d)</w:t>
            </w:r>
          </w:p>
        </w:tc>
        <w:tc>
          <w:tcPr>
            <w:tcW w:type="dxa" w:w="1440"/>
            <w:shd w:fill="FCE8E6" w:val="clear"/>
          </w:tcPr>
          <w:p>
            <w:r>
              <w:rPr>
                <w:rFonts w:ascii="Calibri" w:hAnsi="Calibri"/>
                <w:color w:val="333333"/>
                <w:sz w:val="18"/>
              </w:rPr>
              <w:t>-26.9%</w:t>
            </w:r>
          </w:p>
        </w:tc>
        <w:tc>
          <w:tcPr>
            <w:tcW w:type="dxa" w:w="1440"/>
            <w:shd w:fill="FCE8E6" w:val="clear"/>
          </w:tcPr>
          <w:p>
            <w:r>
              <w:rPr>
                <w:rFonts w:ascii="Calibri" w:hAnsi="Calibri"/>
                <w:color w:val="333333"/>
                <w:sz w:val="18"/>
              </w:rPr>
              <w:t>58%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2025-11-10 (20d)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58%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2025-11-07 (5d)</w:t>
            </w:r>
          </w:p>
        </w:tc>
        <w:tc>
          <w:tcPr>
            <w:tcW w:type="dxa" w:w="1440"/>
            <w:shd w:fill="FCE8E6" w:val="clear"/>
          </w:tcPr>
          <w:p>
            <w:r>
              <w:rPr>
                <w:rFonts w:ascii="Calibri" w:hAnsi="Calibri"/>
                <w:color w:val="333333"/>
                <w:sz w:val="18"/>
              </w:rPr>
              <w:t>-23.5%</w:t>
            </w:r>
          </w:p>
        </w:tc>
        <w:tc>
          <w:tcPr>
            <w:tcW w:type="dxa" w:w="1440"/>
            <w:shd w:fill="FCE8E6" w:val="clear"/>
          </w:tcPr>
          <w:p>
            <w:r>
              <w:rPr>
                <w:rFonts w:ascii="Calibri" w:hAnsi="Calibri"/>
                <w:color w:val="333333"/>
                <w:sz w:val="18"/>
              </w:rPr>
              <w:t>57%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2025-09-03 (20d)</w:t>
            </w:r>
          </w:p>
        </w:tc>
        <w:tc>
          <w:tcPr>
            <w:tcW w:type="dxa" w:w="1440"/>
            <w:shd w:fill="F2F4F8" w:val="clear"/>
            <w:shd w:fill="FCE8E6" w:val="clear"/>
          </w:tcPr>
          <w:p>
            <w:r>
              <w:rPr>
                <w:rFonts w:ascii="Calibri" w:hAnsi="Calibri"/>
                <w:color w:val="333333"/>
                <w:sz w:val="18"/>
              </w:rPr>
              <w:t>-30.0%</w:t>
            </w:r>
          </w:p>
        </w:tc>
        <w:tc>
          <w:tcPr>
            <w:tcW w:type="dxa" w:w="1440"/>
            <w:shd w:fill="F2F4F8" w:val="clear"/>
            <w:shd w:fill="FCE8E6" w:val="clear"/>
          </w:tcPr>
          <w:p>
            <w:r>
              <w:rPr>
                <w:rFonts w:ascii="Calibri" w:hAnsi="Calibri"/>
                <w:color w:val="333333"/>
                <w:sz w:val="18"/>
              </w:rPr>
              <w:t>44%</w:t>
            </w:r>
          </w:p>
        </w:tc>
        <w:tc>
          <w:tcPr>
            <w:tcW w:type="dxa" w:w="1440"/>
            <w:shd w:fill="F2F4F8" w:val="clear"/>
            <w:shd w:fill="FCE8E6" w:val="clear"/>
          </w:tcPr>
          <w:p>
            <w:r>
              <w:rPr>
                <w:rFonts w:ascii="Calibri" w:hAnsi="Calibri"/>
                <w:color w:val="333333"/>
                <w:sz w:val="18"/>
              </w:rPr>
              <w:t>25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2025-08-25 to 2025-09-03 (10d)</w:t>
            </w:r>
          </w:p>
        </w:tc>
        <w:tc>
          <w:tcPr>
            <w:tcW w:type="dxa" w:w="1440"/>
            <w:shd w:fill="FCE8E6" w:val="clear"/>
          </w:tcPr>
          <w:p>
            <w:r>
              <w:rPr>
                <w:rFonts w:ascii="Calibri" w:hAnsi="Calibri"/>
                <w:color w:val="333333"/>
                <w:sz w:val="18"/>
              </w:rPr>
              <w:t>-34.0%</w:t>
            </w:r>
          </w:p>
        </w:tc>
        <w:tc>
          <w:tcPr>
            <w:tcW w:type="dxa" w:w="1440"/>
            <w:shd w:fill="FCE8E6" w:val="clear"/>
          </w:tcPr>
          <w:p>
            <w:r>
              <w:rPr>
                <w:rFonts w:ascii="Calibri" w:hAnsi="Calibri"/>
                <w:color w:val="333333"/>
                <w:sz w:val="18"/>
              </w:rPr>
              <w:t>44%</w:t>
            </w:r>
          </w:p>
        </w:tc>
        <w:tc>
          <w:tcPr>
            <w:tcW w:type="dxa" w:w="1440"/>
            <w:shd w:fill="FCE8E6" w:val="clear"/>
          </w:tcPr>
          <w:p>
            <w:r>
              <w:rPr>
                <w:rFonts w:ascii="Calibri" w:hAnsi="Calibri"/>
                <w:color w:val="333333"/>
                <w:sz w:val="18"/>
              </w:rPr>
              <w:t>9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2025-08-29 (20d)</w:t>
            </w:r>
          </w:p>
        </w:tc>
        <w:tc>
          <w:tcPr>
            <w:tcW w:type="dxa" w:w="1440"/>
            <w:shd w:fill="F2F4F8" w:val="clear"/>
            <w:shd w:fill="FCE8E6" w:val="clear"/>
          </w:tcPr>
          <w:p>
            <w:r>
              <w:rPr>
                <w:rFonts w:ascii="Calibri" w:hAnsi="Calibri"/>
                <w:color w:val="333333"/>
                <w:sz w:val="18"/>
              </w:rPr>
              <w:t>-26.7%</w:t>
            </w:r>
          </w:p>
        </w:tc>
        <w:tc>
          <w:tcPr>
            <w:tcW w:type="dxa" w:w="1440"/>
            <w:shd w:fill="F2F4F8" w:val="clear"/>
            <w:shd w:fill="FCE8E6" w:val="clear"/>
          </w:tcPr>
          <w:p>
            <w:r>
              <w:rPr>
                <w:rFonts w:ascii="Calibri" w:hAnsi="Calibri"/>
                <w:color w:val="333333"/>
                <w:sz w:val="18"/>
              </w:rPr>
              <w:t>44%</w:t>
            </w:r>
          </w:p>
        </w:tc>
        <w:tc>
          <w:tcPr>
            <w:tcW w:type="dxa" w:w="1440"/>
            <w:shd w:fill="F2F4F8" w:val="clear"/>
            <w:shd w:fill="FCE8E6" w:val="clear"/>
          </w:tcPr>
          <w:p>
            <w:r>
              <w:rPr>
                <w:rFonts w:ascii="Calibri" w:hAnsi="Calibri"/>
                <w:color w:val="333333"/>
                <w:sz w:val="18"/>
              </w:rPr>
              <w:t>27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2025-08-25 (20d)</w:t>
            </w:r>
          </w:p>
        </w:tc>
        <w:tc>
          <w:tcPr>
            <w:tcW w:type="dxa" w:w="1440"/>
            <w:shd w:fill="FCE8E6" w:val="clear"/>
          </w:tcPr>
          <w:p>
            <w:r>
              <w:rPr>
                <w:rFonts w:ascii="Calibri" w:hAnsi="Calibri"/>
                <w:color w:val="333333"/>
                <w:sz w:val="18"/>
              </w:rPr>
              <w:t>-26.6%</w:t>
            </w:r>
          </w:p>
        </w:tc>
        <w:tc>
          <w:tcPr>
            <w:tcW w:type="dxa" w:w="1440"/>
            <w:shd w:fill="FCE8E6" w:val="clear"/>
          </w:tcPr>
          <w:p>
            <w:r>
              <w:rPr>
                <w:rFonts w:ascii="Calibri" w:hAnsi="Calibri"/>
                <w:color w:val="333333"/>
                <w:sz w:val="18"/>
              </w:rPr>
              <w:t>43%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2025-08-27 (20d)</w:t>
            </w:r>
          </w:p>
        </w:tc>
        <w:tc>
          <w:tcPr>
            <w:tcW w:type="dxa" w:w="1440"/>
            <w:shd w:fill="F2F4F8" w:val="clear"/>
            <w:shd w:fill="FCE8E6" w:val="clear"/>
          </w:tcPr>
          <w:p>
            <w:r>
              <w:rPr>
                <w:rFonts w:ascii="Calibri" w:hAnsi="Calibri"/>
                <w:color w:val="333333"/>
                <w:sz w:val="18"/>
              </w:rPr>
              <w:t>-26.3%</w:t>
            </w:r>
          </w:p>
        </w:tc>
        <w:tc>
          <w:tcPr>
            <w:tcW w:type="dxa" w:w="1440"/>
            <w:shd w:fill="F2F4F8" w:val="clear"/>
            <w:shd w:fill="FCE8E6" w:val="clear"/>
          </w:tcPr>
          <w:p>
            <w:r>
              <w:rPr>
                <w:rFonts w:ascii="Calibri" w:hAnsi="Calibri"/>
                <w:color w:val="333333"/>
                <w:sz w:val="18"/>
              </w:rPr>
              <w:t>43%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2025-08-28 (20d)</w:t>
            </w:r>
          </w:p>
        </w:tc>
        <w:tc>
          <w:tcPr>
            <w:tcW w:type="dxa" w:w="1440"/>
            <w:shd w:fill="FCE8E6" w:val="clear"/>
          </w:tcPr>
          <w:p>
            <w:r>
              <w:rPr>
                <w:rFonts w:ascii="Calibri" w:hAnsi="Calibri"/>
                <w:color w:val="333333"/>
                <w:sz w:val="18"/>
              </w:rPr>
              <w:t>-25.4%</w:t>
            </w:r>
          </w:p>
        </w:tc>
        <w:tc>
          <w:tcPr>
            <w:tcW w:type="dxa" w:w="1440"/>
            <w:shd w:fill="FCE8E6" w:val="clear"/>
          </w:tcPr>
          <w:p>
            <w:r>
              <w:rPr>
                <w:rFonts w:ascii="Calibri" w:hAnsi="Calibri"/>
                <w:color w:val="333333"/>
                <w:sz w:val="18"/>
              </w:rPr>
              <w:t>43%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2025-08-06 to 2025-08-12 (7d)</w:t>
            </w:r>
          </w:p>
        </w:tc>
        <w:tc>
          <w:tcPr>
            <w:tcW w:type="dxa" w:w="1440"/>
            <w:shd w:fill="F2F4F8" w:val="clear"/>
            <w:shd w:fill="FCE8E6" w:val="clear"/>
          </w:tcPr>
          <w:p>
            <w:r>
              <w:rPr>
                <w:rFonts w:ascii="Calibri" w:hAnsi="Calibri"/>
                <w:color w:val="333333"/>
                <w:sz w:val="18"/>
              </w:rPr>
              <w:t>-26.5%</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40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2025-08-11 (5d)</w:t>
            </w:r>
          </w:p>
        </w:tc>
        <w:tc>
          <w:tcPr>
            <w:tcW w:type="dxa" w:w="1440"/>
            <w:shd w:fill="FCE8E6" w:val="clear"/>
          </w:tcPr>
          <w:p>
            <w:r>
              <w:rPr>
                <w:rFonts w:ascii="Calibri" w:hAnsi="Calibri"/>
                <w:color w:val="333333"/>
                <w:sz w:val="18"/>
              </w:rPr>
              <w:t>-22.4%</w:t>
            </w:r>
          </w:p>
        </w:tc>
        <w:tc>
          <w:tcPr>
            <w:tcW w:type="dxa" w:w="1440"/>
            <w:shd w:fill="FCE8E6" w:val="clear"/>
          </w:tcPr>
          <w:p>
            <w:r>
              <w:rPr>
                <w:rFonts w:ascii="Calibri" w:hAnsi="Calibri"/>
                <w:color w:val="333333"/>
                <w:sz w:val="18"/>
              </w:rPr>
              <w:t>41%</w:t>
            </w:r>
          </w:p>
        </w:tc>
        <w:tc>
          <w:tcPr>
            <w:tcW w:type="dxa" w:w="1440"/>
            <w:shd w:fill="FCE8E6" w:val="clear"/>
          </w:tcPr>
          <w:p>
            <w:r>
              <w:rPr>
                <w:rFonts w:ascii="Calibri" w:hAnsi="Calibri"/>
                <w:color w:val="333333"/>
                <w:sz w:val="18"/>
              </w:rPr>
              <w:t>41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2024-10-30 to 2024-11-26 (28d)</w:t>
            </w:r>
          </w:p>
        </w:tc>
        <w:tc>
          <w:tcPr>
            <w:tcW w:type="dxa" w:w="1440"/>
            <w:shd w:fill="F2F4F8" w:val="clear"/>
            <w:shd w:fill="FCE8E6" w:val="clear"/>
          </w:tcPr>
          <w:p>
            <w:r>
              <w:rPr>
                <w:rFonts w:ascii="Calibri" w:hAnsi="Calibri"/>
                <w:color w:val="333333"/>
                <w:sz w:val="18"/>
              </w:rPr>
              <w:t>-63.3%</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2024-11-15 (20d)</w:t>
            </w:r>
          </w:p>
        </w:tc>
        <w:tc>
          <w:tcPr>
            <w:tcW w:type="dxa" w:w="1440"/>
            <w:shd w:fill="FCE8E6" w:val="clear"/>
          </w:tcPr>
          <w:p>
            <w:r>
              <w:rPr>
                <w:rFonts w:ascii="Calibri" w:hAnsi="Calibri"/>
                <w:color w:val="333333"/>
                <w:sz w:val="18"/>
              </w:rPr>
              <w:t>-60.7%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2025-08-08 (5d)</w:t>
            </w:r>
          </w:p>
        </w:tc>
        <w:tc>
          <w:tcPr>
            <w:tcW w:type="dxa" w:w="1440"/>
            <w:shd w:fill="F2F4F8" w:val="clear"/>
            <w:shd w:fill="FCE8E6" w:val="clear"/>
          </w:tcPr>
          <w:p>
            <w:r>
              <w:rPr>
                <w:rFonts w:ascii="Calibri" w:hAnsi="Calibri"/>
                <w:color w:val="333333"/>
                <w:sz w:val="18"/>
              </w:rPr>
              <w:t>-21.3%</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42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2025-08-07 (5d)</w:t>
            </w:r>
          </w:p>
        </w:tc>
        <w:tc>
          <w:tcPr>
            <w:tcW w:type="dxa" w:w="1440"/>
            <w:shd w:fill="FCE8E6" w:val="clear"/>
          </w:tcPr>
          <w:p>
            <w:r>
              <w:rPr>
                <w:rFonts w:ascii="Calibri" w:hAnsi="Calibri"/>
                <w:color w:val="333333"/>
                <w:sz w:val="18"/>
              </w:rPr>
              <w:t>-20.9%</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2024-11-13 (20d)</w:t>
            </w:r>
          </w:p>
        </w:tc>
        <w:tc>
          <w:tcPr>
            <w:tcW w:type="dxa" w:w="1440"/>
            <w:shd w:fill="F2F4F8" w:val="clear"/>
            <w:shd w:fill="FCE8E6" w:val="clear"/>
          </w:tcPr>
          <w:p>
            <w:r>
              <w:rPr>
                <w:rFonts w:ascii="Calibri" w:hAnsi="Calibri"/>
                <w:color w:val="333333"/>
                <w:sz w:val="18"/>
              </w:rPr>
              <w:t>-58.3%</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2024-11-18 (20d)</w:t>
            </w:r>
          </w:p>
        </w:tc>
        <w:tc>
          <w:tcPr>
            <w:tcW w:type="dxa" w:w="1440"/>
            <w:shd w:fill="FCE8E6" w:val="clear"/>
          </w:tcPr>
          <w:p>
            <w:r>
              <w:rPr>
                <w:rFonts w:ascii="Calibri" w:hAnsi="Calibri"/>
                <w:color w:val="333333"/>
                <w:sz w:val="18"/>
              </w:rPr>
              <w:t>-54.9%</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2025-03-13 to 2025-03-20 (8d)</w:t>
            </w:r>
          </w:p>
        </w:tc>
        <w:tc>
          <w:tcPr>
            <w:tcW w:type="dxa" w:w="1440"/>
            <w:shd w:fill="F2F4F8" w:val="clear"/>
            <w:shd w:fill="FCE8E6" w:val="clear"/>
          </w:tcPr>
          <w:p>
            <w:r>
              <w:rPr>
                <w:rFonts w:ascii="Calibri" w:hAnsi="Calibri"/>
                <w:color w:val="333333"/>
                <w:sz w:val="18"/>
              </w:rPr>
              <w:t>-37.1%</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2025-04-21 to 2025-04-22 (2d)</w:t>
            </w:r>
          </w:p>
        </w:tc>
        <w:tc>
          <w:tcPr>
            <w:tcW w:type="dxa" w:w="1440"/>
            <w:shd w:fill="FCE8E6" w:val="clear"/>
          </w:tcPr>
          <w:p>
            <w:r>
              <w:rPr>
                <w:rFonts w:ascii="Calibri" w:hAnsi="Calibri"/>
                <w:color w:val="333333"/>
                <w:sz w:val="18"/>
              </w:rPr>
              <w:t>-30.0%</w:t>
            </w:r>
          </w:p>
        </w:tc>
        <w:tc>
          <w:tcPr>
            <w:tcW w:type="dxa" w:w="1440"/>
            <w:shd w:fill="FCE8E6" w:val="clear"/>
          </w:tcPr>
          <w:p>
            <w:r>
              <w:rPr>
                <w:rFonts w:ascii="Calibri" w:hAnsi="Calibri"/>
                <w:color w:val="333333"/>
                <w:sz w:val="18"/>
              </w:rPr>
              <w:t>26%</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2024-11-12 (20d)</w:t>
            </w:r>
          </w:p>
        </w:tc>
        <w:tc>
          <w:tcPr>
            <w:tcW w:type="dxa" w:w="1440"/>
            <w:shd w:fill="F2F4F8" w:val="clear"/>
            <w:shd w:fill="FCE8E6" w:val="clear"/>
          </w:tcPr>
          <w:p>
            <w:r>
              <w:rPr>
                <w:rFonts w:ascii="Calibri" w:hAnsi="Calibri"/>
                <w:color w:val="333333"/>
                <w:sz w:val="18"/>
              </w:rPr>
              <w:t>-54.6%</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2025-03-19 (20d)</w:t>
            </w:r>
          </w:p>
        </w:tc>
        <w:tc>
          <w:tcPr>
            <w:tcW w:type="dxa" w:w="1440"/>
            <w:shd w:fill="FCE8E6" w:val="clear"/>
          </w:tcPr>
          <w:p>
            <w:r>
              <w:rPr>
                <w:rFonts w:ascii="Calibri" w:hAnsi="Calibri"/>
                <w:color w:val="333333"/>
                <w:sz w:val="18"/>
              </w:rPr>
              <w:t>-33.4%</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2025-08-12 (5d)</w:t>
            </w:r>
          </w:p>
        </w:tc>
        <w:tc>
          <w:tcPr>
            <w:tcW w:type="dxa" w:w="1440"/>
            <w:shd w:fill="F2F4F8" w:val="clear"/>
            <w:shd w:fill="FCE8E6" w:val="clear"/>
          </w:tcPr>
          <w:p>
            <w:r>
              <w:rPr>
                <w:rFonts w:ascii="Calibri" w:hAnsi="Calibri"/>
                <w:color w:val="333333"/>
                <w:sz w:val="18"/>
              </w:rPr>
              <w:t>-18.9%</w:t>
            </w:r>
          </w:p>
        </w:tc>
        <w:tc>
          <w:tcPr>
            <w:tcW w:type="dxa" w:w="1440"/>
            <w:shd w:fill="F2F4F8" w:val="clear"/>
            <w:shd w:fill="FCE8E6" w:val="clear"/>
          </w:tcPr>
          <w:p>
            <w:r>
              <w:rPr>
                <w:rFonts w:ascii="Calibri" w:hAnsi="Calibri"/>
                <w:color w:val="333333"/>
                <w:sz w:val="18"/>
              </w:rPr>
              <w:t>41%</w:t>
            </w:r>
          </w:p>
        </w:tc>
        <w:tc>
          <w:tcPr>
            <w:tcW w:type="dxa" w:w="1440"/>
            <w:shd w:fill="F2F4F8" w:val="clear"/>
            <w:shd w:fill="FCE8E6" w:val="clear"/>
          </w:tcPr>
          <w:p>
            <w:r>
              <w:rPr>
                <w:rFonts w:ascii="Calibri" w:hAnsi="Calibri"/>
                <w:color w:val="333333"/>
                <w:sz w:val="18"/>
              </w:rPr>
              <w:t>40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2026-03-26</w:t>
            </w:r>
          </w:p>
        </w:tc>
        <w:tc>
          <w:tcPr>
            <w:tcW w:type="dxa" w:w="1440"/>
            <w:shd w:fill="FFF3CD" w:val="clear"/>
          </w:tcPr>
          <w:p>
            <w:r>
              <w:rPr>
                <w:rFonts w:ascii="Calibri" w:hAnsi="Calibri"/>
                <w:color w:val="333333"/>
                <w:sz w:val="18"/>
              </w:rPr>
              <w:t>-7.7%</w:t>
            </w:r>
          </w:p>
        </w:tc>
        <w:tc>
          <w:tcPr>
            <w:tcW w:type="dxa" w:w="1440"/>
            <w:shd w:fill="FFF3CD" w:val="clear"/>
          </w:tcPr>
          <w:p>
            <w:r>
              <w:rPr>
                <w:rFonts w:ascii="Calibri" w:hAnsi="Calibri"/>
                <w:color w:val="333333"/>
                <w:sz w:val="18"/>
              </w:rPr>
              <w:t>97%</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2025-03-18 (20d)</w:t>
            </w:r>
          </w:p>
        </w:tc>
        <w:tc>
          <w:tcPr>
            <w:tcW w:type="dxa" w:w="1440"/>
            <w:shd w:fill="F2F4F8" w:val="clear"/>
            <w:shd w:fill="FCE8E6" w:val="clear"/>
          </w:tcPr>
          <w:p>
            <w:r>
              <w:rPr>
                <w:rFonts w:ascii="Calibri" w:hAnsi="Calibri"/>
                <w:color w:val="333333"/>
                <w:sz w:val="18"/>
              </w:rPr>
              <w:t>-32.1%</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2025-08-06</w:t>
            </w:r>
          </w:p>
        </w:tc>
        <w:tc>
          <w:tcPr>
            <w:tcW w:type="dxa" w:w="1440"/>
            <w:shd w:fill="FCE8E6" w:val="clear"/>
          </w:tcPr>
          <w:p>
            <w:r>
              <w:rPr>
                <w:rFonts w:ascii="Calibri" w:hAnsi="Calibri"/>
                <w:color w:val="333333"/>
                <w:sz w:val="18"/>
              </w:rPr>
              <w:t>-18.3%</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44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2024-11-06 (20d)</w:t>
            </w:r>
          </w:p>
        </w:tc>
        <w:tc>
          <w:tcPr>
            <w:tcW w:type="dxa" w:w="1440"/>
            <w:shd w:fill="F2F4F8" w:val="clear"/>
            <w:shd w:fill="FCE8E6" w:val="clear"/>
          </w:tcPr>
          <w:p>
            <w:r>
              <w:rPr>
                <w:rFonts w:ascii="Calibri" w:hAnsi="Calibri"/>
                <w:color w:val="333333"/>
                <w:sz w:val="18"/>
              </w:rPr>
              <w:t>-52.0%</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2024-11-11 (20d)</w:t>
            </w:r>
          </w:p>
        </w:tc>
        <w:tc>
          <w:tcPr>
            <w:tcW w:type="dxa" w:w="1440"/>
            <w:shd w:fill="FCE8E6" w:val="clear"/>
          </w:tcPr>
          <w:p>
            <w:r>
              <w:rPr>
                <w:rFonts w:ascii="Calibri" w:hAnsi="Calibri"/>
                <w:color w:val="333333"/>
                <w:sz w:val="18"/>
              </w:rPr>
              <w:t>-51.0%</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2025-04-22 (20d)</w:t>
            </w:r>
          </w:p>
        </w:tc>
        <w:tc>
          <w:tcPr>
            <w:tcW w:type="dxa" w:w="1440"/>
            <w:shd w:fill="F2F4F8" w:val="clear"/>
            <w:shd w:fill="FCE8E6" w:val="clear"/>
          </w:tcPr>
          <w:p>
            <w:r>
              <w:rPr>
                <w:rFonts w:ascii="Calibri" w:hAnsi="Calibri"/>
                <w:color w:val="333333"/>
                <w:sz w:val="18"/>
              </w:rPr>
              <w:t>-26.7%</w:t>
            </w:r>
          </w:p>
        </w:tc>
        <w:tc>
          <w:tcPr>
            <w:tcW w:type="dxa" w:w="1440"/>
            <w:shd w:fill="F2F4F8" w:val="clear"/>
            <w:shd w:fill="FCE8E6" w:val="clear"/>
          </w:tcPr>
          <w:p>
            <w:r>
              <w:rPr>
                <w:rFonts w:ascii="Calibri" w:hAnsi="Calibri"/>
                <w:color w:val="333333"/>
                <w:sz w:val="18"/>
              </w:rPr>
              <w:t>26%</w:t>
            </w:r>
          </w:p>
        </w:tc>
        <w:tc>
          <w:tcPr>
            <w:tcW w:type="dxa" w:w="1440"/>
            <w:shd w:fill="F2F4F8" w:val="clear"/>
            <w:shd w:fill="FCE8E6" w:val="clear"/>
          </w:tcPr>
          <w:p>
            <w:r>
              <w:rPr>
                <w:rFonts w:ascii="Calibri" w:hAnsi="Calibri"/>
                <w:color w:val="333333"/>
                <w:sz w:val="18"/>
              </w:rPr>
              <w:t>1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2026-02-05</w:t>
            </w:r>
          </w:p>
        </w:tc>
        <w:tc>
          <w:tcPr>
            <w:tcW w:type="dxa" w:w="1440"/>
            <w:shd w:fill="FFF3CD" w:val="clear"/>
          </w:tcPr>
          <w:p>
            <w:r>
              <w:rPr>
                <w:rFonts w:ascii="Calibri" w:hAnsi="Calibri"/>
                <w:color w:val="333333"/>
                <w:sz w:val="18"/>
              </w:rPr>
              <w:t>-8.6%</w:t>
            </w:r>
          </w:p>
        </w:tc>
        <w:tc>
          <w:tcPr>
            <w:tcW w:type="dxa" w:w="1440"/>
            <w:shd w:fill="FFF3CD" w:val="clear"/>
          </w:tcPr>
          <w:p>
            <w:r>
              <w:rPr>
                <w:rFonts w:ascii="Calibri" w:hAnsi="Calibri"/>
                <w:color w:val="333333"/>
                <w:sz w:val="18"/>
              </w:rPr>
              <w:t>81%</w:t>
            </w:r>
          </w:p>
        </w:tc>
        <w:tc>
          <w:tcPr>
            <w:tcW w:type="dxa" w:w="1440"/>
            <w:shd w:fill="FFF3CD" w:val="clear"/>
          </w:tcPr>
          <w:p>
            <w:r>
              <w:rPr>
                <w:rFonts w:ascii="Calibri" w:hAnsi="Calibri"/>
                <w:color w:val="333333"/>
                <w:sz w:val="18"/>
              </w:rPr>
              <w:t>1 days</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2024-11-08 (20d)</w:t>
            </w:r>
          </w:p>
        </w:tc>
        <w:tc>
          <w:tcPr>
            <w:tcW w:type="dxa" w:w="1440"/>
            <w:shd w:fill="F2F4F8" w:val="clear"/>
            <w:shd w:fill="FCE8E6" w:val="clear"/>
          </w:tcPr>
          <w:p>
            <w:r>
              <w:rPr>
                <w:rFonts w:ascii="Calibri" w:hAnsi="Calibri"/>
                <w:color w:val="333333"/>
                <w:sz w:val="18"/>
              </w:rPr>
              <w:t>-48.7%</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2025-10-23</w:t>
            </w:r>
          </w:p>
        </w:tc>
        <w:tc>
          <w:tcPr>
            <w:tcW w:type="dxa" w:w="1440"/>
            <w:shd w:fill="FCE8E6" w:val="clear"/>
          </w:tcPr>
          <w:p>
            <w:r>
              <w:rPr>
                <w:rFonts w:ascii="Calibri" w:hAnsi="Calibri"/>
                <w:color w:val="333333"/>
                <w:sz w:val="18"/>
              </w:rPr>
              <w:t>-12.6%</w:t>
            </w:r>
          </w:p>
        </w:tc>
        <w:tc>
          <w:tcPr>
            <w:tcW w:type="dxa" w:w="1440"/>
            <w:shd w:fill="FCE8E6" w:val="clear"/>
          </w:tcPr>
          <w:p>
            <w:r>
              <w:rPr>
                <w:rFonts w:ascii="Calibri" w:hAnsi="Calibri"/>
                <w:color w:val="333333"/>
                <w:sz w:val="18"/>
              </w:rPr>
              <w:t>54%</w:t>
            </w:r>
          </w:p>
        </w:tc>
        <w:tc>
          <w:tcPr>
            <w:tcW w:type="dxa" w:w="1440"/>
            <w:shd w:fill="FCE8E6" w:val="clear"/>
          </w:tcPr>
          <w:p>
            <w:r>
              <w:rPr>
                <w:rFonts w:ascii="Calibri" w:hAnsi="Calibri"/>
                <w:color w:val="333333"/>
                <w:sz w:val="18"/>
              </w:rPr>
              <w:t>4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2025-02-21 to 2025-03-05 (13d)</w:t>
            </w:r>
          </w:p>
        </w:tc>
        <w:tc>
          <w:tcPr>
            <w:tcW w:type="dxa" w:w="1440"/>
            <w:shd w:fill="F2F4F8" w:val="clear"/>
            <w:shd w:fill="FCE8E6" w:val="clear"/>
          </w:tcPr>
          <w:p>
            <w:r>
              <w:rPr>
                <w:rFonts w:ascii="Calibri" w:hAnsi="Calibri"/>
                <w:color w:val="333333"/>
                <w:sz w:val="18"/>
              </w:rPr>
              <w:t>-40.1%</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2025-03-26 to 2025-04-04 (10d)</w:t>
            </w:r>
          </w:p>
        </w:tc>
        <w:tc>
          <w:tcPr>
            <w:tcW w:type="dxa" w:w="1440"/>
            <w:shd w:fill="FCE8E6" w:val="clear"/>
          </w:tcPr>
          <w:p>
            <w:r>
              <w:rPr>
                <w:rFonts w:ascii="Calibri" w:hAnsi="Calibri"/>
                <w:color w:val="333333"/>
                <w:sz w:val="18"/>
              </w:rPr>
              <w:t>-41.7%</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2025-11-04 (2d)</w:t>
            </w:r>
          </w:p>
        </w:tc>
        <w:tc>
          <w:tcPr>
            <w:tcW w:type="dxa" w:w="1440"/>
            <w:shd w:fill="F2F4F8" w:val="clear"/>
            <w:shd w:fill="FCE8E6" w:val="clear"/>
          </w:tcPr>
          <w:p>
            <w:r>
              <w:rPr>
                <w:rFonts w:ascii="Calibri" w:hAnsi="Calibri"/>
                <w:color w:val="333333"/>
                <w:sz w:val="18"/>
              </w:rPr>
              <w:t>-17.2%</w:t>
            </w:r>
          </w:p>
        </w:tc>
        <w:tc>
          <w:tcPr>
            <w:tcW w:type="dxa" w:w="1440"/>
            <w:shd w:fill="F2F4F8" w:val="clear"/>
            <w:shd w:fill="FCE8E6" w:val="clear"/>
          </w:tcPr>
          <w:p>
            <w:r>
              <w:rPr>
                <w:rFonts w:ascii="Calibri" w:hAnsi="Calibri"/>
                <w:color w:val="333333"/>
                <w:sz w:val="18"/>
              </w:rPr>
              <w:t>56%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2024-11-20 (20d)</w:t>
            </w:r>
          </w:p>
        </w:tc>
        <w:tc>
          <w:tcPr>
            <w:tcW w:type="dxa" w:w="1440"/>
            <w:shd w:fill="FCE8E6" w:val="clear"/>
          </w:tcPr>
          <w:p>
            <w:r>
              <w:rPr>
                <w:rFonts w:ascii="Calibri" w:hAnsi="Calibri"/>
                <w:color w:val="333333"/>
                <w:sz w:val="18"/>
              </w:rPr>
              <w:t>-43.1%</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2024-11-07 (20d)</w:t>
            </w:r>
          </w:p>
        </w:tc>
        <w:tc>
          <w:tcPr>
            <w:tcW w:type="dxa" w:w="1440"/>
            <w:shd w:fill="F2F4F8" w:val="clear"/>
            <w:shd w:fill="FCE8E6" w:val="clear"/>
          </w:tcPr>
          <w:p>
            <w:r>
              <w:rPr>
                <w:rFonts w:ascii="Calibri" w:hAnsi="Calibri"/>
                <w:color w:val="333333"/>
                <w:sz w:val="18"/>
              </w:rPr>
              <w:t>-45.2%</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2024-11-04 (20d)</w:t>
            </w:r>
          </w:p>
        </w:tc>
        <w:tc>
          <w:tcPr>
            <w:tcW w:type="dxa" w:w="1440"/>
            <w:shd w:fill="FCE8E6" w:val="clear"/>
          </w:tcPr>
          <w:p>
            <w:r>
              <w:rPr>
                <w:rFonts w:ascii="Calibri" w:hAnsi="Calibri"/>
                <w:color w:val="333333"/>
                <w:sz w:val="18"/>
              </w:rPr>
              <w:t>-45.5%</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2024-11-01 (5d)</w:t>
            </w:r>
          </w:p>
        </w:tc>
        <w:tc>
          <w:tcPr>
            <w:tcW w:type="dxa" w:w="1440"/>
            <w:shd w:fill="F2F4F8" w:val="clear"/>
            <w:shd w:fill="FCE8E6" w:val="clear"/>
          </w:tcPr>
          <w:p>
            <w:r>
              <w:rPr>
                <w:rFonts w:ascii="Calibri" w:hAnsi="Calibri"/>
                <w:color w:val="333333"/>
                <w:sz w:val="18"/>
              </w:rPr>
              <w:t>-44.9%</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2024-11-05 (5d)</w:t>
            </w:r>
          </w:p>
        </w:tc>
        <w:tc>
          <w:tcPr>
            <w:tcW w:type="dxa" w:w="1440"/>
            <w:shd w:fill="FCE8E6" w:val="clear"/>
          </w:tcPr>
          <w:p>
            <w:r>
              <w:rPr>
                <w:rFonts w:ascii="Calibri" w:hAnsi="Calibri"/>
                <w:color w:val="333333"/>
                <w:sz w:val="18"/>
              </w:rPr>
              <w:t>-43.6%</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2025-02-27 (5d)</w:t>
            </w:r>
          </w:p>
        </w:tc>
        <w:tc>
          <w:tcPr>
            <w:tcW w:type="dxa" w:w="1440"/>
            <w:shd w:fill="F2F4F8" w:val="clear"/>
            <w:shd w:fill="FCE8E6" w:val="clear"/>
          </w:tcPr>
          <w:p>
            <w:r>
              <w:rPr>
                <w:rFonts w:ascii="Calibri" w:hAnsi="Calibri"/>
                <w:color w:val="333333"/>
                <w:sz w:val="18"/>
              </w:rPr>
              <w:t>-27.5%</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2024-11-19 (20d)</w:t>
            </w:r>
          </w:p>
        </w:tc>
        <w:tc>
          <w:tcPr>
            <w:tcW w:type="dxa" w:w="1440"/>
            <w:shd w:fill="FCE8E6" w:val="clear"/>
          </w:tcPr>
          <w:p>
            <w:r>
              <w:rPr>
                <w:rFonts w:ascii="Calibri" w:hAnsi="Calibri"/>
                <w:color w:val="333333"/>
                <w:sz w:val="18"/>
              </w:rPr>
              <w:t>-38.5%</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2025-02-28 (5d)</w:t>
            </w:r>
          </w:p>
        </w:tc>
        <w:tc>
          <w:tcPr>
            <w:tcW w:type="dxa" w:w="1440"/>
            <w:shd w:fill="F2F4F8" w:val="clear"/>
            <w:shd w:fill="FCE8E6" w:val="clear"/>
          </w:tcPr>
          <w:p>
            <w:r>
              <w:rPr>
                <w:rFonts w:ascii="Calibri" w:hAnsi="Calibri"/>
                <w:color w:val="333333"/>
                <w:sz w:val="18"/>
              </w:rPr>
              <w:t>-26.1%</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2024-10-31 (2d)</w:t>
            </w:r>
          </w:p>
        </w:tc>
        <w:tc>
          <w:tcPr>
            <w:tcW w:type="dxa" w:w="1440"/>
            <w:shd w:fill="FCE8E6" w:val="clear"/>
          </w:tcPr>
          <w:p>
            <w:r>
              <w:rPr>
                <w:rFonts w:ascii="Calibri" w:hAnsi="Calibri"/>
                <w:color w:val="333333"/>
                <w:sz w:val="18"/>
              </w:rPr>
              <w:t>-40.7%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2024-11-21 (20d)</w:t>
            </w:r>
          </w:p>
        </w:tc>
        <w:tc>
          <w:tcPr>
            <w:tcW w:type="dxa" w:w="1440"/>
            <w:shd w:fill="F2F4F8" w:val="clear"/>
            <w:shd w:fill="FCE8E6" w:val="clear"/>
          </w:tcPr>
          <w:p>
            <w:r>
              <w:rPr>
                <w:rFonts w:ascii="Calibri" w:hAnsi="Calibri"/>
                <w:color w:val="333333"/>
                <w:sz w:val="18"/>
              </w:rPr>
              <w:t>-35.8%</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2025-03-05 (5d)</w:t>
            </w:r>
          </w:p>
        </w:tc>
        <w:tc>
          <w:tcPr>
            <w:tcW w:type="dxa" w:w="1440"/>
            <w:shd w:fill="FCE8E6" w:val="clear"/>
          </w:tcPr>
          <w:p>
            <w:r>
              <w:rPr>
                <w:rFonts w:ascii="Calibri" w:hAnsi="Calibri"/>
                <w:color w:val="333333"/>
                <w:sz w:val="18"/>
              </w:rPr>
              <w:t>-23.9%</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2024-12-27 to 2025-01-08 (13d)</w:t>
            </w:r>
          </w:p>
        </w:tc>
        <w:tc>
          <w:tcPr>
            <w:tcW w:type="dxa" w:w="1440"/>
            <w:shd w:fill="F2F4F8" w:val="clear"/>
            <w:shd w:fill="FCE8E6" w:val="clear"/>
          </w:tcPr>
          <w:p>
            <w:r>
              <w:rPr>
                <w:rFonts w:ascii="Calibri" w:hAnsi="Calibri"/>
                <w:color w:val="333333"/>
                <w:sz w:val="18"/>
              </w:rPr>
              <w:t>-31.9%</w:t>
            </w:r>
          </w:p>
        </w:tc>
        <w:tc>
          <w:tcPr>
            <w:tcW w:type="dxa" w:w="1440"/>
            <w:shd w:fill="F2F4F8" w:val="clear"/>
            <w:shd w:fill="FCE8E6" w:val="clear"/>
          </w:tcPr>
          <w:p>
            <w:r>
              <w:rPr>
                <w:rFonts w:ascii="Calibri" w:hAnsi="Calibri"/>
                <w:color w:val="333333"/>
                <w:sz w:val="18"/>
              </w:rPr>
              <w:t>17%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2025-10-23</w:t>
            </w:r>
          </w:p>
        </w:tc>
        <w:tc>
          <w:tcPr>
            <w:tcW w:type="dxa" w:w="1440"/>
            <w:shd w:fill="FFF3CD" w:val="clear"/>
          </w:tcPr>
          <w:p>
            <w:r>
              <w:rPr>
                <w:rFonts w:ascii="Calibri" w:hAnsi="Calibri"/>
                <w:color w:val="333333"/>
                <w:sz w:val="18"/>
              </w:rPr>
              <w:t>-8.7%</w:t>
            </w:r>
          </w:p>
        </w:tc>
        <w:tc>
          <w:tcPr>
            <w:tcW w:type="dxa" w:w="1440"/>
            <w:shd w:fill="FFF3CD" w:val="clear"/>
          </w:tcPr>
          <w:p>
            <w:r>
              <w:rPr>
                <w:rFonts w:ascii="Calibri" w:hAnsi="Calibri"/>
                <w:color w:val="333333"/>
                <w:sz w:val="18"/>
              </w:rPr>
              <w:t>54%</w:t>
            </w:r>
          </w:p>
        </w:tc>
        <w:tc>
          <w:tcPr>
            <w:tcW w:type="dxa" w:w="1440"/>
            <w:shd w:fill="FFF3CD" w:val="clear"/>
          </w:tcPr>
          <w:p>
            <w:r>
              <w:rPr>
                <w:rFonts w:ascii="Calibri" w:hAnsi="Calibri"/>
                <w:color w:val="333333"/>
                <w:sz w:val="18"/>
              </w:rPr>
              <w:t>4 days</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2025-01-08 (20d)</w:t>
            </w:r>
          </w:p>
        </w:tc>
        <w:tc>
          <w:tcPr>
            <w:tcW w:type="dxa" w:w="1440"/>
            <w:shd w:fill="F2F4F8" w:val="clear"/>
            <w:shd w:fill="FCE8E6" w:val="clear"/>
          </w:tcPr>
          <w:p>
            <w:r>
              <w:rPr>
                <w:rFonts w:ascii="Calibri" w:hAnsi="Calibri"/>
                <w:color w:val="333333"/>
                <w:sz w:val="18"/>
              </w:rPr>
              <w:t>-26.1%</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2026-02-23</w:t>
            </w:r>
          </w:p>
        </w:tc>
        <w:tc>
          <w:tcPr>
            <w:tcW w:type="dxa" w:w="1440"/>
            <w:shd w:fill="FFF3CD" w:val="clear"/>
          </w:tcPr>
          <w:p>
            <w:r>
              <w:rPr>
                <w:rFonts w:ascii="Calibri" w:hAnsi="Calibri"/>
                <w:color w:val="333333"/>
                <w:sz w:val="18"/>
              </w:rPr>
              <w:t>-5.3%</w:t>
            </w:r>
          </w:p>
        </w:tc>
        <w:tc>
          <w:tcPr>
            <w:tcW w:type="dxa" w:w="1440"/>
            <w:shd w:fill="FFF3CD" w:val="clear"/>
          </w:tcPr>
          <w:p>
            <w:r>
              <w:rPr>
                <w:rFonts w:ascii="Calibri" w:hAnsi="Calibri"/>
                <w:color w:val="333333"/>
                <w:sz w:val="18"/>
              </w:rPr>
              <w:t>86%</w:t>
            </w:r>
          </w:p>
        </w:tc>
        <w:tc>
          <w:tcPr>
            <w:tcW w:type="dxa" w:w="1440"/>
            <w:shd w:fill="FFF3CD" w:val="clear"/>
          </w:tcPr>
          <w:p>
            <w:r>
              <w:rPr>
                <w:rFonts w:ascii="Calibri" w:hAnsi="Calibri"/>
                <w:color w:val="333333"/>
                <w:sz w:val="18"/>
              </w:rPr>
              <w:t>2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2025-10-10</w:t>
            </w:r>
          </w:p>
        </w:tc>
        <w:tc>
          <w:tcPr>
            <w:tcW w:type="dxa" w:w="1440"/>
            <w:shd w:fill="F2F4F8" w:val="clear"/>
            <w:shd w:fill="FFF3CD" w:val="clear"/>
          </w:tcPr>
          <w:p>
            <w:r>
              <w:rPr>
                <w:rFonts w:ascii="Calibri" w:hAnsi="Calibri"/>
                <w:color w:val="333333"/>
                <w:sz w:val="18"/>
              </w:rPr>
              <w:t>-8.8%</w:t>
            </w:r>
          </w:p>
        </w:tc>
        <w:tc>
          <w:tcPr>
            <w:tcW w:type="dxa" w:w="1440"/>
            <w:shd w:fill="F2F4F8" w:val="clear"/>
            <w:shd w:fill="FFF3CD" w:val="clear"/>
          </w:tcPr>
          <w:p>
            <w:r>
              <w:rPr>
                <w:rFonts w:ascii="Calibri" w:hAnsi="Calibri"/>
                <w:color w:val="333333"/>
                <w:sz w:val="18"/>
              </w:rPr>
              <w:t>51%</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2025-03-28 (5d)</w:t>
            </w:r>
          </w:p>
        </w:tc>
        <w:tc>
          <w:tcPr>
            <w:tcW w:type="dxa" w:w="1440"/>
            <w:shd w:fill="FCE8E6" w:val="clear"/>
          </w:tcPr>
          <w:p>
            <w:r>
              <w:rPr>
                <w:rFonts w:ascii="Calibri" w:hAnsi="Calibri"/>
                <w:color w:val="333333"/>
                <w:sz w:val="18"/>
              </w:rPr>
              <w:t>-18.7%</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2024-11-26 (20d)</w:t>
            </w:r>
          </w:p>
        </w:tc>
        <w:tc>
          <w:tcPr>
            <w:tcW w:type="dxa" w:w="1440"/>
            <w:shd w:fill="F2F4F8" w:val="clear"/>
            <w:shd w:fill="FCE8E6" w:val="clear"/>
          </w:tcPr>
          <w:p>
            <w:r>
              <w:rPr>
                <w:rFonts w:ascii="Calibri" w:hAnsi="Calibri"/>
                <w:color w:val="333333"/>
                <w:sz w:val="18"/>
              </w:rPr>
              <w:t>-29.9%</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2024-08-02 to 2024-08-14 (13d)</w:t>
            </w:r>
          </w:p>
        </w:tc>
        <w:tc>
          <w:tcPr>
            <w:tcW w:type="dxa" w:w="1440"/>
            <w:shd w:fill="FCE8E6" w:val="clear"/>
          </w:tcPr>
          <w:p>
            <w:r>
              <w:rPr>
                <w:rFonts w:ascii="Calibri" w:hAnsi="Calibri"/>
                <w:color w:val="333333"/>
                <w:sz w:val="18"/>
              </w:rPr>
              <w:t>-45.9%</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2024-10-30 (3d)</w:t>
            </w:r>
          </w:p>
        </w:tc>
        <w:tc>
          <w:tcPr>
            <w:tcW w:type="dxa" w:w="1440"/>
            <w:shd w:fill="F2F4F8" w:val="clear"/>
            <w:shd w:fill="FCE8E6" w:val="clear"/>
          </w:tcPr>
          <w:p>
            <w:r>
              <w:rPr>
                <w:rFonts w:ascii="Calibri" w:hAnsi="Calibri"/>
                <w:color w:val="333333"/>
                <w:sz w:val="18"/>
              </w:rPr>
              <w:t>-32.7%</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2024-11-22 (20d)</w:t>
            </w:r>
          </w:p>
        </w:tc>
        <w:tc>
          <w:tcPr>
            <w:tcW w:type="dxa" w:w="1440"/>
            <w:shd w:fill="FCE8E6" w:val="clear"/>
          </w:tcPr>
          <w:p>
            <w:r>
              <w:rPr>
                <w:rFonts w:ascii="Calibri" w:hAnsi="Calibri"/>
                <w:color w:val="333333"/>
                <w:sz w:val="18"/>
              </w:rPr>
              <w:t>-29.9%</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2025-01-02 (20d)</w:t>
            </w:r>
          </w:p>
        </w:tc>
        <w:tc>
          <w:tcPr>
            <w:tcW w:type="dxa" w:w="1440"/>
            <w:shd w:fill="F2F4F8" w:val="clear"/>
            <w:shd w:fill="FCE8E6" w:val="clear"/>
          </w:tcPr>
          <w:p>
            <w:r>
              <w:rPr>
                <w:rFonts w:ascii="Calibri" w:hAnsi="Calibri"/>
                <w:color w:val="333333"/>
                <w:sz w:val="18"/>
              </w:rPr>
              <w:t>-25.3%</w:t>
            </w:r>
          </w:p>
        </w:tc>
        <w:tc>
          <w:tcPr>
            <w:tcW w:type="dxa" w:w="1440"/>
            <w:shd w:fill="F2F4F8" w:val="clear"/>
            <w:shd w:fill="FCE8E6" w:val="clear"/>
          </w:tcPr>
          <w:p>
            <w:r>
              <w:rPr>
                <w:rFonts w:ascii="Calibri" w:hAnsi="Calibri"/>
                <w:color w:val="333333"/>
                <w:sz w:val="18"/>
              </w:rPr>
              <w:t>17%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2025-03-31 (5d)</w:t>
            </w:r>
          </w:p>
        </w:tc>
        <w:tc>
          <w:tcPr>
            <w:tcW w:type="dxa" w:w="1440"/>
            <w:shd w:fill="FCE8E6" w:val="clear"/>
          </w:tcPr>
          <w:p>
            <w:r>
              <w:rPr>
                <w:rFonts w:ascii="Calibri" w:hAnsi="Calibri"/>
                <w:color w:val="333333"/>
                <w:sz w:val="18"/>
              </w:rPr>
              <w:t>-17.9%</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2024-08-09 (20d)</w:t>
            </w:r>
          </w:p>
        </w:tc>
        <w:tc>
          <w:tcPr>
            <w:tcW w:type="dxa" w:w="1440"/>
            <w:shd w:fill="F2F4F8" w:val="clear"/>
            <w:shd w:fill="FCE8E6" w:val="clear"/>
          </w:tcPr>
          <w:p>
            <w:r>
              <w:rPr>
                <w:rFonts w:ascii="Calibri" w:hAnsi="Calibri"/>
                <w:color w:val="333333"/>
                <w:sz w:val="18"/>
              </w:rPr>
              <w:t>-44.1%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2025-11-13 (3d)</w:t>
            </w:r>
          </w:p>
        </w:tc>
        <w:tc>
          <w:tcPr>
            <w:tcW w:type="dxa" w:w="1440"/>
            <w:shd w:fill="FCE8E6" w:val="clear"/>
          </w:tcPr>
          <w:p>
            <w:r>
              <w:rPr>
                <w:rFonts w:ascii="Calibri" w:hAnsi="Calibri"/>
                <w:color w:val="333333"/>
                <w:sz w:val="18"/>
              </w:rPr>
              <w:t>-16.8%</w:t>
            </w:r>
          </w:p>
        </w:tc>
        <w:tc>
          <w:tcPr>
            <w:tcW w:type="dxa" w:w="1440"/>
            <w:shd w:fill="FCE8E6" w:val="clear"/>
          </w:tcPr>
          <w:p>
            <w:r>
              <w:rPr>
                <w:rFonts w:ascii="Calibri" w:hAnsi="Calibri"/>
                <w:color w:val="333333"/>
                <w:sz w:val="18"/>
              </w:rPr>
              <w:t>58%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2024-08-08 (20d)</w:t>
            </w:r>
          </w:p>
        </w:tc>
        <w:tc>
          <w:tcPr>
            <w:tcW w:type="dxa" w:w="1440"/>
            <w:shd w:fill="F2F4F8" w:val="clear"/>
            <w:shd w:fill="FCE8E6" w:val="clear"/>
          </w:tcPr>
          <w:p>
            <w:r>
              <w:rPr>
                <w:rFonts w:ascii="Calibri" w:hAnsi="Calibri"/>
                <w:color w:val="333333"/>
                <w:sz w:val="18"/>
              </w:rPr>
              <w:t>-42.6%</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2024-10-30 (2d)</w:t>
            </w:r>
          </w:p>
        </w:tc>
        <w:tc>
          <w:tcPr>
            <w:tcW w:type="dxa" w:w="1440"/>
            <w:shd w:fill="FCE8E6" w:val="clear"/>
          </w:tcPr>
          <w:p>
            <w:r>
              <w:rPr>
                <w:rFonts w:ascii="Calibri" w:hAnsi="Calibri"/>
                <w:color w:val="333333"/>
                <w:sz w:val="18"/>
              </w:rPr>
              <w:t>-30.7%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2026-02-12</w:t>
            </w:r>
          </w:p>
        </w:tc>
        <w:tc>
          <w:tcPr>
            <w:tcW w:type="dxa" w:w="1440"/>
            <w:shd w:fill="F2F4F8" w:val="clear"/>
            <w:shd w:fill="FFF3CD" w:val="clear"/>
          </w:tcPr>
          <w:p>
            <w:r>
              <w:rPr>
                <w:rFonts w:ascii="Calibri" w:hAnsi="Calibri"/>
                <w:color w:val="333333"/>
                <w:sz w:val="18"/>
              </w:rPr>
              <w:t>-5.0%</w:t>
            </w:r>
          </w:p>
        </w:tc>
        <w:tc>
          <w:tcPr>
            <w:tcW w:type="dxa" w:w="1440"/>
            <w:shd w:fill="F2F4F8" w:val="clear"/>
            <w:shd w:fill="FFF3CD" w:val="clear"/>
          </w:tcPr>
          <w:p>
            <w:r>
              <w:rPr>
                <w:rFonts w:ascii="Calibri" w:hAnsi="Calibri"/>
                <w:color w:val="333333"/>
                <w:sz w:val="18"/>
              </w:rPr>
              <w:t>83%</w:t>
            </w:r>
          </w:p>
        </w:tc>
        <w:tc>
          <w:tcPr>
            <w:tcW w:type="dxa" w:w="1440"/>
            <w:shd w:fill="F2F4F8" w:val="clear"/>
            <w:shd w:fill="FFF3CD" w:val="clear"/>
          </w:tcPr>
          <w:p>
            <w:r>
              <w:rPr>
                <w:rFonts w:ascii="Calibri" w:hAnsi="Calibri"/>
                <w:color w:val="333333"/>
                <w:sz w:val="18"/>
              </w:rPr>
              <w:t>4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2025-02-25 (2d)</w:t>
            </w:r>
          </w:p>
        </w:tc>
        <w:tc>
          <w:tcPr>
            <w:tcW w:type="dxa" w:w="1440"/>
            <w:shd w:fill="FCE8E6" w:val="clear"/>
          </w:tcPr>
          <w:p>
            <w:r>
              <w:rPr>
                <w:rFonts w:ascii="Calibri" w:hAnsi="Calibri"/>
                <w:color w:val="333333"/>
                <w:sz w:val="18"/>
              </w:rPr>
              <w:t>-18.8%</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2024-08-12 (20d)</w:t>
            </w:r>
          </w:p>
        </w:tc>
        <w:tc>
          <w:tcPr>
            <w:tcW w:type="dxa" w:w="1440"/>
            <w:shd w:fill="F2F4F8" w:val="clear"/>
            <w:shd w:fill="FCE8E6" w:val="clear"/>
          </w:tcPr>
          <w:p>
            <w:r>
              <w:rPr>
                <w:rFonts w:ascii="Calibri" w:hAnsi="Calibri"/>
                <w:color w:val="333333"/>
                <w:sz w:val="18"/>
              </w:rPr>
              <w:t>-39.7%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2025-04-30</w:t>
            </w:r>
          </w:p>
        </w:tc>
        <w:tc>
          <w:tcPr>
            <w:tcW w:type="dxa" w:w="1440"/>
            <w:shd w:fill="FCE8E6" w:val="clear"/>
          </w:tcPr>
          <w:p>
            <w:r>
              <w:rPr>
                <w:rFonts w:ascii="Calibri" w:hAnsi="Calibri"/>
                <w:color w:val="333333"/>
                <w:sz w:val="18"/>
              </w:rPr>
              <w:t>-14.5%</w:t>
            </w:r>
          </w:p>
        </w:tc>
        <w:tc>
          <w:tcPr>
            <w:tcW w:type="dxa" w:w="1440"/>
            <w:shd w:fill="FCE8E6" w:val="clear"/>
          </w:tcPr>
          <w:p>
            <w:r>
              <w:rPr>
                <w:rFonts w:ascii="Calibri" w:hAnsi="Calibri"/>
                <w:color w:val="333333"/>
                <w:sz w:val="18"/>
              </w:rPr>
              <w:t>27%</w:t>
            </w:r>
          </w:p>
        </w:tc>
        <w:tc>
          <w:tcPr>
            <w:tcW w:type="dxa" w:w="1440"/>
            <w:shd w:fill="FCE8E6" w:val="clear"/>
          </w:tcPr>
          <w:p>
            <w:r>
              <w:rPr>
                <w:rFonts w:ascii="Calibri" w:hAnsi="Calibri"/>
                <w:color w:val="333333"/>
                <w:sz w:val="18"/>
              </w:rPr>
              <w:t>9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2024-12-10 to 2024-12-19 (10d)</w:t>
            </w:r>
          </w:p>
        </w:tc>
        <w:tc>
          <w:tcPr>
            <w:tcW w:type="dxa" w:w="1440"/>
            <w:shd w:fill="F2F4F8" w:val="clear"/>
            <w:shd w:fill="FCE8E6" w:val="clear"/>
          </w:tcPr>
          <w:p>
            <w:r>
              <w:rPr>
                <w:rFonts w:ascii="Calibri" w:hAnsi="Calibri"/>
                <w:color w:val="333333"/>
                <w:sz w:val="18"/>
              </w:rPr>
              <w:t>-29.3%</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2024-08-26 to 2024-09-06 (12d)</w:t>
            </w:r>
          </w:p>
        </w:tc>
        <w:tc>
          <w:tcPr>
            <w:tcW w:type="dxa" w:w="1440"/>
            <w:shd w:fill="FCE8E6" w:val="clear"/>
          </w:tcPr>
          <w:p>
            <w:r>
              <w:rPr>
                <w:rFonts w:ascii="Calibri" w:hAnsi="Calibri"/>
                <w:color w:val="333333"/>
                <w:sz w:val="18"/>
              </w:rPr>
              <w:t>-44.9%</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2025-12-17</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66%</w:t>
            </w:r>
          </w:p>
        </w:tc>
        <w:tc>
          <w:tcPr>
            <w:tcW w:type="dxa" w:w="1440"/>
            <w:shd w:fill="F2F4F8" w:val="clear"/>
            <w:shd w:fill="FFF3CD" w:val="clear"/>
          </w:tcPr>
          <w:p>
            <w:r>
              <w:rPr>
                <w:rFonts w:ascii="Calibri" w:hAnsi="Calibri"/>
                <w:color w:val="333333"/>
                <w:sz w:val="18"/>
              </w:rPr>
              <w:t>20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2026-01-13</w:t>
            </w:r>
          </w:p>
        </w:tc>
        <w:tc>
          <w:tcPr>
            <w:tcW w:type="dxa" w:w="1440"/>
            <w:shd w:fill="FFF3CD" w:val="clear"/>
          </w:tcPr>
          <w:p>
            <w:r>
              <w:rPr>
                <w:rFonts w:ascii="Calibri" w:hAnsi="Calibri"/>
                <w:color w:val="333333"/>
                <w:sz w:val="18"/>
              </w:rPr>
              <w:t>-5.0%</w:t>
            </w:r>
          </w:p>
        </w:tc>
        <w:tc>
          <w:tcPr>
            <w:tcW w:type="dxa" w:w="1440"/>
            <w:shd w:fill="FFF3CD" w:val="clear"/>
          </w:tcPr>
          <w:p>
            <w:r>
              <w:rPr>
                <w:rFonts w:ascii="Calibri" w:hAnsi="Calibri"/>
                <w:color w:val="333333"/>
                <w:sz w:val="18"/>
              </w:rPr>
              <w:t>74%</w:t>
            </w:r>
          </w:p>
        </w:tc>
        <w:tc>
          <w:tcPr>
            <w:tcW w:type="dxa" w:w="1440"/>
            <w:shd w:fill="FFF3CD" w:val="clear"/>
          </w:tcPr>
          <w:p>
            <w:r>
              <w:rPr>
                <w:rFonts w:ascii="Calibri" w:hAnsi="Calibri"/>
                <w:color w:val="333333"/>
                <w:sz w:val="18"/>
              </w:rPr>
              <w:t>3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2025-04-04 (2d)</w:t>
            </w:r>
          </w:p>
        </w:tc>
        <w:tc>
          <w:tcPr>
            <w:tcW w:type="dxa" w:w="1440"/>
            <w:shd w:fill="F2F4F8" w:val="clear"/>
            <w:shd w:fill="FCE8E6" w:val="clear"/>
          </w:tcPr>
          <w:p>
            <w:r>
              <w:rPr>
                <w:rFonts w:ascii="Calibri" w:hAnsi="Calibri"/>
                <w:color w:val="333333"/>
                <w:sz w:val="18"/>
              </w:rPr>
              <w:t>-15.0%</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2024-08-29 (20d)</w:t>
            </w:r>
          </w:p>
        </w:tc>
        <w:tc>
          <w:tcPr>
            <w:tcW w:type="dxa" w:w="1440"/>
            <w:shd w:fill="FCE8E6" w:val="clear"/>
          </w:tcPr>
          <w:p>
            <w:r>
              <w:rPr>
                <w:rFonts w:ascii="Calibri" w:hAnsi="Calibri"/>
                <w:color w:val="333333"/>
                <w:sz w:val="18"/>
              </w:rPr>
              <w:t>-33.2%</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2024-08-13 (20d)</w:t>
            </w:r>
          </w:p>
        </w:tc>
        <w:tc>
          <w:tcPr>
            <w:tcW w:type="dxa" w:w="1440"/>
            <w:shd w:fill="F2F4F8" w:val="clear"/>
            <w:shd w:fill="FCE8E6" w:val="clear"/>
          </w:tcPr>
          <w:p>
            <w:r>
              <w:rPr>
                <w:rFonts w:ascii="Calibri" w:hAnsi="Calibri"/>
                <w:color w:val="333333"/>
                <w:sz w:val="18"/>
              </w:rPr>
              <w:t>-35.3%</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2025-03-27 (2d)</w:t>
            </w:r>
          </w:p>
        </w:tc>
        <w:tc>
          <w:tcPr>
            <w:tcW w:type="dxa" w:w="1440"/>
            <w:shd w:fill="FCE8E6" w:val="clear"/>
          </w:tcPr>
          <w:p>
            <w:r>
              <w:rPr>
                <w:rFonts w:ascii="Calibri" w:hAnsi="Calibri"/>
                <w:color w:val="333333"/>
                <w:sz w:val="18"/>
              </w:rPr>
              <w:t>-14.6%</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2024-09-13 to 2024-09-19 (7d)</w:t>
            </w:r>
          </w:p>
        </w:tc>
        <w:tc>
          <w:tcPr>
            <w:tcW w:type="dxa" w:w="1440"/>
            <w:shd w:fill="F2F4F8" w:val="clear"/>
            <w:shd w:fill="FCE8E6" w:val="clear"/>
          </w:tcPr>
          <w:p>
            <w:r>
              <w:rPr>
                <w:rFonts w:ascii="Calibri" w:hAnsi="Calibri"/>
                <w:color w:val="333333"/>
                <w:sz w:val="18"/>
              </w:rPr>
              <w:t>-30.5%</w:t>
            </w:r>
          </w:p>
        </w:tc>
        <w:tc>
          <w:tcPr>
            <w:tcW w:type="dxa" w:w="1440"/>
            <w:shd w:fill="F2F4F8" w:val="clear"/>
            <w:shd w:fill="FCE8E6" w:val="clear"/>
          </w:tcPr>
          <w:p>
            <w:r>
              <w:rPr>
                <w:rFonts w:ascii="Calibri" w:hAnsi="Calibri"/>
                <w:color w:val="333333"/>
                <w:sz w:val="18"/>
              </w:rPr>
              <w:t>12%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2025-01-27 to 2025-02-03 (8d)</w:t>
            </w:r>
          </w:p>
        </w:tc>
        <w:tc>
          <w:tcPr>
            <w:tcW w:type="dxa" w:w="1440"/>
            <w:shd w:fill="FCE8E6" w:val="clear"/>
          </w:tcPr>
          <w:p>
            <w:r>
              <w:rPr>
                <w:rFonts w:ascii="Calibri" w:hAnsi="Calibri"/>
                <w:color w:val="333333"/>
                <w:sz w:val="18"/>
              </w:rPr>
              <w:t>-20.7%</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2024-09-04 (20d)</w:t>
            </w:r>
          </w:p>
        </w:tc>
        <w:tc>
          <w:tcPr>
            <w:tcW w:type="dxa" w:w="1440"/>
            <w:shd w:fill="F2F4F8" w:val="clear"/>
            <w:shd w:fill="FCE8E6" w:val="clear"/>
          </w:tcPr>
          <w:p>
            <w:r>
              <w:rPr>
                <w:rFonts w:ascii="Calibri" w:hAnsi="Calibri"/>
                <w:color w:val="333333"/>
                <w:sz w:val="18"/>
              </w:rPr>
              <w:t>-31.4%</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2024-09-17 (20d)</w:t>
            </w:r>
          </w:p>
        </w:tc>
        <w:tc>
          <w:tcPr>
            <w:tcW w:type="dxa" w:w="1440"/>
            <w:shd w:fill="FCE8E6" w:val="clear"/>
          </w:tcPr>
          <w:p>
            <w:r>
              <w:rPr>
                <w:rFonts w:ascii="Calibri" w:hAnsi="Calibri"/>
                <w:color w:val="333333"/>
                <w:sz w:val="18"/>
              </w:rPr>
              <w:t>-29.5%</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2025-02-21 (5d)</w:t>
            </w:r>
          </w:p>
        </w:tc>
        <w:tc>
          <w:tcPr>
            <w:tcW w:type="dxa" w:w="1440"/>
            <w:shd w:fill="F2F4F8" w:val="clear"/>
            <w:shd w:fill="FCE8E6" w:val="clear"/>
          </w:tcPr>
          <w:p>
            <w:r>
              <w:rPr>
                <w:rFonts w:ascii="Calibri" w:hAnsi="Calibri"/>
                <w:color w:val="333333"/>
                <w:sz w:val="18"/>
              </w:rPr>
              <w:t>-16.0%</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2025-06-23</w:t>
            </w:r>
          </w:p>
        </w:tc>
        <w:tc>
          <w:tcPr>
            <w:tcW w:type="dxa" w:w="1440"/>
            <w:shd w:fill="FFF3CD" w:val="clear"/>
          </w:tcPr>
          <w:p>
            <w:r>
              <w:rPr>
                <w:rFonts w:ascii="Calibri" w:hAnsi="Calibri"/>
                <w:color w:val="333333"/>
                <w:sz w:val="18"/>
              </w:rPr>
              <w:t>-9.8%</w:t>
            </w:r>
          </w:p>
        </w:tc>
        <w:tc>
          <w:tcPr>
            <w:tcW w:type="dxa" w:w="1440"/>
            <w:shd w:fill="FFF3CD" w:val="clear"/>
          </w:tcPr>
          <w:p>
            <w:r>
              <w:rPr>
                <w:rFonts w:ascii="Calibri" w:hAnsi="Calibri"/>
                <w:color w:val="333333"/>
                <w:sz w:val="18"/>
              </w:rPr>
              <w:t>34%</w:t>
            </w:r>
          </w:p>
        </w:tc>
        <w:tc>
          <w:tcPr>
            <w:tcW w:type="dxa" w:w="1440"/>
            <w:shd w:fill="FFF3CD" w:val="clear"/>
          </w:tcPr>
          <w:p>
            <w:r>
              <w:rPr>
                <w:rFonts w:ascii="Calibri" w:hAnsi="Calibri"/>
                <w:color w:val="333333"/>
                <w:sz w:val="18"/>
              </w:rPr>
              <w:t>2 days</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2024-09-18 (20d)</w:t>
            </w:r>
          </w:p>
        </w:tc>
        <w:tc>
          <w:tcPr>
            <w:tcW w:type="dxa" w:w="1440"/>
            <w:shd w:fill="F2F4F8" w:val="clear"/>
            <w:shd w:fill="FCE8E6" w:val="clear"/>
          </w:tcPr>
          <w:p>
            <w:r>
              <w:rPr>
                <w:rFonts w:ascii="Calibri" w:hAnsi="Calibri"/>
                <w:color w:val="333333"/>
                <w:sz w:val="18"/>
              </w:rPr>
              <w:t>-28.5%</w:t>
            </w:r>
          </w:p>
        </w:tc>
        <w:tc>
          <w:tcPr>
            <w:tcW w:type="dxa" w:w="1440"/>
            <w:shd w:fill="F2F4F8" w:val="clear"/>
            <w:shd w:fill="FCE8E6" w:val="clear"/>
          </w:tcPr>
          <w:p>
            <w:r>
              <w:rPr>
                <w:rFonts w:ascii="Calibri" w:hAnsi="Calibri"/>
                <w:color w:val="333333"/>
                <w:sz w:val="18"/>
              </w:rPr>
              <w:t>12%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2024-09-16 (20d)</w:t>
            </w:r>
          </w:p>
        </w:tc>
        <w:tc>
          <w:tcPr>
            <w:tcW w:type="dxa" w:w="1440"/>
            <w:shd w:fill="FCE8E6" w:val="clear"/>
          </w:tcPr>
          <w:p>
            <w:r>
              <w:rPr>
                <w:rFonts w:ascii="Calibri" w:hAnsi="Calibri"/>
                <w:color w:val="333333"/>
                <w:sz w:val="18"/>
              </w:rPr>
              <w:t>-28.6%</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2025-02-26 (5d)</w:t>
            </w:r>
          </w:p>
        </w:tc>
        <w:tc>
          <w:tcPr>
            <w:tcW w:type="dxa" w:w="1440"/>
            <w:shd w:fill="F2F4F8" w:val="clear"/>
            <w:shd w:fill="FCE8E6" w:val="clear"/>
          </w:tcPr>
          <w:p>
            <w:r>
              <w:rPr>
                <w:rFonts w:ascii="Calibri" w:hAnsi="Calibri"/>
                <w:color w:val="333333"/>
                <w:sz w:val="18"/>
              </w:rPr>
              <w:t>-15.2%</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2024-08-30 (20d)</w:t>
            </w:r>
          </w:p>
        </w:tc>
        <w:tc>
          <w:tcPr>
            <w:tcW w:type="dxa" w:w="1440"/>
            <w:shd w:fill="FCE8E6" w:val="clear"/>
          </w:tcPr>
          <w:p>
            <w:r>
              <w:rPr>
                <w:rFonts w:ascii="Calibri" w:hAnsi="Calibri"/>
                <w:color w:val="333333"/>
                <w:sz w:val="18"/>
              </w:rPr>
              <w:t>-29.9%</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2024-08-05 (20d)</w:t>
            </w:r>
          </w:p>
        </w:tc>
        <w:tc>
          <w:tcPr>
            <w:tcW w:type="dxa" w:w="1440"/>
            <w:shd w:fill="F2F4F8" w:val="clear"/>
            <w:shd w:fill="FCE8E6" w:val="clear"/>
          </w:tcPr>
          <w:p>
            <w:r>
              <w:rPr>
                <w:rFonts w:ascii="Calibri" w:hAnsi="Calibri"/>
                <w:color w:val="333333"/>
                <w:sz w:val="18"/>
              </w:rPr>
              <w:t>-32.3%</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2025-04-30</w:t>
            </w:r>
          </w:p>
        </w:tc>
        <w:tc>
          <w:tcPr>
            <w:tcW w:type="dxa" w:w="1440"/>
            <w:shd w:fill="FCE8E6" w:val="clear"/>
          </w:tcPr>
          <w:p>
            <w:r>
              <w:rPr>
                <w:rFonts w:ascii="Calibri" w:hAnsi="Calibri"/>
                <w:color w:val="333333"/>
                <w:sz w:val="18"/>
              </w:rPr>
              <w:t>-11.5%</w:t>
            </w:r>
          </w:p>
        </w:tc>
        <w:tc>
          <w:tcPr>
            <w:tcW w:type="dxa" w:w="1440"/>
            <w:shd w:fill="FCE8E6" w:val="clear"/>
          </w:tcPr>
          <w:p>
            <w:r>
              <w:rPr>
                <w:rFonts w:ascii="Calibri" w:hAnsi="Calibri"/>
                <w:color w:val="333333"/>
                <w:sz w:val="18"/>
              </w:rPr>
              <w:t>27%</w:t>
            </w:r>
          </w:p>
        </w:tc>
        <w:tc>
          <w:tcPr>
            <w:tcW w:type="dxa" w:w="1440"/>
            <w:shd w:fill="FCE8E6" w:val="clear"/>
          </w:tcPr>
          <w:p>
            <w:r>
              <w:rPr>
                <w:rFonts w:ascii="Calibri" w:hAnsi="Calibri"/>
                <w:color w:val="333333"/>
                <w:sz w:val="18"/>
              </w:rPr>
              <w:t>9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2024-09-13 (20d)</w:t>
            </w:r>
          </w:p>
        </w:tc>
        <w:tc>
          <w:tcPr>
            <w:tcW w:type="dxa" w:w="1440"/>
            <w:shd w:fill="F2F4F8" w:val="clear"/>
            <w:shd w:fill="FCE8E6" w:val="clear"/>
          </w:tcPr>
          <w:p>
            <w:r>
              <w:rPr>
                <w:rFonts w:ascii="Calibri" w:hAnsi="Calibri"/>
                <w:color w:val="333333"/>
                <w:sz w:val="18"/>
              </w:rPr>
              <w:t>-27.1%</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2024-08-06 (20d)</w:t>
            </w:r>
          </w:p>
        </w:tc>
        <w:tc>
          <w:tcPr>
            <w:tcW w:type="dxa" w:w="1440"/>
            <w:shd w:fill="FCE8E6" w:val="clear"/>
          </w:tcPr>
          <w:p>
            <w:r>
              <w:rPr>
                <w:rFonts w:ascii="Calibri" w:hAnsi="Calibri"/>
                <w:color w:val="333333"/>
                <w:sz w:val="18"/>
              </w:rPr>
              <w:t>-31.1%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2024-09-03 (20d)</w:t>
            </w:r>
          </w:p>
        </w:tc>
        <w:tc>
          <w:tcPr>
            <w:tcW w:type="dxa" w:w="1440"/>
            <w:shd w:fill="F2F4F8" w:val="clear"/>
            <w:shd w:fill="FCE8E6" w:val="clear"/>
          </w:tcPr>
          <w:p>
            <w:r>
              <w:rPr>
                <w:rFonts w:ascii="Calibri" w:hAnsi="Calibri"/>
                <w:color w:val="333333"/>
                <w:sz w:val="18"/>
              </w:rPr>
              <w:t>-27.4%</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2024-08-14 (20d)</w:t>
            </w:r>
          </w:p>
        </w:tc>
        <w:tc>
          <w:tcPr>
            <w:tcW w:type="dxa" w:w="1440"/>
            <w:shd w:fill="FCE8E6" w:val="clear"/>
          </w:tcPr>
          <w:p>
            <w:r>
              <w:rPr>
                <w:rFonts w:ascii="Calibri" w:hAnsi="Calibri"/>
                <w:color w:val="333333"/>
                <w:sz w:val="18"/>
              </w:rPr>
              <w:t>-29.3%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2025-01-14 (5d)</w:t>
            </w:r>
          </w:p>
        </w:tc>
        <w:tc>
          <w:tcPr>
            <w:tcW w:type="dxa" w:w="1440"/>
            <w:shd w:fill="F2F4F8" w:val="clear"/>
            <w:shd w:fill="FCE8E6" w:val="clear"/>
          </w:tcPr>
          <w:p>
            <w:r>
              <w:rPr>
                <w:rFonts w:ascii="Calibri" w:hAnsi="Calibri"/>
                <w:color w:val="333333"/>
                <w:sz w:val="18"/>
              </w:rPr>
              <w:t>-16.2%</w:t>
            </w:r>
          </w:p>
        </w:tc>
        <w:tc>
          <w:tcPr>
            <w:tcW w:type="dxa" w:w="1440"/>
            <w:shd w:fill="F2F4F8" w:val="clear"/>
            <w:shd w:fill="FCE8E6" w:val="clear"/>
          </w:tcPr>
          <w:p>
            <w:r>
              <w:rPr>
                <w:rFonts w:ascii="Calibri" w:hAnsi="Calibri"/>
                <w:color w:val="333333"/>
                <w:sz w:val="18"/>
              </w:rPr>
              <w:t>18%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2025-01-28 (2d)</w:t>
            </w:r>
          </w:p>
        </w:tc>
        <w:tc>
          <w:tcPr>
            <w:tcW w:type="dxa" w:w="1440"/>
            <w:shd w:fill="FCE8E6" w:val="clear"/>
          </w:tcPr>
          <w:p>
            <w:r>
              <w:rPr>
                <w:rFonts w:ascii="Calibri" w:hAnsi="Calibri"/>
                <w:color w:val="333333"/>
                <w:sz w:val="18"/>
              </w:rPr>
              <w:t>-15.3%</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2024-12-19 (5d)</w:t>
            </w:r>
          </w:p>
        </w:tc>
        <w:tc>
          <w:tcPr>
            <w:tcW w:type="dxa" w:w="1440"/>
            <w:shd w:fill="F2F4F8" w:val="clear"/>
            <w:shd w:fill="FCE8E6" w:val="clear"/>
          </w:tcPr>
          <w:p>
            <w:r>
              <w:rPr>
                <w:rFonts w:ascii="Calibri" w:hAnsi="Calibri"/>
                <w:color w:val="333333"/>
                <w:sz w:val="18"/>
              </w:rPr>
              <w:t>-17.6%</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2025-02-24 (2d)</w:t>
            </w:r>
          </w:p>
        </w:tc>
        <w:tc>
          <w:tcPr>
            <w:tcW w:type="dxa" w:w="1440"/>
            <w:shd w:fill="FCE8E6" w:val="clear"/>
          </w:tcPr>
          <w:p>
            <w:r>
              <w:rPr>
                <w:rFonts w:ascii="Calibri" w:hAnsi="Calibri"/>
                <w:color w:val="333333"/>
                <w:sz w:val="18"/>
              </w:rPr>
              <w:t>-12.9%</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2024-12-13 (5d)</w:t>
            </w:r>
          </w:p>
        </w:tc>
        <w:tc>
          <w:tcPr>
            <w:tcW w:type="dxa" w:w="1440"/>
            <w:shd w:fill="F2F4F8" w:val="clear"/>
            <w:shd w:fill="FCE8E6" w:val="clear"/>
          </w:tcPr>
          <w:p>
            <w:r>
              <w:rPr>
                <w:rFonts w:ascii="Calibri" w:hAnsi="Calibri"/>
                <w:color w:val="333333"/>
                <w:sz w:val="18"/>
              </w:rPr>
              <w:t>-17.0%</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2024-12-17 (5d)</w:t>
            </w:r>
          </w:p>
        </w:tc>
        <w:tc>
          <w:tcPr>
            <w:tcW w:type="dxa" w:w="1440"/>
            <w:shd w:fill="FCE8E6" w:val="clear"/>
          </w:tcPr>
          <w:p>
            <w:r>
              <w:rPr>
                <w:rFonts w:ascii="Calibri" w:hAnsi="Calibri"/>
                <w:color w:val="333333"/>
                <w:sz w:val="18"/>
              </w:rPr>
              <w:t>-16.6%</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2024-12-18 (5d)</w:t>
            </w:r>
          </w:p>
        </w:tc>
        <w:tc>
          <w:tcPr>
            <w:tcW w:type="dxa" w:w="1440"/>
            <w:shd w:fill="F2F4F8" w:val="clear"/>
            <w:shd w:fill="FCE8E6" w:val="clear"/>
          </w:tcPr>
          <w:p>
            <w:r>
              <w:rPr>
                <w:rFonts w:ascii="Calibri" w:hAnsi="Calibri"/>
                <w:color w:val="333333"/>
                <w:sz w:val="18"/>
              </w:rPr>
              <w:t>-15.8%</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2024-08-02 (20d)</w:t>
            </w:r>
          </w:p>
        </w:tc>
        <w:tc>
          <w:tcPr>
            <w:tcW w:type="dxa" w:w="1440"/>
            <w:shd w:fill="FCE8E6" w:val="clear"/>
          </w:tcPr>
          <w:p>
            <w:r>
              <w:rPr>
                <w:rFonts w:ascii="Calibri" w:hAnsi="Calibri"/>
                <w:color w:val="333333"/>
                <w:sz w:val="18"/>
              </w:rPr>
              <w:t>-26.2%</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2024-11-06</w:t>
            </w:r>
          </w:p>
        </w:tc>
        <w:tc>
          <w:tcPr>
            <w:tcW w:type="dxa" w:w="1440"/>
            <w:shd w:fill="F2F4F8" w:val="clear"/>
            <w:shd w:fill="FCE8E6" w:val="clear"/>
          </w:tcPr>
          <w:p>
            <w:r>
              <w:rPr>
                <w:rFonts w:ascii="Calibri" w:hAnsi="Calibri"/>
                <w:color w:val="333333"/>
                <w:sz w:val="18"/>
              </w:rPr>
              <w:t>-18.1%</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2025-01-27 (2d)</w:t>
            </w:r>
          </w:p>
        </w:tc>
        <w:tc>
          <w:tcPr>
            <w:tcW w:type="dxa" w:w="1440"/>
            <w:shd w:fill="FCE8E6" w:val="clear"/>
          </w:tcPr>
          <w:p>
            <w:r>
              <w:rPr>
                <w:rFonts w:ascii="Calibri" w:hAnsi="Calibri"/>
                <w:color w:val="333333"/>
                <w:sz w:val="18"/>
              </w:rPr>
              <w:t>-13.0%</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2025-01-27</w:t>
            </w:r>
          </w:p>
        </w:tc>
        <w:tc>
          <w:tcPr>
            <w:tcW w:type="dxa" w:w="1440"/>
            <w:shd w:fill="F2F4F8" w:val="clear"/>
            <w:shd w:fill="FCE8E6" w:val="clear"/>
          </w:tcPr>
          <w:p>
            <w:r>
              <w:rPr>
                <w:rFonts w:ascii="Calibri" w:hAnsi="Calibri"/>
                <w:color w:val="333333"/>
                <w:sz w:val="18"/>
              </w:rPr>
              <w:t>-12.6%</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2025-08-29</w:t>
            </w:r>
          </w:p>
        </w:tc>
        <w:tc>
          <w:tcPr>
            <w:tcW w:type="dxa" w:w="1440"/>
            <w:shd w:fill="FFF3CD" w:val="clear"/>
          </w:tcPr>
          <w:p>
            <w:r>
              <w:rPr>
                <w:rFonts w:ascii="Calibri" w:hAnsi="Calibri"/>
                <w:color w:val="333333"/>
                <w:sz w:val="18"/>
              </w:rPr>
              <w:t>-5.5%</w:t>
            </w:r>
          </w:p>
        </w:tc>
        <w:tc>
          <w:tcPr>
            <w:tcW w:type="dxa" w:w="1440"/>
            <w:shd w:fill="FFF3CD" w:val="clear"/>
          </w:tcPr>
          <w:p>
            <w:r>
              <w:rPr>
                <w:rFonts w:ascii="Calibri" w:hAnsi="Calibri"/>
                <w:color w:val="333333"/>
                <w:sz w:val="18"/>
              </w:rPr>
              <w:t>44%</w:t>
            </w:r>
          </w:p>
        </w:tc>
        <w:tc>
          <w:tcPr>
            <w:tcW w:type="dxa" w:w="1440"/>
            <w:shd w:fill="FFF3CD" w:val="clear"/>
          </w:tcPr>
          <w:p>
            <w:r>
              <w:rPr>
                <w:rFonts w:ascii="Calibri" w:hAnsi="Calibri"/>
                <w:color w:val="333333"/>
                <w:sz w:val="18"/>
              </w:rPr>
              <w:t>9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2025-08-19</w:t>
            </w:r>
          </w:p>
        </w:tc>
        <w:tc>
          <w:tcPr>
            <w:tcW w:type="dxa" w:w="1440"/>
            <w:shd w:fill="F2F4F8" w:val="clear"/>
            <w:shd w:fill="FFF3CD" w:val="clear"/>
          </w:tcPr>
          <w:p>
            <w:r>
              <w:rPr>
                <w:rFonts w:ascii="Calibri" w:hAnsi="Calibri"/>
                <w:color w:val="333333"/>
                <w:sz w:val="18"/>
              </w:rPr>
              <w:t>-5.7%</w:t>
            </w:r>
          </w:p>
        </w:tc>
        <w:tc>
          <w:tcPr>
            <w:tcW w:type="dxa" w:w="1440"/>
            <w:shd w:fill="F2F4F8" w:val="clear"/>
            <w:shd w:fill="FFF3CD" w:val="clear"/>
          </w:tcPr>
          <w:p>
            <w:r>
              <w:rPr>
                <w:rFonts w:ascii="Calibri" w:hAnsi="Calibri"/>
                <w:color w:val="333333"/>
                <w:sz w:val="18"/>
              </w:rPr>
              <w:t>42%</w:t>
            </w:r>
          </w:p>
        </w:tc>
        <w:tc>
          <w:tcPr>
            <w:tcW w:type="dxa" w:w="1440"/>
            <w:shd w:fill="F2F4F8" w:val="clear"/>
            <w:shd w:fill="FFF3CD" w:val="clear"/>
          </w:tcPr>
          <w:p>
            <w:r>
              <w:rPr>
                <w:rFonts w:ascii="Calibri" w:hAnsi="Calibri"/>
                <w:color w:val="333333"/>
                <w:sz w:val="18"/>
              </w:rPr>
              <w:t>21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2025-06-05</w:t>
            </w:r>
          </w:p>
        </w:tc>
        <w:tc>
          <w:tcPr>
            <w:tcW w:type="dxa" w:w="1440"/>
            <w:shd w:fill="FFF3CD" w:val="clear"/>
          </w:tcPr>
          <w:p>
            <w:r>
              <w:rPr>
                <w:rFonts w:ascii="Calibri" w:hAnsi="Calibri"/>
                <w:color w:val="333333"/>
                <w:sz w:val="18"/>
              </w:rPr>
              <w:t>-7.6%</w:t>
            </w:r>
          </w:p>
        </w:tc>
        <w:tc>
          <w:tcPr>
            <w:tcW w:type="dxa" w:w="1440"/>
            <w:shd w:fill="FFF3CD" w:val="clear"/>
          </w:tcPr>
          <w:p>
            <w:r>
              <w:rPr>
                <w:rFonts w:ascii="Calibri" w:hAnsi="Calibri"/>
                <w:color w:val="333333"/>
                <w:sz w:val="18"/>
              </w:rPr>
              <w:t>31%</w:t>
            </w:r>
          </w:p>
        </w:tc>
        <w:tc>
          <w:tcPr>
            <w:tcW w:type="dxa" w:w="1440"/>
            <w:shd w:fill="FFF3CD" w:val="clear"/>
          </w:tcPr>
          <w:p>
            <w:r>
              <w:rPr>
                <w:rFonts w:ascii="Calibri" w:hAnsi="Calibri"/>
                <w:color w:val="333333"/>
                <w:sz w:val="18"/>
              </w:rPr>
              <w:t>9 days</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2025-03-18</w:t>
            </w:r>
          </w:p>
        </w:tc>
        <w:tc>
          <w:tcPr>
            <w:tcW w:type="dxa" w:w="1440"/>
            <w:shd w:fill="F2F4F8" w:val="clear"/>
            <w:shd w:fill="FFF3CD" w:val="clear"/>
          </w:tcPr>
          <w:p>
            <w:r>
              <w:rPr>
                <w:rFonts w:ascii="Calibri" w:hAnsi="Calibri"/>
                <w:color w:val="333333"/>
                <w:sz w:val="18"/>
              </w:rPr>
              <w:t>-9.6%</w:t>
            </w:r>
          </w:p>
        </w:tc>
        <w:tc>
          <w:tcPr>
            <w:tcW w:type="dxa" w:w="1440"/>
            <w:shd w:fill="F2F4F8" w:val="clear"/>
            <w:shd w:fill="FFF3CD" w:val="clear"/>
          </w:tcPr>
          <w:p>
            <w:r>
              <w:rPr>
                <w:rFonts w:ascii="Calibri" w:hAnsi="Calibri"/>
                <w:color w:val="333333"/>
                <w:sz w:val="18"/>
              </w:rPr>
              <w:t>23%</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2024-12-11 (2d)</w:t>
            </w:r>
          </w:p>
        </w:tc>
        <w:tc>
          <w:tcPr>
            <w:tcW w:type="dxa" w:w="1440"/>
            <w:shd w:fill="FCE8E6" w:val="clear"/>
          </w:tcPr>
          <w:p>
            <w:r>
              <w:rPr>
                <w:rFonts w:ascii="Calibri" w:hAnsi="Calibri"/>
                <w:color w:val="333333"/>
                <w:sz w:val="18"/>
              </w:rPr>
              <w:t>-13.3%</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2025-03-26 (2d)</w:t>
            </w:r>
          </w:p>
        </w:tc>
        <w:tc>
          <w:tcPr>
            <w:tcW w:type="dxa" w:w="1440"/>
            <w:shd w:fill="F2F4F8" w:val="clear"/>
            <w:shd w:fill="FFF3CD" w:val="clear"/>
          </w:tcPr>
          <w:p>
            <w:r>
              <w:rPr>
                <w:rFonts w:ascii="Calibri" w:hAnsi="Calibri"/>
                <w:color w:val="333333"/>
                <w:sz w:val="18"/>
              </w:rPr>
              <w:t>-8.9%</w:t>
            </w:r>
          </w:p>
        </w:tc>
        <w:tc>
          <w:tcPr>
            <w:tcW w:type="dxa" w:w="1440"/>
            <w:shd w:fill="F2F4F8" w:val="clear"/>
            <w:shd w:fill="FFF3CD" w:val="clear"/>
          </w:tcPr>
          <w:p>
            <w:r>
              <w:rPr>
                <w:rFonts w:ascii="Calibri" w:hAnsi="Calibri"/>
                <w:color w:val="333333"/>
                <w:sz w:val="18"/>
              </w:rPr>
              <w:t>24%</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2025-04-10</w:t>
            </w:r>
          </w:p>
        </w:tc>
        <w:tc>
          <w:tcPr>
            <w:tcW w:type="dxa" w:w="1440"/>
            <w:shd w:fill="FFF3CD" w:val="clear"/>
          </w:tcPr>
          <w:p>
            <w:r>
              <w:rPr>
                <w:rFonts w:ascii="Calibri" w:hAnsi="Calibri"/>
                <w:color w:val="333333"/>
                <w:sz w:val="18"/>
              </w:rPr>
              <w:t>-8.2%</w:t>
            </w:r>
          </w:p>
        </w:tc>
        <w:tc>
          <w:tcPr>
            <w:tcW w:type="dxa" w:w="1440"/>
            <w:shd w:fill="FFF3CD" w:val="clear"/>
          </w:tcPr>
          <w:p>
            <w:r>
              <w:rPr>
                <w:rFonts w:ascii="Calibri" w:hAnsi="Calibri"/>
                <w:color w:val="333333"/>
                <w:sz w:val="18"/>
              </w:rPr>
              <w:t>25%</w:t>
            </w:r>
          </w:p>
        </w:tc>
        <w:tc>
          <w:tcPr>
            <w:tcW w:type="dxa" w:w="1440"/>
            <w:shd w:fill="FFF3CD" w:val="clear"/>
          </w:tcPr>
          <w:p>
            <w:r>
              <w:rPr>
                <w:rFonts w:ascii="Calibri" w:hAnsi="Calibri"/>
                <w:color w:val="333333"/>
                <w:sz w:val="18"/>
              </w:rPr>
              <w:t>11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Market-Wide Event</w:t>
            </w:r>
          </w:p>
        </w:tc>
        <w:tc>
          <w:tcPr>
            <w:tcW w:type="dxa" w:w="1440"/>
            <w:shd w:fill="FFF3CD"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2024-08-26 (2d)</w:t>
            </w:r>
          </w:p>
        </w:tc>
        <w:tc>
          <w:tcPr>
            <w:tcW w:type="dxa" w:w="1440"/>
            <w:shd w:fill="F2F4F8" w:val="clear"/>
            <w:shd w:fill="FCE8E6" w:val="clear"/>
          </w:tcPr>
          <w:p>
            <w:r>
              <w:rPr>
                <w:rFonts w:ascii="Calibri" w:hAnsi="Calibri"/>
                <w:color w:val="333333"/>
                <w:sz w:val="18"/>
              </w:rPr>
              <w:t>-19.0%</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2024-08-07</w:t>
            </w:r>
          </w:p>
        </w:tc>
        <w:tc>
          <w:tcPr>
            <w:tcW w:type="dxa" w:w="1440"/>
            <w:shd w:fill="FCE8E6" w:val="clear"/>
          </w:tcPr>
          <w:p>
            <w:r>
              <w:rPr>
                <w:rFonts w:ascii="Calibri" w:hAnsi="Calibri"/>
                <w:color w:val="333333"/>
                <w:sz w:val="18"/>
              </w:rPr>
              <w:t>-20.1%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2025-04-03 (2d)</w:t>
            </w:r>
          </w:p>
        </w:tc>
        <w:tc>
          <w:tcPr>
            <w:tcW w:type="dxa" w:w="1440"/>
            <w:shd w:fill="F2F4F8" w:val="clear"/>
            <w:shd w:fill="FFF3CD" w:val="clear"/>
          </w:tcPr>
          <w:p>
            <w:r>
              <w:rPr>
                <w:rFonts w:ascii="Calibri" w:hAnsi="Calibri"/>
                <w:color w:val="333333"/>
                <w:sz w:val="18"/>
              </w:rPr>
              <w:t>-7.7%</w:t>
            </w:r>
          </w:p>
        </w:tc>
        <w:tc>
          <w:tcPr>
            <w:tcW w:type="dxa" w:w="1440"/>
            <w:shd w:fill="F2F4F8" w:val="clear"/>
            <w:shd w:fill="FFF3CD" w:val="clear"/>
          </w:tcPr>
          <w:p>
            <w:r>
              <w:rPr>
                <w:rFonts w:ascii="Calibri" w:hAnsi="Calibri"/>
                <w:color w:val="333333"/>
                <w:sz w:val="18"/>
              </w:rPr>
              <w:t>25%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Market-Wide Event</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2025-02-11</w:t>
            </w:r>
          </w:p>
        </w:tc>
        <w:tc>
          <w:tcPr>
            <w:tcW w:type="dxa" w:w="1440"/>
            <w:shd w:fill="FFF3CD" w:val="clear"/>
          </w:tcPr>
          <w:p>
            <w:r>
              <w:rPr>
                <w:rFonts w:ascii="Calibri" w:hAnsi="Calibri"/>
                <w:color w:val="333333"/>
                <w:sz w:val="18"/>
              </w:rPr>
              <w:t>-9.5%</w:t>
            </w:r>
          </w:p>
        </w:tc>
        <w:tc>
          <w:tcPr>
            <w:tcW w:type="dxa" w:w="1440"/>
            <w:shd w:fill="FFF3CD" w:val="clear"/>
          </w:tcPr>
          <w:p>
            <w:r>
              <w:rPr>
                <w:rFonts w:ascii="Calibri" w:hAnsi="Calibri"/>
                <w:color w:val="333333"/>
                <w:sz w:val="18"/>
              </w:rPr>
              <w:t>20%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2024-05-01 to 2024-05-02 (2d)</w:t>
            </w:r>
          </w:p>
        </w:tc>
        <w:tc>
          <w:tcPr>
            <w:tcW w:type="dxa" w:w="1440"/>
            <w:shd w:fill="F2F4F8" w:val="clear"/>
            <w:shd w:fill="FCE8E6" w:val="clear"/>
          </w:tcPr>
          <w:p>
            <w:r>
              <w:rPr>
                <w:rFonts w:ascii="Calibri" w:hAnsi="Calibri"/>
                <w:color w:val="333333"/>
                <w:sz w:val="18"/>
              </w:rPr>
              <w:t>-27.3%</w:t>
            </w:r>
          </w:p>
        </w:tc>
        <w:tc>
          <w:tcPr>
            <w:tcW w:type="dxa" w:w="1440"/>
            <w:shd w:fill="F2F4F8" w:val="clear"/>
            <w:shd w:fill="FCE8E6" w:val="clear"/>
          </w:tcPr>
          <w:p>
            <w:r>
              <w:rPr>
                <w:rFonts w:ascii="Calibri" w:hAnsi="Calibri"/>
                <w:color w:val="333333"/>
                <w:sz w:val="18"/>
              </w:rPr>
              <w:t>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2025-03-13</w:t>
            </w:r>
          </w:p>
        </w:tc>
        <w:tc>
          <w:tcPr>
            <w:tcW w:type="dxa" w:w="1440"/>
            <w:shd w:fill="FFF3CD" w:val="clear"/>
          </w:tcPr>
          <w:p>
            <w:r>
              <w:rPr>
                <w:rFonts w:ascii="Calibri" w:hAnsi="Calibri"/>
                <w:color w:val="333333"/>
                <w:sz w:val="18"/>
              </w:rPr>
              <w:t>-8.0%</w:t>
            </w:r>
          </w:p>
        </w:tc>
        <w:tc>
          <w:tcPr>
            <w:tcW w:type="dxa" w:w="1440"/>
            <w:shd w:fill="FFF3CD" w:val="clear"/>
          </w:tcPr>
          <w:p>
            <w:r>
              <w:rPr>
                <w:rFonts w:ascii="Calibri" w:hAnsi="Calibri"/>
                <w:color w:val="333333"/>
                <w:sz w:val="18"/>
              </w:rPr>
              <w:t>23%</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2025-04-21</w:t>
            </w:r>
          </w:p>
        </w:tc>
        <w:tc>
          <w:tcPr>
            <w:tcW w:type="dxa" w:w="1440"/>
            <w:shd w:fill="F2F4F8" w:val="clear"/>
            <w:shd w:fill="FFF3CD" w:val="clear"/>
          </w:tcPr>
          <w:p>
            <w:r>
              <w:rPr>
                <w:rFonts w:ascii="Calibri" w:hAnsi="Calibri"/>
                <w:color w:val="333333"/>
                <w:sz w:val="18"/>
              </w:rPr>
              <w:t>-6.3%</w:t>
            </w:r>
          </w:p>
        </w:tc>
        <w:tc>
          <w:tcPr>
            <w:tcW w:type="dxa" w:w="1440"/>
            <w:shd w:fill="F2F4F8" w:val="clear"/>
            <w:shd w:fill="FFF3CD" w:val="clear"/>
          </w:tcPr>
          <w:p>
            <w:r>
              <w:rPr>
                <w:rFonts w:ascii="Calibri" w:hAnsi="Calibri"/>
                <w:color w:val="333333"/>
                <w:sz w:val="18"/>
              </w:rPr>
              <w:t>26%</w:t>
            </w:r>
          </w:p>
        </w:tc>
        <w:tc>
          <w:tcPr>
            <w:tcW w:type="dxa" w:w="1440"/>
            <w:shd w:fill="F2F4F8" w:val="clear"/>
            <w:shd w:fill="FFF3CD" w:val="clear"/>
          </w:tcPr>
          <w:p>
            <w:r>
              <w:rPr>
                <w:rFonts w:ascii="Calibri" w:hAnsi="Calibri"/>
                <w:color w:val="333333"/>
                <w:sz w:val="18"/>
              </w:rPr>
              <w:t>2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2024-04-19 to 2024-04-25 (7d)</w:t>
            </w:r>
          </w:p>
        </w:tc>
        <w:tc>
          <w:tcPr>
            <w:tcW w:type="dxa" w:w="1440"/>
            <w:shd w:fill="FCE8E6" w:val="clear"/>
          </w:tcPr>
          <w:p>
            <w:r>
              <w:rPr>
                <w:rFonts w:ascii="Calibri" w:hAnsi="Calibri"/>
                <w:color w:val="333333"/>
                <w:sz w:val="18"/>
              </w:rPr>
              <w:t>-26.9%</w:t>
            </w:r>
          </w:p>
        </w:tc>
        <w:tc>
          <w:tcPr>
            <w:tcW w:type="dxa" w:w="1440"/>
            <w:shd w:fill="FCE8E6" w:val="clear"/>
          </w:tcPr>
          <w:p>
            <w:r>
              <w:rPr>
                <w:rFonts w:ascii="Calibri" w:hAnsi="Calibri"/>
                <w:color w:val="333333"/>
                <w:sz w:val="18"/>
              </w:rPr>
              <w:t>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2024-11-11 (4d)</w:t>
            </w:r>
          </w:p>
        </w:tc>
        <w:tc>
          <w:tcPr>
            <w:tcW w:type="dxa" w:w="1440"/>
            <w:shd w:fill="F2F4F8" w:val="clear"/>
            <w:shd w:fill="FCE8E6" w:val="clear"/>
          </w:tcPr>
          <w:p>
            <w:r>
              <w:rPr>
                <w:rFonts w:ascii="Calibri" w:hAnsi="Calibri"/>
                <w:color w:val="333333"/>
                <w:sz w:val="18"/>
              </w:rPr>
              <w:t>-11.4%</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2024-09-26</w:t>
            </w:r>
          </w:p>
        </w:tc>
        <w:tc>
          <w:tcPr>
            <w:tcW w:type="dxa" w:w="1440"/>
            <w:shd w:fill="FCE8E6" w:val="clear"/>
          </w:tcPr>
          <w:p>
            <w:r>
              <w:rPr>
                <w:rFonts w:ascii="Calibri" w:hAnsi="Calibri"/>
                <w:color w:val="333333"/>
                <w:sz w:val="18"/>
              </w:rPr>
              <w:t>-13.2%</w:t>
            </w:r>
          </w:p>
        </w:tc>
        <w:tc>
          <w:tcPr>
            <w:tcW w:type="dxa" w:w="1440"/>
            <w:shd w:fill="FCE8E6" w:val="clear"/>
          </w:tcPr>
          <w:p>
            <w:r>
              <w:rPr>
                <w:rFonts w:ascii="Calibri" w:hAnsi="Calibri"/>
                <w:color w:val="333333"/>
                <w:sz w:val="18"/>
              </w:rPr>
              <w:t>12%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2024-11-26 (2d)</w:t>
            </w:r>
          </w:p>
        </w:tc>
        <w:tc>
          <w:tcPr>
            <w:tcW w:type="dxa" w:w="1440"/>
            <w:shd w:fill="F2F4F8" w:val="clear"/>
            <w:shd w:fill="FCE8E6" w:val="clear"/>
          </w:tcPr>
          <w:p>
            <w:r>
              <w:rPr>
                <w:rFonts w:ascii="Calibri" w:hAnsi="Calibri"/>
                <w:color w:val="333333"/>
                <w:sz w:val="18"/>
              </w:rPr>
              <w:t>-10.4%</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2024-04-19</w:t>
            </w:r>
          </w:p>
        </w:tc>
        <w:tc>
          <w:tcPr>
            <w:tcW w:type="dxa" w:w="1440"/>
            <w:shd w:fill="FCE8E6" w:val="clear"/>
          </w:tcPr>
          <w:p>
            <w:r>
              <w:rPr>
                <w:rFonts w:ascii="Calibri" w:hAnsi="Calibri"/>
                <w:color w:val="333333"/>
                <w:sz w:val="18"/>
              </w:rPr>
              <w:t>-23.1%</w:t>
            </w:r>
          </w:p>
        </w:tc>
        <w:tc>
          <w:tcPr>
            <w:tcW w:type="dxa" w:w="1440"/>
            <w:shd w:fill="FCE8E6" w:val="clear"/>
          </w:tcPr>
          <w:p>
            <w:r>
              <w:rPr>
                <w:rFonts w:ascii="Calibri" w:hAnsi="Calibri"/>
                <w:color w:val="333333"/>
                <w:sz w:val="18"/>
              </w:rPr>
              <w:t>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2024-04-22 (2d)</w:t>
            </w:r>
          </w:p>
        </w:tc>
        <w:tc>
          <w:tcPr>
            <w:tcW w:type="dxa" w:w="1440"/>
            <w:shd w:fill="F2F4F8" w:val="clear"/>
            <w:shd w:fill="FCE8E6" w:val="clear"/>
          </w:tcPr>
          <w:p>
            <w:r>
              <w:rPr>
                <w:rFonts w:ascii="Calibri" w:hAnsi="Calibri"/>
                <w:color w:val="333333"/>
                <w:sz w:val="18"/>
              </w:rPr>
              <w:t>-22.8%</w:t>
            </w:r>
          </w:p>
        </w:tc>
        <w:tc>
          <w:tcPr>
            <w:tcW w:type="dxa" w:w="1440"/>
            <w:shd w:fill="F2F4F8" w:val="clear"/>
            <w:shd w:fill="FCE8E6" w:val="clear"/>
          </w:tcPr>
          <w:p>
            <w:r>
              <w:rPr>
                <w:rFonts w:ascii="Calibri" w:hAnsi="Calibri"/>
                <w:color w:val="333333"/>
                <w:sz w:val="18"/>
              </w:rPr>
              <w:t>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2024-09-26</w:t>
            </w:r>
          </w:p>
        </w:tc>
        <w:tc>
          <w:tcPr>
            <w:tcW w:type="dxa" w:w="1440"/>
            <w:shd w:fill="FCE8E6" w:val="clear"/>
          </w:tcPr>
          <w:p>
            <w:r>
              <w:rPr>
                <w:rFonts w:ascii="Calibri" w:hAnsi="Calibri"/>
                <w:color w:val="333333"/>
                <w:sz w:val="18"/>
              </w:rPr>
              <w:t>-12.2%</w:t>
            </w:r>
          </w:p>
        </w:tc>
        <w:tc>
          <w:tcPr>
            <w:tcW w:type="dxa" w:w="1440"/>
            <w:shd w:fill="FCE8E6" w:val="clear"/>
          </w:tcPr>
          <w:p>
            <w:r>
              <w:rPr>
                <w:rFonts w:ascii="Calibri" w:hAnsi="Calibri"/>
                <w:color w:val="333333"/>
                <w:sz w:val="18"/>
              </w:rPr>
              <w:t>12%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2024-04-23 (5d)</w:t>
            </w:r>
          </w:p>
        </w:tc>
        <w:tc>
          <w:tcPr>
            <w:tcW w:type="dxa" w:w="1440"/>
            <w:shd w:fill="F2F4F8" w:val="clear"/>
            <w:shd w:fill="FCE8E6" w:val="clear"/>
          </w:tcPr>
          <w:p>
            <w:r>
              <w:rPr>
                <w:rFonts w:ascii="Calibri" w:hAnsi="Calibri"/>
                <w:color w:val="333333"/>
                <w:sz w:val="18"/>
              </w:rPr>
              <w:t>-22.0%</w:t>
            </w:r>
          </w:p>
        </w:tc>
        <w:tc>
          <w:tcPr>
            <w:tcW w:type="dxa" w:w="1440"/>
            <w:shd w:fill="F2F4F8" w:val="clear"/>
            <w:shd w:fill="FCE8E6" w:val="clear"/>
          </w:tcPr>
          <w:p>
            <w:r>
              <w:rPr>
                <w:rFonts w:ascii="Calibri" w:hAnsi="Calibri"/>
                <w:color w:val="333333"/>
                <w:sz w:val="18"/>
              </w:rPr>
              <w:t>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2024-04-24 (5d)</w:t>
            </w:r>
          </w:p>
        </w:tc>
        <w:tc>
          <w:tcPr>
            <w:tcW w:type="dxa" w:w="1440"/>
            <w:shd w:fill="FCE8E6" w:val="clear"/>
          </w:tcPr>
          <w:p>
            <w:r>
              <w:rPr>
                <w:rFonts w:ascii="Calibri" w:hAnsi="Calibri"/>
                <w:color w:val="333333"/>
                <w:sz w:val="18"/>
              </w:rPr>
              <w:t>-21.4%</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2024-12-16</w:t>
            </w:r>
          </w:p>
        </w:tc>
        <w:tc>
          <w:tcPr>
            <w:tcW w:type="dxa" w:w="1440"/>
            <w:shd w:fill="F2F4F8" w:val="clear"/>
            <w:shd w:fill="FFF3CD" w:val="clear"/>
          </w:tcPr>
          <w:p>
            <w:r>
              <w:rPr>
                <w:rFonts w:ascii="Calibri" w:hAnsi="Calibri"/>
                <w:color w:val="333333"/>
                <w:sz w:val="18"/>
              </w:rPr>
              <w:t>-8.3%</w:t>
            </w:r>
          </w:p>
        </w:tc>
        <w:tc>
          <w:tcPr>
            <w:tcW w:type="dxa" w:w="1440"/>
            <w:shd w:fill="F2F4F8" w:val="clear"/>
            <w:shd w:fill="FFF3CD" w:val="clear"/>
          </w:tcPr>
          <w:p>
            <w:r>
              <w:rPr>
                <w:rFonts w:ascii="Calibri" w:hAnsi="Calibri"/>
                <w:color w:val="333333"/>
                <w:sz w:val="18"/>
              </w:rPr>
              <w:t>16%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2024-12-10 (2d)</w:t>
            </w:r>
          </w:p>
        </w:tc>
        <w:tc>
          <w:tcPr>
            <w:tcW w:type="dxa" w:w="1440"/>
            <w:shd w:fill="FFF3CD" w:val="clear"/>
          </w:tcPr>
          <w:p>
            <w:r>
              <w:rPr>
                <w:rFonts w:ascii="Calibri" w:hAnsi="Calibri"/>
                <w:color w:val="333333"/>
                <w:sz w:val="18"/>
              </w:rPr>
              <w:t>-8.2%</w:t>
            </w:r>
          </w:p>
        </w:tc>
        <w:tc>
          <w:tcPr>
            <w:tcW w:type="dxa" w:w="1440"/>
            <w:shd w:fill="FFF3CD" w:val="clear"/>
          </w:tcPr>
          <w:p>
            <w:r>
              <w:rPr>
                <w:rFonts w:ascii="Calibri" w:hAnsi="Calibri"/>
                <w:color w:val="333333"/>
                <w:sz w:val="18"/>
              </w:rPr>
              <w:t>16%</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2024-11-20</w:t>
            </w:r>
          </w:p>
        </w:tc>
        <w:tc>
          <w:tcPr>
            <w:tcW w:type="dxa" w:w="1440"/>
            <w:shd w:fill="F2F4F8" w:val="clear"/>
            <w:shd w:fill="FFF3CD" w:val="clear"/>
          </w:tcPr>
          <w:p>
            <w:r>
              <w:rPr>
                <w:rFonts w:ascii="Calibri" w:hAnsi="Calibri"/>
                <w:color w:val="333333"/>
                <w:sz w:val="18"/>
              </w:rPr>
              <w:t>-8.7%</w:t>
            </w:r>
          </w:p>
        </w:tc>
        <w:tc>
          <w:tcPr>
            <w:tcW w:type="dxa" w:w="1440"/>
            <w:shd w:fill="F2F4F8" w:val="clear"/>
            <w:shd w:fill="FFF3CD" w:val="clear"/>
          </w:tcPr>
          <w:p>
            <w:r>
              <w:rPr>
                <w:rFonts w:ascii="Calibri" w:hAnsi="Calibri"/>
                <w:color w:val="333333"/>
                <w:sz w:val="18"/>
              </w:rPr>
              <w:t>15%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2025-02-03</w:t>
            </w:r>
          </w:p>
        </w:tc>
        <w:tc>
          <w:tcPr>
            <w:tcW w:type="dxa" w:w="1440"/>
            <w:shd w:fill="FFF3CD" w:val="clear"/>
          </w:tcPr>
          <w:p>
            <w:r>
              <w:rPr>
                <w:rFonts w:ascii="Calibri" w:hAnsi="Calibri"/>
                <w:color w:val="333333"/>
                <w:sz w:val="18"/>
              </w:rPr>
              <w:t>-5.9%</w:t>
            </w:r>
          </w:p>
        </w:tc>
        <w:tc>
          <w:tcPr>
            <w:tcW w:type="dxa" w:w="1440"/>
            <w:shd w:fill="FFF3CD" w:val="clear"/>
          </w:tcPr>
          <w:p>
            <w:r>
              <w:rPr>
                <w:rFonts w:ascii="Calibri" w:hAnsi="Calibri"/>
                <w:color w:val="333333"/>
                <w:sz w:val="18"/>
              </w:rPr>
              <w:t>20%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2024-08-27 (2d)</w:t>
            </w:r>
          </w:p>
        </w:tc>
        <w:tc>
          <w:tcPr>
            <w:tcW w:type="dxa" w:w="1440"/>
            <w:shd w:fill="F2F4F8" w:val="clear"/>
            <w:shd w:fill="FCE8E6" w:val="clear"/>
          </w:tcPr>
          <w:p>
            <w:r>
              <w:rPr>
                <w:rFonts w:ascii="Calibri" w:hAnsi="Calibri"/>
                <w:color w:val="333333"/>
                <w:sz w:val="18"/>
              </w:rPr>
              <w:t>-10.7%</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2024-07-24 to 2024-07-25 (2d)</w:t>
            </w:r>
          </w:p>
        </w:tc>
        <w:tc>
          <w:tcPr>
            <w:tcW w:type="dxa" w:w="1440"/>
            <w:shd w:fill="FCE8E6" w:val="clear"/>
          </w:tcPr>
          <w:p>
            <w:r>
              <w:rPr>
                <w:rFonts w:ascii="Calibri" w:hAnsi="Calibri"/>
                <w:color w:val="333333"/>
                <w:sz w:val="18"/>
              </w:rPr>
              <w:t>-11.2%</w:t>
            </w:r>
          </w:p>
        </w:tc>
        <w:tc>
          <w:tcPr>
            <w:tcW w:type="dxa" w:w="1440"/>
            <w:shd w:fill="FCE8E6" w:val="clear"/>
          </w:tcPr>
          <w:p>
            <w:r>
              <w:rPr>
                <w:rFonts w:ascii="Calibri" w:hAnsi="Calibri"/>
                <w:color w:val="333333"/>
                <w:sz w:val="18"/>
              </w:rPr>
              <w:t>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2025-01-07 (2d)</w:t>
            </w:r>
          </w:p>
        </w:tc>
        <w:tc>
          <w:tcPr>
            <w:tcW w:type="dxa" w:w="1440"/>
            <w:shd w:fill="F2F4F8" w:val="clear"/>
            <w:shd w:fill="FFF3CD" w:val="clear"/>
          </w:tcPr>
          <w:p>
            <w:r>
              <w:rPr>
                <w:rFonts w:ascii="Calibri" w:hAnsi="Calibri"/>
                <w:color w:val="333333"/>
                <w:sz w:val="18"/>
              </w:rPr>
              <w:t>-5.7%</w:t>
            </w:r>
          </w:p>
        </w:tc>
        <w:tc>
          <w:tcPr>
            <w:tcW w:type="dxa" w:w="1440"/>
            <w:shd w:fill="F2F4F8" w:val="clear"/>
            <w:shd w:fill="FFF3CD" w:val="clear"/>
          </w:tcPr>
          <w:p>
            <w:r>
              <w:rPr>
                <w:rFonts w:ascii="Calibri" w:hAnsi="Calibri"/>
                <w:color w:val="333333"/>
                <w:sz w:val="18"/>
              </w:rPr>
              <w:t>18%</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2024-04-25 (5d)</w:t>
            </w:r>
          </w:p>
        </w:tc>
        <w:tc>
          <w:tcPr>
            <w:tcW w:type="dxa" w:w="1440"/>
            <w:shd w:fill="FCE8E6" w:val="clear"/>
          </w:tcPr>
          <w:p>
            <w:r>
              <w:rPr>
                <w:rFonts w:ascii="Calibri" w:hAnsi="Calibri"/>
                <w:color w:val="333333"/>
                <w:sz w:val="18"/>
              </w:rPr>
              <w:t>-15.2%</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2024-05-01</w:t>
            </w:r>
          </w:p>
        </w:tc>
        <w:tc>
          <w:tcPr>
            <w:tcW w:type="dxa" w:w="1440"/>
            <w:shd w:fill="F2F4F8" w:val="clear"/>
            <w:shd w:fill="FCE8E6" w:val="clear"/>
          </w:tcPr>
          <w:p>
            <w:r>
              <w:rPr>
                <w:rFonts w:ascii="Calibri" w:hAnsi="Calibri"/>
                <w:color w:val="333333"/>
                <w:sz w:val="18"/>
              </w:rPr>
              <w:t>-14.0%</w:t>
            </w:r>
          </w:p>
        </w:tc>
        <w:tc>
          <w:tcPr>
            <w:tcW w:type="dxa" w:w="1440"/>
            <w:shd w:fill="F2F4F8" w:val="clear"/>
            <w:shd w:fill="FCE8E6" w:val="clear"/>
          </w:tcPr>
          <w:p>
            <w:r>
              <w:rPr>
                <w:rFonts w:ascii="Calibri" w:hAnsi="Calibri"/>
                <w:color w:val="333333"/>
                <w:sz w:val="18"/>
              </w:rPr>
              <w:t>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2024-12-27</w:t>
            </w:r>
          </w:p>
        </w:tc>
        <w:tc>
          <w:tcPr>
            <w:tcW w:type="dxa" w:w="1440"/>
            <w:shd w:fill="FFF3CD" w:val="clear"/>
          </w:tcPr>
          <w:p>
            <w:r>
              <w:rPr>
                <w:rFonts w:ascii="Calibri" w:hAnsi="Calibri"/>
                <w:color w:val="333333"/>
                <w:sz w:val="18"/>
              </w:rPr>
              <w:t>-5.2%</w:t>
            </w:r>
          </w:p>
        </w:tc>
        <w:tc>
          <w:tcPr>
            <w:tcW w:type="dxa" w:w="1440"/>
            <w:shd w:fill="FFF3CD" w:val="clear"/>
          </w:tcPr>
          <w:p>
            <w:r>
              <w:rPr>
                <w:rFonts w:ascii="Calibri" w:hAnsi="Calibri"/>
                <w:color w:val="333333"/>
                <w:sz w:val="18"/>
              </w:rPr>
              <w:t>17%</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2024-07-24</w:t>
            </w:r>
          </w:p>
        </w:tc>
        <w:tc>
          <w:tcPr>
            <w:tcW w:type="dxa" w:w="1440"/>
            <w:shd w:fill="F2F4F8" w:val="clear"/>
            <w:shd w:fill="FFF3CD" w:val="clear"/>
          </w:tcPr>
          <w:p>
            <w:r>
              <w:rPr>
                <w:rFonts w:ascii="Calibri" w:hAnsi="Calibri"/>
                <w:color w:val="333333"/>
                <w:sz w:val="18"/>
              </w:rPr>
              <w:t>-9.2%</w:t>
            </w:r>
          </w:p>
        </w:tc>
        <w:tc>
          <w:tcPr>
            <w:tcW w:type="dxa" w:w="1440"/>
            <w:shd w:fill="F2F4F8" w:val="clear"/>
            <w:shd w:fill="FFF3CD" w:val="clear"/>
          </w:tcPr>
          <w:p>
            <w:r>
              <w:rPr>
                <w:rFonts w:ascii="Calibri" w:hAnsi="Calibri"/>
                <w:color w:val="333333"/>
                <w:sz w:val="18"/>
              </w:rPr>
              <w:t>9%</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2024-05-02 (2d)</w:t>
            </w:r>
          </w:p>
        </w:tc>
        <w:tc>
          <w:tcPr>
            <w:tcW w:type="dxa" w:w="1440"/>
            <w:shd w:fill="FCE8E6" w:val="clear"/>
          </w:tcPr>
          <w:p>
            <w:r>
              <w:rPr>
                <w:rFonts w:ascii="Calibri" w:hAnsi="Calibri"/>
                <w:color w:val="333333"/>
                <w:sz w:val="18"/>
              </w:rPr>
              <w:t>-11.2%</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2024-09-06</w:t>
            </w:r>
          </w:p>
        </w:tc>
        <w:tc>
          <w:tcPr>
            <w:tcW w:type="dxa" w:w="1440"/>
            <w:shd w:fill="F2F4F8" w:val="clear"/>
            <w:shd w:fill="FFF3CD" w:val="clear"/>
          </w:tcPr>
          <w:p>
            <w:r>
              <w:rPr>
                <w:rFonts w:ascii="Calibri" w:hAnsi="Calibri"/>
                <w:color w:val="333333"/>
                <w:sz w:val="18"/>
              </w:rPr>
              <w:t>-6.8%</w:t>
            </w:r>
          </w:p>
        </w:tc>
        <w:tc>
          <w:tcPr>
            <w:tcW w:type="dxa" w:w="1440"/>
            <w:shd w:fill="F2F4F8" w:val="clear"/>
            <w:shd w:fill="FFF3CD" w:val="clear"/>
          </w:tcPr>
          <w:p>
            <w:r>
              <w:rPr>
                <w:rFonts w:ascii="Calibri" w:hAnsi="Calibri"/>
                <w:color w:val="333333"/>
                <w:sz w:val="18"/>
              </w:rPr>
              <w:t>11%</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2024-06-24 (2d)</w:t>
            </w:r>
          </w:p>
        </w:tc>
        <w:tc>
          <w:tcPr>
            <w:tcW w:type="dxa" w:w="1440"/>
            <w:shd w:fill="FFF3CD" w:val="clear"/>
          </w:tcPr>
          <w:p>
            <w:r>
              <w:rPr>
                <w:rFonts w:ascii="Calibri" w:hAnsi="Calibri"/>
                <w:color w:val="333333"/>
                <w:sz w:val="18"/>
              </w:rPr>
              <w:t>-8.7%</w:t>
            </w:r>
          </w:p>
        </w:tc>
        <w:tc>
          <w:tcPr>
            <w:tcW w:type="dxa" w:w="1440"/>
            <w:shd w:fill="FFF3CD" w:val="clear"/>
          </w:tcPr>
          <w:p>
            <w:r>
              <w:rPr>
                <w:rFonts w:ascii="Calibri" w:hAnsi="Calibri"/>
                <w:color w:val="333333"/>
                <w:sz w:val="18"/>
              </w:rPr>
              <w:t>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2024-08-02</w:t>
            </w:r>
          </w:p>
        </w:tc>
        <w:tc>
          <w:tcPr>
            <w:tcW w:type="dxa" w:w="1440"/>
            <w:shd w:fill="F2F4F8" w:val="clear"/>
            <w:shd w:fill="FFF3CD" w:val="clear"/>
          </w:tcPr>
          <w:p>
            <w:r>
              <w:rPr>
                <w:rFonts w:ascii="Calibri" w:hAnsi="Calibri"/>
                <w:color w:val="333333"/>
                <w:sz w:val="18"/>
              </w:rPr>
              <w:t>-7.1%</w:t>
            </w:r>
          </w:p>
        </w:tc>
        <w:tc>
          <w:tcPr>
            <w:tcW w:type="dxa" w:w="1440"/>
            <w:shd w:fill="F2F4F8" w:val="clear"/>
            <w:shd w:fill="FFF3CD" w:val="clear"/>
          </w:tcPr>
          <w:p>
            <w:r>
              <w:rPr>
                <w:rFonts w:ascii="Calibri" w:hAnsi="Calibri"/>
                <w:color w:val="333333"/>
                <w:sz w:val="18"/>
              </w:rPr>
              <w:t>10%</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2024-07-17</w:t>
            </w:r>
          </w:p>
        </w:tc>
        <w:tc>
          <w:tcPr>
            <w:tcW w:type="dxa" w:w="1440"/>
            <w:shd w:fill="FFF3CD" w:val="clear"/>
          </w:tcPr>
          <w:p>
            <w:r>
              <w:rPr>
                <w:rFonts w:ascii="Calibri" w:hAnsi="Calibri"/>
                <w:color w:val="333333"/>
                <w:sz w:val="18"/>
              </w:rPr>
              <w:t>-6.9%</w:t>
            </w:r>
          </w:p>
        </w:tc>
        <w:tc>
          <w:tcPr>
            <w:tcW w:type="dxa" w:w="1440"/>
            <w:shd w:fill="FFF3CD" w:val="clear"/>
          </w:tcPr>
          <w:p>
            <w:r>
              <w:rPr>
                <w:rFonts w:ascii="Calibri" w:hAnsi="Calibri"/>
                <w:color w:val="333333"/>
                <w:sz w:val="18"/>
              </w:rPr>
              <w:t>9%</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2024-10-08</w:t>
            </w:r>
          </w:p>
        </w:tc>
        <w:tc>
          <w:tcPr>
            <w:tcW w:type="dxa" w:w="1440"/>
            <w:shd w:fill="F2F4F8" w:val="clear"/>
            <w:shd w:fill="FFF3CD" w:val="clear"/>
          </w:tcPr>
          <w:p>
            <w:r>
              <w:rPr>
                <w:rFonts w:ascii="Calibri" w:hAnsi="Calibri"/>
                <w:color w:val="333333"/>
                <w:sz w:val="18"/>
              </w:rPr>
              <w:t>-5.0%</w:t>
            </w:r>
          </w:p>
        </w:tc>
        <w:tc>
          <w:tcPr>
            <w:tcW w:type="dxa" w:w="1440"/>
            <w:shd w:fill="F2F4F8" w:val="clear"/>
            <w:shd w:fill="FFF3CD" w:val="clear"/>
          </w:tcPr>
          <w:p>
            <w:r>
              <w:rPr>
                <w:rFonts w:ascii="Calibri" w:hAnsi="Calibri"/>
                <w:color w:val="333333"/>
                <w:sz w:val="18"/>
              </w:rPr>
              <w:t>12%</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2024-05-31</w:t>
            </w:r>
          </w:p>
        </w:tc>
        <w:tc>
          <w:tcPr>
            <w:tcW w:type="dxa" w:w="1440"/>
            <w:shd w:fill="FFF3CD" w:val="clear"/>
          </w:tcPr>
          <w:p>
            <w:r>
              <w:rPr>
                <w:rFonts w:ascii="Calibri" w:hAnsi="Calibri"/>
                <w:color w:val="333333"/>
                <w:sz w:val="18"/>
              </w:rPr>
              <w:t>-5.2%</w:t>
            </w:r>
          </w:p>
        </w:tc>
        <w:tc>
          <w:tcPr>
            <w:tcW w:type="dxa" w:w="1440"/>
            <w:shd w:fill="FFF3CD" w:val="clear"/>
          </w:tcPr>
          <w:p>
            <w:r>
              <w:rPr>
                <w:rFonts w:ascii="Calibri" w:hAnsi="Calibri"/>
                <w:color w:val="333333"/>
                <w:sz w:val="18"/>
              </w:rPr>
              <w:t>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r>
        <w:tc>
          <w:tcPr>
            <w:tcW w:type="dxa" w:w="1440"/>
            <w:shd w:fill="F2F4F8" w:val="clear"/>
            <w:shd w:fill="FFF3CD" w:val="clear"/>
          </w:tcPr>
          <w:p>
            <w:r>
              <w:rPr>
                <w:rFonts w:ascii="Calibri" w:hAnsi="Calibri"/>
                <w:color w:val="333333"/>
                <w:sz w:val="18"/>
              </w:rPr>
              <w:t>2024-05-16</w:t>
            </w:r>
          </w:p>
        </w:tc>
        <w:tc>
          <w:tcPr>
            <w:tcW w:type="dxa" w:w="1440"/>
            <w:shd w:fill="F2F4F8" w:val="clear"/>
            <w:shd w:fill="FFF3CD" w:val="clear"/>
          </w:tcPr>
          <w:p>
            <w:r>
              <w:rPr>
                <w:rFonts w:ascii="Calibri" w:hAnsi="Calibri"/>
                <w:color w:val="333333"/>
                <w:sz w:val="18"/>
              </w:rPr>
              <w:t>-5.0%</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https://finance.yahoo.com/quote/SMCI/</w:t>
            </w:r>
          </w:p>
        </w:tc>
      </w:tr>
      <w:tr>
        <w:tc>
          <w:tcPr>
            <w:tcW w:type="dxa" w:w="1440"/>
            <w:shd w:fill="FFF3CD" w:val="clear"/>
          </w:tcPr>
          <w:p>
            <w:r>
              <w:rPr>
                <w:rFonts w:ascii="Calibri" w:hAnsi="Calibri"/>
                <w:color w:val="333333"/>
                <w:sz w:val="18"/>
              </w:rPr>
              <w:t>2024-04-04</w:t>
            </w:r>
          </w:p>
        </w:tc>
        <w:tc>
          <w:tcPr>
            <w:tcW w:type="dxa" w:w="1440"/>
            <w:shd w:fill="FFF3CD" w:val="clear"/>
          </w:tcPr>
          <w:p>
            <w:r>
              <w:rPr>
                <w:rFonts w:ascii="Calibri" w:hAnsi="Calibri"/>
                <w:color w:val="333333"/>
                <w:sz w:val="18"/>
              </w:rPr>
              <w:t>-5.7%</w:t>
            </w:r>
          </w:p>
        </w:tc>
        <w:tc>
          <w:tcPr>
            <w:tcW w:type="dxa" w:w="1440"/>
            <w:shd w:fill="FFF3CD" w:val="clear"/>
          </w:tcPr>
          <w:p>
            <w:r>
              <w:rPr>
                <w:rFonts w:ascii="Calibri" w:hAnsi="Calibri"/>
                <w:color w:val="333333"/>
                <w:sz w:val="18"/>
              </w:rPr>
              <w:t>6%</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https://finance.yahoo.com/quote/SMCI/</w:t>
            </w:r>
          </w:p>
        </w:tc>
      </w:tr>
    </w:tbl>
    <w:p>
      <w:pPr>
        <w:pStyle w:val="DOBody"/>
      </w:pPr>
      <w:r>
        <w:t>137 significant stock decline events detected in the 5Y period: 137 critical (&gt;10%). 137 were company-specific,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2026-03-20 to 2026-04-02 (14d)</w:t>
            </w:r>
          </w:p>
        </w:tc>
        <w:tc>
          <w:tcPr>
            <w:tcW w:type="dxa" w:w="1440"/>
            <w:shd w:fill="FCE8E6" w:val="clear"/>
          </w:tcPr>
          <w:p>
            <w:r>
              <w:rPr>
                <w:rFonts w:ascii="Calibri" w:hAnsi="Calibri"/>
                <w:color w:val="333333"/>
                <w:sz w:val="18"/>
              </w:rPr>
              <w:t>-38.9%</w:t>
            </w:r>
          </w:p>
        </w:tc>
        <w:tc>
          <w:tcPr>
            <w:tcW w:type="dxa" w:w="1440"/>
            <w:shd w:fill="FCE8E6" w:val="clear"/>
          </w:tcPr>
          <w:p>
            <w:r>
              <w:rPr>
                <w:rFonts w:ascii="Calibri" w:hAnsi="Calibri"/>
                <w:color w:val="333333"/>
                <w:sz w:val="18"/>
              </w:rPr>
              <w:t>95%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2026-03-30 (20d)</w:t>
            </w:r>
          </w:p>
        </w:tc>
        <w:tc>
          <w:tcPr>
            <w:tcW w:type="dxa" w:w="1440"/>
            <w:shd w:fill="F2F4F8" w:val="clear"/>
            <w:shd w:fill="FCE8E6" w:val="clear"/>
          </w:tcPr>
          <w:p>
            <w:r>
              <w:rPr>
                <w:rFonts w:ascii="Calibri" w:hAnsi="Calibri"/>
                <w:color w:val="333333"/>
                <w:sz w:val="18"/>
              </w:rPr>
              <w:t>-33.8%</w:t>
            </w:r>
          </w:p>
        </w:tc>
        <w:tc>
          <w:tcPr>
            <w:tcW w:type="dxa" w:w="1440"/>
            <w:shd w:fill="F2F4F8" w:val="clear"/>
            <w:shd w:fill="FCE8E6" w:val="clear"/>
          </w:tcPr>
          <w:p>
            <w:r>
              <w:rPr>
                <w:rFonts w:ascii="Calibri" w:hAnsi="Calibri"/>
                <w:color w:val="333333"/>
                <w:sz w:val="18"/>
              </w:rPr>
              <w:t>99%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2026-03-20</w:t>
            </w:r>
          </w:p>
        </w:tc>
        <w:tc>
          <w:tcPr>
            <w:tcW w:type="dxa" w:w="1440"/>
            <w:shd w:fill="FCE8E6" w:val="clear"/>
          </w:tcPr>
          <w:p>
            <w:r>
              <w:rPr>
                <w:rFonts w:ascii="Calibri" w:hAnsi="Calibri"/>
                <w:color w:val="333333"/>
                <w:sz w:val="18"/>
              </w:rPr>
              <w:t>-33.3%</w:t>
            </w:r>
          </w:p>
        </w:tc>
        <w:tc>
          <w:tcPr>
            <w:tcW w:type="dxa" w:w="1440"/>
            <w:shd w:fill="FCE8E6" w:val="clear"/>
          </w:tcPr>
          <w:p>
            <w:r>
              <w:rPr>
                <w:rFonts w:ascii="Calibri" w:hAnsi="Calibri"/>
                <w:color w:val="333333"/>
                <w:sz w:val="18"/>
              </w:rPr>
              <w:t>95%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2026-03-27 (20d)</w:t>
            </w:r>
          </w:p>
        </w:tc>
        <w:tc>
          <w:tcPr>
            <w:tcW w:type="dxa" w:w="1440"/>
            <w:shd w:fill="F2F4F8" w:val="clear"/>
            <w:shd w:fill="FCE8E6" w:val="clear"/>
          </w:tcPr>
          <w:p>
            <w:r>
              <w:rPr>
                <w:rFonts w:ascii="Calibri" w:hAnsi="Calibri"/>
                <w:color w:val="333333"/>
                <w:sz w:val="18"/>
              </w:rPr>
              <w:t>-32.2%</w:t>
            </w:r>
          </w:p>
        </w:tc>
        <w:tc>
          <w:tcPr>
            <w:tcW w:type="dxa" w:w="1440"/>
            <w:shd w:fill="F2F4F8" w:val="clear"/>
            <w:shd w:fill="FCE8E6" w:val="clear"/>
          </w:tcPr>
          <w:p>
            <w:r>
              <w:rPr>
                <w:rFonts w:ascii="Calibri" w:hAnsi="Calibri"/>
                <w:color w:val="333333"/>
                <w:sz w:val="18"/>
              </w:rPr>
              <w:t>98%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2026-03-23 (5d)</w:t>
            </w:r>
          </w:p>
        </w:tc>
        <w:tc>
          <w:tcPr>
            <w:tcW w:type="dxa" w:w="1440"/>
            <w:shd w:fill="FCE8E6" w:val="clear"/>
          </w:tcPr>
          <w:p>
            <w:r>
              <w:rPr>
                <w:rFonts w:ascii="Calibri" w:hAnsi="Calibri"/>
                <w:color w:val="333333"/>
                <w:sz w:val="18"/>
              </w:rPr>
              <w:t>-32.3%</w:t>
            </w:r>
          </w:p>
        </w:tc>
        <w:tc>
          <w:tcPr>
            <w:tcW w:type="dxa" w:w="1440"/>
            <w:shd w:fill="FCE8E6" w:val="clear"/>
          </w:tcPr>
          <w:p>
            <w:r>
              <w:rPr>
                <w:rFonts w:ascii="Calibri" w:hAnsi="Calibri"/>
                <w:color w:val="333333"/>
                <w:sz w:val="18"/>
              </w:rPr>
              <w:t>96%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2026-04-01 (20d)</w:t>
            </w:r>
          </w:p>
        </w:tc>
        <w:tc>
          <w:tcPr>
            <w:tcW w:type="dxa" w:w="1440"/>
            <w:shd w:fill="F2F4F8" w:val="clear"/>
            <w:shd w:fill="FCE8E6" w:val="clear"/>
          </w:tcPr>
          <w:p>
            <w:r>
              <w:rPr>
                <w:rFonts w:ascii="Calibri" w:hAnsi="Calibri"/>
                <w:color w:val="333333"/>
                <w:sz w:val="18"/>
              </w:rPr>
              <w:t>-31.1%</w:t>
            </w:r>
          </w:p>
        </w:tc>
        <w:tc>
          <w:tcPr>
            <w:tcW w:type="dxa" w:w="1440"/>
            <w:shd w:fill="F2F4F8" w:val="clear"/>
            <w:shd w:fill="FCE8E6" w:val="clear"/>
          </w:tcPr>
          <w:p>
            <w:r>
              <w:rPr>
                <w:rFonts w:ascii="Calibri" w:hAnsi="Calibri"/>
                <w:color w:val="333333"/>
                <w:sz w:val="18"/>
              </w:rPr>
              <w:t>100%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2026-03-26 (20d)</w:t>
            </w:r>
          </w:p>
        </w:tc>
        <w:tc>
          <w:tcPr>
            <w:tcW w:type="dxa" w:w="1440"/>
            <w:shd w:fill="FCE8E6" w:val="clear"/>
          </w:tcPr>
          <w:p>
            <w:r>
              <w:rPr>
                <w:rFonts w:ascii="Calibri" w:hAnsi="Calibri"/>
                <w:color w:val="333333"/>
                <w:sz w:val="18"/>
              </w:rPr>
              <w:t>-31.2%</w:t>
            </w:r>
          </w:p>
        </w:tc>
        <w:tc>
          <w:tcPr>
            <w:tcW w:type="dxa" w:w="1440"/>
            <w:shd w:fill="FCE8E6" w:val="clear"/>
          </w:tcPr>
          <w:p>
            <w:r>
              <w:rPr>
                <w:rFonts w:ascii="Calibri" w:hAnsi="Calibri"/>
                <w:color w:val="333333"/>
                <w:sz w:val="18"/>
              </w:rPr>
              <w:t>97%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2026-03-24 (5d)</w:t>
            </w:r>
          </w:p>
        </w:tc>
        <w:tc>
          <w:tcPr>
            <w:tcW w:type="dxa" w:w="1440"/>
            <w:shd w:fill="F2F4F8" w:val="clear"/>
            <w:shd w:fill="FCE8E6" w:val="clear"/>
          </w:tcPr>
          <w:p>
            <w:r>
              <w:rPr>
                <w:rFonts w:ascii="Calibri" w:hAnsi="Calibri"/>
                <w:color w:val="333333"/>
                <w:sz w:val="18"/>
              </w:rPr>
              <w:t>-29.4%</w:t>
            </w:r>
          </w:p>
        </w:tc>
        <w:tc>
          <w:tcPr>
            <w:tcW w:type="dxa" w:w="1440"/>
            <w:shd w:fill="F2F4F8" w:val="clear"/>
            <w:shd w:fill="FCE8E6" w:val="clear"/>
          </w:tcPr>
          <w:p>
            <w:r>
              <w:rPr>
                <w:rFonts w:ascii="Calibri" w:hAnsi="Calibri"/>
                <w:color w:val="333333"/>
                <w:sz w:val="18"/>
              </w:rPr>
              <w:t>97%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2026-04-02 (20d)</w:t>
            </w:r>
          </w:p>
        </w:tc>
        <w:tc>
          <w:tcPr>
            <w:tcW w:type="dxa" w:w="1440"/>
            <w:shd w:fill="FCE8E6" w:val="clear"/>
          </w:tcPr>
          <w:p>
            <w:r>
              <w:rPr>
                <w:rFonts w:ascii="Calibri" w:hAnsi="Calibri"/>
                <w:color w:val="333333"/>
                <w:sz w:val="18"/>
              </w:rPr>
              <w:t>-28.0%</w:t>
            </w:r>
          </w:p>
        </w:tc>
        <w:tc>
          <w:tcPr>
            <w:tcW w:type="dxa" w:w="1440"/>
            <w:shd w:fill="FCE8E6" w:val="clear"/>
          </w:tcPr>
          <w:p>
            <w:r>
              <w:rPr>
                <w:rFonts w:ascii="Calibri" w:hAnsi="Calibri"/>
                <w:color w:val="333333"/>
                <w:sz w:val="18"/>
              </w:rPr>
              <w:t>100%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2026-03-25 (20d)</w:t>
            </w:r>
          </w:p>
        </w:tc>
        <w:tc>
          <w:tcPr>
            <w:tcW w:type="dxa" w:w="1440"/>
            <w:shd w:fill="F2F4F8" w:val="clear"/>
            <w:shd w:fill="FCE8E6" w:val="clear"/>
          </w:tcPr>
          <w:p>
            <w:r>
              <w:rPr>
                <w:rFonts w:ascii="Calibri" w:hAnsi="Calibri"/>
                <w:color w:val="333333"/>
                <w:sz w:val="18"/>
              </w:rPr>
              <w:t>-28.4%</w:t>
            </w:r>
          </w:p>
        </w:tc>
        <w:tc>
          <w:tcPr>
            <w:tcW w:type="dxa" w:w="1440"/>
            <w:shd w:fill="F2F4F8" w:val="clear"/>
            <w:shd w:fill="FCE8E6" w:val="clear"/>
          </w:tcPr>
          <w:p>
            <w:r>
              <w:rPr>
                <w:rFonts w:ascii="Calibri" w:hAnsi="Calibri"/>
                <w:color w:val="333333"/>
                <w:sz w:val="18"/>
              </w:rPr>
              <w:t>97%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2026-03-31 (20d)</w:t>
            </w:r>
          </w:p>
        </w:tc>
        <w:tc>
          <w:tcPr>
            <w:tcW w:type="dxa" w:w="1440"/>
            <w:shd w:fill="FCE8E6" w:val="clear"/>
          </w:tcPr>
          <w:p>
            <w:r>
              <w:rPr>
                <w:rFonts w:ascii="Calibri" w:hAnsi="Calibri"/>
                <w:color w:val="333333"/>
                <w:sz w:val="18"/>
              </w:rPr>
              <w:t>-25.8%</w:t>
            </w:r>
          </w:p>
        </w:tc>
        <w:tc>
          <w:tcPr>
            <w:tcW w:type="dxa" w:w="1440"/>
            <w:shd w:fill="FCE8E6" w:val="clear"/>
          </w:tcPr>
          <w:p>
            <w:r>
              <w:rPr>
                <w:rFonts w:ascii="Calibri" w:hAnsi="Calibri"/>
                <w:color w:val="333333"/>
                <w:sz w:val="18"/>
              </w:rPr>
              <w:t>99%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2025-11-25 (20d)</w:t>
            </w:r>
          </w:p>
        </w:tc>
        <w:tc>
          <w:tcPr>
            <w:tcW w:type="dxa" w:w="1440"/>
            <w:shd w:fill="F2F4F8" w:val="clear"/>
            <w:shd w:fill="FCE8E6" w:val="clear"/>
          </w:tcPr>
          <w:p>
            <w:r>
              <w:rPr>
                <w:rFonts w:ascii="Calibri" w:hAnsi="Calibri"/>
                <w:color w:val="333333"/>
                <w:sz w:val="18"/>
              </w:rPr>
              <w:t>-38.0%</w:t>
            </w:r>
          </w:p>
        </w:tc>
        <w:tc>
          <w:tcPr>
            <w:tcW w:type="dxa" w:w="1440"/>
            <w:shd w:fill="F2F4F8" w:val="clear"/>
            <w:shd w:fill="FCE8E6" w:val="clear"/>
          </w:tcPr>
          <w:p>
            <w:r>
              <w:rPr>
                <w:rFonts w:ascii="Calibri" w:hAnsi="Calibri"/>
                <w:color w:val="333333"/>
                <w:sz w:val="18"/>
              </w:rPr>
              <w:t>61%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2025-11-26 (20d)</w:t>
            </w:r>
          </w:p>
        </w:tc>
        <w:tc>
          <w:tcPr>
            <w:tcW w:type="dxa" w:w="1440"/>
            <w:shd w:fill="FCE8E6" w:val="clear"/>
          </w:tcPr>
          <w:p>
            <w:r>
              <w:rPr>
                <w:rFonts w:ascii="Calibri" w:hAnsi="Calibri"/>
                <w:color w:val="333333"/>
                <w:sz w:val="18"/>
              </w:rPr>
              <w:t>-37.7%</w:t>
            </w:r>
          </w:p>
        </w:tc>
        <w:tc>
          <w:tcPr>
            <w:tcW w:type="dxa" w:w="1440"/>
            <w:shd w:fill="FCE8E6" w:val="clear"/>
          </w:tcPr>
          <w:p>
            <w:r>
              <w:rPr>
                <w:rFonts w:ascii="Calibri" w:hAnsi="Calibri"/>
                <w:color w:val="333333"/>
                <w:sz w:val="18"/>
              </w:rPr>
              <w:t>61%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2025-11-04 to 2025-12-03 (30d)</w:t>
            </w:r>
          </w:p>
        </w:tc>
        <w:tc>
          <w:tcPr>
            <w:tcW w:type="dxa" w:w="1440"/>
            <w:shd w:fill="F2F4F8" w:val="clear"/>
            <w:shd w:fill="FCE8E6" w:val="clear"/>
          </w:tcPr>
          <w:p>
            <w:r>
              <w:rPr>
                <w:rFonts w:ascii="Calibri" w:hAnsi="Calibri"/>
                <w:color w:val="333333"/>
                <w:sz w:val="18"/>
              </w:rPr>
              <w:t>-46.2%</w:t>
            </w:r>
          </w:p>
        </w:tc>
        <w:tc>
          <w:tcPr>
            <w:tcW w:type="dxa" w:w="1440"/>
            <w:shd w:fill="F2F4F8" w:val="clear"/>
            <w:shd w:fill="FCE8E6" w:val="clear"/>
          </w:tcPr>
          <w:p>
            <w:r>
              <w:rPr>
                <w:rFonts w:ascii="Calibri" w:hAnsi="Calibri"/>
                <w:color w:val="333333"/>
                <w:sz w:val="18"/>
              </w:rPr>
              <w:t>59%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2025-12-01 (20d)</w:t>
            </w:r>
          </w:p>
        </w:tc>
        <w:tc>
          <w:tcPr>
            <w:tcW w:type="dxa" w:w="1440"/>
            <w:shd w:fill="FCE8E6" w:val="clear"/>
          </w:tcPr>
          <w:p>
            <w:r>
              <w:rPr>
                <w:rFonts w:ascii="Calibri" w:hAnsi="Calibri"/>
                <w:color w:val="333333"/>
                <w:sz w:val="18"/>
              </w:rPr>
              <w:t>-35.7%</w:t>
            </w:r>
          </w:p>
        </w:tc>
        <w:tc>
          <w:tcPr>
            <w:tcW w:type="dxa" w:w="1440"/>
            <w:shd w:fill="FCE8E6" w:val="clear"/>
          </w:tcPr>
          <w:p>
            <w:r>
              <w:rPr>
                <w:rFonts w:ascii="Calibri" w:hAnsi="Calibri"/>
                <w:color w:val="333333"/>
                <w:sz w:val="18"/>
              </w:rPr>
              <w:t>63%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2025-12-02 (20d)</w:t>
            </w:r>
          </w:p>
        </w:tc>
        <w:tc>
          <w:tcPr>
            <w:tcW w:type="dxa" w:w="1440"/>
            <w:shd w:fill="F2F4F8" w:val="clear"/>
            <w:shd w:fill="FCE8E6" w:val="clear"/>
          </w:tcPr>
          <w:p>
            <w:r>
              <w:rPr>
                <w:rFonts w:ascii="Calibri" w:hAnsi="Calibri"/>
                <w:color w:val="333333"/>
                <w:sz w:val="18"/>
              </w:rPr>
              <w:t>-35.1%</w:t>
            </w:r>
          </w:p>
        </w:tc>
        <w:tc>
          <w:tcPr>
            <w:tcW w:type="dxa" w:w="1440"/>
            <w:shd w:fill="F2F4F8" w:val="clear"/>
            <w:shd w:fill="FCE8E6" w:val="clear"/>
          </w:tcPr>
          <w:p>
            <w:r>
              <w:rPr>
                <w:rFonts w:ascii="Calibri" w:hAnsi="Calibri"/>
                <w:color w:val="333333"/>
                <w:sz w:val="18"/>
              </w:rPr>
              <w:t>63%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2025-11-18 (20d)</w:t>
            </w:r>
          </w:p>
        </w:tc>
        <w:tc>
          <w:tcPr>
            <w:tcW w:type="dxa" w:w="1440"/>
            <w:shd w:fill="FCE8E6" w:val="clear"/>
          </w:tcPr>
          <w:p>
            <w:r>
              <w:rPr>
                <w:rFonts w:ascii="Calibri" w:hAnsi="Calibri"/>
                <w:color w:val="333333"/>
                <w:sz w:val="18"/>
              </w:rPr>
              <w:t>-36.3%</w:t>
            </w:r>
          </w:p>
        </w:tc>
        <w:tc>
          <w:tcPr>
            <w:tcW w:type="dxa" w:w="1440"/>
            <w:shd w:fill="FCE8E6" w:val="clear"/>
          </w:tcPr>
          <w:p>
            <w:r>
              <w:rPr>
                <w:rFonts w:ascii="Calibri" w:hAnsi="Calibri"/>
                <w:color w:val="333333"/>
                <w:sz w:val="18"/>
              </w:rPr>
              <w:t>59%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2025-11-24 (20d)</w:t>
            </w:r>
          </w:p>
        </w:tc>
        <w:tc>
          <w:tcPr>
            <w:tcW w:type="dxa" w:w="1440"/>
            <w:shd w:fill="F2F4F8" w:val="clear"/>
            <w:shd w:fill="FCE8E6" w:val="clear"/>
          </w:tcPr>
          <w:p>
            <w:r>
              <w:rPr>
                <w:rFonts w:ascii="Calibri" w:hAnsi="Calibri"/>
                <w:color w:val="333333"/>
                <w:sz w:val="18"/>
              </w:rPr>
              <w:t>-35.4%</w:t>
            </w:r>
          </w:p>
        </w:tc>
        <w:tc>
          <w:tcPr>
            <w:tcW w:type="dxa" w:w="1440"/>
            <w:shd w:fill="F2F4F8" w:val="clear"/>
            <w:shd w:fill="FCE8E6" w:val="clear"/>
          </w:tcPr>
          <w:p>
            <w:r>
              <w:rPr>
                <w:rFonts w:ascii="Calibri" w:hAnsi="Calibri"/>
                <w:color w:val="333333"/>
                <w:sz w:val="18"/>
              </w:rPr>
              <w:t>61%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2025-11-19 (20d)</w:t>
            </w:r>
          </w:p>
        </w:tc>
        <w:tc>
          <w:tcPr>
            <w:tcW w:type="dxa" w:w="1440"/>
            <w:shd w:fill="FCE8E6" w:val="clear"/>
          </w:tcPr>
          <w:p>
            <w:r>
              <w:rPr>
                <w:rFonts w:ascii="Calibri" w:hAnsi="Calibri"/>
                <w:color w:val="333333"/>
                <w:sz w:val="18"/>
              </w:rPr>
              <w:t>-35.8%</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2025-11-20 (20d)</w:t>
            </w:r>
          </w:p>
        </w:tc>
        <w:tc>
          <w:tcPr>
            <w:tcW w:type="dxa" w:w="1440"/>
            <w:shd w:fill="F2F4F8" w:val="clear"/>
            <w:shd w:fill="FCE8E6" w:val="clear"/>
          </w:tcPr>
          <w:p>
            <w:r>
              <w:rPr>
                <w:rFonts w:ascii="Calibri" w:hAnsi="Calibri"/>
                <w:color w:val="333333"/>
                <w:sz w:val="18"/>
              </w:rPr>
              <w:t>-34.1%</w:t>
            </w:r>
          </w:p>
        </w:tc>
        <w:tc>
          <w:tcPr>
            <w:tcW w:type="dxa" w:w="1440"/>
            <w:shd w:fill="F2F4F8" w:val="clear"/>
            <w:shd w:fill="FCE8E6" w:val="clear"/>
          </w:tcPr>
          <w:p>
            <w:r>
              <w:rPr>
                <w:rFonts w:ascii="Calibri" w:hAnsi="Calibri"/>
                <w:color w:val="333333"/>
                <w:sz w:val="18"/>
              </w:rPr>
              <w:t>60%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2025-11-13 (20d)</w:t>
            </w:r>
          </w:p>
        </w:tc>
        <w:tc>
          <w:tcPr>
            <w:tcW w:type="dxa" w:w="1440"/>
            <w:shd w:fill="FCE8E6" w:val="clear"/>
          </w:tcPr>
          <w:p>
            <w:r>
              <w:rPr>
                <w:rFonts w:ascii="Calibri" w:hAnsi="Calibri"/>
                <w:color w:val="333333"/>
                <w:sz w:val="18"/>
              </w:rPr>
              <w:t>-34.8%</w:t>
            </w:r>
          </w:p>
        </w:tc>
        <w:tc>
          <w:tcPr>
            <w:tcW w:type="dxa" w:w="1440"/>
            <w:shd w:fill="FCE8E6" w:val="clear"/>
          </w:tcPr>
          <w:p>
            <w:r>
              <w:rPr>
                <w:rFonts w:ascii="Calibri" w:hAnsi="Calibri"/>
                <w:color w:val="333333"/>
                <w:sz w:val="18"/>
              </w:rPr>
              <w:t>58%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2025-11-28 (20d)</w:t>
            </w:r>
          </w:p>
        </w:tc>
        <w:tc>
          <w:tcPr>
            <w:tcW w:type="dxa" w:w="1440"/>
            <w:shd w:fill="F2F4F8" w:val="clear"/>
            <w:shd w:fill="FCE8E6" w:val="clear"/>
          </w:tcPr>
          <w:p>
            <w:r>
              <w:rPr>
                <w:rFonts w:ascii="Calibri" w:hAnsi="Calibri"/>
                <w:color w:val="333333"/>
                <w:sz w:val="18"/>
              </w:rPr>
              <w:t>-32.8%</w:t>
            </w:r>
          </w:p>
        </w:tc>
        <w:tc>
          <w:tcPr>
            <w:tcW w:type="dxa" w:w="1440"/>
            <w:shd w:fill="F2F4F8" w:val="clear"/>
            <w:shd w:fill="FCE8E6" w:val="clear"/>
          </w:tcPr>
          <w:p>
            <w:r>
              <w:rPr>
                <w:rFonts w:ascii="Calibri" w:hAnsi="Calibri"/>
                <w:color w:val="333333"/>
                <w:sz w:val="18"/>
              </w:rPr>
              <w:t>62%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2025-11-21 (20d)</w:t>
            </w:r>
          </w:p>
        </w:tc>
        <w:tc>
          <w:tcPr>
            <w:tcW w:type="dxa" w:w="1440"/>
            <w:shd w:fill="FCE8E6" w:val="clear"/>
          </w:tcPr>
          <w:p>
            <w:r>
              <w:rPr>
                <w:rFonts w:ascii="Calibri" w:hAnsi="Calibri"/>
                <w:color w:val="333333"/>
                <w:sz w:val="18"/>
              </w:rPr>
              <w:t>-33.3%</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2025-12-03 (20d)</w:t>
            </w:r>
          </w:p>
        </w:tc>
        <w:tc>
          <w:tcPr>
            <w:tcW w:type="dxa" w:w="1440"/>
            <w:shd w:fill="F2F4F8" w:val="clear"/>
            <w:shd w:fill="FCE8E6" w:val="clear"/>
          </w:tcPr>
          <w:p>
            <w:r>
              <w:rPr>
                <w:rFonts w:ascii="Calibri" w:hAnsi="Calibri"/>
                <w:color w:val="333333"/>
                <w:sz w:val="18"/>
              </w:rPr>
              <w:t>-28.9%</w:t>
            </w:r>
          </w:p>
        </w:tc>
        <w:tc>
          <w:tcPr>
            <w:tcW w:type="dxa" w:w="1440"/>
            <w:shd w:fill="F2F4F8" w:val="clear"/>
            <w:shd w:fill="FCE8E6" w:val="clear"/>
          </w:tcPr>
          <w:p>
            <w:r>
              <w:rPr>
                <w:rFonts w:ascii="Calibri" w:hAnsi="Calibri"/>
                <w:color w:val="333333"/>
                <w:sz w:val="18"/>
              </w:rPr>
              <w:t>63%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2025-11-14 (20d)</w:t>
            </w:r>
          </w:p>
        </w:tc>
        <w:tc>
          <w:tcPr>
            <w:tcW w:type="dxa" w:w="1440"/>
            <w:shd w:fill="FCE8E6" w:val="clear"/>
          </w:tcPr>
          <w:p>
            <w:r>
              <w:rPr>
                <w:rFonts w:ascii="Calibri" w:hAnsi="Calibri"/>
                <w:color w:val="333333"/>
                <w:sz w:val="18"/>
              </w:rPr>
              <w:t>-30.2%</w:t>
            </w:r>
          </w:p>
        </w:tc>
        <w:tc>
          <w:tcPr>
            <w:tcW w:type="dxa" w:w="1440"/>
            <w:shd w:fill="FCE8E6" w:val="clear"/>
          </w:tcPr>
          <w:p>
            <w:r>
              <w:rPr>
                <w:rFonts w:ascii="Calibri" w:hAnsi="Calibri"/>
                <w:color w:val="333333"/>
                <w:sz w:val="18"/>
              </w:rPr>
              <w:t>59%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2025-11-06 (20d)</w:t>
            </w:r>
          </w:p>
        </w:tc>
        <w:tc>
          <w:tcPr>
            <w:tcW w:type="dxa" w:w="1440"/>
            <w:shd w:fill="F2F4F8" w:val="clear"/>
            <w:shd w:fill="FCE8E6" w:val="clear"/>
          </w:tcPr>
          <w:p>
            <w:r>
              <w:rPr>
                <w:rFonts w:ascii="Calibri" w:hAnsi="Calibri"/>
                <w:color w:val="333333"/>
                <w:sz w:val="18"/>
              </w:rPr>
              <w:t>-30.4%</w:t>
            </w:r>
          </w:p>
        </w:tc>
        <w:tc>
          <w:tcPr>
            <w:tcW w:type="dxa" w:w="1440"/>
            <w:shd w:fill="F2F4F8" w:val="clear"/>
            <w:shd w:fill="FCE8E6" w:val="clear"/>
          </w:tcPr>
          <w:p>
            <w:r>
              <w:rPr>
                <w:rFonts w:ascii="Calibri" w:hAnsi="Calibri"/>
                <w:color w:val="333333"/>
                <w:sz w:val="18"/>
              </w:rPr>
              <w:t>57%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2025-11-12 (20d)</w:t>
            </w:r>
          </w:p>
        </w:tc>
        <w:tc>
          <w:tcPr>
            <w:tcW w:type="dxa" w:w="1440"/>
            <w:shd w:fill="FCE8E6" w:val="clear"/>
          </w:tcPr>
          <w:p>
            <w:r>
              <w:rPr>
                <w:rFonts w:ascii="Calibri" w:hAnsi="Calibri"/>
                <w:color w:val="333333"/>
                <w:sz w:val="18"/>
              </w:rPr>
              <w:t>-29.7%</w:t>
            </w:r>
          </w:p>
        </w:tc>
        <w:tc>
          <w:tcPr>
            <w:tcW w:type="dxa" w:w="1440"/>
            <w:shd w:fill="FCE8E6" w:val="clear"/>
          </w:tcPr>
          <w:p>
            <w:r>
              <w:rPr>
                <w:rFonts w:ascii="Calibri" w:hAnsi="Calibri"/>
                <w:color w:val="333333"/>
                <w:sz w:val="18"/>
              </w:rPr>
              <w:t>58%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2025-11-05 (20d)</w:t>
            </w:r>
          </w:p>
        </w:tc>
        <w:tc>
          <w:tcPr>
            <w:tcW w:type="dxa" w:w="1440"/>
            <w:shd w:fill="F2F4F8" w:val="clear"/>
            <w:shd w:fill="FCE8E6" w:val="clear"/>
          </w:tcPr>
          <w:p>
            <w:r>
              <w:rPr>
                <w:rFonts w:ascii="Calibri" w:hAnsi="Calibri"/>
                <w:color w:val="333333"/>
                <w:sz w:val="18"/>
              </w:rPr>
              <w:t>-28.4%</w:t>
            </w:r>
          </w:p>
        </w:tc>
        <w:tc>
          <w:tcPr>
            <w:tcW w:type="dxa" w:w="1440"/>
            <w:shd w:fill="F2F4F8" w:val="clear"/>
            <w:shd w:fill="FCE8E6" w:val="clear"/>
          </w:tcPr>
          <w:p>
            <w:r>
              <w:rPr>
                <w:rFonts w:ascii="Calibri" w:hAnsi="Calibri"/>
                <w:color w:val="333333"/>
                <w:sz w:val="18"/>
              </w:rPr>
              <w:t>57%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2025-11-11 (20d)</w:t>
            </w:r>
          </w:p>
        </w:tc>
        <w:tc>
          <w:tcPr>
            <w:tcW w:type="dxa" w:w="1440"/>
            <w:shd w:fill="FCE8E6" w:val="clear"/>
          </w:tcPr>
          <w:p>
            <w:r>
              <w:rPr>
                <w:rFonts w:ascii="Calibri" w:hAnsi="Calibri"/>
                <w:color w:val="333333"/>
                <w:sz w:val="18"/>
              </w:rPr>
              <w:t>-26.9%</w:t>
            </w:r>
          </w:p>
        </w:tc>
        <w:tc>
          <w:tcPr>
            <w:tcW w:type="dxa" w:w="1440"/>
            <w:shd w:fill="FCE8E6" w:val="clear"/>
          </w:tcPr>
          <w:p>
            <w:r>
              <w:rPr>
                <w:rFonts w:ascii="Calibri" w:hAnsi="Calibri"/>
                <w:color w:val="333333"/>
                <w:sz w:val="18"/>
              </w:rPr>
              <w:t>58%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2025-11-10 (20d)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58%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2025-11-07 (5d)</w:t>
            </w:r>
          </w:p>
        </w:tc>
        <w:tc>
          <w:tcPr>
            <w:tcW w:type="dxa" w:w="1440"/>
            <w:shd w:fill="FCE8E6" w:val="clear"/>
          </w:tcPr>
          <w:p>
            <w:r>
              <w:rPr>
                <w:rFonts w:ascii="Calibri" w:hAnsi="Calibri"/>
                <w:color w:val="333333"/>
                <w:sz w:val="18"/>
              </w:rPr>
              <w:t>-23.5%</w:t>
            </w:r>
          </w:p>
        </w:tc>
        <w:tc>
          <w:tcPr>
            <w:tcW w:type="dxa" w:w="1440"/>
            <w:shd w:fill="FCE8E6" w:val="clear"/>
          </w:tcPr>
          <w:p>
            <w:r>
              <w:rPr>
                <w:rFonts w:ascii="Calibri" w:hAnsi="Calibri"/>
                <w:color w:val="333333"/>
                <w:sz w:val="18"/>
              </w:rPr>
              <w:t>57%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2025-09-03 (20d)</w:t>
            </w:r>
          </w:p>
        </w:tc>
        <w:tc>
          <w:tcPr>
            <w:tcW w:type="dxa" w:w="1440"/>
            <w:shd w:fill="F2F4F8" w:val="clear"/>
            <w:shd w:fill="FCE8E6" w:val="clear"/>
          </w:tcPr>
          <w:p>
            <w:r>
              <w:rPr>
                <w:rFonts w:ascii="Calibri" w:hAnsi="Calibri"/>
                <w:color w:val="333333"/>
                <w:sz w:val="18"/>
              </w:rPr>
              <w:t>-30.0%</w:t>
            </w:r>
          </w:p>
        </w:tc>
        <w:tc>
          <w:tcPr>
            <w:tcW w:type="dxa" w:w="1440"/>
            <w:shd w:fill="F2F4F8" w:val="clear"/>
            <w:shd w:fill="FCE8E6" w:val="clear"/>
          </w:tcPr>
          <w:p>
            <w:r>
              <w:rPr>
                <w:rFonts w:ascii="Calibri" w:hAnsi="Calibri"/>
                <w:color w:val="333333"/>
                <w:sz w:val="18"/>
              </w:rPr>
              <w:t>44%</w:t>
            </w:r>
          </w:p>
        </w:tc>
        <w:tc>
          <w:tcPr>
            <w:tcW w:type="dxa" w:w="1440"/>
            <w:shd w:fill="F2F4F8" w:val="clear"/>
            <w:shd w:fill="FCE8E6" w:val="clear"/>
          </w:tcPr>
          <w:p>
            <w:r>
              <w:rPr>
                <w:rFonts w:ascii="Calibri" w:hAnsi="Calibri"/>
                <w:color w:val="333333"/>
                <w:sz w:val="18"/>
              </w:rPr>
              <w:t>25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2025-08-25 to 2025-09-03 (10d)</w:t>
            </w:r>
          </w:p>
        </w:tc>
        <w:tc>
          <w:tcPr>
            <w:tcW w:type="dxa" w:w="1440"/>
            <w:shd w:fill="FCE8E6" w:val="clear"/>
          </w:tcPr>
          <w:p>
            <w:r>
              <w:rPr>
                <w:rFonts w:ascii="Calibri" w:hAnsi="Calibri"/>
                <w:color w:val="333333"/>
                <w:sz w:val="18"/>
              </w:rPr>
              <w:t>-34.0%</w:t>
            </w:r>
          </w:p>
        </w:tc>
        <w:tc>
          <w:tcPr>
            <w:tcW w:type="dxa" w:w="1440"/>
            <w:shd w:fill="FCE8E6" w:val="clear"/>
          </w:tcPr>
          <w:p>
            <w:r>
              <w:rPr>
                <w:rFonts w:ascii="Calibri" w:hAnsi="Calibri"/>
                <w:color w:val="333333"/>
                <w:sz w:val="18"/>
              </w:rPr>
              <w:t>44%</w:t>
            </w:r>
          </w:p>
        </w:tc>
        <w:tc>
          <w:tcPr>
            <w:tcW w:type="dxa" w:w="1440"/>
            <w:shd w:fill="FCE8E6" w:val="clear"/>
          </w:tcPr>
          <w:p>
            <w:r>
              <w:rPr>
                <w:rFonts w:ascii="Calibri" w:hAnsi="Calibri"/>
                <w:color w:val="333333"/>
                <w:sz w:val="18"/>
              </w:rPr>
              <w:t>9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2025-08-29 (20d)</w:t>
            </w:r>
          </w:p>
        </w:tc>
        <w:tc>
          <w:tcPr>
            <w:tcW w:type="dxa" w:w="1440"/>
            <w:shd w:fill="F2F4F8" w:val="clear"/>
            <w:shd w:fill="FCE8E6" w:val="clear"/>
          </w:tcPr>
          <w:p>
            <w:r>
              <w:rPr>
                <w:rFonts w:ascii="Calibri" w:hAnsi="Calibri"/>
                <w:color w:val="333333"/>
                <w:sz w:val="18"/>
              </w:rPr>
              <w:t>-26.7%</w:t>
            </w:r>
          </w:p>
        </w:tc>
        <w:tc>
          <w:tcPr>
            <w:tcW w:type="dxa" w:w="1440"/>
            <w:shd w:fill="F2F4F8" w:val="clear"/>
            <w:shd w:fill="FCE8E6" w:val="clear"/>
          </w:tcPr>
          <w:p>
            <w:r>
              <w:rPr>
                <w:rFonts w:ascii="Calibri" w:hAnsi="Calibri"/>
                <w:color w:val="333333"/>
                <w:sz w:val="18"/>
              </w:rPr>
              <w:t>44%</w:t>
            </w:r>
          </w:p>
        </w:tc>
        <w:tc>
          <w:tcPr>
            <w:tcW w:type="dxa" w:w="1440"/>
            <w:shd w:fill="F2F4F8" w:val="clear"/>
            <w:shd w:fill="FCE8E6" w:val="clear"/>
          </w:tcPr>
          <w:p>
            <w:r>
              <w:rPr>
                <w:rFonts w:ascii="Calibri" w:hAnsi="Calibri"/>
                <w:color w:val="333333"/>
                <w:sz w:val="18"/>
              </w:rPr>
              <w:t>27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2025-08-25 (20d)</w:t>
            </w:r>
          </w:p>
        </w:tc>
        <w:tc>
          <w:tcPr>
            <w:tcW w:type="dxa" w:w="1440"/>
            <w:shd w:fill="FCE8E6" w:val="clear"/>
          </w:tcPr>
          <w:p>
            <w:r>
              <w:rPr>
                <w:rFonts w:ascii="Calibri" w:hAnsi="Calibri"/>
                <w:color w:val="333333"/>
                <w:sz w:val="18"/>
              </w:rPr>
              <w:t>-26.6%</w:t>
            </w:r>
          </w:p>
        </w:tc>
        <w:tc>
          <w:tcPr>
            <w:tcW w:type="dxa" w:w="1440"/>
            <w:shd w:fill="FCE8E6" w:val="clear"/>
          </w:tcPr>
          <w:p>
            <w:r>
              <w:rPr>
                <w:rFonts w:ascii="Calibri" w:hAnsi="Calibri"/>
                <w:color w:val="333333"/>
                <w:sz w:val="18"/>
              </w:rPr>
              <w:t>43%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2025-08-27 (20d)</w:t>
            </w:r>
          </w:p>
        </w:tc>
        <w:tc>
          <w:tcPr>
            <w:tcW w:type="dxa" w:w="1440"/>
            <w:shd w:fill="F2F4F8" w:val="clear"/>
            <w:shd w:fill="FCE8E6" w:val="clear"/>
          </w:tcPr>
          <w:p>
            <w:r>
              <w:rPr>
                <w:rFonts w:ascii="Calibri" w:hAnsi="Calibri"/>
                <w:color w:val="333333"/>
                <w:sz w:val="18"/>
              </w:rPr>
              <w:t>-26.3%</w:t>
            </w:r>
          </w:p>
        </w:tc>
        <w:tc>
          <w:tcPr>
            <w:tcW w:type="dxa" w:w="1440"/>
            <w:shd w:fill="F2F4F8" w:val="clear"/>
            <w:shd w:fill="FCE8E6" w:val="clear"/>
          </w:tcPr>
          <w:p>
            <w:r>
              <w:rPr>
                <w:rFonts w:ascii="Calibri" w:hAnsi="Calibri"/>
                <w:color w:val="333333"/>
                <w:sz w:val="18"/>
              </w:rPr>
              <w:t>43%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2025-08-28 (20d)</w:t>
            </w:r>
          </w:p>
        </w:tc>
        <w:tc>
          <w:tcPr>
            <w:tcW w:type="dxa" w:w="1440"/>
            <w:shd w:fill="FCE8E6" w:val="clear"/>
          </w:tcPr>
          <w:p>
            <w:r>
              <w:rPr>
                <w:rFonts w:ascii="Calibri" w:hAnsi="Calibri"/>
                <w:color w:val="333333"/>
                <w:sz w:val="18"/>
              </w:rPr>
              <w:t>-25.4%</w:t>
            </w:r>
          </w:p>
        </w:tc>
        <w:tc>
          <w:tcPr>
            <w:tcW w:type="dxa" w:w="1440"/>
            <w:shd w:fill="FCE8E6" w:val="clear"/>
          </w:tcPr>
          <w:p>
            <w:r>
              <w:rPr>
                <w:rFonts w:ascii="Calibri" w:hAnsi="Calibri"/>
                <w:color w:val="333333"/>
                <w:sz w:val="18"/>
              </w:rPr>
              <w:t>43%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2025-08-06 to 2025-08-12 (7d)</w:t>
            </w:r>
          </w:p>
        </w:tc>
        <w:tc>
          <w:tcPr>
            <w:tcW w:type="dxa" w:w="1440"/>
            <w:shd w:fill="F2F4F8" w:val="clear"/>
            <w:shd w:fill="FCE8E6" w:val="clear"/>
          </w:tcPr>
          <w:p>
            <w:r>
              <w:rPr>
                <w:rFonts w:ascii="Calibri" w:hAnsi="Calibri"/>
                <w:color w:val="333333"/>
                <w:sz w:val="18"/>
              </w:rPr>
              <w:t>-26.5%</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40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2025-08-11 (5d)</w:t>
            </w:r>
          </w:p>
        </w:tc>
        <w:tc>
          <w:tcPr>
            <w:tcW w:type="dxa" w:w="1440"/>
            <w:shd w:fill="FCE8E6" w:val="clear"/>
          </w:tcPr>
          <w:p>
            <w:r>
              <w:rPr>
                <w:rFonts w:ascii="Calibri" w:hAnsi="Calibri"/>
                <w:color w:val="333333"/>
                <w:sz w:val="18"/>
              </w:rPr>
              <w:t>-22.4%</w:t>
            </w:r>
          </w:p>
        </w:tc>
        <w:tc>
          <w:tcPr>
            <w:tcW w:type="dxa" w:w="1440"/>
            <w:shd w:fill="FCE8E6" w:val="clear"/>
          </w:tcPr>
          <w:p>
            <w:r>
              <w:rPr>
                <w:rFonts w:ascii="Calibri" w:hAnsi="Calibri"/>
                <w:color w:val="333333"/>
                <w:sz w:val="18"/>
              </w:rPr>
              <w:t>41%</w:t>
            </w:r>
          </w:p>
        </w:tc>
        <w:tc>
          <w:tcPr>
            <w:tcW w:type="dxa" w:w="1440"/>
            <w:shd w:fill="FCE8E6" w:val="clear"/>
          </w:tcPr>
          <w:p>
            <w:r>
              <w:rPr>
                <w:rFonts w:ascii="Calibri" w:hAnsi="Calibri"/>
                <w:color w:val="333333"/>
                <w:sz w:val="18"/>
              </w:rPr>
              <w:t>41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2024-10-30 to 2024-11-26 (28d)</w:t>
            </w:r>
          </w:p>
        </w:tc>
        <w:tc>
          <w:tcPr>
            <w:tcW w:type="dxa" w:w="1440"/>
            <w:shd w:fill="F2F4F8" w:val="clear"/>
            <w:shd w:fill="FCE8E6" w:val="clear"/>
          </w:tcPr>
          <w:p>
            <w:r>
              <w:rPr>
                <w:rFonts w:ascii="Calibri" w:hAnsi="Calibri"/>
                <w:color w:val="333333"/>
                <w:sz w:val="18"/>
              </w:rPr>
              <w:t>-63.3%</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2024-11-15 (20d)</w:t>
            </w:r>
          </w:p>
        </w:tc>
        <w:tc>
          <w:tcPr>
            <w:tcW w:type="dxa" w:w="1440"/>
            <w:shd w:fill="FCE8E6" w:val="clear"/>
          </w:tcPr>
          <w:p>
            <w:r>
              <w:rPr>
                <w:rFonts w:ascii="Calibri" w:hAnsi="Calibri"/>
                <w:color w:val="333333"/>
                <w:sz w:val="18"/>
              </w:rPr>
              <w:t>-60.7%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2025-08-08 (5d)</w:t>
            </w:r>
          </w:p>
        </w:tc>
        <w:tc>
          <w:tcPr>
            <w:tcW w:type="dxa" w:w="1440"/>
            <w:shd w:fill="F2F4F8" w:val="clear"/>
            <w:shd w:fill="FCE8E6" w:val="clear"/>
          </w:tcPr>
          <w:p>
            <w:r>
              <w:rPr>
                <w:rFonts w:ascii="Calibri" w:hAnsi="Calibri"/>
                <w:color w:val="333333"/>
                <w:sz w:val="18"/>
              </w:rPr>
              <w:t>-21.3%</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42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2025-08-07 (5d)</w:t>
            </w:r>
          </w:p>
        </w:tc>
        <w:tc>
          <w:tcPr>
            <w:tcW w:type="dxa" w:w="1440"/>
            <w:shd w:fill="FCE8E6" w:val="clear"/>
          </w:tcPr>
          <w:p>
            <w:r>
              <w:rPr>
                <w:rFonts w:ascii="Calibri" w:hAnsi="Calibri"/>
                <w:color w:val="333333"/>
                <w:sz w:val="18"/>
              </w:rPr>
              <w:t>-20.9%</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2024-11-13 (20d)</w:t>
            </w:r>
          </w:p>
        </w:tc>
        <w:tc>
          <w:tcPr>
            <w:tcW w:type="dxa" w:w="1440"/>
            <w:shd w:fill="F2F4F8" w:val="clear"/>
            <w:shd w:fill="FCE8E6" w:val="clear"/>
          </w:tcPr>
          <w:p>
            <w:r>
              <w:rPr>
                <w:rFonts w:ascii="Calibri" w:hAnsi="Calibri"/>
                <w:color w:val="333333"/>
                <w:sz w:val="18"/>
              </w:rPr>
              <w:t>-58.3%</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2024-11-18 (20d)</w:t>
            </w:r>
          </w:p>
        </w:tc>
        <w:tc>
          <w:tcPr>
            <w:tcW w:type="dxa" w:w="1440"/>
            <w:shd w:fill="FCE8E6" w:val="clear"/>
          </w:tcPr>
          <w:p>
            <w:r>
              <w:rPr>
                <w:rFonts w:ascii="Calibri" w:hAnsi="Calibri"/>
                <w:color w:val="333333"/>
                <w:sz w:val="18"/>
              </w:rPr>
              <w:t>-54.9%</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2025-03-13 to 2025-03-20 (8d)</w:t>
            </w:r>
          </w:p>
        </w:tc>
        <w:tc>
          <w:tcPr>
            <w:tcW w:type="dxa" w:w="1440"/>
            <w:shd w:fill="F2F4F8" w:val="clear"/>
            <w:shd w:fill="FCE8E6" w:val="clear"/>
          </w:tcPr>
          <w:p>
            <w:r>
              <w:rPr>
                <w:rFonts w:ascii="Calibri" w:hAnsi="Calibri"/>
                <w:color w:val="333333"/>
                <w:sz w:val="18"/>
              </w:rPr>
              <w:t>-37.1%</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2025-04-21 to 2025-04-22 (2d)</w:t>
            </w:r>
          </w:p>
        </w:tc>
        <w:tc>
          <w:tcPr>
            <w:tcW w:type="dxa" w:w="1440"/>
            <w:shd w:fill="FCE8E6" w:val="clear"/>
          </w:tcPr>
          <w:p>
            <w:r>
              <w:rPr>
                <w:rFonts w:ascii="Calibri" w:hAnsi="Calibri"/>
                <w:color w:val="333333"/>
                <w:sz w:val="18"/>
              </w:rPr>
              <w:t>-30.0%</w:t>
            </w:r>
          </w:p>
        </w:tc>
        <w:tc>
          <w:tcPr>
            <w:tcW w:type="dxa" w:w="1440"/>
            <w:shd w:fill="FCE8E6" w:val="clear"/>
          </w:tcPr>
          <w:p>
            <w:r>
              <w:rPr>
                <w:rFonts w:ascii="Calibri" w:hAnsi="Calibri"/>
                <w:color w:val="333333"/>
                <w:sz w:val="18"/>
              </w:rPr>
              <w:t>26%</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2024-11-12 (20d)</w:t>
            </w:r>
          </w:p>
        </w:tc>
        <w:tc>
          <w:tcPr>
            <w:tcW w:type="dxa" w:w="1440"/>
            <w:shd w:fill="F2F4F8" w:val="clear"/>
            <w:shd w:fill="FCE8E6" w:val="clear"/>
          </w:tcPr>
          <w:p>
            <w:r>
              <w:rPr>
                <w:rFonts w:ascii="Calibri" w:hAnsi="Calibri"/>
                <w:color w:val="333333"/>
                <w:sz w:val="18"/>
              </w:rPr>
              <w:t>-54.6%</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2025-03-19 (20d)</w:t>
            </w:r>
          </w:p>
        </w:tc>
        <w:tc>
          <w:tcPr>
            <w:tcW w:type="dxa" w:w="1440"/>
            <w:shd w:fill="FCE8E6" w:val="clear"/>
          </w:tcPr>
          <w:p>
            <w:r>
              <w:rPr>
                <w:rFonts w:ascii="Calibri" w:hAnsi="Calibri"/>
                <w:color w:val="333333"/>
                <w:sz w:val="18"/>
              </w:rPr>
              <w:t>-33.4%</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2025-08-12 (5d)</w:t>
            </w:r>
          </w:p>
        </w:tc>
        <w:tc>
          <w:tcPr>
            <w:tcW w:type="dxa" w:w="1440"/>
            <w:shd w:fill="F2F4F8" w:val="clear"/>
            <w:shd w:fill="FCE8E6" w:val="clear"/>
          </w:tcPr>
          <w:p>
            <w:r>
              <w:rPr>
                <w:rFonts w:ascii="Calibri" w:hAnsi="Calibri"/>
                <w:color w:val="333333"/>
                <w:sz w:val="18"/>
              </w:rPr>
              <w:t>-18.9%</w:t>
            </w:r>
          </w:p>
        </w:tc>
        <w:tc>
          <w:tcPr>
            <w:tcW w:type="dxa" w:w="1440"/>
            <w:shd w:fill="F2F4F8" w:val="clear"/>
            <w:shd w:fill="FCE8E6" w:val="clear"/>
          </w:tcPr>
          <w:p>
            <w:r>
              <w:rPr>
                <w:rFonts w:ascii="Calibri" w:hAnsi="Calibri"/>
                <w:color w:val="333333"/>
                <w:sz w:val="18"/>
              </w:rPr>
              <w:t>41%</w:t>
            </w:r>
          </w:p>
        </w:tc>
        <w:tc>
          <w:tcPr>
            <w:tcW w:type="dxa" w:w="1440"/>
            <w:shd w:fill="F2F4F8" w:val="clear"/>
            <w:shd w:fill="FCE8E6" w:val="clear"/>
          </w:tcPr>
          <w:p>
            <w:r>
              <w:rPr>
                <w:rFonts w:ascii="Calibri" w:hAnsi="Calibri"/>
                <w:color w:val="333333"/>
                <w:sz w:val="18"/>
              </w:rPr>
              <w:t>40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2025-03-18 (20d)</w:t>
            </w:r>
          </w:p>
        </w:tc>
        <w:tc>
          <w:tcPr>
            <w:tcW w:type="dxa" w:w="1440"/>
            <w:shd w:fill="FCE8E6" w:val="clear"/>
          </w:tcPr>
          <w:p>
            <w:r>
              <w:rPr>
                <w:rFonts w:ascii="Calibri" w:hAnsi="Calibri"/>
                <w:color w:val="333333"/>
                <w:sz w:val="18"/>
              </w:rPr>
              <w:t>-32.1%</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2025-08-06</w:t>
            </w:r>
          </w:p>
        </w:tc>
        <w:tc>
          <w:tcPr>
            <w:tcW w:type="dxa" w:w="1440"/>
            <w:shd w:fill="F2F4F8" w:val="clear"/>
            <w:shd w:fill="FCE8E6" w:val="clear"/>
          </w:tcPr>
          <w:p>
            <w:r>
              <w:rPr>
                <w:rFonts w:ascii="Calibri" w:hAnsi="Calibri"/>
                <w:color w:val="333333"/>
                <w:sz w:val="18"/>
              </w:rPr>
              <w:t>-18.3%</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44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2024-11-06 (20d)</w:t>
            </w:r>
          </w:p>
        </w:tc>
        <w:tc>
          <w:tcPr>
            <w:tcW w:type="dxa" w:w="1440"/>
            <w:shd w:fill="FCE8E6" w:val="clear"/>
          </w:tcPr>
          <w:p>
            <w:r>
              <w:rPr>
                <w:rFonts w:ascii="Calibri" w:hAnsi="Calibri"/>
                <w:color w:val="333333"/>
                <w:sz w:val="18"/>
              </w:rPr>
              <w:t>-52.0%</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2024-11-11 (20d)</w:t>
            </w:r>
          </w:p>
        </w:tc>
        <w:tc>
          <w:tcPr>
            <w:tcW w:type="dxa" w:w="1440"/>
            <w:shd w:fill="F2F4F8" w:val="clear"/>
            <w:shd w:fill="FCE8E6" w:val="clear"/>
          </w:tcPr>
          <w:p>
            <w:r>
              <w:rPr>
                <w:rFonts w:ascii="Calibri" w:hAnsi="Calibri"/>
                <w:color w:val="333333"/>
                <w:sz w:val="18"/>
              </w:rPr>
              <w:t>-51.0%</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2025-04-22 (20d)</w:t>
            </w:r>
          </w:p>
        </w:tc>
        <w:tc>
          <w:tcPr>
            <w:tcW w:type="dxa" w:w="1440"/>
            <w:shd w:fill="FCE8E6" w:val="clear"/>
          </w:tcPr>
          <w:p>
            <w:r>
              <w:rPr>
                <w:rFonts w:ascii="Calibri" w:hAnsi="Calibri"/>
                <w:color w:val="333333"/>
                <w:sz w:val="18"/>
              </w:rPr>
              <w:t>-26.7%</w:t>
            </w:r>
          </w:p>
        </w:tc>
        <w:tc>
          <w:tcPr>
            <w:tcW w:type="dxa" w:w="1440"/>
            <w:shd w:fill="FCE8E6" w:val="clear"/>
          </w:tcPr>
          <w:p>
            <w:r>
              <w:rPr>
                <w:rFonts w:ascii="Calibri" w:hAnsi="Calibri"/>
                <w:color w:val="333333"/>
                <w:sz w:val="18"/>
              </w:rPr>
              <w:t>26%</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2024-11-08 (20d)</w:t>
            </w:r>
          </w:p>
        </w:tc>
        <w:tc>
          <w:tcPr>
            <w:tcW w:type="dxa" w:w="1440"/>
            <w:shd w:fill="F2F4F8" w:val="clear"/>
            <w:shd w:fill="FCE8E6" w:val="clear"/>
          </w:tcPr>
          <w:p>
            <w:r>
              <w:rPr>
                <w:rFonts w:ascii="Calibri" w:hAnsi="Calibri"/>
                <w:color w:val="333333"/>
                <w:sz w:val="18"/>
              </w:rPr>
              <w:t>-48.7%</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2025-10-23</w:t>
            </w:r>
          </w:p>
        </w:tc>
        <w:tc>
          <w:tcPr>
            <w:tcW w:type="dxa" w:w="1440"/>
            <w:shd w:fill="FCE8E6" w:val="clear"/>
          </w:tcPr>
          <w:p>
            <w:r>
              <w:rPr>
                <w:rFonts w:ascii="Calibri" w:hAnsi="Calibri"/>
                <w:color w:val="333333"/>
                <w:sz w:val="18"/>
              </w:rPr>
              <w:t>-12.6%</w:t>
            </w:r>
          </w:p>
        </w:tc>
        <w:tc>
          <w:tcPr>
            <w:tcW w:type="dxa" w:w="1440"/>
            <w:shd w:fill="FCE8E6" w:val="clear"/>
          </w:tcPr>
          <w:p>
            <w:r>
              <w:rPr>
                <w:rFonts w:ascii="Calibri" w:hAnsi="Calibri"/>
                <w:color w:val="333333"/>
                <w:sz w:val="18"/>
              </w:rPr>
              <w:t>54%</w:t>
            </w:r>
          </w:p>
        </w:tc>
        <w:tc>
          <w:tcPr>
            <w:tcW w:type="dxa" w:w="1440"/>
            <w:shd w:fill="FCE8E6" w:val="clear"/>
          </w:tcPr>
          <w:p>
            <w:r>
              <w:rPr>
                <w:rFonts w:ascii="Calibri" w:hAnsi="Calibri"/>
                <w:color w:val="333333"/>
                <w:sz w:val="18"/>
              </w:rPr>
              <w:t>4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2025-02-21 to 2025-03-05 (13d)</w:t>
            </w:r>
          </w:p>
        </w:tc>
        <w:tc>
          <w:tcPr>
            <w:tcW w:type="dxa" w:w="1440"/>
            <w:shd w:fill="F2F4F8" w:val="clear"/>
            <w:shd w:fill="FCE8E6" w:val="clear"/>
          </w:tcPr>
          <w:p>
            <w:r>
              <w:rPr>
                <w:rFonts w:ascii="Calibri" w:hAnsi="Calibri"/>
                <w:color w:val="333333"/>
                <w:sz w:val="18"/>
              </w:rPr>
              <w:t>-40.1%</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2025-03-26 to 2025-04-04 (10d)</w:t>
            </w:r>
          </w:p>
        </w:tc>
        <w:tc>
          <w:tcPr>
            <w:tcW w:type="dxa" w:w="1440"/>
            <w:shd w:fill="FCE8E6" w:val="clear"/>
          </w:tcPr>
          <w:p>
            <w:r>
              <w:rPr>
                <w:rFonts w:ascii="Calibri" w:hAnsi="Calibri"/>
                <w:color w:val="333333"/>
                <w:sz w:val="18"/>
              </w:rPr>
              <w:t>-41.7%</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1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2025-11-04 (2d)</w:t>
            </w:r>
          </w:p>
        </w:tc>
        <w:tc>
          <w:tcPr>
            <w:tcW w:type="dxa" w:w="1440"/>
            <w:shd w:fill="F2F4F8" w:val="clear"/>
            <w:shd w:fill="FCE8E6" w:val="clear"/>
          </w:tcPr>
          <w:p>
            <w:r>
              <w:rPr>
                <w:rFonts w:ascii="Calibri" w:hAnsi="Calibri"/>
                <w:color w:val="333333"/>
                <w:sz w:val="18"/>
              </w:rPr>
              <w:t>-17.2%</w:t>
            </w:r>
          </w:p>
        </w:tc>
        <w:tc>
          <w:tcPr>
            <w:tcW w:type="dxa" w:w="1440"/>
            <w:shd w:fill="F2F4F8" w:val="clear"/>
            <w:shd w:fill="FCE8E6" w:val="clear"/>
          </w:tcPr>
          <w:p>
            <w:r>
              <w:rPr>
                <w:rFonts w:ascii="Calibri" w:hAnsi="Calibri"/>
                <w:color w:val="333333"/>
                <w:sz w:val="18"/>
              </w:rPr>
              <w:t>56%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2024-11-20 (20d)</w:t>
            </w:r>
          </w:p>
        </w:tc>
        <w:tc>
          <w:tcPr>
            <w:tcW w:type="dxa" w:w="1440"/>
            <w:shd w:fill="FCE8E6" w:val="clear"/>
          </w:tcPr>
          <w:p>
            <w:r>
              <w:rPr>
                <w:rFonts w:ascii="Calibri" w:hAnsi="Calibri"/>
                <w:color w:val="333333"/>
                <w:sz w:val="18"/>
              </w:rPr>
              <w:t>-43.1%</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2024-11-07 (20d)</w:t>
            </w:r>
          </w:p>
        </w:tc>
        <w:tc>
          <w:tcPr>
            <w:tcW w:type="dxa" w:w="1440"/>
            <w:shd w:fill="F2F4F8" w:val="clear"/>
            <w:shd w:fill="FCE8E6" w:val="clear"/>
          </w:tcPr>
          <w:p>
            <w:r>
              <w:rPr>
                <w:rFonts w:ascii="Calibri" w:hAnsi="Calibri"/>
                <w:color w:val="333333"/>
                <w:sz w:val="18"/>
              </w:rPr>
              <w:t>-45.2%</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2024-11-04 (20d)</w:t>
            </w:r>
          </w:p>
        </w:tc>
        <w:tc>
          <w:tcPr>
            <w:tcW w:type="dxa" w:w="1440"/>
            <w:shd w:fill="FCE8E6" w:val="clear"/>
          </w:tcPr>
          <w:p>
            <w:r>
              <w:rPr>
                <w:rFonts w:ascii="Calibri" w:hAnsi="Calibri"/>
                <w:color w:val="333333"/>
                <w:sz w:val="18"/>
              </w:rPr>
              <w:t>-45.5%</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2024-11-01 (5d)</w:t>
            </w:r>
          </w:p>
        </w:tc>
        <w:tc>
          <w:tcPr>
            <w:tcW w:type="dxa" w:w="1440"/>
            <w:shd w:fill="F2F4F8" w:val="clear"/>
            <w:shd w:fill="FCE8E6" w:val="clear"/>
          </w:tcPr>
          <w:p>
            <w:r>
              <w:rPr>
                <w:rFonts w:ascii="Calibri" w:hAnsi="Calibri"/>
                <w:color w:val="333333"/>
                <w:sz w:val="18"/>
              </w:rPr>
              <w:t>-44.9%</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2024-11-05 (5d)</w:t>
            </w:r>
          </w:p>
        </w:tc>
        <w:tc>
          <w:tcPr>
            <w:tcW w:type="dxa" w:w="1440"/>
            <w:shd w:fill="FCE8E6" w:val="clear"/>
          </w:tcPr>
          <w:p>
            <w:r>
              <w:rPr>
                <w:rFonts w:ascii="Calibri" w:hAnsi="Calibri"/>
                <w:color w:val="333333"/>
                <w:sz w:val="18"/>
              </w:rPr>
              <w:t>-43.6%</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2025-02-27 (5d)</w:t>
            </w:r>
          </w:p>
        </w:tc>
        <w:tc>
          <w:tcPr>
            <w:tcW w:type="dxa" w:w="1440"/>
            <w:shd w:fill="F2F4F8" w:val="clear"/>
            <w:shd w:fill="FCE8E6" w:val="clear"/>
          </w:tcPr>
          <w:p>
            <w:r>
              <w:rPr>
                <w:rFonts w:ascii="Calibri" w:hAnsi="Calibri"/>
                <w:color w:val="333333"/>
                <w:sz w:val="18"/>
              </w:rPr>
              <w:t>-27.5%</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2024-11-19 (20d)</w:t>
            </w:r>
          </w:p>
        </w:tc>
        <w:tc>
          <w:tcPr>
            <w:tcW w:type="dxa" w:w="1440"/>
            <w:shd w:fill="FCE8E6" w:val="clear"/>
          </w:tcPr>
          <w:p>
            <w:r>
              <w:rPr>
                <w:rFonts w:ascii="Calibri" w:hAnsi="Calibri"/>
                <w:color w:val="333333"/>
                <w:sz w:val="18"/>
              </w:rPr>
              <w:t>-38.5%</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2025-02-28 (5d)</w:t>
            </w:r>
          </w:p>
        </w:tc>
        <w:tc>
          <w:tcPr>
            <w:tcW w:type="dxa" w:w="1440"/>
            <w:shd w:fill="F2F4F8" w:val="clear"/>
            <w:shd w:fill="FCE8E6" w:val="clear"/>
          </w:tcPr>
          <w:p>
            <w:r>
              <w:rPr>
                <w:rFonts w:ascii="Calibri" w:hAnsi="Calibri"/>
                <w:color w:val="333333"/>
                <w:sz w:val="18"/>
              </w:rPr>
              <w:t>-26.1%</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2024-10-31 (2d)</w:t>
            </w:r>
          </w:p>
        </w:tc>
        <w:tc>
          <w:tcPr>
            <w:tcW w:type="dxa" w:w="1440"/>
            <w:shd w:fill="FCE8E6" w:val="clear"/>
          </w:tcPr>
          <w:p>
            <w:r>
              <w:rPr>
                <w:rFonts w:ascii="Calibri" w:hAnsi="Calibri"/>
                <w:color w:val="333333"/>
                <w:sz w:val="18"/>
              </w:rPr>
              <w:t>-40.7%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2024-11-21 (20d)</w:t>
            </w:r>
          </w:p>
        </w:tc>
        <w:tc>
          <w:tcPr>
            <w:tcW w:type="dxa" w:w="1440"/>
            <w:shd w:fill="F2F4F8" w:val="clear"/>
            <w:shd w:fill="FCE8E6" w:val="clear"/>
          </w:tcPr>
          <w:p>
            <w:r>
              <w:rPr>
                <w:rFonts w:ascii="Calibri" w:hAnsi="Calibri"/>
                <w:color w:val="333333"/>
                <w:sz w:val="18"/>
              </w:rPr>
              <w:t>-35.8%</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2025-03-05 (5d)</w:t>
            </w:r>
          </w:p>
        </w:tc>
        <w:tc>
          <w:tcPr>
            <w:tcW w:type="dxa" w:w="1440"/>
            <w:shd w:fill="FCE8E6" w:val="clear"/>
          </w:tcPr>
          <w:p>
            <w:r>
              <w:rPr>
                <w:rFonts w:ascii="Calibri" w:hAnsi="Calibri"/>
                <w:color w:val="333333"/>
                <w:sz w:val="18"/>
              </w:rPr>
              <w:t>-23.9%</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2024-12-27 to 2025-01-08 (13d)</w:t>
            </w:r>
          </w:p>
        </w:tc>
        <w:tc>
          <w:tcPr>
            <w:tcW w:type="dxa" w:w="1440"/>
            <w:shd w:fill="F2F4F8" w:val="clear"/>
            <w:shd w:fill="FCE8E6" w:val="clear"/>
          </w:tcPr>
          <w:p>
            <w:r>
              <w:rPr>
                <w:rFonts w:ascii="Calibri" w:hAnsi="Calibri"/>
                <w:color w:val="333333"/>
                <w:sz w:val="18"/>
              </w:rPr>
              <w:t>-31.9%</w:t>
            </w:r>
          </w:p>
        </w:tc>
        <w:tc>
          <w:tcPr>
            <w:tcW w:type="dxa" w:w="1440"/>
            <w:shd w:fill="F2F4F8" w:val="clear"/>
            <w:shd w:fill="FCE8E6" w:val="clear"/>
          </w:tcPr>
          <w:p>
            <w:r>
              <w:rPr>
                <w:rFonts w:ascii="Calibri" w:hAnsi="Calibri"/>
                <w:color w:val="333333"/>
                <w:sz w:val="18"/>
              </w:rPr>
              <w:t>17%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2025-01-08 (20d)</w:t>
            </w:r>
          </w:p>
        </w:tc>
        <w:tc>
          <w:tcPr>
            <w:tcW w:type="dxa" w:w="1440"/>
            <w:shd w:fill="FCE8E6" w:val="clear"/>
          </w:tcPr>
          <w:p>
            <w:r>
              <w:rPr>
                <w:rFonts w:ascii="Calibri" w:hAnsi="Calibri"/>
                <w:color w:val="333333"/>
                <w:sz w:val="18"/>
              </w:rPr>
              <w:t>-26.1%</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2025-03-28 (5d)</w:t>
            </w:r>
          </w:p>
        </w:tc>
        <w:tc>
          <w:tcPr>
            <w:tcW w:type="dxa" w:w="1440"/>
            <w:shd w:fill="F2F4F8" w:val="clear"/>
            <w:shd w:fill="FCE8E6" w:val="clear"/>
          </w:tcPr>
          <w:p>
            <w:r>
              <w:rPr>
                <w:rFonts w:ascii="Calibri" w:hAnsi="Calibri"/>
                <w:color w:val="333333"/>
                <w:sz w:val="18"/>
              </w:rPr>
              <w:t>-18.7%</w:t>
            </w:r>
          </w:p>
        </w:tc>
        <w:tc>
          <w:tcPr>
            <w:tcW w:type="dxa" w:w="1440"/>
            <w:shd w:fill="F2F4F8" w:val="clear"/>
            <w:shd w:fill="FCE8E6" w:val="clear"/>
          </w:tcPr>
          <w:p>
            <w:r>
              <w:rPr>
                <w:rFonts w:ascii="Calibri" w:hAnsi="Calibri"/>
                <w:color w:val="333333"/>
                <w:sz w:val="18"/>
              </w:rPr>
              <w:t>24%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2024-11-26 (20d)</w:t>
            </w:r>
          </w:p>
        </w:tc>
        <w:tc>
          <w:tcPr>
            <w:tcW w:type="dxa" w:w="1440"/>
            <w:shd w:fill="FCE8E6" w:val="clear"/>
          </w:tcPr>
          <w:p>
            <w:r>
              <w:rPr>
                <w:rFonts w:ascii="Calibri" w:hAnsi="Calibri"/>
                <w:color w:val="333333"/>
                <w:sz w:val="18"/>
              </w:rPr>
              <w:t>-29.9%</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2024-08-02 to 2024-08-14 (13d)</w:t>
            </w:r>
          </w:p>
        </w:tc>
        <w:tc>
          <w:tcPr>
            <w:tcW w:type="dxa" w:w="1440"/>
            <w:shd w:fill="F2F4F8" w:val="clear"/>
            <w:shd w:fill="FCE8E6" w:val="clear"/>
          </w:tcPr>
          <w:p>
            <w:r>
              <w:rPr>
                <w:rFonts w:ascii="Calibri" w:hAnsi="Calibri"/>
                <w:color w:val="333333"/>
                <w:sz w:val="18"/>
              </w:rPr>
              <w:t>-45.9%</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2024-10-30 (3d)</w:t>
            </w:r>
          </w:p>
        </w:tc>
        <w:tc>
          <w:tcPr>
            <w:tcW w:type="dxa" w:w="1440"/>
            <w:shd w:fill="FCE8E6" w:val="clear"/>
          </w:tcPr>
          <w:p>
            <w:r>
              <w:rPr>
                <w:rFonts w:ascii="Calibri" w:hAnsi="Calibri"/>
                <w:color w:val="333333"/>
                <w:sz w:val="18"/>
              </w:rPr>
              <w:t>-32.7%</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2024-11-22 (20d)</w:t>
            </w:r>
          </w:p>
        </w:tc>
        <w:tc>
          <w:tcPr>
            <w:tcW w:type="dxa" w:w="1440"/>
            <w:shd w:fill="F2F4F8" w:val="clear"/>
            <w:shd w:fill="FCE8E6" w:val="clear"/>
          </w:tcPr>
          <w:p>
            <w:r>
              <w:rPr>
                <w:rFonts w:ascii="Calibri" w:hAnsi="Calibri"/>
                <w:color w:val="333333"/>
                <w:sz w:val="18"/>
              </w:rPr>
              <w:t>-29.9%</w:t>
            </w:r>
          </w:p>
        </w:tc>
        <w:tc>
          <w:tcPr>
            <w:tcW w:type="dxa" w:w="1440"/>
            <w:shd w:fill="F2F4F8" w:val="clear"/>
            <w:shd w:fill="FCE8E6" w:val="clear"/>
          </w:tcPr>
          <w:p>
            <w:r>
              <w:rPr>
                <w:rFonts w:ascii="Calibri" w:hAnsi="Calibri"/>
                <w:color w:val="333333"/>
                <w:sz w:val="18"/>
              </w:rPr>
              <w:t>15%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2025-01-02 (20d)</w:t>
            </w:r>
          </w:p>
        </w:tc>
        <w:tc>
          <w:tcPr>
            <w:tcW w:type="dxa" w:w="1440"/>
            <w:shd w:fill="FCE8E6" w:val="clear"/>
          </w:tcPr>
          <w:p>
            <w:r>
              <w:rPr>
                <w:rFonts w:ascii="Calibri" w:hAnsi="Calibri"/>
                <w:color w:val="333333"/>
                <w:sz w:val="18"/>
              </w:rPr>
              <w:t>-25.3%</w:t>
            </w:r>
          </w:p>
        </w:tc>
        <w:tc>
          <w:tcPr>
            <w:tcW w:type="dxa" w:w="1440"/>
            <w:shd w:fill="FCE8E6" w:val="clear"/>
          </w:tcPr>
          <w:p>
            <w:r>
              <w:rPr>
                <w:rFonts w:ascii="Calibri" w:hAnsi="Calibri"/>
                <w:color w:val="333333"/>
                <w:sz w:val="18"/>
              </w:rPr>
              <w:t>17%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2025-03-31 (5d)</w:t>
            </w:r>
          </w:p>
        </w:tc>
        <w:tc>
          <w:tcPr>
            <w:tcW w:type="dxa" w:w="1440"/>
            <w:shd w:fill="F2F4F8" w:val="clear"/>
            <w:shd w:fill="FCE8E6" w:val="clear"/>
          </w:tcPr>
          <w:p>
            <w:r>
              <w:rPr>
                <w:rFonts w:ascii="Calibri" w:hAnsi="Calibri"/>
                <w:color w:val="333333"/>
                <w:sz w:val="18"/>
              </w:rPr>
              <w:t>-17.9%</w:t>
            </w:r>
          </w:p>
        </w:tc>
        <w:tc>
          <w:tcPr>
            <w:tcW w:type="dxa" w:w="1440"/>
            <w:shd w:fill="F2F4F8" w:val="clear"/>
            <w:shd w:fill="FCE8E6" w:val="clear"/>
          </w:tcPr>
          <w:p>
            <w:r>
              <w:rPr>
                <w:rFonts w:ascii="Calibri" w:hAnsi="Calibri"/>
                <w:color w:val="333333"/>
                <w:sz w:val="18"/>
              </w:rPr>
              <w:t>24%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2024-08-09 (20d)</w:t>
            </w:r>
          </w:p>
        </w:tc>
        <w:tc>
          <w:tcPr>
            <w:tcW w:type="dxa" w:w="1440"/>
            <w:shd w:fill="FCE8E6" w:val="clear"/>
          </w:tcPr>
          <w:p>
            <w:r>
              <w:rPr>
                <w:rFonts w:ascii="Calibri" w:hAnsi="Calibri"/>
                <w:color w:val="333333"/>
                <w:sz w:val="18"/>
              </w:rPr>
              <w:t>-44.1%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2025-11-13 (3d)</w:t>
            </w:r>
          </w:p>
        </w:tc>
        <w:tc>
          <w:tcPr>
            <w:tcW w:type="dxa" w:w="1440"/>
            <w:shd w:fill="F2F4F8" w:val="clear"/>
            <w:shd w:fill="FCE8E6" w:val="clear"/>
          </w:tcPr>
          <w:p>
            <w:r>
              <w:rPr>
                <w:rFonts w:ascii="Calibri" w:hAnsi="Calibri"/>
                <w:color w:val="333333"/>
                <w:sz w:val="18"/>
              </w:rPr>
              <w:t>-16.8%</w:t>
            </w:r>
          </w:p>
        </w:tc>
        <w:tc>
          <w:tcPr>
            <w:tcW w:type="dxa" w:w="1440"/>
            <w:shd w:fill="F2F4F8" w:val="clear"/>
            <w:shd w:fill="FCE8E6" w:val="clear"/>
          </w:tcPr>
          <w:p>
            <w:r>
              <w:rPr>
                <w:rFonts w:ascii="Calibri" w:hAnsi="Calibri"/>
                <w:color w:val="333333"/>
                <w:sz w:val="18"/>
              </w:rPr>
              <w:t>58%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2024-08-08 (20d)</w:t>
            </w:r>
          </w:p>
        </w:tc>
        <w:tc>
          <w:tcPr>
            <w:tcW w:type="dxa" w:w="1440"/>
            <w:shd w:fill="FCE8E6" w:val="clear"/>
          </w:tcPr>
          <w:p>
            <w:r>
              <w:rPr>
                <w:rFonts w:ascii="Calibri" w:hAnsi="Calibri"/>
                <w:color w:val="333333"/>
                <w:sz w:val="18"/>
              </w:rPr>
              <w:t>-42.6%</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2024-10-30 (2d)</w:t>
            </w:r>
          </w:p>
        </w:tc>
        <w:tc>
          <w:tcPr>
            <w:tcW w:type="dxa" w:w="1440"/>
            <w:shd w:fill="F2F4F8" w:val="clear"/>
            <w:shd w:fill="FCE8E6" w:val="clear"/>
          </w:tcPr>
          <w:p>
            <w:r>
              <w:rPr>
                <w:rFonts w:ascii="Calibri" w:hAnsi="Calibri"/>
                <w:color w:val="333333"/>
                <w:sz w:val="18"/>
              </w:rPr>
              <w:t>-30.7%</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2025-02-25 (2d)</w:t>
            </w:r>
          </w:p>
        </w:tc>
        <w:tc>
          <w:tcPr>
            <w:tcW w:type="dxa" w:w="1440"/>
            <w:shd w:fill="FCE8E6" w:val="clear"/>
          </w:tcPr>
          <w:p>
            <w:r>
              <w:rPr>
                <w:rFonts w:ascii="Calibri" w:hAnsi="Calibri"/>
                <w:color w:val="333333"/>
                <w:sz w:val="18"/>
              </w:rPr>
              <w:t>-18.8%</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2024-08-12 (20d)</w:t>
            </w:r>
          </w:p>
        </w:tc>
        <w:tc>
          <w:tcPr>
            <w:tcW w:type="dxa" w:w="1440"/>
            <w:shd w:fill="F2F4F8" w:val="clear"/>
            <w:shd w:fill="FCE8E6" w:val="clear"/>
          </w:tcPr>
          <w:p>
            <w:r>
              <w:rPr>
                <w:rFonts w:ascii="Calibri" w:hAnsi="Calibri"/>
                <w:color w:val="333333"/>
                <w:sz w:val="18"/>
              </w:rPr>
              <w:t>-39.7%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2025-04-30</w:t>
            </w:r>
          </w:p>
        </w:tc>
        <w:tc>
          <w:tcPr>
            <w:tcW w:type="dxa" w:w="1440"/>
            <w:shd w:fill="FCE8E6" w:val="clear"/>
          </w:tcPr>
          <w:p>
            <w:r>
              <w:rPr>
                <w:rFonts w:ascii="Calibri" w:hAnsi="Calibri"/>
                <w:color w:val="333333"/>
                <w:sz w:val="18"/>
              </w:rPr>
              <w:t>-14.5%</w:t>
            </w:r>
          </w:p>
        </w:tc>
        <w:tc>
          <w:tcPr>
            <w:tcW w:type="dxa" w:w="1440"/>
            <w:shd w:fill="FCE8E6" w:val="clear"/>
          </w:tcPr>
          <w:p>
            <w:r>
              <w:rPr>
                <w:rFonts w:ascii="Calibri" w:hAnsi="Calibri"/>
                <w:color w:val="333333"/>
                <w:sz w:val="18"/>
              </w:rPr>
              <w:t>27%</w:t>
            </w:r>
          </w:p>
        </w:tc>
        <w:tc>
          <w:tcPr>
            <w:tcW w:type="dxa" w:w="1440"/>
            <w:shd w:fill="FCE8E6" w:val="clear"/>
          </w:tcPr>
          <w:p>
            <w:r>
              <w:rPr>
                <w:rFonts w:ascii="Calibri" w:hAnsi="Calibri"/>
                <w:color w:val="333333"/>
                <w:sz w:val="18"/>
              </w:rPr>
              <w:t>9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2024-12-10 to 2024-12-19 (10d)</w:t>
            </w:r>
          </w:p>
        </w:tc>
        <w:tc>
          <w:tcPr>
            <w:tcW w:type="dxa" w:w="1440"/>
            <w:shd w:fill="F2F4F8" w:val="clear"/>
            <w:shd w:fill="FCE8E6" w:val="clear"/>
          </w:tcPr>
          <w:p>
            <w:r>
              <w:rPr>
                <w:rFonts w:ascii="Calibri" w:hAnsi="Calibri"/>
                <w:color w:val="333333"/>
                <w:sz w:val="18"/>
              </w:rPr>
              <w:t>-29.3%</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2024-08-26 to 2024-09-06 (12d)</w:t>
            </w:r>
          </w:p>
        </w:tc>
        <w:tc>
          <w:tcPr>
            <w:tcW w:type="dxa" w:w="1440"/>
            <w:shd w:fill="FCE8E6" w:val="clear"/>
          </w:tcPr>
          <w:p>
            <w:r>
              <w:rPr>
                <w:rFonts w:ascii="Calibri" w:hAnsi="Calibri"/>
                <w:color w:val="333333"/>
                <w:sz w:val="18"/>
              </w:rPr>
              <w:t>-44.9%</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2025-04-04 (2d)</w:t>
            </w:r>
          </w:p>
        </w:tc>
        <w:tc>
          <w:tcPr>
            <w:tcW w:type="dxa" w:w="1440"/>
            <w:shd w:fill="F2F4F8" w:val="clear"/>
            <w:shd w:fill="FCE8E6" w:val="clear"/>
          </w:tcPr>
          <w:p>
            <w:r>
              <w:rPr>
                <w:rFonts w:ascii="Calibri" w:hAnsi="Calibri"/>
                <w:color w:val="333333"/>
                <w:sz w:val="18"/>
              </w:rPr>
              <w:t>-15.0%</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2024-08-29 (20d)</w:t>
            </w:r>
          </w:p>
        </w:tc>
        <w:tc>
          <w:tcPr>
            <w:tcW w:type="dxa" w:w="1440"/>
            <w:shd w:fill="FCE8E6" w:val="clear"/>
          </w:tcPr>
          <w:p>
            <w:r>
              <w:rPr>
                <w:rFonts w:ascii="Calibri" w:hAnsi="Calibri"/>
                <w:color w:val="333333"/>
                <w:sz w:val="18"/>
              </w:rPr>
              <w:t>-33.2%</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2024-08-13 (20d)</w:t>
            </w:r>
          </w:p>
        </w:tc>
        <w:tc>
          <w:tcPr>
            <w:tcW w:type="dxa" w:w="1440"/>
            <w:shd w:fill="F2F4F8" w:val="clear"/>
            <w:shd w:fill="FCE8E6" w:val="clear"/>
          </w:tcPr>
          <w:p>
            <w:r>
              <w:rPr>
                <w:rFonts w:ascii="Calibri" w:hAnsi="Calibri"/>
                <w:color w:val="333333"/>
                <w:sz w:val="18"/>
              </w:rPr>
              <w:t>-35.3%</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2025-03-27 (2d)</w:t>
            </w:r>
          </w:p>
        </w:tc>
        <w:tc>
          <w:tcPr>
            <w:tcW w:type="dxa" w:w="1440"/>
            <w:shd w:fill="FCE8E6" w:val="clear"/>
          </w:tcPr>
          <w:p>
            <w:r>
              <w:rPr>
                <w:rFonts w:ascii="Calibri" w:hAnsi="Calibri"/>
                <w:color w:val="333333"/>
                <w:sz w:val="18"/>
              </w:rPr>
              <w:t>-14.6%</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2024-09-13 to 2024-09-19 (7d)</w:t>
            </w:r>
          </w:p>
        </w:tc>
        <w:tc>
          <w:tcPr>
            <w:tcW w:type="dxa" w:w="1440"/>
            <w:shd w:fill="F2F4F8" w:val="clear"/>
            <w:shd w:fill="FCE8E6" w:val="clear"/>
          </w:tcPr>
          <w:p>
            <w:r>
              <w:rPr>
                <w:rFonts w:ascii="Calibri" w:hAnsi="Calibri"/>
                <w:color w:val="333333"/>
                <w:sz w:val="18"/>
              </w:rPr>
              <w:t>-30.5%</w:t>
            </w:r>
          </w:p>
        </w:tc>
        <w:tc>
          <w:tcPr>
            <w:tcW w:type="dxa" w:w="1440"/>
            <w:shd w:fill="F2F4F8" w:val="clear"/>
            <w:shd w:fill="FCE8E6" w:val="clear"/>
          </w:tcPr>
          <w:p>
            <w:r>
              <w:rPr>
                <w:rFonts w:ascii="Calibri" w:hAnsi="Calibri"/>
                <w:color w:val="333333"/>
                <w:sz w:val="18"/>
              </w:rPr>
              <w:t>12%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2025-01-27 to 2025-02-03 (8d)</w:t>
            </w:r>
          </w:p>
        </w:tc>
        <w:tc>
          <w:tcPr>
            <w:tcW w:type="dxa" w:w="1440"/>
            <w:shd w:fill="FCE8E6" w:val="clear"/>
          </w:tcPr>
          <w:p>
            <w:r>
              <w:rPr>
                <w:rFonts w:ascii="Calibri" w:hAnsi="Calibri"/>
                <w:color w:val="333333"/>
                <w:sz w:val="18"/>
              </w:rPr>
              <w:t>-20.7%</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2024-09-04 (20d)</w:t>
            </w:r>
          </w:p>
        </w:tc>
        <w:tc>
          <w:tcPr>
            <w:tcW w:type="dxa" w:w="1440"/>
            <w:shd w:fill="F2F4F8" w:val="clear"/>
            <w:shd w:fill="FCE8E6" w:val="clear"/>
          </w:tcPr>
          <w:p>
            <w:r>
              <w:rPr>
                <w:rFonts w:ascii="Calibri" w:hAnsi="Calibri"/>
                <w:color w:val="333333"/>
                <w:sz w:val="18"/>
              </w:rPr>
              <w:t>-31.4%</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2024-09-17 (20d)</w:t>
            </w:r>
          </w:p>
        </w:tc>
        <w:tc>
          <w:tcPr>
            <w:tcW w:type="dxa" w:w="1440"/>
            <w:shd w:fill="FCE8E6" w:val="clear"/>
          </w:tcPr>
          <w:p>
            <w:r>
              <w:rPr>
                <w:rFonts w:ascii="Calibri" w:hAnsi="Calibri"/>
                <w:color w:val="333333"/>
                <w:sz w:val="18"/>
              </w:rPr>
              <w:t>-29.5%</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2025-02-21 (5d)</w:t>
            </w:r>
          </w:p>
        </w:tc>
        <w:tc>
          <w:tcPr>
            <w:tcW w:type="dxa" w:w="1440"/>
            <w:shd w:fill="F2F4F8" w:val="clear"/>
            <w:shd w:fill="FCE8E6" w:val="clear"/>
          </w:tcPr>
          <w:p>
            <w:r>
              <w:rPr>
                <w:rFonts w:ascii="Calibri" w:hAnsi="Calibri"/>
                <w:color w:val="333333"/>
                <w:sz w:val="18"/>
              </w:rPr>
              <w:t>-16.0%</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2024-09-18 (20d)</w:t>
            </w:r>
          </w:p>
        </w:tc>
        <w:tc>
          <w:tcPr>
            <w:tcW w:type="dxa" w:w="1440"/>
            <w:shd w:fill="FCE8E6" w:val="clear"/>
          </w:tcPr>
          <w:p>
            <w:r>
              <w:rPr>
                <w:rFonts w:ascii="Calibri" w:hAnsi="Calibri"/>
                <w:color w:val="333333"/>
                <w:sz w:val="18"/>
              </w:rPr>
              <w:t>-28.5%</w:t>
            </w:r>
          </w:p>
        </w:tc>
        <w:tc>
          <w:tcPr>
            <w:tcW w:type="dxa" w:w="1440"/>
            <w:shd w:fill="FCE8E6" w:val="clear"/>
          </w:tcPr>
          <w:p>
            <w:r>
              <w:rPr>
                <w:rFonts w:ascii="Calibri" w:hAnsi="Calibri"/>
                <w:color w:val="333333"/>
                <w:sz w:val="18"/>
              </w:rPr>
              <w:t>12%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2024-09-16 (20d)</w:t>
            </w:r>
          </w:p>
        </w:tc>
        <w:tc>
          <w:tcPr>
            <w:tcW w:type="dxa" w:w="1440"/>
            <w:shd w:fill="F2F4F8" w:val="clear"/>
            <w:shd w:fill="FCE8E6" w:val="clear"/>
          </w:tcPr>
          <w:p>
            <w:r>
              <w:rPr>
                <w:rFonts w:ascii="Calibri" w:hAnsi="Calibri"/>
                <w:color w:val="333333"/>
                <w:sz w:val="18"/>
              </w:rPr>
              <w:t>-28.6%</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2025-02-26 (5d)</w:t>
            </w:r>
          </w:p>
        </w:tc>
        <w:tc>
          <w:tcPr>
            <w:tcW w:type="dxa" w:w="1440"/>
            <w:shd w:fill="FCE8E6" w:val="clear"/>
          </w:tcPr>
          <w:p>
            <w:r>
              <w:rPr>
                <w:rFonts w:ascii="Calibri" w:hAnsi="Calibri"/>
                <w:color w:val="333333"/>
                <w:sz w:val="18"/>
              </w:rPr>
              <w:t>-15.2%</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2024-08-30 (20d)</w:t>
            </w:r>
          </w:p>
        </w:tc>
        <w:tc>
          <w:tcPr>
            <w:tcW w:type="dxa" w:w="1440"/>
            <w:shd w:fill="F2F4F8" w:val="clear"/>
            <w:shd w:fill="FCE8E6" w:val="clear"/>
          </w:tcPr>
          <w:p>
            <w:r>
              <w:rPr>
                <w:rFonts w:ascii="Calibri" w:hAnsi="Calibri"/>
                <w:color w:val="333333"/>
                <w:sz w:val="18"/>
              </w:rPr>
              <w:t>-29.9%</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2024-08-05 (20d)</w:t>
            </w:r>
          </w:p>
        </w:tc>
        <w:tc>
          <w:tcPr>
            <w:tcW w:type="dxa" w:w="1440"/>
            <w:shd w:fill="FCE8E6" w:val="clear"/>
          </w:tcPr>
          <w:p>
            <w:r>
              <w:rPr>
                <w:rFonts w:ascii="Calibri" w:hAnsi="Calibri"/>
                <w:color w:val="333333"/>
                <w:sz w:val="18"/>
              </w:rPr>
              <w:t>-32.3%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2025-04-30</w:t>
            </w:r>
          </w:p>
        </w:tc>
        <w:tc>
          <w:tcPr>
            <w:tcW w:type="dxa" w:w="1440"/>
            <w:shd w:fill="F2F4F8" w:val="clear"/>
            <w:shd w:fill="FCE8E6" w:val="clear"/>
          </w:tcPr>
          <w:p>
            <w:r>
              <w:rPr>
                <w:rFonts w:ascii="Calibri" w:hAnsi="Calibri"/>
                <w:color w:val="333333"/>
                <w:sz w:val="18"/>
              </w:rPr>
              <w:t>-11.5%</w:t>
            </w:r>
          </w:p>
        </w:tc>
        <w:tc>
          <w:tcPr>
            <w:tcW w:type="dxa" w:w="1440"/>
            <w:shd w:fill="F2F4F8" w:val="clear"/>
            <w:shd w:fill="FCE8E6" w:val="clear"/>
          </w:tcPr>
          <w:p>
            <w:r>
              <w:rPr>
                <w:rFonts w:ascii="Calibri" w:hAnsi="Calibri"/>
                <w:color w:val="333333"/>
                <w:sz w:val="18"/>
              </w:rPr>
              <w:t>27%</w:t>
            </w:r>
          </w:p>
        </w:tc>
        <w:tc>
          <w:tcPr>
            <w:tcW w:type="dxa" w:w="1440"/>
            <w:shd w:fill="F2F4F8" w:val="clear"/>
            <w:shd w:fill="FCE8E6" w:val="clear"/>
          </w:tcPr>
          <w:p>
            <w:r>
              <w:rPr>
                <w:rFonts w:ascii="Calibri" w:hAnsi="Calibri"/>
                <w:color w:val="333333"/>
                <w:sz w:val="18"/>
              </w:rPr>
              <w:t>9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2024-09-13 (20d)</w:t>
            </w:r>
          </w:p>
        </w:tc>
        <w:tc>
          <w:tcPr>
            <w:tcW w:type="dxa" w:w="1440"/>
            <w:shd w:fill="FCE8E6" w:val="clear"/>
          </w:tcPr>
          <w:p>
            <w:r>
              <w:rPr>
                <w:rFonts w:ascii="Calibri" w:hAnsi="Calibri"/>
                <w:color w:val="333333"/>
                <w:sz w:val="18"/>
              </w:rPr>
              <w:t>-27.1%</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2024-08-06 (20d)</w:t>
            </w:r>
          </w:p>
        </w:tc>
        <w:tc>
          <w:tcPr>
            <w:tcW w:type="dxa" w:w="1440"/>
            <w:shd w:fill="F2F4F8" w:val="clear"/>
            <w:shd w:fill="FCE8E6" w:val="clear"/>
          </w:tcPr>
          <w:p>
            <w:r>
              <w:rPr>
                <w:rFonts w:ascii="Calibri" w:hAnsi="Calibri"/>
                <w:color w:val="333333"/>
                <w:sz w:val="18"/>
              </w:rPr>
              <w:t>-31.1%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2024-09-03 (20d)</w:t>
            </w:r>
          </w:p>
        </w:tc>
        <w:tc>
          <w:tcPr>
            <w:tcW w:type="dxa" w:w="1440"/>
            <w:shd w:fill="FCE8E6" w:val="clear"/>
          </w:tcPr>
          <w:p>
            <w:r>
              <w:rPr>
                <w:rFonts w:ascii="Calibri" w:hAnsi="Calibri"/>
                <w:color w:val="333333"/>
                <w:sz w:val="18"/>
              </w:rPr>
              <w:t>-27.4%</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2024-08-14 (20d)</w:t>
            </w:r>
          </w:p>
        </w:tc>
        <w:tc>
          <w:tcPr>
            <w:tcW w:type="dxa" w:w="1440"/>
            <w:shd w:fill="F2F4F8" w:val="clear"/>
            <w:shd w:fill="FCE8E6" w:val="clear"/>
          </w:tcPr>
          <w:p>
            <w:r>
              <w:rPr>
                <w:rFonts w:ascii="Calibri" w:hAnsi="Calibri"/>
                <w:color w:val="333333"/>
                <w:sz w:val="18"/>
              </w:rPr>
              <w:t>-29.3%</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2025-01-14 (5d)</w:t>
            </w:r>
          </w:p>
        </w:tc>
        <w:tc>
          <w:tcPr>
            <w:tcW w:type="dxa" w:w="1440"/>
            <w:shd w:fill="FCE8E6" w:val="clear"/>
          </w:tcPr>
          <w:p>
            <w:r>
              <w:rPr>
                <w:rFonts w:ascii="Calibri" w:hAnsi="Calibri"/>
                <w:color w:val="333333"/>
                <w:sz w:val="18"/>
              </w:rPr>
              <w:t>-16.2%</w:t>
            </w:r>
          </w:p>
        </w:tc>
        <w:tc>
          <w:tcPr>
            <w:tcW w:type="dxa" w:w="1440"/>
            <w:shd w:fill="FCE8E6" w:val="clear"/>
          </w:tcPr>
          <w:p>
            <w:r>
              <w:rPr>
                <w:rFonts w:ascii="Calibri" w:hAnsi="Calibri"/>
                <w:color w:val="333333"/>
                <w:sz w:val="18"/>
              </w:rPr>
              <w:t>18%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2025-01-28 (2d)</w:t>
            </w:r>
          </w:p>
        </w:tc>
        <w:tc>
          <w:tcPr>
            <w:tcW w:type="dxa" w:w="1440"/>
            <w:shd w:fill="F2F4F8" w:val="clear"/>
            <w:shd w:fill="FCE8E6" w:val="clear"/>
          </w:tcPr>
          <w:p>
            <w:r>
              <w:rPr>
                <w:rFonts w:ascii="Calibri" w:hAnsi="Calibri"/>
                <w:color w:val="333333"/>
                <w:sz w:val="18"/>
              </w:rPr>
              <w:t>-15.3%</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2024-12-19 (5d)</w:t>
            </w:r>
          </w:p>
        </w:tc>
        <w:tc>
          <w:tcPr>
            <w:tcW w:type="dxa" w:w="1440"/>
            <w:shd w:fill="FCE8E6" w:val="clear"/>
          </w:tcPr>
          <w:p>
            <w:r>
              <w:rPr>
                <w:rFonts w:ascii="Calibri" w:hAnsi="Calibri"/>
                <w:color w:val="333333"/>
                <w:sz w:val="18"/>
              </w:rPr>
              <w:t>-17.6%</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2025-02-24 (2d)</w:t>
            </w:r>
          </w:p>
        </w:tc>
        <w:tc>
          <w:tcPr>
            <w:tcW w:type="dxa" w:w="1440"/>
            <w:shd w:fill="F2F4F8" w:val="clear"/>
            <w:shd w:fill="FCE8E6" w:val="clear"/>
          </w:tcPr>
          <w:p>
            <w:r>
              <w:rPr>
                <w:rFonts w:ascii="Calibri" w:hAnsi="Calibri"/>
                <w:color w:val="333333"/>
                <w:sz w:val="18"/>
              </w:rPr>
              <w:t>-12.9%</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2024-12-13 (5d)</w:t>
            </w:r>
          </w:p>
        </w:tc>
        <w:tc>
          <w:tcPr>
            <w:tcW w:type="dxa" w:w="1440"/>
            <w:shd w:fill="FCE8E6" w:val="clear"/>
          </w:tcPr>
          <w:p>
            <w:r>
              <w:rPr>
                <w:rFonts w:ascii="Calibri" w:hAnsi="Calibri"/>
                <w:color w:val="333333"/>
                <w:sz w:val="18"/>
              </w:rPr>
              <w:t>-17.0%</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2024-12-17 (5d)</w:t>
            </w:r>
          </w:p>
        </w:tc>
        <w:tc>
          <w:tcPr>
            <w:tcW w:type="dxa" w:w="1440"/>
            <w:shd w:fill="F2F4F8" w:val="clear"/>
            <w:shd w:fill="FCE8E6" w:val="clear"/>
          </w:tcPr>
          <w:p>
            <w:r>
              <w:rPr>
                <w:rFonts w:ascii="Calibri" w:hAnsi="Calibri"/>
                <w:color w:val="333333"/>
                <w:sz w:val="18"/>
              </w:rPr>
              <w:t>-16.6%</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2024-12-18 (5d)</w:t>
            </w:r>
          </w:p>
        </w:tc>
        <w:tc>
          <w:tcPr>
            <w:tcW w:type="dxa" w:w="1440"/>
            <w:shd w:fill="FCE8E6" w:val="clear"/>
          </w:tcPr>
          <w:p>
            <w:r>
              <w:rPr>
                <w:rFonts w:ascii="Calibri" w:hAnsi="Calibri"/>
                <w:color w:val="333333"/>
                <w:sz w:val="18"/>
              </w:rPr>
              <w:t>-15.8%</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2024-08-02 (20d)</w:t>
            </w:r>
          </w:p>
        </w:tc>
        <w:tc>
          <w:tcPr>
            <w:tcW w:type="dxa" w:w="1440"/>
            <w:shd w:fill="F2F4F8" w:val="clear"/>
            <w:shd w:fill="FCE8E6" w:val="clear"/>
          </w:tcPr>
          <w:p>
            <w:r>
              <w:rPr>
                <w:rFonts w:ascii="Calibri" w:hAnsi="Calibri"/>
                <w:color w:val="333333"/>
                <w:sz w:val="18"/>
              </w:rPr>
              <w:t>-26.2%</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2024-11-06</w:t>
            </w:r>
          </w:p>
        </w:tc>
        <w:tc>
          <w:tcPr>
            <w:tcW w:type="dxa" w:w="1440"/>
            <w:shd w:fill="FCE8E6" w:val="clear"/>
          </w:tcPr>
          <w:p>
            <w:r>
              <w:rPr>
                <w:rFonts w:ascii="Calibri" w:hAnsi="Calibri"/>
                <w:color w:val="333333"/>
                <w:sz w:val="18"/>
              </w:rPr>
              <w:t>-18.1%</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2025-01-27 (2d)</w:t>
            </w:r>
          </w:p>
        </w:tc>
        <w:tc>
          <w:tcPr>
            <w:tcW w:type="dxa" w:w="1440"/>
            <w:shd w:fill="F2F4F8" w:val="clear"/>
            <w:shd w:fill="FCE8E6" w:val="clear"/>
          </w:tcPr>
          <w:p>
            <w:r>
              <w:rPr>
                <w:rFonts w:ascii="Calibri" w:hAnsi="Calibri"/>
                <w:color w:val="333333"/>
                <w:sz w:val="18"/>
              </w:rPr>
              <w:t>-13.0%</w:t>
            </w:r>
          </w:p>
        </w:tc>
        <w:tc>
          <w:tcPr>
            <w:tcW w:type="dxa" w:w="1440"/>
            <w:shd w:fill="F2F4F8" w:val="clear"/>
            <w:shd w:fill="FCE8E6" w:val="clear"/>
          </w:tcPr>
          <w:p>
            <w:r>
              <w:rPr>
                <w:rFonts w:ascii="Calibri" w:hAnsi="Calibri"/>
                <w:color w:val="333333"/>
                <w:sz w:val="18"/>
              </w:rPr>
              <w:t>19%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2025-01-27</w:t>
            </w:r>
          </w:p>
        </w:tc>
        <w:tc>
          <w:tcPr>
            <w:tcW w:type="dxa" w:w="1440"/>
            <w:shd w:fill="FCE8E6" w:val="clear"/>
          </w:tcPr>
          <w:p>
            <w:r>
              <w:rPr>
                <w:rFonts w:ascii="Calibri" w:hAnsi="Calibri"/>
                <w:color w:val="333333"/>
                <w:sz w:val="18"/>
              </w:rPr>
              <w:t>-12.6%</w:t>
            </w:r>
          </w:p>
        </w:tc>
        <w:tc>
          <w:tcPr>
            <w:tcW w:type="dxa" w:w="1440"/>
            <w:shd w:fill="FCE8E6" w:val="clear"/>
          </w:tcPr>
          <w:p>
            <w:r>
              <w:rPr>
                <w:rFonts w:ascii="Calibri" w:hAnsi="Calibri"/>
                <w:color w:val="333333"/>
                <w:sz w:val="18"/>
              </w:rPr>
              <w:t>19%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2024-12-11 (2d)</w:t>
            </w:r>
          </w:p>
        </w:tc>
        <w:tc>
          <w:tcPr>
            <w:tcW w:type="dxa" w:w="1440"/>
            <w:shd w:fill="F2F4F8" w:val="clear"/>
            <w:shd w:fill="FCE8E6" w:val="clear"/>
          </w:tcPr>
          <w:p>
            <w:r>
              <w:rPr>
                <w:rFonts w:ascii="Calibri" w:hAnsi="Calibri"/>
                <w:color w:val="333333"/>
                <w:sz w:val="18"/>
              </w:rPr>
              <w:t>-13.3%</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2024-08-26 (2d)</w:t>
            </w:r>
          </w:p>
        </w:tc>
        <w:tc>
          <w:tcPr>
            <w:tcW w:type="dxa" w:w="1440"/>
            <w:shd w:fill="FCE8E6" w:val="clear"/>
          </w:tcPr>
          <w:p>
            <w:r>
              <w:rPr>
                <w:rFonts w:ascii="Calibri" w:hAnsi="Calibri"/>
                <w:color w:val="333333"/>
                <w:sz w:val="18"/>
              </w:rPr>
              <w:t>-19.0%</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2024-08-07</w:t>
            </w:r>
          </w:p>
        </w:tc>
        <w:tc>
          <w:tcPr>
            <w:tcW w:type="dxa" w:w="1440"/>
            <w:shd w:fill="F2F4F8" w:val="clear"/>
            <w:shd w:fill="FCE8E6" w:val="clear"/>
          </w:tcPr>
          <w:p>
            <w:r>
              <w:rPr>
                <w:rFonts w:ascii="Calibri" w:hAnsi="Calibri"/>
                <w:color w:val="333333"/>
                <w:sz w:val="18"/>
              </w:rPr>
              <w:t>-20.1%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2024-05-01 to 2024-05-02 (2d)</w:t>
            </w:r>
          </w:p>
        </w:tc>
        <w:tc>
          <w:tcPr>
            <w:tcW w:type="dxa" w:w="1440"/>
            <w:shd w:fill="FCE8E6" w:val="clear"/>
          </w:tcPr>
          <w:p>
            <w:r>
              <w:rPr>
                <w:rFonts w:ascii="Calibri" w:hAnsi="Calibri"/>
                <w:color w:val="333333"/>
                <w:sz w:val="18"/>
              </w:rPr>
              <w:t>-27.3%</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2024-04-19 to 2024-04-25 (7d)</w:t>
            </w:r>
          </w:p>
        </w:tc>
        <w:tc>
          <w:tcPr>
            <w:tcW w:type="dxa" w:w="1440"/>
            <w:shd w:fill="F2F4F8" w:val="clear"/>
            <w:shd w:fill="FCE8E6" w:val="clear"/>
          </w:tcPr>
          <w:p>
            <w:r>
              <w:rPr>
                <w:rFonts w:ascii="Calibri" w:hAnsi="Calibri"/>
                <w:color w:val="333333"/>
                <w:sz w:val="18"/>
              </w:rPr>
              <w:t>-26.9%</w:t>
            </w:r>
          </w:p>
        </w:tc>
        <w:tc>
          <w:tcPr>
            <w:tcW w:type="dxa" w:w="1440"/>
            <w:shd w:fill="F2F4F8" w:val="clear"/>
            <w:shd w:fill="FCE8E6" w:val="clear"/>
          </w:tcPr>
          <w:p>
            <w:r>
              <w:rPr>
                <w:rFonts w:ascii="Calibri" w:hAnsi="Calibri"/>
                <w:color w:val="333333"/>
                <w:sz w:val="18"/>
              </w:rPr>
              <w:t>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2024-11-11 (4d)</w:t>
            </w:r>
          </w:p>
        </w:tc>
        <w:tc>
          <w:tcPr>
            <w:tcW w:type="dxa" w:w="1440"/>
            <w:shd w:fill="FCE8E6" w:val="clear"/>
          </w:tcPr>
          <w:p>
            <w:r>
              <w:rPr>
                <w:rFonts w:ascii="Calibri" w:hAnsi="Calibri"/>
                <w:color w:val="333333"/>
                <w:sz w:val="18"/>
              </w:rPr>
              <w:t>-11.4%</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2024-09-26</w:t>
            </w:r>
          </w:p>
        </w:tc>
        <w:tc>
          <w:tcPr>
            <w:tcW w:type="dxa" w:w="1440"/>
            <w:shd w:fill="F2F4F8" w:val="clear"/>
            <w:shd w:fill="FCE8E6" w:val="clear"/>
          </w:tcPr>
          <w:p>
            <w:r>
              <w:rPr>
                <w:rFonts w:ascii="Calibri" w:hAnsi="Calibri"/>
                <w:color w:val="333333"/>
                <w:sz w:val="18"/>
              </w:rPr>
              <w:t>-13.2%</w:t>
            </w:r>
          </w:p>
        </w:tc>
        <w:tc>
          <w:tcPr>
            <w:tcW w:type="dxa" w:w="1440"/>
            <w:shd w:fill="F2F4F8" w:val="clear"/>
            <w:shd w:fill="FCE8E6" w:val="clear"/>
          </w:tcPr>
          <w:p>
            <w:r>
              <w:rPr>
                <w:rFonts w:ascii="Calibri" w:hAnsi="Calibri"/>
                <w:color w:val="333333"/>
                <w:sz w:val="18"/>
              </w:rPr>
              <w:t>12%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2024-11-26 (2d)</w:t>
            </w:r>
          </w:p>
        </w:tc>
        <w:tc>
          <w:tcPr>
            <w:tcW w:type="dxa" w:w="1440"/>
            <w:shd w:fill="FCE8E6" w:val="clear"/>
          </w:tcPr>
          <w:p>
            <w:r>
              <w:rPr>
                <w:rFonts w:ascii="Calibri" w:hAnsi="Calibri"/>
                <w:color w:val="333333"/>
                <w:sz w:val="18"/>
              </w:rPr>
              <w:t>-10.4%</w:t>
            </w:r>
          </w:p>
        </w:tc>
        <w:tc>
          <w:tcPr>
            <w:tcW w:type="dxa" w:w="1440"/>
            <w:shd w:fill="FCE8E6" w:val="clear"/>
          </w:tcPr>
          <w:p>
            <w:r>
              <w:rPr>
                <w:rFonts w:ascii="Calibri" w:hAnsi="Calibri"/>
                <w:color w:val="333333"/>
                <w:sz w:val="18"/>
              </w:rPr>
              <w:t>15%</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2024-04-19</w:t>
            </w:r>
          </w:p>
        </w:tc>
        <w:tc>
          <w:tcPr>
            <w:tcW w:type="dxa" w:w="1440"/>
            <w:shd w:fill="F2F4F8" w:val="clear"/>
            <w:shd w:fill="FCE8E6" w:val="clear"/>
          </w:tcPr>
          <w:p>
            <w:r>
              <w:rPr>
                <w:rFonts w:ascii="Calibri" w:hAnsi="Calibri"/>
                <w:color w:val="333333"/>
                <w:sz w:val="18"/>
              </w:rPr>
              <w:t>-23.1%</w:t>
            </w:r>
          </w:p>
        </w:tc>
        <w:tc>
          <w:tcPr>
            <w:tcW w:type="dxa" w:w="1440"/>
            <w:shd w:fill="F2F4F8" w:val="clear"/>
            <w:shd w:fill="FCE8E6" w:val="clear"/>
          </w:tcPr>
          <w:p>
            <w:r>
              <w:rPr>
                <w:rFonts w:ascii="Calibri" w:hAnsi="Calibri"/>
                <w:color w:val="333333"/>
                <w:sz w:val="18"/>
              </w:rPr>
              <w:t>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2024-04-22 (2d)</w:t>
            </w:r>
          </w:p>
        </w:tc>
        <w:tc>
          <w:tcPr>
            <w:tcW w:type="dxa" w:w="1440"/>
            <w:shd w:fill="FCE8E6" w:val="clear"/>
          </w:tcPr>
          <w:p>
            <w:r>
              <w:rPr>
                <w:rFonts w:ascii="Calibri" w:hAnsi="Calibri"/>
                <w:color w:val="333333"/>
                <w:sz w:val="18"/>
              </w:rPr>
              <w:t>-22.8%</w:t>
            </w:r>
          </w:p>
        </w:tc>
        <w:tc>
          <w:tcPr>
            <w:tcW w:type="dxa" w:w="1440"/>
            <w:shd w:fill="FCE8E6" w:val="clear"/>
          </w:tcPr>
          <w:p>
            <w:r>
              <w:rPr>
                <w:rFonts w:ascii="Calibri" w:hAnsi="Calibri"/>
                <w:color w:val="333333"/>
                <w:sz w:val="18"/>
              </w:rPr>
              <w:t>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2024-09-26</w:t>
            </w:r>
          </w:p>
        </w:tc>
        <w:tc>
          <w:tcPr>
            <w:tcW w:type="dxa" w:w="1440"/>
            <w:shd w:fill="F2F4F8" w:val="clear"/>
            <w:shd w:fill="FCE8E6" w:val="clear"/>
          </w:tcPr>
          <w:p>
            <w:r>
              <w:rPr>
                <w:rFonts w:ascii="Calibri" w:hAnsi="Calibri"/>
                <w:color w:val="333333"/>
                <w:sz w:val="18"/>
              </w:rPr>
              <w:t>-12.2%</w:t>
            </w:r>
          </w:p>
        </w:tc>
        <w:tc>
          <w:tcPr>
            <w:tcW w:type="dxa" w:w="1440"/>
            <w:shd w:fill="F2F4F8" w:val="clear"/>
            <w:shd w:fill="FCE8E6" w:val="clear"/>
          </w:tcPr>
          <w:p>
            <w:r>
              <w:rPr>
                <w:rFonts w:ascii="Calibri" w:hAnsi="Calibri"/>
                <w:color w:val="333333"/>
                <w:sz w:val="18"/>
              </w:rPr>
              <w:t>12%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2024-04-23 (5d)</w:t>
            </w:r>
          </w:p>
        </w:tc>
        <w:tc>
          <w:tcPr>
            <w:tcW w:type="dxa" w:w="1440"/>
            <w:shd w:fill="FCE8E6" w:val="clear"/>
          </w:tcPr>
          <w:p>
            <w:r>
              <w:rPr>
                <w:rFonts w:ascii="Calibri" w:hAnsi="Calibri"/>
                <w:color w:val="333333"/>
                <w:sz w:val="18"/>
              </w:rPr>
              <w:t>-22.0%</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2024-04-24 (5d)</w:t>
            </w:r>
          </w:p>
        </w:tc>
        <w:tc>
          <w:tcPr>
            <w:tcW w:type="dxa" w:w="1440"/>
            <w:shd w:fill="F2F4F8" w:val="clear"/>
            <w:shd w:fill="FCE8E6" w:val="clear"/>
          </w:tcPr>
          <w:p>
            <w:r>
              <w:rPr>
                <w:rFonts w:ascii="Calibri" w:hAnsi="Calibri"/>
                <w:color w:val="333333"/>
                <w:sz w:val="18"/>
              </w:rPr>
              <w:t>-21.4%</w:t>
            </w:r>
          </w:p>
        </w:tc>
        <w:tc>
          <w:tcPr>
            <w:tcW w:type="dxa" w:w="1440"/>
            <w:shd w:fill="F2F4F8" w:val="clear"/>
            <w:shd w:fill="FCE8E6" w:val="clear"/>
          </w:tcPr>
          <w:p>
            <w:r>
              <w:rPr>
                <w:rFonts w:ascii="Calibri" w:hAnsi="Calibri"/>
                <w:color w:val="333333"/>
                <w:sz w:val="18"/>
              </w:rPr>
              <w:t>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2024-08-27 (2d)</w:t>
            </w:r>
          </w:p>
        </w:tc>
        <w:tc>
          <w:tcPr>
            <w:tcW w:type="dxa" w:w="1440"/>
            <w:shd w:fill="FCE8E6" w:val="clear"/>
          </w:tcPr>
          <w:p>
            <w:r>
              <w:rPr>
                <w:rFonts w:ascii="Calibri" w:hAnsi="Calibri"/>
                <w:color w:val="333333"/>
                <w:sz w:val="18"/>
              </w:rPr>
              <w:t>-10.7%</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2024-07-24 to 2024-07-25 (2d)</w:t>
            </w:r>
          </w:p>
        </w:tc>
        <w:tc>
          <w:tcPr>
            <w:tcW w:type="dxa" w:w="1440"/>
            <w:shd w:fill="F2F4F8" w:val="clear"/>
            <w:shd w:fill="FCE8E6" w:val="clear"/>
          </w:tcPr>
          <w:p>
            <w:r>
              <w:rPr>
                <w:rFonts w:ascii="Calibri" w:hAnsi="Calibri"/>
                <w:color w:val="333333"/>
                <w:sz w:val="18"/>
              </w:rPr>
              <w:t>-11.2%</w:t>
            </w:r>
          </w:p>
        </w:tc>
        <w:tc>
          <w:tcPr>
            <w:tcW w:type="dxa" w:w="1440"/>
            <w:shd w:fill="F2F4F8" w:val="clear"/>
            <w:shd w:fill="FCE8E6" w:val="clear"/>
          </w:tcPr>
          <w:p>
            <w:r>
              <w:rPr>
                <w:rFonts w:ascii="Calibri" w:hAnsi="Calibri"/>
                <w:color w:val="333333"/>
                <w:sz w:val="18"/>
              </w:rPr>
              <w:t>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2024-04-25 (5d)</w:t>
            </w:r>
          </w:p>
        </w:tc>
        <w:tc>
          <w:tcPr>
            <w:tcW w:type="dxa" w:w="1440"/>
            <w:shd w:fill="FCE8E6" w:val="clear"/>
          </w:tcPr>
          <w:p>
            <w:r>
              <w:rPr>
                <w:rFonts w:ascii="Calibri" w:hAnsi="Calibri"/>
                <w:color w:val="333333"/>
                <w:sz w:val="18"/>
              </w:rPr>
              <w:t>-15.2%</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r>
        <w:tc>
          <w:tcPr>
            <w:tcW w:type="dxa" w:w="1440"/>
            <w:shd w:fill="F2F4F8" w:val="clear"/>
            <w:shd w:fill="FCE8E6" w:val="clear"/>
          </w:tcPr>
          <w:p>
            <w:r>
              <w:rPr>
                <w:rFonts w:ascii="Calibri" w:hAnsi="Calibri"/>
                <w:color w:val="333333"/>
                <w:sz w:val="18"/>
              </w:rPr>
              <w:t>2024-05-01</w:t>
            </w:r>
          </w:p>
        </w:tc>
        <w:tc>
          <w:tcPr>
            <w:tcW w:type="dxa" w:w="1440"/>
            <w:shd w:fill="F2F4F8" w:val="clear"/>
            <w:shd w:fill="FCE8E6" w:val="clear"/>
          </w:tcPr>
          <w:p>
            <w:r>
              <w:rPr>
                <w:rFonts w:ascii="Calibri" w:hAnsi="Calibri"/>
                <w:color w:val="333333"/>
                <w:sz w:val="18"/>
              </w:rPr>
              <w:t>-14.0%</w:t>
            </w:r>
          </w:p>
        </w:tc>
        <w:tc>
          <w:tcPr>
            <w:tcW w:type="dxa" w:w="1440"/>
            <w:shd w:fill="F2F4F8" w:val="clear"/>
            <w:shd w:fill="FCE8E6" w:val="clear"/>
          </w:tcPr>
          <w:p>
            <w:r>
              <w:rPr>
                <w:rFonts w:ascii="Calibri" w:hAnsi="Calibri"/>
                <w:color w:val="333333"/>
                <w:sz w:val="18"/>
              </w:rPr>
              <w:t>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https://finance.yahoo.com/quote/SMCI/</w:t>
            </w:r>
          </w:p>
        </w:tc>
      </w:tr>
      <w:tr>
        <w:tc>
          <w:tcPr>
            <w:tcW w:type="dxa" w:w="1440"/>
            <w:shd w:fill="FCE8E6" w:val="clear"/>
          </w:tcPr>
          <w:p>
            <w:r>
              <w:rPr>
                <w:rFonts w:ascii="Calibri" w:hAnsi="Calibri"/>
                <w:color w:val="333333"/>
                <w:sz w:val="18"/>
              </w:rPr>
              <w:t>2024-05-02 (2d)</w:t>
            </w:r>
          </w:p>
        </w:tc>
        <w:tc>
          <w:tcPr>
            <w:tcW w:type="dxa" w:w="1440"/>
            <w:shd w:fill="FCE8E6" w:val="clear"/>
          </w:tcPr>
          <w:p>
            <w:r>
              <w:rPr>
                <w:rFonts w:ascii="Calibri" w:hAnsi="Calibri"/>
                <w:color w:val="333333"/>
                <w:sz w:val="18"/>
              </w:rPr>
              <w:t>-11.2%</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https://finance.yahoo.com/quote/SMCI/</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19.7% (Ranks at the 0th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3.61</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STABLE</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Body"/>
        <w:shd w:fill="FCE8E6" w:val="clear"/>
      </w:pPr>
      <w:r>
        <w:rPr>
          <w:b/>
          <w:color w:val="EA580C"/>
          <w:sz w:val="18"/>
        </w:rPr>
        <w:t xml:space="preserve">[HIGH] </w:t>
      </w:r>
      <w:r>
        <w:rPr>
          <w:b/>
          <w:sz w:val="20"/>
        </w:rPr>
        <w:t>Elevated Short Interest: 19.7%</w:t>
      </w:r>
      <w:r>
        <w:rPr>
          <w:color w:val="666666"/>
          <w:sz w:val="16"/>
        </w:rPr>
        <w:t xml:space="preserve"> -- Signals significant bearish sentiment; vulnerability to short seller reports</w:t>
      </w:r>
    </w:p>
    <w:p>
      <w:pPr>
        <w:pStyle w:val="DOCaption"/>
        <w:ind w:left="360"/>
      </w:pPr>
      <w:r>
        <w:rPr>
          <w:i/>
          <w:color w:val="666666"/>
          <w:sz w:val="18"/>
        </w:rPr>
        <w:t>Context: Cluster insider selling within 90 days of a stock drop correlates with securities class actions in 42% of cases.</w:t>
      </w:r>
    </w:p>
    <w:p>
      <w:pPr>
        <w:pStyle w:val="DOBody"/>
      </w:pPr>
      <w:r>
        <w:rPr>
          <w:i/>
          <w:color w:val="FFD000"/>
          <w:sz w:val="18"/>
        </w:rPr>
        <w:t>See Meeting Prep: Short Interest &amp; Market Sentiment</w:t>
      </w:r>
    </w:p>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0.7%</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MIXED</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$0.49</w:t>
            </w:r>
          </w:p>
        </w:tc>
        <w:tc>
          <w:tcPr>
            <w:tcW w:type="dxa" w:w="1680"/>
          </w:tcPr>
          <w:p>
            <w:r>
              <w:rPr>
                <w:rFonts w:ascii="Calibri" w:hAnsi="Calibri"/>
                <w:color w:val="333333"/>
                <w:sz w:val="18"/>
              </w:rPr>
              <w:t>$0.69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+41.4%</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$0.39</w:t>
            </w:r>
          </w:p>
        </w:tc>
        <w:tc>
          <w:tcPr>
            <w:tcW w:type="dxa" w:w="1680"/>
            <w:shd w:fill="F2F4F8" w:val="clear"/>
          </w:tcPr>
          <w:p>
            <w:r>
              <w:rPr>
                <w:rFonts w:ascii="Calibri" w:hAnsi="Calibri"/>
                <w:color w:val="333333"/>
                <w:sz w:val="18"/>
              </w:rPr>
              <w:t>$0.35</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+10.3%</w:t>
            </w:r>
          </w:p>
        </w:tc>
        <w:tc>
          <w:tcPr>
            <w:tcW w:type="dxa" w:w="1680"/>
            <w:shd w:fill="F2F4F8" w:val="clear"/>
          </w:tcPr>
          <w:p>
            <w:r>
              <w:rPr>
                <w:rFonts w:ascii="Calibri" w:hAnsi="Calibri"/>
                <w:color w:val="333333"/>
                <w:sz w:val="18"/>
              </w:rPr>
              <w:t>-10.1%</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$0.44</w:t>
            </w:r>
          </w:p>
        </w:tc>
        <w:tc>
          <w:tcPr>
            <w:tcW w:type="dxa" w:w="1680"/>
          </w:tcPr>
          <w:p>
            <w:r>
              <w:rPr>
                <w:rFonts w:ascii="Calibri" w:hAnsi="Calibri"/>
                <w:color w:val="333333"/>
                <w:sz w:val="18"/>
              </w:rPr>
              <w:t>$0.41</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+6.8%</w:t>
            </w:r>
          </w:p>
        </w:tc>
        <w:tc>
          <w:tcPr>
            <w:tcW w:type="dxa" w:w="1680"/>
          </w:tcPr>
          <w:p>
            <w:r>
              <w:rPr>
                <w:rFonts w:ascii="Calibri" w:hAnsi="Calibri"/>
                <w:color w:val="333333"/>
                <w:sz w:val="18"/>
              </w:rPr>
              <w:t>-6.6%</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$0.30</w:t>
            </w:r>
          </w:p>
        </w:tc>
        <w:tc>
          <w:tcPr>
            <w:tcW w:type="dxa" w:w="1680"/>
            <w:shd w:fill="F2F4F8" w:val="clear"/>
          </w:tcPr>
          <w:p>
            <w:r>
              <w:rPr>
                <w:rFonts w:ascii="Calibri" w:hAnsi="Calibri"/>
                <w:color w:val="333333"/>
                <w:sz w:val="18"/>
              </w:rPr>
              <w:t>$0.31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+3.8%</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$0.75</w:t>
            </w:r>
          </w:p>
        </w:tc>
        <w:tc>
          <w:tcPr>
            <w:tcW w:type="dxa" w:w="1680"/>
          </w:tcPr>
          <w:p>
            <w:r>
              <w:rPr>
                <w:rFonts w:ascii="Calibri" w:hAnsi="Calibri"/>
                <w:color w:val="333333"/>
                <w:sz w:val="18"/>
              </w:rPr>
              <w:t>$0.74</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+1.3%</w:t>
            </w:r>
          </w:p>
        </w:tc>
        <w:tc>
          <w:tcPr>
            <w:tcW w:type="dxa" w:w="1680"/>
          </w:tcPr>
          <w:p>
            <w:r>
              <w:rPr>
                <w:rFonts w:ascii="Calibri" w:hAnsi="Calibri"/>
                <w:color w:val="333333"/>
                <w:sz w:val="18"/>
              </w:rPr>
              <w:t>-1.9%</w:t>
            </w:r>
          </w:p>
        </w:tc>
      </w:tr>
      <w:tr>
        <w:tc>
          <w:tcPr>
            <w:tcW w:type="dxa" w:w="1680"/>
            <w:shd w:fill="F2F4F8" w:val="clear"/>
          </w:tcPr>
          <w:p>
            <w:r>
              <w:rPr>
                <w:rFonts w:ascii="Calibri" w:hAnsi="Calibri"/>
                <w:color w:val="333333"/>
                <w:sz w:val="18"/>
              </w:rPr>
              <w:t>Q3 2024</w:t>
            </w:r>
          </w:p>
        </w:tc>
        <w:tc>
          <w:tcPr>
            <w:tcW w:type="dxa" w:w="1680"/>
            <w:shd w:fill="F2F4F8" w:val="clear"/>
          </w:tcPr>
          <w:p>
            <w:r>
              <w:rPr>
                <w:rFonts w:ascii="Calibri" w:hAnsi="Calibri"/>
                <w:color w:val="333333"/>
                <w:sz w:val="18"/>
              </w:rPr>
              <w:t>$0.81</w:t>
            </w:r>
          </w:p>
        </w:tc>
        <w:tc>
          <w:tcPr>
            <w:tcW w:type="dxa" w:w="1680"/>
            <w:shd w:fill="F2F4F8" w:val="clear"/>
          </w:tcPr>
          <w:p>
            <w:r>
              <w:rPr>
                <w:rFonts w:ascii="Calibri" w:hAnsi="Calibri"/>
                <w:color w:val="333333"/>
                <w:sz w:val="18"/>
              </w:rPr>
              <w:t>$0.63</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+22.2%</w:t>
            </w:r>
          </w:p>
        </w:tc>
        <w:tc>
          <w:tcPr>
            <w:tcW w:type="dxa" w:w="1680"/>
            <w:shd w:fill="F2F4F8" w:val="clear"/>
          </w:tcPr>
          <w:p>
            <w:r>
              <w:rPr>
                <w:rFonts w:ascii="Calibri" w:hAnsi="Calibri"/>
                <w:color w:val="333333"/>
                <w:sz w:val="18"/>
              </w:rPr>
              <w:t>-23.2%</w:t>
            </w:r>
          </w:p>
        </w:tc>
      </w:tr>
      <w:tr>
        <w:tc>
          <w:tcPr>
            <w:tcW w:type="dxa" w:w="1680"/>
          </w:tcPr>
          <w:p>
            <w:r>
              <w:rPr>
                <w:rFonts w:ascii="Calibri" w:hAnsi="Calibri"/>
                <w:color w:val="333333"/>
                <w:sz w:val="18"/>
              </w:rPr>
              <w:t>Q2 2024</w:t>
            </w:r>
          </w:p>
        </w:tc>
        <w:tc>
          <w:tcPr>
            <w:tcW w:type="dxa" w:w="1680"/>
          </w:tcPr>
          <w:p>
            <w:r>
              <w:rPr>
                <w:rFonts w:ascii="Calibri" w:hAnsi="Calibri"/>
                <w:color w:val="333333"/>
                <w:sz w:val="18"/>
              </w:rPr>
              <w:t>$0.56</w:t>
            </w:r>
          </w:p>
        </w:tc>
        <w:tc>
          <w:tcPr>
            <w:tcW w:type="dxa" w:w="1680"/>
          </w:tcPr>
          <w:p>
            <w:r>
              <w:rPr>
                <w:rFonts w:ascii="Calibri" w:hAnsi="Calibri"/>
                <w:color w:val="333333"/>
                <w:sz w:val="18"/>
              </w:rPr>
              <w:t>$0.67</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+19.4%</w:t>
            </w:r>
          </w:p>
        </w:tc>
      </w:tr>
      <w:tr>
        <w:tc>
          <w:tcPr>
            <w:tcW w:type="dxa" w:w="1680"/>
            <w:shd w:fill="F2F4F8" w:val="clear"/>
          </w:tcPr>
          <w:p>
            <w:r>
              <w:rPr>
                <w:rFonts w:ascii="Calibri" w:hAnsi="Calibri"/>
                <w:color w:val="333333"/>
                <w:sz w:val="18"/>
              </w:rPr>
              <w:t>Q1 2024</w:t>
            </w:r>
          </w:p>
        </w:tc>
        <w:tc>
          <w:tcPr>
            <w:tcW w:type="dxa" w:w="1680"/>
            <w:shd w:fill="F2F4F8" w:val="clear"/>
          </w:tcPr>
          <w:p>
            <w:r>
              <w:rPr>
                <w:rFonts w:ascii="Calibri" w:hAnsi="Calibri"/>
                <w:color w:val="333333"/>
                <w:sz w:val="18"/>
              </w:rPr>
              <w:t>$0.52</w:t>
            </w:r>
          </w:p>
        </w:tc>
        <w:tc>
          <w:tcPr>
            <w:tcW w:type="dxa" w:w="1680"/>
            <w:shd w:fill="F2F4F8" w:val="clear"/>
          </w:tcPr>
          <w:p>
            <w:r>
              <w:rPr>
                <w:rFonts w:ascii="Calibri" w:hAnsi="Calibri"/>
                <w:color w:val="333333"/>
                <w:sz w:val="18"/>
              </w:rPr>
              <w:t>$0.56</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+8.3%</w:t>
            </w:r>
          </w:p>
        </w:tc>
      </w:tr>
      <w:tr>
        <w:tc>
          <w:tcPr>
            <w:tcW w:type="dxa" w:w="1680"/>
          </w:tcPr>
          <w:p>
            <w:r>
              <w:rPr>
                <w:rFonts w:ascii="Calibri" w:hAnsi="Calibri"/>
                <w:color w:val="333333"/>
                <w:sz w:val="18"/>
              </w:rPr>
              <w:t>Q4 2023</w:t>
            </w:r>
          </w:p>
        </w:tc>
        <w:tc>
          <w:tcPr>
            <w:tcW w:type="dxa" w:w="1680"/>
          </w:tcPr>
          <w:p>
            <w:r>
              <w:rPr>
                <w:rFonts w:ascii="Calibri" w:hAnsi="Calibri"/>
                <w:color w:val="333333"/>
                <w:sz w:val="18"/>
              </w:rPr>
              <w:t>$0.32</w:t>
            </w:r>
          </w:p>
        </w:tc>
        <w:tc>
          <w:tcPr>
            <w:tcW w:type="dxa" w:w="1680"/>
          </w:tcPr>
          <w:p>
            <w:r>
              <w:rPr>
                <w:rFonts w:ascii="Calibri" w:hAnsi="Calibri"/>
                <w:color w:val="333333"/>
                <w:sz w:val="18"/>
              </w:rPr>
              <w:t>$0.34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+5.7%</w:t>
            </w:r>
          </w:p>
        </w:tc>
      </w:tr>
      <w:tr>
        <w:tc>
          <w:tcPr>
            <w:tcW w:type="dxa" w:w="1680"/>
            <w:shd w:fill="F2F4F8" w:val="clear"/>
          </w:tcPr>
          <w:p>
            <w:r>
              <w:rPr>
                <w:rFonts w:ascii="Calibri" w:hAnsi="Calibri"/>
                <w:color w:val="333333"/>
                <w:sz w:val="18"/>
              </w:rPr>
              <w:t>Q3 2023</w:t>
            </w:r>
          </w:p>
        </w:tc>
        <w:tc>
          <w:tcPr>
            <w:tcW w:type="dxa" w:w="1680"/>
            <w:shd w:fill="F2F4F8" w:val="clear"/>
          </w:tcPr>
          <w:p>
            <w:r>
              <w:rPr>
                <w:rFonts w:ascii="Calibri" w:hAnsi="Calibri"/>
                <w:color w:val="333333"/>
                <w:sz w:val="18"/>
              </w:rPr>
              <w:t>$0.29</w:t>
            </w:r>
          </w:p>
        </w:tc>
        <w:tc>
          <w:tcPr>
            <w:tcW w:type="dxa" w:w="1680"/>
            <w:shd w:fill="F2F4F8" w:val="clear"/>
          </w:tcPr>
          <w:p>
            <w:r>
              <w:rPr>
                <w:rFonts w:ascii="Calibri" w:hAnsi="Calibri"/>
                <w:color w:val="333333"/>
                <w:sz w:val="18"/>
              </w:rPr>
              <w:t>$0.35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+20.7%</w:t>
            </w:r>
          </w:p>
        </w:tc>
      </w:tr>
      <w:tr>
        <w:tc>
          <w:tcPr>
            <w:tcW w:type="dxa" w:w="1680"/>
          </w:tcPr>
          <w:p>
            <w:r>
              <w:rPr>
                <w:rFonts w:ascii="Calibri" w:hAnsi="Calibri"/>
                <w:color w:val="333333"/>
                <w:sz w:val="18"/>
              </w:rPr>
              <w:t>Q2 2023</w:t>
            </w:r>
          </w:p>
        </w:tc>
        <w:tc>
          <w:tcPr>
            <w:tcW w:type="dxa" w:w="1680"/>
          </w:tcPr>
          <w:p>
            <w:r>
              <w:rPr>
                <w:rFonts w:ascii="Calibri" w:hAnsi="Calibri"/>
                <w:color w:val="333333"/>
                <w:sz w:val="18"/>
              </w:rPr>
              <w:t>$0.17</w:t>
            </w:r>
          </w:p>
        </w:tc>
        <w:tc>
          <w:tcPr>
            <w:tcW w:type="dxa" w:w="1680"/>
          </w:tcPr>
          <w:p>
            <w:r>
              <w:rPr>
                <w:rFonts w:ascii="Calibri" w:hAnsi="Calibri"/>
                <w:color w:val="333333"/>
                <w:sz w:val="18"/>
              </w:rPr>
              <w:t>$0.16</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+5.9%</w:t>
            </w:r>
          </w:p>
        </w:tc>
        <w:tc>
          <w:tcPr>
            <w:tcW w:type="dxa" w:w="1680"/>
          </w:tcPr>
          <w:p>
            <w:r>
              <w:rPr>
                <w:rFonts w:ascii="Calibri" w:hAnsi="Calibri"/>
                <w:color w:val="333333"/>
                <w:sz w:val="18"/>
              </w:rPr>
              <w:t>-4.6%</w:t>
            </w:r>
          </w:p>
        </w:tc>
      </w:tr>
      <w:tr>
        <w:tc>
          <w:tcPr>
            <w:tcW w:type="dxa" w:w="1680"/>
            <w:shd w:fill="F2F4F8" w:val="clear"/>
          </w:tcPr>
          <w:p>
            <w:r>
              <w:rPr>
                <w:rFonts w:ascii="Calibri" w:hAnsi="Calibri"/>
                <w:color w:val="333333"/>
                <w:sz w:val="18"/>
              </w:rPr>
              <w:t>Q1 2023</w:t>
            </w:r>
          </w:p>
        </w:tc>
        <w:tc>
          <w:tcPr>
            <w:tcW w:type="dxa" w:w="1680"/>
            <w:shd w:fill="F2F4F8" w:val="clear"/>
          </w:tcPr>
          <w:p>
            <w:r>
              <w:rPr>
                <w:rFonts w:ascii="Calibri" w:hAnsi="Calibri"/>
                <w:color w:val="333333"/>
                <w:sz w:val="18"/>
              </w:rPr>
              <w:t>$0.30</w:t>
            </w:r>
          </w:p>
        </w:tc>
        <w:tc>
          <w:tcPr>
            <w:tcW w:type="dxa" w:w="1680"/>
            <w:shd w:fill="F2F4F8" w:val="clear"/>
          </w:tcPr>
          <w:p>
            <w:r>
              <w:rPr>
                <w:rFonts w:ascii="Calibri" w:hAnsi="Calibri"/>
                <w:color w:val="333333"/>
                <w:sz w:val="18"/>
              </w:rPr>
              <w:t>$0.33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+7.7%</w:t>
            </w:r>
          </w:p>
        </w:tc>
      </w:tr>
      <w:tr>
        <w:tc>
          <w:tcPr>
            <w:tcW w:type="dxa" w:w="1680"/>
          </w:tcPr>
          <w:p>
            <w:r>
              <w:rPr>
                <w:rFonts w:ascii="Calibri" w:hAnsi="Calibri"/>
                <w:color w:val="333333"/>
                <w:sz w:val="18"/>
              </w:rPr>
              <w:t>Q4 2022</w:t>
            </w:r>
          </w:p>
        </w:tc>
        <w:tc>
          <w:tcPr>
            <w:tcW w:type="dxa" w:w="1680"/>
          </w:tcPr>
          <w:p>
            <w:r>
              <w:rPr>
                <w:rFonts w:ascii="Calibri" w:hAnsi="Calibri"/>
                <w:color w:val="333333"/>
                <w:sz w:val="18"/>
              </w:rPr>
              <w:t>$0.28</w:t>
            </w:r>
          </w:p>
        </w:tc>
        <w:tc>
          <w:tcPr>
            <w:tcW w:type="dxa" w:w="1680"/>
          </w:tcPr>
          <w:p>
            <w:r>
              <w:rPr>
                <w:rFonts w:ascii="Calibri" w:hAnsi="Calibri"/>
                <w:color w:val="333333"/>
                <w:sz w:val="18"/>
              </w:rPr>
              <w:t>$0.34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+21.4%</w:t>
            </w:r>
          </w:p>
        </w:tc>
      </w:tr>
      <w:tr>
        <w:tc>
          <w:tcPr>
            <w:tcW w:type="dxa" w:w="1680"/>
            <w:shd w:fill="F2F4F8" w:val="clear"/>
          </w:tcPr>
          <w:p>
            <w:r>
              <w:rPr>
                <w:rFonts w:ascii="Calibri" w:hAnsi="Calibri"/>
                <w:color w:val="333333"/>
                <w:sz w:val="18"/>
              </w:rPr>
              <w:t>Q3 2022</w:t>
            </w:r>
          </w:p>
        </w:tc>
        <w:tc>
          <w:tcPr>
            <w:tcW w:type="dxa" w:w="1680"/>
            <w:shd w:fill="F2F4F8" w:val="clear"/>
          </w:tcPr>
          <w:p>
            <w:r>
              <w:rPr>
                <w:rFonts w:ascii="Calibri" w:hAnsi="Calibri"/>
                <w:color w:val="333333"/>
                <w:sz w:val="18"/>
              </w:rPr>
              <w:t>$0.23</w:t>
            </w:r>
          </w:p>
        </w:tc>
        <w:tc>
          <w:tcPr>
            <w:tcW w:type="dxa" w:w="1680"/>
            <w:shd w:fill="F2F4F8" w:val="clear"/>
          </w:tcPr>
          <w:p>
            <w:r>
              <w:rPr>
                <w:rFonts w:ascii="Calibri" w:hAnsi="Calibri"/>
                <w:color w:val="333333"/>
                <w:sz w:val="18"/>
              </w:rPr>
              <w:t>$0.26</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+11.7%</w:t>
            </w:r>
          </w:p>
        </w:tc>
      </w:tr>
      <w:tr>
        <w:tc>
          <w:tcPr>
            <w:tcW w:type="dxa" w:w="1680"/>
          </w:tcPr>
          <w:p>
            <w:r>
              <w:rPr>
                <w:rFonts w:ascii="Calibri" w:hAnsi="Calibri"/>
                <w:color w:val="333333"/>
                <w:sz w:val="18"/>
              </w:rPr>
              <w:t>Q2 2022</w:t>
            </w:r>
          </w:p>
        </w:tc>
        <w:tc>
          <w:tcPr>
            <w:tcW w:type="dxa" w:w="1680"/>
          </w:tcPr>
          <w:p>
            <w:r>
              <w:rPr>
                <w:rFonts w:ascii="Calibri" w:hAnsi="Calibri"/>
                <w:color w:val="333333"/>
                <w:sz w:val="18"/>
              </w:rPr>
              <w:t>$0.12</w:t>
            </w:r>
          </w:p>
        </w:tc>
        <w:tc>
          <w:tcPr>
            <w:tcW w:type="dxa" w:w="1680"/>
          </w:tcPr>
          <w:p>
            <w:r>
              <w:rPr>
                <w:rFonts w:ascii="Calibri" w:hAnsi="Calibri"/>
                <w:color w:val="333333"/>
                <w:sz w:val="18"/>
              </w:rPr>
              <w:t>$0.16</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+26.7%</w:t>
            </w:r>
          </w:p>
        </w:tc>
      </w:tr>
      <w:tr>
        <w:tc>
          <w:tcPr>
            <w:tcW w:type="dxa" w:w="1680"/>
            <w:shd w:fill="F2F4F8" w:val="clear"/>
          </w:tcPr>
          <w:p>
            <w:r>
              <w:rPr>
                <w:rFonts w:ascii="Calibri" w:hAnsi="Calibri"/>
                <w:color w:val="333333"/>
                <w:sz w:val="18"/>
              </w:rPr>
              <w:t>Q1 2022</w:t>
            </w:r>
          </w:p>
        </w:tc>
        <w:tc>
          <w:tcPr>
            <w:tcW w:type="dxa" w:w="1680"/>
            <w:shd w:fill="F2F4F8" w:val="clear"/>
          </w:tcPr>
          <w:p>
            <w:r>
              <w:rPr>
                <w:rFonts w:ascii="Calibri" w:hAnsi="Calibri"/>
                <w:color w:val="333333"/>
                <w:sz w:val="18"/>
              </w:rPr>
              <w:t>$0.08</w:t>
            </w:r>
          </w:p>
        </w:tc>
        <w:tc>
          <w:tcPr>
            <w:tcW w:type="dxa" w:w="1680"/>
            <w:shd w:fill="F2F4F8" w:val="clear"/>
          </w:tcPr>
          <w:p>
            <w:r>
              <w:rPr>
                <w:rFonts w:ascii="Calibri" w:hAnsi="Calibri"/>
                <w:color w:val="333333"/>
                <w:sz w:val="18"/>
              </w:rPr>
              <w:t>$0.09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+13.2%</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15</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HOLD</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2.89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$35</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$58</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$15</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2024-10-30 to 2024-11-26</w:t>
            </w:r>
          </w:p>
        </w:tc>
        <w:tc>
          <w:tcPr>
            <w:tcW w:type="dxa" w:w="1680"/>
          </w:tcPr>
          <w:p>
            <w:r>
              <w:rPr>
                <w:rFonts w:ascii="Calibri" w:hAnsi="Calibri"/>
                <w:color w:val="333333"/>
                <w:sz w:val="18"/>
              </w:rPr>
              <w:t>-63.3%</w:t>
            </w:r>
          </w:p>
        </w:tc>
        <w:tc>
          <w:tcPr>
            <w:tcW w:type="dxa" w:w="1680"/>
          </w:tcPr>
          <w:p>
            <w:r>
              <w:rPr>
                <w:rFonts w:ascii="Calibri" w:hAnsi="Calibri"/>
                <w:color w:val="333333"/>
                <w:sz w:val="18"/>
              </w:rPr>
              <w:t>MULTI_DAY (28d)</w:t>
            </w:r>
          </w:p>
        </w:tc>
        <w:tc>
          <w:tcPr>
            <w:tcW w:type="dxa" w:w="1680"/>
          </w:tcPr>
          <w:p>
            <w:r>
              <w:rPr>
                <w:rFonts w:ascii="Calibri" w:hAnsi="Calibri"/>
                <w:color w:val="333333"/>
                <w:sz w:val="18"/>
              </w:rPr>
              <w:t>Unknown</w:t>
            </w:r>
          </w:p>
        </w:tc>
        <w:tc>
          <w:tcPr>
            <w:tcW w:type="dxa" w:w="1680"/>
          </w:tcPr>
          <w:p>
            <w:r>
              <w:rPr>
                <w:rFonts w:ascii="Calibri" w:hAnsi="Calibri"/>
                <w:color w:val="333333"/>
                <w:sz w:val="18"/>
              </w:rPr>
              <w:t>+1.9%</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2024-11-15</w:t>
            </w:r>
          </w:p>
        </w:tc>
        <w:tc>
          <w:tcPr>
            <w:tcW w:type="dxa" w:w="1680"/>
            <w:shd w:fill="F2F4F8" w:val="clear"/>
          </w:tcPr>
          <w:p>
            <w:r>
              <w:rPr>
                <w:rFonts w:ascii="Calibri" w:hAnsi="Calibri"/>
                <w:color w:val="333333"/>
                <w:sz w:val="18"/>
              </w:rPr>
              <w:t>-60.7%</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-0.9%</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2024-11-13</w:t>
            </w:r>
          </w:p>
        </w:tc>
        <w:tc>
          <w:tcPr>
            <w:tcW w:type="dxa" w:w="1680"/>
          </w:tcPr>
          <w:p>
            <w:r>
              <w:rPr>
                <w:rFonts w:ascii="Calibri" w:hAnsi="Calibri"/>
                <w:color w:val="333333"/>
                <w:sz w:val="18"/>
              </w:rPr>
              <w:t>-58.3%</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+2.6%</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2024-11-18</w:t>
            </w:r>
          </w:p>
        </w:tc>
        <w:tc>
          <w:tcPr>
            <w:tcW w:type="dxa" w:w="1680"/>
            <w:shd w:fill="F2F4F8" w:val="clear"/>
          </w:tcPr>
          <w:p>
            <w:r>
              <w:rPr>
                <w:rFonts w:ascii="Calibri" w:hAnsi="Calibri"/>
                <w:color w:val="333333"/>
                <w:sz w:val="18"/>
              </w:rPr>
              <w:t>-54.9%</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-1.1%</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2024-11-12</w:t>
            </w:r>
          </w:p>
        </w:tc>
        <w:tc>
          <w:tcPr>
            <w:tcW w:type="dxa" w:w="1680"/>
          </w:tcPr>
          <w:p>
            <w:r>
              <w:rPr>
                <w:rFonts w:ascii="Calibri" w:hAnsi="Calibri"/>
                <w:color w:val="333333"/>
                <w:sz w:val="18"/>
              </w:rPr>
              <w:t>-54.6%</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+3.3%</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2024-11-06</w:t>
            </w:r>
          </w:p>
        </w:tc>
        <w:tc>
          <w:tcPr>
            <w:tcW w:type="dxa" w:w="1680"/>
            <w:shd w:fill="F2F4F8" w:val="clear"/>
          </w:tcPr>
          <w:p>
            <w:r>
              <w:rPr>
                <w:rFonts w:ascii="Calibri" w:hAnsi="Calibri"/>
                <w:color w:val="333333"/>
                <w:sz w:val="18"/>
              </w:rPr>
              <w:t>-52.0%</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+1.2%</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2024-11-11</w:t>
            </w:r>
          </w:p>
        </w:tc>
        <w:tc>
          <w:tcPr>
            <w:tcW w:type="dxa" w:w="1680"/>
          </w:tcPr>
          <w:p>
            <w:r>
              <w:rPr>
                <w:rFonts w:ascii="Calibri" w:hAnsi="Calibri"/>
                <w:color w:val="333333"/>
                <w:sz w:val="18"/>
              </w:rPr>
              <w:t>-51.0%</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+0.9%</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2024-11-08</w:t>
            </w:r>
          </w:p>
        </w:tc>
        <w:tc>
          <w:tcPr>
            <w:tcW w:type="dxa" w:w="1680"/>
            <w:shd w:fill="F2F4F8" w:val="clear"/>
          </w:tcPr>
          <w:p>
            <w:r>
              <w:rPr>
                <w:rFonts w:ascii="Calibri" w:hAnsi="Calibri"/>
                <w:color w:val="333333"/>
                <w:sz w:val="18"/>
              </w:rPr>
              <w:t>-48.7%</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+2.8%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2025-11-04 to 2025-12-03</w:t>
            </w:r>
          </w:p>
        </w:tc>
        <w:tc>
          <w:tcPr>
            <w:tcW w:type="dxa" w:w="1680"/>
          </w:tcPr>
          <w:p>
            <w:r>
              <w:rPr>
                <w:rFonts w:ascii="Calibri" w:hAnsi="Calibri"/>
                <w:color w:val="333333"/>
                <w:sz w:val="18"/>
              </w:rPr>
              <w:t>-46.2%</w:t>
            </w:r>
          </w:p>
        </w:tc>
        <w:tc>
          <w:tcPr>
            <w:tcW w:type="dxa" w:w="1680"/>
          </w:tcPr>
          <w:p>
            <w:r>
              <w:rPr>
                <w:rFonts w:ascii="Calibri" w:hAnsi="Calibri"/>
                <w:color w:val="333333"/>
                <w:sz w:val="18"/>
              </w:rPr>
              <w:t>MULTI_DAY (30d)</w:t>
            </w:r>
          </w:p>
        </w:tc>
        <w:tc>
          <w:tcPr>
            <w:tcW w:type="dxa" w:w="1680"/>
          </w:tcPr>
          <w:p>
            <w:r>
              <w:rPr>
                <w:rFonts w:ascii="Calibri" w:hAnsi="Calibri"/>
                <w:color w:val="333333"/>
                <w:sz w:val="18"/>
              </w:rPr>
              <w:t>Unknown</w:t>
            </w:r>
          </w:p>
        </w:tc>
        <w:tc>
          <w:tcPr>
            <w:tcW w:type="dxa" w:w="1680"/>
          </w:tcPr>
          <w:p>
            <w:r>
              <w:rPr>
                <w:rFonts w:ascii="Calibri" w:hAnsi="Calibri"/>
                <w:color w:val="333333"/>
                <w:sz w:val="18"/>
              </w:rPr>
              <w:t>-1.6%</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2024-08-02 to 2024-08-14</w:t>
            </w:r>
          </w:p>
        </w:tc>
        <w:tc>
          <w:tcPr>
            <w:tcW w:type="dxa" w:w="1680"/>
            <w:shd w:fill="F2F4F8" w:val="clear"/>
          </w:tcPr>
          <w:p>
            <w:r>
              <w:rPr>
                <w:rFonts w:ascii="Calibri" w:hAnsi="Calibri"/>
                <w:color w:val="333333"/>
                <w:sz w:val="18"/>
              </w:rPr>
              <w:t>-45.9%</w:t>
            </w:r>
          </w:p>
        </w:tc>
        <w:tc>
          <w:tcPr>
            <w:tcW w:type="dxa" w:w="1680"/>
            <w:shd w:fill="F2F4F8" w:val="clear"/>
          </w:tcPr>
          <w:p>
            <w:r>
              <w:rPr>
                <w:rFonts w:ascii="Calibri" w:hAnsi="Calibri"/>
                <w:color w:val="333333"/>
                <w:sz w:val="18"/>
              </w:rPr>
              <w:t>MULTI_DAY (13d)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-17.0%</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2024-11-04</w:t>
            </w:r>
          </w:p>
        </w:tc>
        <w:tc>
          <w:tcPr>
            <w:tcW w:type="dxa" w:w="1680"/>
          </w:tcPr>
          <w:p>
            <w:r>
              <w:rPr>
                <w:rFonts w:ascii="Calibri" w:hAnsi="Calibri"/>
                <w:color w:val="333333"/>
                <w:sz w:val="18"/>
              </w:rPr>
              <w:t>-45.5%</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+0.0%</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2024-11-07</w:t>
            </w:r>
          </w:p>
        </w:tc>
        <w:tc>
          <w:tcPr>
            <w:tcW w:type="dxa" w:w="1680"/>
            <w:shd w:fill="F2F4F8" w:val="clear"/>
          </w:tcPr>
          <w:p>
            <w:r>
              <w:rPr>
                <w:rFonts w:ascii="Calibri" w:hAnsi="Calibri"/>
                <w:color w:val="333333"/>
                <w:sz w:val="18"/>
              </w:rPr>
              <w:t>-45.2%</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+3.0%</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2024-08-26 to 2024-09-06</w:t>
            </w:r>
          </w:p>
        </w:tc>
        <w:tc>
          <w:tcPr>
            <w:tcW w:type="dxa" w:w="1680"/>
          </w:tcPr>
          <w:p>
            <w:r>
              <w:rPr>
                <w:rFonts w:ascii="Calibri" w:hAnsi="Calibri"/>
                <w:color w:val="333333"/>
                <w:sz w:val="18"/>
              </w:rPr>
              <w:t>-44.9%</w:t>
            </w:r>
          </w:p>
        </w:tc>
        <w:tc>
          <w:tcPr>
            <w:tcW w:type="dxa" w:w="1680"/>
          </w:tcPr>
          <w:p>
            <w:r>
              <w:rPr>
                <w:rFonts w:ascii="Calibri" w:hAnsi="Calibri"/>
                <w:color w:val="333333"/>
                <w:sz w:val="18"/>
              </w:rPr>
              <w:t>MULTI_DAY (12d)</w:t>
            </w:r>
          </w:p>
        </w:tc>
        <w:tc>
          <w:tcPr>
            <w:tcW w:type="dxa" w:w="1680"/>
          </w:tcPr>
          <w:p>
            <w:r>
              <w:rPr>
                <w:rFonts w:ascii="Calibri" w:hAnsi="Calibri"/>
                <w:color w:val="333333"/>
                <w:sz w:val="18"/>
              </w:rPr>
              <w:t>Unknown</w:t>
            </w:r>
          </w:p>
        </w:tc>
        <w:tc>
          <w:tcPr>
            <w:tcW w:type="dxa" w:w="1680"/>
          </w:tcPr>
          <w:p>
            <w:r>
              <w:rPr>
                <w:rFonts w:ascii="Calibri" w:hAnsi="Calibri"/>
                <w:color w:val="333333"/>
                <w:sz w:val="18"/>
              </w:rPr>
              <w:t>+0.3%</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2024-11-01</w:t>
            </w:r>
          </w:p>
        </w:tc>
        <w:tc>
          <w:tcPr>
            <w:tcW w:type="dxa" w:w="1680"/>
            <w:shd w:fill="F2F4F8" w:val="clear"/>
          </w:tcPr>
          <w:p>
            <w:r>
              <w:rPr>
                <w:rFonts w:ascii="Calibri" w:hAnsi="Calibri"/>
                <w:color w:val="333333"/>
                <w:sz w:val="18"/>
              </w:rPr>
              <w:t>-44.9%</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-2.8%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2024-08-09</w:t>
            </w:r>
          </w:p>
        </w:tc>
        <w:tc>
          <w:tcPr>
            <w:tcW w:type="dxa" w:w="1680"/>
          </w:tcPr>
          <w:p>
            <w:r>
              <w:rPr>
                <w:rFonts w:ascii="Calibri" w:hAnsi="Calibri"/>
                <w:color w:val="333333"/>
                <w:sz w:val="18"/>
              </w:rPr>
              <w:t>-44.1%</w:t>
            </w:r>
          </w:p>
        </w:tc>
        <w:tc>
          <w:tcPr>
            <w:tcW w:type="dxa" w:w="1680"/>
          </w:tcPr>
          <w:p>
            <w:r>
              <w:rPr>
                <w:rFonts w:ascii="Calibri" w:hAnsi="Calibri"/>
                <w:color w:val="333333"/>
                <w:sz w:val="18"/>
              </w:rPr>
              <w:t>MULTI_DAY (20d)</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-12.1%</w:t>
            </w:r>
          </w:p>
        </w:tc>
        <w:tc>
          <w:tcPr>
            <w:tcW w:type="dxa" w:w="1680"/>
            <w:shd w:fill="FFF3CD" w:val="clear"/>
          </w:tcPr>
          <w:p>
            <w:r>
              <w:rPr>
                <w:rFonts w:ascii="Calibri" w:hAnsi="Calibri"/>
                <w:color w:val="333333"/>
                <w:sz w:val="18"/>
              </w:rPr>
              <w:t>Yes</w:t>
            </w:r>
          </w:p>
        </w:tc>
      </w:tr>
    </w:tbl>
    <w:p>
      <w:pPr>
        <w:pStyle w:val="DOBody"/>
      </w:pPr>
      <w:r>
        <w:t>Class Period Potential: 136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2</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0</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Liang Charles</w:t>
            </w:r>
          </w:p>
        </w:tc>
        <w:tc>
          <w:tcPr>
            <w:tcW w:type="dxa" w:w="1440"/>
          </w:tcPr>
          <w:p>
            <w:r>
              <w:rPr>
                <w:rFonts w:ascii="Calibri" w:hAnsi="Calibri"/>
                <w:color w:val="333333"/>
                <w:sz w:val="18"/>
              </w:rPr>
              <w:t>President and CEO</w:t>
            </w:r>
          </w:p>
        </w:tc>
        <w:tc>
          <w:tcPr>
            <w:tcW w:type="dxa" w:w="1440"/>
          </w:tcPr>
          <w:p>
            <w:r>
              <w:rPr>
                <w:rFonts w:ascii="Calibri" w:hAnsi="Calibri"/>
                <w:color w:val="333333"/>
                <w:sz w:val="18"/>
              </w:rPr>
              <w:t>EXERCISE</w:t>
            </w:r>
          </w:p>
        </w:tc>
        <w:tc>
          <w:tcPr>
            <w:tcW w:type="dxa" w:w="1440"/>
          </w:tcPr>
          <w:p>
            <w:r>
              <w:rPr>
                <w:rFonts w:ascii="Calibri" w:hAnsi="Calibri"/>
                <w:color w:val="333333"/>
                <w:sz w:val="18"/>
              </w:rPr>
              <w:t>20,980</w:t>
            </w:r>
          </w:p>
        </w:tc>
        <w:tc>
          <w:tcPr>
            <w:tcW w:type="dxa" w:w="1440"/>
          </w:tcPr>
          <w:p>
            <w:r>
              <w:rPr>
                <w:rFonts w:ascii="Calibri" w:hAnsi="Calibri"/>
                <w:color w:val="333333"/>
                <w:sz w:val="18"/>
              </w:rPr>
              <w:t>$88.9K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Liang Charles</w:t>
            </w:r>
          </w:p>
        </w:tc>
        <w:tc>
          <w:tcPr>
            <w:tcW w:type="dxa" w:w="1440"/>
            <w:shd w:fill="F2F4F8" w:val="clear"/>
          </w:tcPr>
          <w:p>
            <w:r>
              <w:rPr>
                <w:rFonts w:ascii="Calibri" w:hAnsi="Calibri"/>
                <w:color w:val="333333"/>
                <w:sz w:val="18"/>
              </w:rPr>
              <w:t>President and CEO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20,980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Liu Liang Chiu-Chu Sara</w:t>
            </w:r>
          </w:p>
        </w:tc>
        <w:tc>
          <w:tcPr>
            <w:tcW w:type="dxa" w:w="1440"/>
          </w:tcPr>
          <w:p>
            <w:r>
              <w:rPr>
                <w:rFonts w:ascii="Calibri" w:hAnsi="Calibri"/>
                <w:color w:val="333333"/>
                <w:sz w:val="18"/>
              </w:rPr>
              <w:t>Director</w:t>
            </w:r>
          </w:p>
        </w:tc>
        <w:tc>
          <w:tcPr>
            <w:tcW w:type="dxa" w:w="1440"/>
          </w:tcPr>
          <w:p>
            <w:r>
              <w:rPr>
                <w:rFonts w:ascii="Calibri" w:hAnsi="Calibri"/>
                <w:color w:val="333333"/>
                <w:sz w:val="18"/>
              </w:rPr>
              <w:t>EXERCISE</w:t>
            </w:r>
          </w:p>
        </w:tc>
        <w:tc>
          <w:tcPr>
            <w:tcW w:type="dxa" w:w="1440"/>
          </w:tcPr>
          <w:p>
            <w:r>
              <w:rPr>
                <w:rFonts w:ascii="Calibri" w:hAnsi="Calibri"/>
                <w:color w:val="333333"/>
                <w:sz w:val="18"/>
              </w:rPr>
              <w:t>20,980</w:t>
            </w:r>
          </w:p>
        </w:tc>
        <w:tc>
          <w:tcPr>
            <w:tcW w:type="dxa" w:w="1440"/>
          </w:tcPr>
          <w:p>
            <w:r>
              <w:rPr>
                <w:rFonts w:ascii="Calibri" w:hAnsi="Calibri"/>
                <w:color w:val="333333"/>
                <w:sz w:val="18"/>
              </w:rPr>
              <w:t>$88.9K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Liu Liang Chiu-Chu Sara</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20,980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Liaw Yih-Shyan Wally</w:t>
            </w:r>
          </w:p>
        </w:tc>
        <w:tc>
          <w:tcPr>
            <w:tcW w:type="dxa" w:w="1440"/>
          </w:tcPr>
          <w:p>
            <w:r>
              <w:rPr>
                <w:rFonts w:ascii="Calibri" w:hAnsi="Calibri"/>
                <w:color w:val="333333"/>
                <w:sz w:val="18"/>
              </w:rPr>
              <w:t>Director</w:t>
            </w:r>
          </w:p>
        </w:tc>
        <w:tc>
          <w:tcPr>
            <w:tcW w:type="dxa" w:w="1440"/>
          </w:tcPr>
          <w:p>
            <w:r>
              <w:rPr>
                <w:rFonts w:ascii="Calibri" w:hAnsi="Calibri"/>
                <w:color w:val="333333"/>
                <w:sz w:val="18"/>
              </w:rPr>
              <w:t>EXERCISE</w:t>
            </w:r>
          </w:p>
        </w:tc>
        <w:tc>
          <w:tcPr>
            <w:tcW w:type="dxa" w:w="1440"/>
          </w:tcPr>
          <w:p>
            <w:r>
              <w:rPr>
                <w:rFonts w:ascii="Calibri" w:hAnsi="Calibri"/>
                <w:color w:val="333333"/>
                <w:sz w:val="18"/>
              </w:rPr>
              <w:t>3,400</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Liaw Yih-Shyan Wally</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3,400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Liaw Yih-Shyan Wally</w:t>
            </w:r>
          </w:p>
        </w:tc>
        <w:tc>
          <w:tcPr>
            <w:tcW w:type="dxa" w:w="1440"/>
          </w:tcPr>
          <w:p>
            <w:r>
              <w:rPr>
                <w:rFonts w:ascii="Calibri" w:hAnsi="Calibri"/>
                <w:color w:val="333333"/>
                <w:sz w:val="18"/>
              </w:rPr>
              <w:t>Director</w:t>
            </w:r>
          </w:p>
        </w:tc>
        <w:tc>
          <w:tcPr>
            <w:tcW w:type="dxa" w:w="1440"/>
          </w:tcPr>
          <w:p>
            <w:r>
              <w:rPr>
                <w:rFonts w:ascii="Calibri" w:hAnsi="Calibri"/>
                <w:color w:val="333333"/>
                <w:sz w:val="18"/>
              </w:rPr>
              <w:t>TAX_WITHHOLD</w:t>
            </w:r>
          </w:p>
        </w:tc>
        <w:tc>
          <w:tcPr>
            <w:tcW w:type="dxa" w:w="1440"/>
          </w:tcPr>
          <w:p>
            <w:r>
              <w:rPr>
                <w:rFonts w:ascii="Calibri" w:hAnsi="Calibri"/>
                <w:color w:val="333333"/>
                <w:sz w:val="18"/>
              </w:rPr>
              <w:t>1,220</w:t>
            </w:r>
          </w:p>
        </w:tc>
        <w:tc>
          <w:tcPr>
            <w:tcW w:type="dxa" w:w="1440"/>
          </w:tcPr>
          <w:p>
            <w:r>
              <w:rPr>
                <w:rFonts w:ascii="Calibri" w:hAnsi="Calibri"/>
                <w:color w:val="333333"/>
                <w:sz w:val="18"/>
              </w:rPr>
              <w:t>$36.7K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Cheung Kenneth</w:t>
            </w:r>
          </w:p>
        </w:tc>
        <w:tc>
          <w:tcPr>
            <w:tcW w:type="dxa" w:w="1440"/>
            <w:shd w:fill="F2F4F8" w:val="clear"/>
          </w:tcPr>
          <w:p>
            <w:r>
              <w:rPr>
                <w:rFonts w:ascii="Calibri" w:hAnsi="Calibri"/>
                <w:color w:val="333333"/>
                <w:sz w:val="18"/>
              </w:rPr>
              <w:t>SVP,  Chief Accounting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2,250</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Cheung Kenneth</w:t>
            </w:r>
          </w:p>
        </w:tc>
        <w:tc>
          <w:tcPr>
            <w:tcW w:type="dxa" w:w="1440"/>
          </w:tcPr>
          <w:p>
            <w:r>
              <w:rPr>
                <w:rFonts w:ascii="Calibri" w:hAnsi="Calibri"/>
                <w:color w:val="333333"/>
                <w:sz w:val="18"/>
              </w:rPr>
              <w:t>SVP,  Chief Accounting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2,250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Cheung Kenneth</w:t>
            </w:r>
          </w:p>
        </w:tc>
        <w:tc>
          <w:tcPr>
            <w:tcW w:type="dxa" w:w="1440"/>
            <w:shd w:fill="F2F4F8" w:val="clear"/>
          </w:tcPr>
          <w:p>
            <w:r>
              <w:rPr>
                <w:rFonts w:ascii="Calibri" w:hAnsi="Calibri"/>
                <w:color w:val="333333"/>
                <w:sz w:val="18"/>
              </w:rPr>
              <w:t>SVP,  Chief Accounting Officer</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927</w:t>
            </w:r>
          </w:p>
        </w:tc>
        <w:tc>
          <w:tcPr>
            <w:tcW w:type="dxa" w:w="1440"/>
            <w:shd w:fill="F2F4F8" w:val="clear"/>
          </w:tcPr>
          <w:p>
            <w:r>
              <w:rPr>
                <w:rFonts w:ascii="Calibri" w:hAnsi="Calibri"/>
                <w:color w:val="333333"/>
                <w:sz w:val="18"/>
              </w:rPr>
              <w:t>$27.9K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Liu Liang Chiu-Chu Sara</w:t>
            </w:r>
          </w:p>
        </w:tc>
        <w:tc>
          <w:tcPr>
            <w:tcW w:type="dxa" w:w="1440"/>
          </w:tcPr>
          <w:p>
            <w:r>
              <w:rPr>
                <w:rFonts w:ascii="Calibri" w:hAnsi="Calibri"/>
                <w:color w:val="333333"/>
                <w:sz w:val="18"/>
              </w:rPr>
              <w:t>Director</w:t>
            </w:r>
          </w:p>
        </w:tc>
        <w:tc>
          <w:tcPr>
            <w:tcW w:type="dxa" w:w="1440"/>
          </w:tcPr>
          <w:p>
            <w:r>
              <w:rPr>
                <w:rFonts w:ascii="Calibri" w:hAnsi="Calibri"/>
                <w:color w:val="333333"/>
                <w:sz w:val="18"/>
              </w:rPr>
              <w:t>EXERCISE</w:t>
            </w:r>
          </w:p>
        </w:tc>
        <w:tc>
          <w:tcPr>
            <w:tcW w:type="dxa" w:w="1440"/>
          </w:tcPr>
          <w:p>
            <w:r>
              <w:rPr>
                <w:rFonts w:ascii="Calibri" w:hAnsi="Calibri"/>
                <w:color w:val="333333"/>
                <w:sz w:val="18"/>
              </w:rPr>
              <w:t>3,650</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Liu Liang Chiu-Chu Sara</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3,650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Liu Liang Chiu-Chu Sara</w:t>
            </w:r>
          </w:p>
        </w:tc>
        <w:tc>
          <w:tcPr>
            <w:tcW w:type="dxa" w:w="1440"/>
          </w:tcPr>
          <w:p>
            <w:r>
              <w:rPr>
                <w:rFonts w:ascii="Calibri" w:hAnsi="Calibri"/>
                <w:color w:val="333333"/>
                <w:sz w:val="18"/>
              </w:rPr>
              <w:t>Director</w:t>
            </w:r>
          </w:p>
        </w:tc>
        <w:tc>
          <w:tcPr>
            <w:tcW w:type="dxa" w:w="1440"/>
          </w:tcPr>
          <w:p>
            <w:r>
              <w:rPr>
                <w:rFonts w:ascii="Calibri" w:hAnsi="Calibri"/>
                <w:color w:val="333333"/>
                <w:sz w:val="18"/>
              </w:rPr>
              <w:t>TAX_WITHHOLD</w:t>
            </w:r>
          </w:p>
        </w:tc>
        <w:tc>
          <w:tcPr>
            <w:tcW w:type="dxa" w:w="1440"/>
          </w:tcPr>
          <w:p>
            <w:r>
              <w:rPr>
                <w:rFonts w:ascii="Calibri" w:hAnsi="Calibri"/>
                <w:color w:val="333333"/>
                <w:sz w:val="18"/>
              </w:rPr>
              <w:t>2,108</w:t>
            </w:r>
          </w:p>
        </w:tc>
        <w:tc>
          <w:tcPr>
            <w:tcW w:type="dxa" w:w="1440"/>
          </w:tcPr>
          <w:p>
            <w:r>
              <w:rPr>
                <w:rFonts w:ascii="Calibri" w:hAnsi="Calibri"/>
                <w:color w:val="333333"/>
                <w:sz w:val="18"/>
              </w:rPr>
              <w:t>$63.5K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Liang Charles</w:t>
            </w:r>
          </w:p>
        </w:tc>
        <w:tc>
          <w:tcPr>
            <w:tcW w:type="dxa" w:w="1440"/>
            <w:shd w:fill="F2F4F8" w:val="clear"/>
          </w:tcPr>
          <w:p>
            <w:r>
              <w:rPr>
                <w:rFonts w:ascii="Calibri" w:hAnsi="Calibri"/>
                <w:color w:val="333333"/>
                <w:sz w:val="18"/>
              </w:rPr>
              <w:t>President and CEO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3,650</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Liang Charles</w:t>
            </w:r>
          </w:p>
        </w:tc>
        <w:tc>
          <w:tcPr>
            <w:tcW w:type="dxa" w:w="1440"/>
          </w:tcPr>
          <w:p>
            <w:r>
              <w:rPr>
                <w:rFonts w:ascii="Calibri" w:hAnsi="Calibri"/>
                <w:color w:val="333333"/>
                <w:sz w:val="18"/>
              </w:rPr>
              <w:t>President and CEO</w:t>
            </w:r>
          </w:p>
        </w:tc>
        <w:tc>
          <w:tcPr>
            <w:tcW w:type="dxa" w:w="1440"/>
          </w:tcPr>
          <w:p>
            <w:r>
              <w:rPr>
                <w:rFonts w:ascii="Calibri" w:hAnsi="Calibri"/>
                <w:color w:val="333333"/>
                <w:sz w:val="18"/>
              </w:rPr>
              <w:t>EXERCISE</w:t>
            </w:r>
          </w:p>
        </w:tc>
        <w:tc>
          <w:tcPr>
            <w:tcW w:type="dxa" w:w="1440"/>
          </w:tcPr>
          <w:p>
            <w:r>
              <w:rPr>
                <w:rFonts w:ascii="Calibri" w:hAnsi="Calibri"/>
                <w:color w:val="333333"/>
                <w:sz w:val="18"/>
              </w:rPr>
              <w:t>3,650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Liang Charles</w:t>
            </w:r>
          </w:p>
        </w:tc>
        <w:tc>
          <w:tcPr>
            <w:tcW w:type="dxa" w:w="1440"/>
            <w:shd w:fill="F2F4F8" w:val="clear"/>
          </w:tcPr>
          <w:p>
            <w:r>
              <w:rPr>
                <w:rFonts w:ascii="Calibri" w:hAnsi="Calibri"/>
                <w:color w:val="333333"/>
                <w:sz w:val="18"/>
              </w:rPr>
              <w:t>President and CEO</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2,108</w:t>
            </w:r>
          </w:p>
        </w:tc>
        <w:tc>
          <w:tcPr>
            <w:tcW w:type="dxa" w:w="1440"/>
            <w:shd w:fill="F2F4F8" w:val="clear"/>
          </w:tcPr>
          <w:p>
            <w:r>
              <w:rPr>
                <w:rFonts w:ascii="Calibri" w:hAnsi="Calibri"/>
                <w:color w:val="333333"/>
                <w:sz w:val="18"/>
              </w:rPr>
              <w:t>$63.5K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CLEGG DON W</w:t>
            </w:r>
          </w:p>
        </w:tc>
        <w:tc>
          <w:tcPr>
            <w:tcW w:type="dxa" w:w="1440"/>
          </w:tcPr>
          <w:p>
            <w:r>
              <w:rPr>
                <w:rFonts w:ascii="Calibri" w:hAnsi="Calibri"/>
                <w:color w:val="333333"/>
                <w:sz w:val="18"/>
              </w:rPr>
              <w:t>SVP, Worldwide Sales</w:t>
            </w:r>
          </w:p>
        </w:tc>
        <w:tc>
          <w:tcPr>
            <w:tcW w:type="dxa" w:w="1440"/>
          </w:tcPr>
          <w:p>
            <w:r>
              <w:rPr>
                <w:rFonts w:ascii="Calibri" w:hAnsi="Calibri"/>
                <w:color w:val="333333"/>
                <w:sz w:val="18"/>
              </w:rPr>
              <w:t>EXERCISE</w:t>
            </w:r>
          </w:p>
        </w:tc>
        <w:tc>
          <w:tcPr>
            <w:tcW w:type="dxa" w:w="1440"/>
          </w:tcPr>
          <w:p>
            <w:r>
              <w:rPr>
                <w:rFonts w:ascii="Calibri" w:hAnsi="Calibri"/>
                <w:color w:val="333333"/>
                <w:sz w:val="18"/>
              </w:rPr>
              <w:t>1,750</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CLEGG DON W</w:t>
            </w:r>
          </w:p>
        </w:tc>
        <w:tc>
          <w:tcPr>
            <w:tcW w:type="dxa" w:w="1440"/>
            <w:shd w:fill="F2F4F8" w:val="clear"/>
          </w:tcPr>
          <w:p>
            <w:r>
              <w:rPr>
                <w:rFonts w:ascii="Calibri" w:hAnsi="Calibri"/>
                <w:color w:val="333333"/>
                <w:sz w:val="18"/>
              </w:rPr>
              <w:t>SVP, Worldwide Sales</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1,750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2026-02-17</w:t>
            </w:r>
          </w:p>
        </w:tc>
        <w:tc>
          <w:tcPr>
            <w:tcW w:type="dxa" w:w="1440"/>
          </w:tcPr>
          <w:p>
            <w:r>
              <w:rPr>
                <w:rFonts w:ascii="Calibri" w:hAnsi="Calibri"/>
                <w:color w:val="333333"/>
                <w:sz w:val="18"/>
              </w:rPr>
              <w:t>CLEGG DON W</w:t>
            </w:r>
          </w:p>
        </w:tc>
        <w:tc>
          <w:tcPr>
            <w:tcW w:type="dxa" w:w="1440"/>
          </w:tcPr>
          <w:p>
            <w:r>
              <w:rPr>
                <w:rFonts w:ascii="Calibri" w:hAnsi="Calibri"/>
                <w:color w:val="333333"/>
                <w:sz w:val="18"/>
              </w:rPr>
              <w:t>SVP, Worldwide Sales</w:t>
            </w:r>
          </w:p>
        </w:tc>
        <w:tc>
          <w:tcPr>
            <w:tcW w:type="dxa" w:w="1440"/>
          </w:tcPr>
          <w:p>
            <w:r>
              <w:rPr>
                <w:rFonts w:ascii="Calibri" w:hAnsi="Calibri"/>
                <w:color w:val="333333"/>
                <w:sz w:val="18"/>
              </w:rPr>
              <w:t>TAX_WITHHOLD</w:t>
            </w:r>
          </w:p>
        </w:tc>
        <w:tc>
          <w:tcPr>
            <w:tcW w:type="dxa" w:w="1440"/>
          </w:tcPr>
          <w:p>
            <w:r>
              <w:rPr>
                <w:rFonts w:ascii="Calibri" w:hAnsi="Calibri"/>
                <w:color w:val="333333"/>
                <w:sz w:val="18"/>
              </w:rPr>
              <w:t>716</w:t>
            </w:r>
          </w:p>
        </w:tc>
        <w:tc>
          <w:tcPr>
            <w:tcW w:type="dxa" w:w="1440"/>
          </w:tcPr>
          <w:p>
            <w:r>
              <w:rPr>
                <w:rFonts w:ascii="Calibri" w:hAnsi="Calibri"/>
                <w:color w:val="333333"/>
                <w:sz w:val="18"/>
              </w:rPr>
              <w:t>$21.6K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2026-02-17</w:t>
            </w:r>
          </w:p>
        </w:tc>
        <w:tc>
          <w:tcPr>
            <w:tcW w:type="dxa" w:w="1440"/>
            <w:shd w:fill="F2F4F8" w:val="clear"/>
          </w:tcPr>
          <w:p>
            <w:r>
              <w:rPr>
                <w:rFonts w:ascii="Calibri" w:hAnsi="Calibri"/>
                <w:color w:val="333333"/>
                <w:sz w:val="18"/>
              </w:rPr>
              <w:t>Xiao Jin</w:t>
            </w:r>
          </w:p>
        </w:tc>
        <w:tc>
          <w:tcPr>
            <w:tcW w:type="dxa" w:w="1440"/>
            <w:shd w:fill="F2F4F8" w:val="clear"/>
          </w:tcPr>
          <w:p>
            <w:r>
              <w:rPr>
                <w:rFonts w:ascii="Calibri" w:hAnsi="Calibri"/>
                <w:color w:val="333333"/>
                <w:sz w:val="18"/>
              </w:rPr>
              <w:t>Sr. Corporate VP, Engineering</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4,000</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bl>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Super Micro's revenue surged 46.6% to $21.97 billion from $14.99 billion, yet net income declined 9.0% to $1.05 billion from $1.15 billion, revealing significant margin compression despite a $368.5 million increase in gross profit to $2.43 billion. The Altman Z-Score of 4.14 and Beneish M-Score of -2.32 indicate a structurally safe and un-manipulated balance sheet, but the Piotroski F-Score of 5 sits in a grey zone, highlighting inconsistent profitability momentum against this growth which plaintiffs may cite as evidence of financial deterioration. A material weakness in internal controls, as reported by auditor Deloitte in their second year of tenure, directly fuels Section 10(b) and Section 11 litigation theories by undermining the reliability of financial disclosures, irrespective of the clean Beneish score. While a debt-to-equity of 0.02 and interest coverage of 49.2 show minimal financial risk, the 9% net income drop on 47% revenue growth creates a narrative disconnect plaintiffs will exploit as evidence of operational missteps or misleading guidance about profitability. The pristine current ratio of 5.25 suggests potential inefficiency in working capital deployment amidst this hyper-growth, which could attract shareholder scrutiny over capital allocation and support claims of governance failures. This combination—explosive top-line growth, declining bottom-line profitability, and a confirmed material weakness—creates a potent mix for securities class action allegations centered on execution and disclosure, despite the strong solvency metrics.</w:t>
      </w:r>
    </w:p>
    <w:p>
      <w:pPr>
        <w:pStyle w:val="DOHeading1"/>
      </w:pPr>
      <w:r>
        <w:t>Section 3: Financial Health</w:t>
      </w:r>
    </w:p>
    <w:p>
      <w:pPr>
        <w:pStyle w:val="DOBody"/>
      </w:pPr>
      <w:r>
        <w:t>The company reported revenue of $22.0B and net income of $1.0B (per FY2025 10-K, Company Facts API CIK1375365). Revenue grew 46.6% year-over-year (from $15.0B). Net margin of 4.8% is thin, leaving limited buffer against earnings volatility. Both distress models indicate stability: Z-Score 4.14 (safe above 2.99) and O-Score 0.00 (safe below 0.5). Capital structure is conservative with D/E ratio of 0.02, providing meaningful headroom against financial covenant triggers. Earnings quality is healthy (OCF/NI: 1.58), indicating reported income is well-supported by operating cash flows -- reducing restatement risk. Effective tax rate of 12.9% is below the 21% U.S. statutory rate, warranting review of uncertain tax positions and transfer pricing. **5 material weakness(es) in internal controls** identified -- a direct D&amp;O exposure factor that significantly increases restatement and SCA risk. Auditor: Deloitte (Big 4), tenure: 2 years. D&amp;O underwriting concern: material weaknesses in internal controls collectively elevate the probability of securities claims and should be reflected in pricing and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$15.0B</w:t>
            </w:r>
          </w:p>
        </w:tc>
        <w:tc>
          <w:tcPr>
            <w:tcW w:type="dxa" w:w="2520"/>
          </w:tcPr>
          <w:p>
            <w:r>
              <w:rPr>
                <w:rFonts w:ascii="Calibri" w:hAnsi="Calibri"/>
                <w:color w:val="333333"/>
                <w:sz w:val="18"/>
              </w:rPr>
              <w:t>$22.0B</w:t>
            </w:r>
          </w:p>
        </w:tc>
        <w:tc>
          <w:tcPr>
            <w:tcW w:type="dxa" w:w="2520"/>
            <w:shd w:fill="DCEEF8" w:val="clear"/>
          </w:tcPr>
          <w:p>
            <w:r>
              <w:rPr>
                <w:rFonts w:ascii="Calibri" w:hAnsi="Calibri"/>
                <w:color w:val="333333"/>
                <w:sz w:val="18"/>
              </w:rPr>
              <w:t>46.6%</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$12.9B</w:t>
            </w:r>
          </w:p>
        </w:tc>
        <w:tc>
          <w:tcPr>
            <w:tcW w:type="dxa" w:w="2520"/>
            <w:shd w:fill="F2F4F8" w:val="clear"/>
          </w:tcPr>
          <w:p>
            <w:r>
              <w:rPr>
                <w:rFonts w:ascii="Calibri" w:hAnsi="Calibri"/>
                <w:color w:val="333333"/>
                <w:sz w:val="18"/>
              </w:rPr>
              <w:t>$19.5B</w:t>
            </w:r>
          </w:p>
        </w:tc>
        <w:tc>
          <w:tcPr>
            <w:tcW w:type="dxa" w:w="2520"/>
            <w:shd w:fill="F2F4F8" w:val="clear"/>
            <w:shd w:fill="DCEEF8" w:val="clear"/>
          </w:tcPr>
          <w:p>
            <w:r>
              <w:rPr>
                <w:rFonts w:ascii="Calibri" w:hAnsi="Calibri"/>
                <w:color w:val="333333"/>
                <w:sz w:val="18"/>
              </w:rPr>
              <w:t>51.2%</w:t>
            </w:r>
          </w:p>
        </w:tc>
      </w:tr>
      <w:tr>
        <w:tc>
          <w:tcPr>
            <w:tcW w:type="dxa" w:w="2520"/>
          </w:tcPr>
          <w:p>
            <w:r>
              <w:rPr>
                <w:rFonts w:ascii="Calibri" w:hAnsi="Calibri"/>
                <w:color w:val="333333"/>
                <w:sz w:val="18"/>
              </w:rPr>
              <w:t>Gross profit</w:t>
            </w:r>
          </w:p>
        </w:tc>
        <w:tc>
          <w:tcPr>
            <w:tcW w:type="dxa" w:w="2520"/>
          </w:tcPr>
          <w:p>
            <w:r>
              <w:rPr>
                <w:rFonts w:ascii="Calibri" w:hAnsi="Calibri"/>
                <w:color w:val="333333"/>
                <w:sz w:val="18"/>
              </w:rPr>
              <w:t>$2.1B</w:t>
            </w:r>
          </w:p>
        </w:tc>
        <w:tc>
          <w:tcPr>
            <w:tcW w:type="dxa" w:w="2520"/>
          </w:tcPr>
          <w:p>
            <w:r>
              <w:rPr>
                <w:rFonts w:ascii="Calibri" w:hAnsi="Calibri"/>
                <w:color w:val="333333"/>
                <w:sz w:val="18"/>
              </w:rPr>
              <w:t>$2.4B</w:t>
            </w:r>
          </w:p>
        </w:tc>
        <w:tc>
          <w:tcPr>
            <w:tcW w:type="dxa" w:w="2520"/>
            <w:shd w:fill="DCEEF8" w:val="clear"/>
          </w:tcPr>
          <w:p>
            <w:r>
              <w:rPr>
                <w:rFonts w:ascii="Calibri" w:hAnsi="Calibri"/>
                <w:color w:val="333333"/>
                <w:sz w:val="18"/>
              </w:rPr>
              <w:t>17.9%</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$1.2B</w:t>
            </w:r>
          </w:p>
        </w:tc>
        <w:tc>
          <w:tcPr>
            <w:tcW w:type="dxa" w:w="2520"/>
            <w:shd w:fill="F2F4F8" w:val="clear"/>
          </w:tcPr>
          <w:p>
            <w:r>
              <w:rPr>
                <w:rFonts w:ascii="Calibri" w:hAnsi="Calibri"/>
                <w:color w:val="333333"/>
                <w:sz w:val="18"/>
              </w:rPr>
              <w:t>$1.3B</w:t>
            </w:r>
          </w:p>
        </w:tc>
        <w:tc>
          <w:tcPr>
            <w:tcW w:type="dxa" w:w="2520"/>
            <w:shd w:fill="F2F4F8" w:val="clear"/>
            <w:shd w:fill="FFF3CD" w:val="clear"/>
          </w:tcPr>
          <w:p>
            <w:r>
              <w:rPr>
                <w:rFonts w:ascii="Calibri" w:hAnsi="Calibri"/>
                <w:color w:val="333333"/>
                <w:sz w:val="18"/>
              </w:rPr>
              <w:t>3.5%</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$1.2B</w:t>
            </w:r>
          </w:p>
        </w:tc>
        <w:tc>
          <w:tcPr>
            <w:tcW w:type="dxa" w:w="2520"/>
          </w:tcPr>
          <w:p>
            <w:r>
              <w:rPr>
                <w:rFonts w:ascii="Calibri" w:hAnsi="Calibri"/>
                <w:color w:val="333333"/>
                <w:sz w:val="18"/>
              </w:rPr>
              <w:t>$1.0B</w:t>
            </w:r>
          </w:p>
        </w:tc>
        <w:tc>
          <w:tcPr>
            <w:tcW w:type="dxa" w:w="2520"/>
            <w:shd w:fill="FFF3CD" w:val="clear"/>
          </w:tcPr>
          <w:p>
            <w:r>
              <w:rPr>
                <w:rFonts w:ascii="Calibri" w:hAnsi="Calibri"/>
                <w:color w:val="333333"/>
                <w:sz w:val="18"/>
              </w:rPr>
              <w:t>-9.0%</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$2.07</w:t>
            </w:r>
          </w:p>
        </w:tc>
        <w:tc>
          <w:tcPr>
            <w:tcW w:type="dxa" w:w="2520"/>
            <w:shd w:fill="F2F4F8" w:val="clear"/>
          </w:tcPr>
          <w:p>
            <w:r>
              <w:rPr>
                <w:rFonts w:ascii="Calibri" w:hAnsi="Calibri"/>
                <w:color w:val="333333"/>
                <w:sz w:val="18"/>
              </w:rPr>
              <w:t>$1.77</w:t>
            </w:r>
          </w:p>
        </w:tc>
        <w:tc>
          <w:tcPr>
            <w:tcW w:type="dxa" w:w="2520"/>
            <w:shd w:fill="F2F4F8" w:val="clear"/>
            <w:shd w:fill="FCE8E6" w:val="clear"/>
          </w:tcPr>
          <w:p>
            <w:r>
              <w:rPr>
                <w:rFonts w:ascii="Calibri" w:hAnsi="Calibri"/>
                <w:color w:val="333333"/>
                <w:sz w:val="18"/>
              </w:rPr>
              <w:t>-14.5%</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$1.92</w:t>
            </w:r>
          </w:p>
        </w:tc>
        <w:tc>
          <w:tcPr>
            <w:tcW w:type="dxa" w:w="2520"/>
          </w:tcPr>
          <w:p>
            <w:r>
              <w:rPr>
                <w:rFonts w:ascii="Calibri" w:hAnsi="Calibri"/>
                <w:color w:val="333333"/>
                <w:sz w:val="18"/>
              </w:rPr>
              <w:t>$1.68</w:t>
            </w:r>
          </w:p>
        </w:tc>
        <w:tc>
          <w:tcPr>
            <w:tcW w:type="dxa" w:w="2520"/>
            <w:shd w:fill="FCE8E6" w:val="clear"/>
          </w:tcPr>
          <w:p>
            <w:r>
              <w:rPr>
                <w:rFonts w:ascii="Calibri" w:hAnsi="Calibri"/>
                <w:color w:val="333333"/>
                <w:sz w:val="18"/>
              </w:rPr>
              <w:t>-12.5%</w:t>
            </w:r>
          </w:p>
        </w:tc>
      </w:tr>
      <w:tr>
        <w:tc>
          <w:tcPr>
            <w:tcW w:type="dxa" w:w="2520"/>
            <w:shd w:fill="F2F4F8" w:val="clear"/>
          </w:tcPr>
          <w:p>
            <w:r>
              <w:rPr>
                <w:rFonts w:ascii="Calibri" w:hAnsi="Calibri"/>
                <w:color w:val="333333"/>
                <w:sz w:val="18"/>
              </w:rPr>
              <w:t>Interest expense</w:t>
            </w:r>
          </w:p>
        </w:tc>
        <w:tc>
          <w:tcPr>
            <w:tcW w:type="dxa" w:w="2520"/>
            <w:shd w:fill="F2F4F8" w:val="clear"/>
          </w:tcPr>
          <w:p>
            <w:r>
              <w:rPr>
                <w:rFonts w:ascii="Calibri" w:hAnsi="Calibri"/>
                <w:color w:val="333333"/>
                <w:sz w:val="18"/>
              </w:rPr>
              <w:t>$16.0M</w:t>
            </w:r>
          </w:p>
        </w:tc>
        <w:tc>
          <w:tcPr>
            <w:tcW w:type="dxa" w:w="2520"/>
            <w:shd w:fill="F2F4F8" w:val="clear"/>
          </w:tcPr>
          <w:p>
            <w:r>
              <w:rPr>
                <w:rFonts w:ascii="Calibri" w:hAnsi="Calibri"/>
                <w:color w:val="333333"/>
                <w:sz w:val="18"/>
              </w:rPr>
              <w:t>$25.5M</w:t>
            </w:r>
          </w:p>
        </w:tc>
        <w:tc>
          <w:tcPr>
            <w:tcW w:type="dxa" w:w="2520"/>
            <w:shd w:fill="F2F4F8" w:val="clear"/>
            <w:shd w:fill="DCEEF8" w:val="clear"/>
          </w:tcPr>
          <w:p>
            <w:r>
              <w:rPr>
                <w:rFonts w:ascii="Calibri" w:hAnsi="Calibri"/>
                <w:color w:val="333333"/>
                <w:sz w:val="18"/>
              </w:rPr>
              <w:t>59.2%</w:t>
            </w:r>
          </w:p>
        </w:tc>
      </w:tr>
      <w:tr>
        <w:tc>
          <w:tcPr>
            <w:tcW w:type="dxa" w:w="2520"/>
          </w:tcPr>
          <w:p>
            <w:r>
              <w:rPr>
                <w:rFonts w:ascii="Calibri" w:hAnsi="Calibri"/>
                <w:color w:val="333333"/>
                <w:sz w:val="18"/>
              </w:rPr>
              <w:t>Income tax expense / benefit</w:t>
            </w:r>
          </w:p>
        </w:tc>
        <w:tc>
          <w:tcPr>
            <w:tcW w:type="dxa" w:w="2520"/>
          </w:tcPr>
          <w:p>
            <w:r>
              <w:rPr>
                <w:rFonts w:ascii="Calibri" w:hAnsi="Calibri"/>
                <w:color w:val="333333"/>
                <w:sz w:val="18"/>
              </w:rPr>
              <w:t>$63.3M</w:t>
            </w:r>
          </w:p>
        </w:tc>
        <w:tc>
          <w:tcPr>
            <w:tcW w:type="dxa" w:w="2520"/>
          </w:tcPr>
          <w:p>
            <w:r>
              <w:rPr>
                <w:rFonts w:ascii="Calibri" w:hAnsi="Calibri"/>
                <w:color w:val="333333"/>
                <w:sz w:val="18"/>
              </w:rPr>
              <w:t>$156.9M</w:t>
            </w:r>
          </w:p>
        </w:tc>
        <w:tc>
          <w:tcPr>
            <w:tcW w:type="dxa" w:w="2520"/>
            <w:shd w:fill="DCEEF8" w:val="clear"/>
          </w:tcPr>
          <w:p>
            <w:r>
              <w:rPr>
                <w:rFonts w:ascii="Calibri" w:hAnsi="Calibri"/>
                <w:color w:val="333333"/>
                <w:sz w:val="18"/>
              </w:rPr>
              <w:t>147.8%</w:t>
            </w:r>
          </w:p>
        </w:tc>
      </w:tr>
      <w:tr>
        <w:tc>
          <w:tcPr>
            <w:tcW w:type="dxa" w:w="2520"/>
            <w:shd w:fill="F2F4F8" w:val="clear"/>
          </w:tcPr>
          <w:p>
            <w:r>
              <w:rPr>
                <w:rFonts w:ascii="Calibri" w:hAnsi="Calibri"/>
                <w:color w:val="333333"/>
                <w:sz w:val="18"/>
              </w:rPr>
              <w:t>Research and development expense</w:t>
            </w:r>
          </w:p>
        </w:tc>
        <w:tc>
          <w:tcPr>
            <w:tcW w:type="dxa" w:w="2520"/>
            <w:shd w:fill="F2F4F8" w:val="clear"/>
          </w:tcPr>
          <w:p>
            <w:r>
              <w:rPr>
                <w:rFonts w:ascii="Calibri" w:hAnsi="Calibri"/>
                <w:color w:val="333333"/>
                <w:sz w:val="18"/>
              </w:rPr>
              <w:t>$463.5M</w:t>
            </w:r>
          </w:p>
        </w:tc>
        <w:tc>
          <w:tcPr>
            <w:tcW w:type="dxa" w:w="2520"/>
            <w:shd w:fill="F2F4F8" w:val="clear"/>
          </w:tcPr>
          <w:p>
            <w:r>
              <w:rPr>
                <w:rFonts w:ascii="Calibri" w:hAnsi="Calibri"/>
                <w:color w:val="333333"/>
                <w:sz w:val="18"/>
              </w:rPr>
              <w:t>$636.5M</w:t>
            </w:r>
          </w:p>
        </w:tc>
        <w:tc>
          <w:tcPr>
            <w:tcW w:type="dxa" w:w="2520"/>
            <w:shd w:fill="F2F4F8" w:val="clear"/>
            <w:shd w:fill="DCEEF8" w:val="clear"/>
          </w:tcPr>
          <w:p>
            <w:r>
              <w:rPr>
                <w:rFonts w:ascii="Calibri" w:hAnsi="Calibri"/>
                <w:color w:val="333333"/>
                <w:sz w:val="18"/>
              </w:rPr>
              <w:t>37.3%</w:t>
            </w:r>
          </w:p>
        </w:tc>
      </w:tr>
      <w:tr>
        <w:tc>
          <w:tcPr>
            <w:tcW w:type="dxa" w:w="2520"/>
          </w:tcPr>
          <w:p>
            <w:r>
              <w:rPr>
                <w:rFonts w:ascii="Calibri" w:hAnsi="Calibri"/>
                <w:color w:val="333333"/>
                <w:sz w:val="18"/>
              </w:rPr>
              <w:t>Selling, general and administrative expense</w:t>
            </w:r>
          </w:p>
        </w:tc>
        <w:tc>
          <w:tcPr>
            <w:tcW w:type="dxa" w:w="2520"/>
          </w:tcPr>
          <w:p>
            <w:r>
              <w:rPr>
                <w:rFonts w:ascii="Calibri" w:hAnsi="Calibri"/>
                <w:color w:val="333333"/>
                <w:sz w:val="18"/>
              </w:rPr>
              <w:t>$197.3M</w:t>
            </w:r>
          </w:p>
        </w:tc>
        <w:tc>
          <w:tcPr>
            <w:tcW w:type="dxa" w:w="2520"/>
          </w:tcPr>
          <w:p>
            <w:r>
              <w:rPr>
                <w:rFonts w:ascii="Calibri" w:hAnsi="Calibri"/>
                <w:color w:val="333333"/>
                <w:sz w:val="18"/>
              </w:rPr>
              <w:t>$267.2M</w:t>
            </w:r>
          </w:p>
        </w:tc>
        <w:tc>
          <w:tcPr>
            <w:tcW w:type="dxa" w:w="2520"/>
            <w:shd w:fill="DCEEF8" w:val="clear"/>
          </w:tcPr>
          <w:p>
            <w:r>
              <w:rPr>
                <w:rFonts w:ascii="Calibri" w:hAnsi="Calibri"/>
                <w:color w:val="333333"/>
                <w:sz w:val="18"/>
              </w:rPr>
              <w:t>35.4%</w:t>
            </w:r>
          </w:p>
        </w:tc>
      </w:tr>
      <w:tr>
        <w:tc>
          <w:tcPr>
            <w:tcW w:type="dxa" w:w="2520"/>
            <w:shd w:fill="F2F4F8" w:val="clear"/>
          </w:tcPr>
          <w:p>
            <w:r>
              <w:rPr>
                <w:rFonts w:ascii="Calibri" w:hAnsi="Calibri"/>
                <w:color w:val="333333"/>
                <w:sz w:val="18"/>
              </w:rPr>
              <w:t>Earnings before interest and taxes (EBIT)</w:t>
            </w:r>
          </w:p>
        </w:tc>
        <w:tc>
          <w:tcPr>
            <w:tcW w:type="dxa" w:w="2520"/>
            <w:shd w:fill="F2F4F8" w:val="clear"/>
          </w:tcPr>
          <w:p>
            <w:r>
              <w:rPr>
                <w:rFonts w:ascii="Calibri" w:hAnsi="Calibri"/>
                <w:color w:val="333333"/>
                <w:sz w:val="18"/>
              </w:rPr>
              <w:t>$1.2B</w:t>
            </w:r>
          </w:p>
        </w:tc>
        <w:tc>
          <w:tcPr>
            <w:tcW w:type="dxa" w:w="2520"/>
            <w:shd w:fill="F2F4F8" w:val="clear"/>
          </w:tcPr>
          <w:p>
            <w:r>
              <w:rPr>
                <w:rFonts w:ascii="Calibri" w:hAnsi="Calibri"/>
                <w:color w:val="333333"/>
                <w:sz w:val="18"/>
              </w:rPr>
              <w:t>$1.3B</w:t>
            </w:r>
          </w:p>
        </w:tc>
        <w:tc>
          <w:tcPr>
            <w:tcW w:type="dxa" w:w="2520"/>
            <w:shd w:fill="F2F4F8" w:val="clear"/>
            <w:shd w:fill="FFF3CD" w:val="clear"/>
          </w:tcPr>
          <w:p>
            <w:r>
              <w:rPr>
                <w:rFonts w:ascii="Calibri" w:hAnsi="Calibri"/>
                <w:color w:val="333333"/>
                <w:sz w:val="18"/>
              </w:rPr>
              <w:t>3.5%</w:t>
            </w:r>
          </w:p>
        </w:tc>
      </w:tr>
      <w:tr>
        <w:tc>
          <w:tcPr>
            <w:tcW w:type="dxa" w:w="2520"/>
          </w:tcPr>
          <w:p>
            <w:r>
              <w:rPr>
                <w:rFonts w:ascii="Calibri" w:hAnsi="Calibri"/>
                <w:color w:val="333333"/>
                <w:sz w:val="18"/>
              </w:rPr>
              <w:t>Weighted average shares outstanding (basic)</w:t>
            </w:r>
          </w:p>
        </w:tc>
        <w:tc>
          <w:tcPr>
            <w:tcW w:type="dxa" w:w="2520"/>
          </w:tcPr>
          <w:p>
            <w:r>
              <w:rPr>
                <w:rFonts w:ascii="Calibri" w:hAnsi="Calibri"/>
                <w:color w:val="333333"/>
                <w:sz w:val="18"/>
              </w:rPr>
              <w:t>555.9M</w:t>
            </w:r>
          </w:p>
        </w:tc>
        <w:tc>
          <w:tcPr>
            <w:tcW w:type="dxa" w:w="2520"/>
          </w:tcPr>
          <w:p>
            <w:r>
              <w:rPr>
                <w:rFonts w:ascii="Calibri" w:hAnsi="Calibri"/>
                <w:color w:val="333333"/>
                <w:sz w:val="18"/>
              </w:rPr>
              <w:t>593.7M</w:t>
            </w:r>
          </w:p>
        </w:tc>
        <w:tc>
          <w:tcPr>
            <w:tcW w:type="dxa" w:w="2520"/>
            <w:shd w:fill="FFF3CD" w:val="clear"/>
          </w:tcPr>
          <w:p>
            <w:r>
              <w:rPr>
                <w:rFonts w:ascii="Calibri" w:hAnsi="Calibri"/>
                <w:color w:val="333333"/>
                <w:sz w:val="18"/>
              </w:rPr>
              <w:t>6.8%</w:t>
            </w:r>
          </w:p>
        </w:tc>
      </w:tr>
      <w:tr>
        <w:tc>
          <w:tcPr>
            <w:tcW w:type="dxa" w:w="2520"/>
            <w:shd w:fill="F2F4F8" w:val="clear"/>
          </w:tcPr>
          <w:p>
            <w:r>
              <w:rPr>
                <w:rFonts w:ascii="Calibri" w:hAnsi="Calibri"/>
                <w:color w:val="333333"/>
                <w:sz w:val="18"/>
              </w:rPr>
              <w:t>Weighted average shares outstanding (diluted)</w:t>
            </w:r>
          </w:p>
        </w:tc>
        <w:tc>
          <w:tcPr>
            <w:tcW w:type="dxa" w:w="2520"/>
            <w:shd w:fill="F2F4F8" w:val="clear"/>
          </w:tcPr>
          <w:p>
            <w:r>
              <w:rPr>
                <w:rFonts w:ascii="Calibri" w:hAnsi="Calibri"/>
                <w:color w:val="333333"/>
                <w:sz w:val="18"/>
              </w:rPr>
              <w:t>602.1M</w:t>
            </w:r>
          </w:p>
        </w:tc>
        <w:tc>
          <w:tcPr>
            <w:tcW w:type="dxa" w:w="2520"/>
            <w:shd w:fill="F2F4F8" w:val="clear"/>
          </w:tcPr>
          <w:p>
            <w:r>
              <w:rPr>
                <w:rFonts w:ascii="Calibri" w:hAnsi="Calibri"/>
                <w:color w:val="333333"/>
                <w:sz w:val="18"/>
              </w:rPr>
              <w:t>628.4M</w:t>
            </w:r>
          </w:p>
        </w:tc>
        <w:tc>
          <w:tcPr>
            <w:tcW w:type="dxa" w:w="2520"/>
            <w:shd w:fill="F2F4F8" w:val="clear"/>
            <w:shd w:fill="FFF3CD" w:val="clear"/>
          </w:tcPr>
          <w:p>
            <w:r>
              <w:rPr>
                <w:rFonts w:ascii="Calibri" w:hAnsi="Calibri"/>
                <w:color w:val="333333"/>
                <w:sz w:val="18"/>
              </w:rPr>
              <w:t>4.4%</w:t>
            </w:r>
          </w:p>
        </w:tc>
      </w:tr>
      <w:tr>
        <w:tc>
          <w:tcPr>
            <w:tcW w:type="dxa" w:w="2520"/>
          </w:tcPr>
          <w:p>
            <w:r>
              <w:rPr>
                <w:rFonts w:ascii="Calibri" w:hAnsi="Calibri"/>
                <w:color w:val="333333"/>
                <w:sz w:val="18"/>
              </w:rPr>
              <w:t>Total comprehensive income / loss</w:t>
            </w:r>
          </w:p>
        </w:tc>
        <w:tc>
          <w:tcPr>
            <w:tcW w:type="dxa" w:w="2520"/>
          </w:tcPr>
          <w:p>
            <w:r>
              <w:rPr>
                <w:rFonts w:ascii="Calibri" w:hAnsi="Calibri"/>
                <w:color w:val="333333"/>
                <w:sz w:val="18"/>
              </w:rPr>
              <w:t>$1.2B</w:t>
            </w:r>
          </w:p>
        </w:tc>
        <w:tc>
          <w:tcPr>
            <w:tcW w:type="dxa" w:w="2520"/>
          </w:tcPr>
          <w:p>
            <w:r>
              <w:rPr>
                <w:rFonts w:ascii="Calibri" w:hAnsi="Calibri"/>
                <w:color w:val="333333"/>
                <w:sz w:val="18"/>
              </w:rPr>
              <w:t>$1.0B</w:t>
            </w:r>
          </w:p>
        </w:tc>
        <w:tc>
          <w:tcPr>
            <w:tcW w:type="dxa" w:w="2520"/>
            <w:shd w:fill="FFF3CD" w:val="clear"/>
          </w:tcPr>
          <w:p>
            <w:r>
              <w:rPr>
                <w:rFonts w:ascii="Calibri" w:hAnsi="Calibri"/>
                <w:color w:val="333333"/>
                <w:sz w:val="18"/>
              </w:rPr>
              <w:t>-9.0%</w:t>
            </w:r>
          </w:p>
        </w:tc>
      </w:tr>
      <w:tr>
        <w:tc>
          <w:tcPr>
            <w:tcW w:type="dxa" w:w="2520"/>
            <w:shd w:fill="F2F4F8" w:val="clear"/>
          </w:tcPr>
          <w:p>
            <w:r>
              <w:rPr>
                <w:rFonts w:ascii="Calibri" w:hAnsi="Calibri"/>
                <w:color w:val="333333"/>
                <w:sz w:val="18"/>
              </w:rPr>
              <w:t>Other income / non-operating income</w:t>
            </w:r>
          </w:p>
        </w:tc>
        <w:tc>
          <w:tcPr>
            <w:tcW w:type="dxa" w:w="2520"/>
            <w:shd w:fill="F2F4F8" w:val="clear"/>
          </w:tcPr>
          <w:p>
            <w:r>
              <w:rPr>
                <w:rFonts w:ascii="Calibri" w:hAnsi="Calibri"/>
                <w:color w:val="333333"/>
                <w:sz w:val="18"/>
              </w:rPr>
              <w:t>$22.7M</w:t>
            </w:r>
          </w:p>
        </w:tc>
        <w:tc>
          <w:tcPr>
            <w:tcW w:type="dxa" w:w="2520"/>
            <w:shd w:fill="F2F4F8" w:val="clear"/>
          </w:tcPr>
          <w:p>
            <w:r>
              <w:rPr>
                <w:rFonts w:ascii="Calibri" w:hAnsi="Calibri"/>
                <w:color w:val="333333"/>
                <w:sz w:val="18"/>
              </w:rPr>
              <w:t>$18.5M</w:t>
            </w:r>
          </w:p>
        </w:tc>
        <w:tc>
          <w:tcPr>
            <w:tcW w:type="dxa" w:w="2520"/>
            <w:shd w:fill="F2F4F8" w:val="clear"/>
            <w:shd w:fill="FCE8E6" w:val="clear"/>
          </w:tcPr>
          <w:p>
            <w:r>
              <w:rPr>
                <w:rFonts w:ascii="Calibri" w:hAnsi="Calibri"/>
                <w:color w:val="333333"/>
                <w:sz w:val="18"/>
              </w:rPr>
              <w:t>-18.6%</w:t>
            </w:r>
          </w:p>
        </w:tc>
      </w:tr>
      <w:tr>
        <w:tc>
          <w:tcPr>
            <w:tcW w:type="dxa" w:w="2520"/>
          </w:tcPr>
          <w:p>
            <w:r>
              <w:rPr>
                <w:rFonts w:ascii="Calibri" w:hAnsi="Calibri"/>
                <w:color w:val="333333"/>
                <w:sz w:val="18"/>
              </w:rPr>
              <w:t>Impairment charges (goodwill, intangibles, long-lived assets)</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Income from operations</w:t>
            </w:r>
          </w:p>
        </w:tc>
        <w:tc>
          <w:tcPr>
            <w:tcW w:type="dxa" w:w="2520"/>
            <w:shd w:fill="F2F4F8" w:val="clear"/>
          </w:tcPr>
          <w:p>
            <w:r>
              <w:rPr>
                <w:rFonts w:ascii="Calibri" w:hAnsi="Calibri"/>
                <w:color w:val="333333"/>
                <w:sz w:val="18"/>
              </w:rPr>
              <w:t>$1.2B</w:t>
            </w:r>
          </w:p>
        </w:tc>
        <w:tc>
          <w:tcPr>
            <w:tcW w:type="dxa" w:w="2520"/>
            <w:shd w:fill="F2F4F8" w:val="clear"/>
          </w:tcPr>
          <w:p>
            <w:r>
              <w:rPr>
                <w:rFonts w:ascii="Calibri" w:hAnsi="Calibri"/>
                <w:color w:val="333333"/>
                <w:sz w:val="18"/>
              </w:rPr>
              <w:t>$1.3B</w:t>
            </w:r>
          </w:p>
        </w:tc>
        <w:tc>
          <w:tcPr>
            <w:tcW w:type="dxa" w:w="2520"/>
            <w:shd w:fill="F2F4F8" w:val="clear"/>
            <w:shd w:fill="FFF3CD" w:val="clear"/>
          </w:tcPr>
          <w:p>
            <w:r>
              <w:rPr>
                <w:rFonts w:ascii="Calibri" w:hAnsi="Calibri"/>
                <w:color w:val="333333"/>
                <w:sz w:val="18"/>
              </w:rPr>
              <w:t>3.5%</w:t>
            </w:r>
          </w:p>
        </w:tc>
      </w:tr>
      <w:tr>
        <w:tc>
          <w:tcPr>
            <w:tcW w:type="dxa" w:w="2520"/>
          </w:tcPr>
          <w:p>
            <w:r>
              <w:rPr>
                <w:rFonts w:ascii="Calibri" w:hAnsi="Calibri"/>
                <w:color w:val="333333"/>
                <w:sz w:val="18"/>
              </w:rPr>
              <w:t>Pre-tax income</w:t>
            </w:r>
          </w:p>
        </w:tc>
        <w:tc>
          <w:tcPr>
            <w:tcW w:type="dxa" w:w="2520"/>
          </w:tcPr>
          <w:p>
            <w:r>
              <w:rPr>
                <w:rFonts w:ascii="Calibri" w:hAnsi="Calibri"/>
                <w:color w:val="333333"/>
                <w:sz w:val="18"/>
              </w:rPr>
              <w:t>$1.2B</w:t>
            </w:r>
          </w:p>
        </w:tc>
        <w:tc>
          <w:tcPr>
            <w:tcW w:type="dxa" w:w="2520"/>
          </w:tcPr>
          <w:p>
            <w:r>
              <w:rPr>
                <w:rFonts w:ascii="Calibri" w:hAnsi="Calibri"/>
                <w:color w:val="333333"/>
                <w:sz w:val="18"/>
              </w:rPr>
              <w:t>$1.2B</w:t>
            </w:r>
          </w:p>
        </w:tc>
        <w:tc>
          <w:tcPr>
            <w:tcW w:type="dxa" w:w="2520"/>
          </w:tcPr>
          <w:p>
            <w:r>
              <w:rPr>
                <w:rFonts w:ascii="Calibri" w:hAnsi="Calibri"/>
                <w:color w:val="333333"/>
                <w:sz w:val="18"/>
              </w:rPr>
              <w:t>-0.2%</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$231.5M</w:t>
            </w:r>
          </w:p>
        </w:tc>
        <w:tc>
          <w:tcPr>
            <w:tcW w:type="dxa" w:w="2520"/>
            <w:shd w:fill="F2F4F8" w:val="clear"/>
          </w:tcPr>
          <w:p>
            <w:r>
              <w:rPr>
                <w:rFonts w:ascii="Calibri" w:hAnsi="Calibri"/>
                <w:color w:val="333333"/>
                <w:sz w:val="18"/>
              </w:rPr>
              <w:t>$314.5M</w:t>
            </w:r>
          </w:p>
        </w:tc>
        <w:tc>
          <w:tcPr>
            <w:tcW w:type="dxa" w:w="2520"/>
            <w:shd w:fill="F2F4F8" w:val="clear"/>
            <w:shd w:fill="DCEEF8" w:val="clear"/>
          </w:tcPr>
          <w:p>
            <w:r>
              <w:rPr>
                <w:rFonts w:ascii="Calibri" w:hAnsi="Calibri"/>
                <w:color w:val="333333"/>
                <w:sz w:val="18"/>
              </w:rPr>
              <w:t>35.8%</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$1.2B</w:t>
            </w:r>
          </w:p>
        </w:tc>
        <w:tc>
          <w:tcPr>
            <w:tcW w:type="dxa" w:w="2520"/>
          </w:tcPr>
          <w:p>
            <w:r>
              <w:rPr>
                <w:rFonts w:ascii="Calibri" w:hAnsi="Calibri"/>
                <w:color w:val="333333"/>
                <w:sz w:val="18"/>
              </w:rPr>
              <w:t>$1.2B</w:t>
            </w:r>
          </w:p>
        </w:tc>
        <w:tc>
          <w:tcPr>
            <w:tcW w:type="dxa" w:w="2520"/>
          </w:tcPr>
          <w:p>
            <w:r>
              <w:rPr>
                <w:rFonts w:ascii="Calibri" w:hAnsi="Calibri"/>
                <w:color w:val="333333"/>
                <w:sz w:val="18"/>
              </w:rPr>
              <w:t>-0.2%</w:t>
            </w:r>
          </w:p>
        </w:tc>
      </w:tr>
      <w:tr>
        <w:tc>
          <w:tcPr>
            <w:tcW w:type="dxa" w:w="2520"/>
            <w:shd w:fill="F2F4F8" w:val="clear"/>
          </w:tcPr>
          <w:p>
            <w:r>
              <w:rPr>
                <w:rFonts w:ascii="Calibri" w:hAnsi="Calibri"/>
                <w:color w:val="333333"/>
                <w:sz w:val="18"/>
              </w:rPr>
              <w:t>Other comprehensive income/loss, net of tax</w:t>
            </w:r>
          </w:p>
        </w:tc>
        <w:tc>
          <w:tcPr>
            <w:tcW w:type="dxa" w:w="2520"/>
            <w:shd w:fill="F2F4F8" w:val="clear"/>
          </w:tcPr>
          <w:p>
            <w:r>
              <w:rPr>
                <w:rFonts w:ascii="Calibri" w:hAnsi="Calibri"/>
                <w:color w:val="333333"/>
                <w:sz w:val="18"/>
              </w:rPr>
              <w:t>$67.0K</w:t>
            </w:r>
          </w:p>
        </w:tc>
        <w:tc>
          <w:tcPr>
            <w:tcW w:type="dxa" w:w="2520"/>
            <w:shd w:fill="F2F4F8" w:val="clear"/>
          </w:tcPr>
          <w:p>
            <w:r>
              <w:rPr>
                <w:rFonts w:ascii="Calibri" w:hAnsi="Calibri"/>
                <w:color w:val="333333"/>
                <w:sz w:val="18"/>
              </w:rPr>
              <w:t>$-1.0K</w:t>
            </w:r>
          </w:p>
        </w:tc>
        <w:tc>
          <w:tcPr>
            <w:tcW w:type="dxa" w:w="2520"/>
            <w:shd w:fill="F2F4F8" w:val="clear"/>
            <w:shd w:fill="FCE8E6" w:val="clear"/>
          </w:tcPr>
          <w:p>
            <w:r>
              <w:rPr>
                <w:rFonts w:ascii="Calibri" w:hAnsi="Calibri"/>
                <w:color w:val="333333"/>
                <w:sz w:val="18"/>
              </w:rPr>
              <w:t>-101.5%</w:t>
            </w:r>
          </w:p>
        </w:tc>
      </w:tr>
      <w:tr>
        <w:tc>
          <w:tcPr>
            <w:tcW w:type="dxa" w:w="2520"/>
          </w:tcPr>
          <w:p>
            <w:r>
              <w:rPr>
                <w:rFonts w:ascii="Calibri" w:hAnsi="Calibri"/>
                <w:color w:val="333333"/>
                <w:sz w:val="18"/>
              </w:rPr>
              <w:t>Total operating expenses</w:t>
            </w:r>
          </w:p>
        </w:tc>
        <w:tc>
          <w:tcPr>
            <w:tcW w:type="dxa" w:w="2520"/>
          </w:tcPr>
          <w:p>
            <w:r>
              <w:rPr>
                <w:rFonts w:ascii="Calibri" w:hAnsi="Calibri"/>
                <w:color w:val="333333"/>
                <w:sz w:val="18"/>
              </w:rPr>
              <w:t>$850.6M</w:t>
            </w:r>
          </w:p>
        </w:tc>
        <w:tc>
          <w:tcPr>
            <w:tcW w:type="dxa" w:w="2520"/>
          </w:tcPr>
          <w:p>
            <w:r>
              <w:rPr>
                <w:rFonts w:ascii="Calibri" w:hAnsi="Calibri"/>
                <w:color w:val="333333"/>
                <w:sz w:val="18"/>
              </w:rPr>
              <w:t>$1.2B</w:t>
            </w:r>
          </w:p>
        </w:tc>
        <w:tc>
          <w:tcPr>
            <w:tcW w:type="dxa" w:w="2520"/>
            <w:shd w:fill="DCEEF8" w:val="clear"/>
          </w:tcPr>
          <w:p>
            <w:r>
              <w:rPr>
                <w:rFonts w:ascii="Calibri" w:hAnsi="Calibri"/>
                <w:color w:val="333333"/>
                <w:sz w:val="18"/>
              </w:rPr>
              <w:t>38.4%</w:t>
            </w:r>
          </w:p>
        </w:tc>
      </w:tr>
      <w:tr>
        <w:tc>
          <w:tcPr>
            <w:tcW w:type="dxa" w:w="2520"/>
            <w:shd w:fill="F2F4F8" w:val="clear"/>
          </w:tcPr>
          <w:p>
            <w:r>
              <w:rPr>
                <w:rFonts w:ascii="Calibri" w:hAnsi="Calibri"/>
                <w:color w:val="333333"/>
                <w:sz w:val="18"/>
              </w:rPr>
              <w:t>Total costs and expenses</w:t>
            </w:r>
          </w:p>
        </w:tc>
        <w:tc>
          <w:tcPr>
            <w:tcW w:type="dxa" w:w="2520"/>
            <w:shd w:fill="F2F4F8" w:val="clear"/>
          </w:tcPr>
          <w:p>
            <w:r>
              <w:rPr>
                <w:rFonts w:ascii="Calibri" w:hAnsi="Calibri"/>
                <w:color w:val="333333"/>
                <w:sz w:val="18"/>
              </w:rPr>
              <w:t>$850.6M</w:t>
            </w:r>
          </w:p>
        </w:tc>
        <w:tc>
          <w:tcPr>
            <w:tcW w:type="dxa" w:w="2520"/>
            <w:shd w:fill="F2F4F8" w:val="clear"/>
          </w:tcPr>
          <w:p>
            <w:r>
              <w:rPr>
                <w:rFonts w:ascii="Calibri" w:hAnsi="Calibri"/>
                <w:color w:val="333333"/>
                <w:sz w:val="18"/>
              </w:rPr>
              <w:t>$1.2B</w:t>
            </w:r>
          </w:p>
        </w:tc>
        <w:tc>
          <w:tcPr>
            <w:tcW w:type="dxa" w:w="2520"/>
            <w:shd w:fill="F2F4F8" w:val="clear"/>
            <w:shd w:fill="DCEEF8" w:val="clear"/>
          </w:tcPr>
          <w:p>
            <w:r>
              <w:rPr>
                <w:rFonts w:ascii="Calibri" w:hAnsi="Calibri"/>
                <w:color w:val="333333"/>
                <w:sz w:val="18"/>
              </w:rPr>
              <w:t>38.4%</w:t>
            </w:r>
          </w:p>
        </w:tc>
      </w:tr>
      <w:tr>
        <w:tc>
          <w:tcPr>
            <w:tcW w:type="dxa" w:w="2520"/>
          </w:tcPr>
          <w:p>
            <w:r>
              <w:rPr>
                <w:rFonts w:ascii="Calibri" w:hAnsi="Calibri"/>
                <w:color w:val="333333"/>
                <w:sz w:val="18"/>
              </w:rPr>
              <w:t>Non-operating income / expense</w:t>
            </w:r>
          </w:p>
        </w:tc>
        <w:tc>
          <w:tcPr>
            <w:tcW w:type="dxa" w:w="2520"/>
          </w:tcPr>
          <w:p>
            <w:r>
              <w:rPr>
                <w:rFonts w:ascii="Calibri" w:hAnsi="Calibri"/>
                <w:color w:val="333333"/>
                <w:sz w:val="18"/>
              </w:rPr>
              <w:t>$22.7M</w:t>
            </w:r>
          </w:p>
        </w:tc>
        <w:tc>
          <w:tcPr>
            <w:tcW w:type="dxa" w:w="2520"/>
          </w:tcPr>
          <w:p>
            <w:r>
              <w:rPr>
                <w:rFonts w:ascii="Calibri" w:hAnsi="Calibri"/>
                <w:color w:val="333333"/>
                <w:sz w:val="18"/>
              </w:rPr>
              <w:t>$18.5M</w:t>
            </w:r>
          </w:p>
        </w:tc>
        <w:tc>
          <w:tcPr>
            <w:tcW w:type="dxa" w:w="2520"/>
            <w:shd w:fill="FCE8E6" w:val="clear"/>
          </w:tcPr>
          <w:p>
            <w:r>
              <w:rPr>
                <w:rFonts w:ascii="Calibri" w:hAnsi="Calibri"/>
                <w:color w:val="333333"/>
                <w:sz w:val="18"/>
              </w:rPr>
              <w:t>-18.6%</w:t>
            </w:r>
          </w:p>
        </w:tc>
      </w:tr>
      <w:tr>
        <w:tc>
          <w:tcPr>
            <w:tcW w:type="dxa" w:w="2520"/>
            <w:shd w:fill="F2F4F8" w:val="clear"/>
          </w:tcPr>
          <w:p>
            <w:r>
              <w:rPr>
                <w:rFonts w:ascii="Calibri" w:hAnsi="Calibri"/>
                <w:color w:val="333333"/>
                <w:sz w:val="18"/>
              </w:rPr>
              <w:t>Asset impairment charges (long-lived assets)</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Current federal income tax expense / benefit</w:t>
            </w:r>
          </w:p>
        </w:tc>
        <w:tc>
          <w:tcPr>
            <w:tcW w:type="dxa" w:w="2520"/>
          </w:tcPr>
          <w:p>
            <w:r>
              <w:rPr>
                <w:rFonts w:ascii="Calibri" w:hAnsi="Calibri"/>
                <w:color w:val="333333"/>
                <w:sz w:val="18"/>
              </w:rPr>
              <w:t>$173.8M</w:t>
            </w:r>
          </w:p>
        </w:tc>
        <w:tc>
          <w:tcPr>
            <w:tcW w:type="dxa" w:w="2520"/>
          </w:tcPr>
          <w:p>
            <w:r>
              <w:rPr>
                <w:rFonts w:ascii="Calibri" w:hAnsi="Calibri"/>
                <w:color w:val="333333"/>
                <w:sz w:val="18"/>
              </w:rPr>
              <w:t>$266.2M</w:t>
            </w:r>
          </w:p>
        </w:tc>
        <w:tc>
          <w:tcPr>
            <w:tcW w:type="dxa" w:w="2520"/>
            <w:shd w:fill="DCEEF8" w:val="clear"/>
          </w:tcPr>
          <w:p>
            <w:r>
              <w:rPr>
                <w:rFonts w:ascii="Calibri" w:hAnsi="Calibri"/>
                <w:color w:val="333333"/>
                <w:sz w:val="18"/>
              </w:rPr>
              <w:t>53.1%</w:t>
            </w:r>
          </w:p>
        </w:tc>
      </w:tr>
      <w:tr>
        <w:tc>
          <w:tcPr>
            <w:tcW w:type="dxa" w:w="2520"/>
            <w:shd w:fill="F2F4F8" w:val="clear"/>
          </w:tcPr>
          <w:p>
            <w:r>
              <w:rPr>
                <w:rFonts w:ascii="Calibri" w:hAnsi="Calibri"/>
                <w:color w:val="333333"/>
                <w:sz w:val="18"/>
              </w:rPr>
              <w:t>Current state and local income tax expense / benefit</w:t>
            </w:r>
          </w:p>
        </w:tc>
        <w:tc>
          <w:tcPr>
            <w:tcW w:type="dxa" w:w="2520"/>
            <w:shd w:fill="F2F4F8" w:val="clear"/>
          </w:tcPr>
          <w:p>
            <w:r>
              <w:rPr>
                <w:rFonts w:ascii="Calibri" w:hAnsi="Calibri"/>
                <w:color w:val="333333"/>
                <w:sz w:val="18"/>
              </w:rPr>
              <w:t>$21.0M</w:t>
            </w:r>
          </w:p>
        </w:tc>
        <w:tc>
          <w:tcPr>
            <w:tcW w:type="dxa" w:w="2520"/>
            <w:shd w:fill="F2F4F8" w:val="clear"/>
          </w:tcPr>
          <w:p>
            <w:r>
              <w:rPr>
                <w:rFonts w:ascii="Calibri" w:hAnsi="Calibri"/>
                <w:color w:val="333333"/>
                <w:sz w:val="18"/>
              </w:rPr>
              <w:t>$36.7M</w:t>
            </w:r>
          </w:p>
        </w:tc>
        <w:tc>
          <w:tcPr>
            <w:tcW w:type="dxa" w:w="2520"/>
            <w:shd w:fill="F2F4F8" w:val="clear"/>
            <w:shd w:fill="DCEEF8" w:val="clear"/>
          </w:tcPr>
          <w:p>
            <w:r>
              <w:rPr>
                <w:rFonts w:ascii="Calibri" w:hAnsi="Calibri"/>
                <w:color w:val="333333"/>
                <w:sz w:val="18"/>
              </w:rPr>
              <w:t>75.2%</w:t>
            </w:r>
          </w:p>
        </w:tc>
      </w:tr>
      <w:tr>
        <w:tc>
          <w:tcPr>
            <w:tcW w:type="dxa" w:w="2520"/>
          </w:tcPr>
          <w:p>
            <w:r>
              <w:rPr>
                <w:rFonts w:ascii="Calibri" w:hAnsi="Calibri"/>
                <w:color w:val="333333"/>
                <w:sz w:val="18"/>
              </w:rPr>
              <w:t>Current foreign income tax expense / benefit</w:t>
            </w:r>
          </w:p>
        </w:tc>
        <w:tc>
          <w:tcPr>
            <w:tcW w:type="dxa" w:w="2520"/>
          </w:tcPr>
          <w:p>
            <w:r>
              <w:rPr>
                <w:rFonts w:ascii="Calibri" w:hAnsi="Calibri"/>
                <w:color w:val="333333"/>
                <w:sz w:val="18"/>
              </w:rPr>
              <w:t>$37.0M</w:t>
            </w:r>
          </w:p>
        </w:tc>
        <w:tc>
          <w:tcPr>
            <w:tcW w:type="dxa" w:w="2520"/>
          </w:tcPr>
          <w:p>
            <w:r>
              <w:rPr>
                <w:rFonts w:ascii="Calibri" w:hAnsi="Calibri"/>
                <w:color w:val="333333"/>
                <w:sz w:val="18"/>
              </w:rPr>
              <w:t>$68.5M</w:t>
            </w:r>
          </w:p>
        </w:tc>
        <w:tc>
          <w:tcPr>
            <w:tcW w:type="dxa" w:w="2520"/>
            <w:shd w:fill="DCEEF8" w:val="clear"/>
          </w:tcPr>
          <w:p>
            <w:r>
              <w:rPr>
                <w:rFonts w:ascii="Calibri" w:hAnsi="Calibri"/>
                <w:color w:val="333333"/>
                <w:sz w:val="18"/>
              </w:rPr>
              <w:t>85.2%</w:t>
            </w:r>
          </w:p>
        </w:tc>
      </w:tr>
      <w:tr>
        <w:tc>
          <w:tcPr>
            <w:tcW w:type="dxa" w:w="2520"/>
            <w:shd w:fill="F2F4F8" w:val="clear"/>
          </w:tcPr>
          <w:p>
            <w:r>
              <w:rPr>
                <w:rFonts w:ascii="Calibri" w:hAnsi="Calibri"/>
                <w:color w:val="333333"/>
                <w:sz w:val="18"/>
              </w:rPr>
              <w:t>Deferred federal income tax expense / benefit</w:t>
            </w:r>
          </w:p>
        </w:tc>
        <w:tc>
          <w:tcPr>
            <w:tcW w:type="dxa" w:w="2520"/>
            <w:shd w:fill="F2F4F8" w:val="clear"/>
          </w:tcPr>
          <w:p>
            <w:r>
              <w:rPr>
                <w:rFonts w:ascii="Calibri" w:hAnsi="Calibri"/>
                <w:color w:val="333333"/>
                <w:sz w:val="18"/>
              </w:rPr>
              <w:t>$-162.3M</w:t>
            </w:r>
          </w:p>
        </w:tc>
        <w:tc>
          <w:tcPr>
            <w:tcW w:type="dxa" w:w="2520"/>
            <w:shd w:fill="F2F4F8" w:val="clear"/>
          </w:tcPr>
          <w:p>
            <w:r>
              <w:rPr>
                <w:rFonts w:ascii="Calibri" w:hAnsi="Calibri"/>
                <w:color w:val="333333"/>
                <w:sz w:val="18"/>
              </w:rPr>
              <w:t>$-161.0M</w:t>
            </w:r>
          </w:p>
        </w:tc>
        <w:tc>
          <w:tcPr>
            <w:tcW w:type="dxa" w:w="2520"/>
            <w:shd w:fill="F2F4F8" w:val="clear"/>
          </w:tcPr>
          <w:p>
            <w:r>
              <w:rPr>
                <w:rFonts w:ascii="Calibri" w:hAnsi="Calibri"/>
                <w:color w:val="333333"/>
                <w:sz w:val="18"/>
              </w:rPr>
              <w:t>0.8%</w:t>
            </w:r>
          </w:p>
        </w:tc>
      </w:tr>
      <w:tr>
        <w:tc>
          <w:tcPr>
            <w:tcW w:type="dxa" w:w="2520"/>
          </w:tcPr>
          <w:p>
            <w:r>
              <w:rPr>
                <w:rFonts w:ascii="Calibri" w:hAnsi="Calibri"/>
                <w:color w:val="333333"/>
                <w:sz w:val="18"/>
              </w:rPr>
              <w:t>Deferred state and local income tax expense / benefit</w:t>
            </w:r>
          </w:p>
        </w:tc>
        <w:tc>
          <w:tcPr>
            <w:tcW w:type="dxa" w:w="2520"/>
          </w:tcPr>
          <w:p>
            <w:r>
              <w:rPr>
                <w:rFonts w:ascii="Calibri" w:hAnsi="Calibri"/>
                <w:color w:val="333333"/>
                <w:sz w:val="18"/>
              </w:rPr>
              <w:t>$-5.4M</w:t>
            </w:r>
          </w:p>
        </w:tc>
        <w:tc>
          <w:tcPr>
            <w:tcW w:type="dxa" w:w="2520"/>
          </w:tcPr>
          <w:p>
            <w:r>
              <w:rPr>
                <w:rFonts w:ascii="Calibri" w:hAnsi="Calibri"/>
                <w:color w:val="333333"/>
                <w:sz w:val="18"/>
              </w:rPr>
              <w:t>$-12.0M</w:t>
            </w:r>
          </w:p>
        </w:tc>
        <w:tc>
          <w:tcPr>
            <w:tcW w:type="dxa" w:w="2520"/>
            <w:shd w:fill="FCE8E6" w:val="clear"/>
          </w:tcPr>
          <w:p>
            <w:r>
              <w:rPr>
                <w:rFonts w:ascii="Calibri" w:hAnsi="Calibri"/>
                <w:color w:val="333333"/>
                <w:sz w:val="18"/>
              </w:rPr>
              <w:t>-121.7%</w:t>
            </w:r>
          </w:p>
        </w:tc>
      </w:tr>
      <w:tr>
        <w:tc>
          <w:tcPr>
            <w:tcW w:type="dxa" w:w="2520"/>
            <w:shd w:fill="F2F4F8" w:val="clear"/>
          </w:tcPr>
          <w:p>
            <w:r>
              <w:rPr>
                <w:rFonts w:ascii="Calibri" w:hAnsi="Calibri"/>
                <w:color w:val="333333"/>
                <w:sz w:val="18"/>
              </w:rPr>
              <w:t>Deferred foreign income tax expense / benefit</w:t>
            </w:r>
          </w:p>
        </w:tc>
        <w:tc>
          <w:tcPr>
            <w:tcW w:type="dxa" w:w="2520"/>
            <w:shd w:fill="F2F4F8" w:val="clear"/>
          </w:tcPr>
          <w:p>
            <w:r>
              <w:rPr>
                <w:rFonts w:ascii="Calibri" w:hAnsi="Calibri"/>
                <w:color w:val="333333"/>
                <w:sz w:val="18"/>
              </w:rPr>
              <w:t>$-808.0K</w:t>
            </w:r>
          </w:p>
        </w:tc>
        <w:tc>
          <w:tcPr>
            <w:tcW w:type="dxa" w:w="2520"/>
            <w:shd w:fill="F2F4F8" w:val="clear"/>
          </w:tcPr>
          <w:p>
            <w:r>
              <w:rPr>
                <w:rFonts w:ascii="Calibri" w:hAnsi="Calibri"/>
                <w:color w:val="333333"/>
                <w:sz w:val="18"/>
              </w:rPr>
              <w:t>$-41.6M</w:t>
            </w:r>
          </w:p>
        </w:tc>
        <w:tc>
          <w:tcPr>
            <w:tcW w:type="dxa" w:w="2520"/>
            <w:shd w:fill="F2F4F8" w:val="clear"/>
            <w:shd w:fill="FCE8E6" w:val="clear"/>
          </w:tcPr>
          <w:p>
            <w:r>
              <w:rPr>
                <w:rFonts w:ascii="Calibri" w:hAnsi="Calibri"/>
                <w:color w:val="333333"/>
                <w:sz w:val="18"/>
              </w:rPr>
              <w:t>-5050.5%</w:t>
            </w:r>
          </w:p>
        </w:tc>
      </w:tr>
      <w:tr>
        <w:tc>
          <w:tcPr>
            <w:tcW w:type="dxa" w:w="2520"/>
          </w:tcPr>
          <w:p>
            <w:r>
              <w:rPr>
                <w:rFonts w:ascii="Calibri" w:hAnsi="Calibri"/>
                <w:color w:val="333333"/>
                <w:sz w:val="18"/>
              </w:rPr>
              <w:t>Advertising expense</w:t>
            </w:r>
          </w:p>
        </w:tc>
        <w:tc>
          <w:tcPr>
            <w:tcW w:type="dxa" w:w="2520"/>
          </w:tcPr>
          <w:p>
            <w:r>
              <w:rPr>
                <w:rFonts w:ascii="Calibri" w:hAnsi="Calibri"/>
                <w:color w:val="333333"/>
                <w:sz w:val="18"/>
              </w:rPr>
              <w:t>N/A</w:t>
            </w:r>
          </w:p>
        </w:tc>
        <w:tc>
          <w:tcPr>
            <w:tcW w:type="dxa" w:w="2520"/>
          </w:tcPr>
          <w:p>
            <w:r>
              <w:rPr>
                <w:rFonts w:ascii="Calibri" w:hAnsi="Calibri"/>
                <w:color w:val="333333"/>
                <w:sz w:val="18"/>
              </w:rPr>
              <w:t>$38.1M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Gross margin percentage</w:t>
            </w:r>
          </w:p>
        </w:tc>
        <w:tc>
          <w:tcPr>
            <w:tcW w:type="dxa" w:w="2520"/>
            <w:shd w:fill="F2F4F8" w:val="clear"/>
          </w:tcPr>
          <w:p>
            <w:r>
              <w:rPr>
                <w:rFonts w:ascii="Calibri" w:hAnsi="Calibri"/>
                <w:color w:val="333333"/>
                <w:sz w:val="18"/>
              </w:rPr>
              <w:t>13.8%</w:t>
            </w:r>
          </w:p>
        </w:tc>
        <w:tc>
          <w:tcPr>
            <w:tcW w:type="dxa" w:w="2520"/>
            <w:shd w:fill="F2F4F8" w:val="clear"/>
          </w:tcPr>
          <w:p>
            <w:r>
              <w:rPr>
                <w:rFonts w:ascii="Calibri" w:hAnsi="Calibri"/>
                <w:color w:val="333333"/>
                <w:sz w:val="18"/>
              </w:rPr>
              <w:t>11.1%</w:t>
            </w:r>
          </w:p>
        </w:tc>
        <w:tc>
          <w:tcPr>
            <w:tcW w:type="dxa" w:w="2520"/>
            <w:shd w:fill="F2F4F8" w:val="clear"/>
            <w:shd w:fill="FCE8E6" w:val="clear"/>
          </w:tcPr>
          <w:p>
            <w:r>
              <w:rPr>
                <w:rFonts w:ascii="Calibri" w:hAnsi="Calibri"/>
                <w:color w:val="333333"/>
                <w:sz w:val="18"/>
              </w:rPr>
              <w:t>-19.6%</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8.1%</w:t>
            </w:r>
          </w:p>
        </w:tc>
        <w:tc>
          <w:tcPr>
            <w:tcW w:type="dxa" w:w="2520"/>
          </w:tcPr>
          <w:p>
            <w:r>
              <w:rPr>
                <w:rFonts w:ascii="Calibri" w:hAnsi="Calibri"/>
                <w:color w:val="333333"/>
                <w:sz w:val="18"/>
              </w:rPr>
              <w:t>5.7%</w:t>
            </w:r>
          </w:p>
        </w:tc>
        <w:tc>
          <w:tcPr>
            <w:tcW w:type="dxa" w:w="2520"/>
            <w:shd w:fill="FCE8E6" w:val="clear"/>
          </w:tcPr>
          <w:p>
            <w:r>
              <w:rPr>
                <w:rFonts w:ascii="Calibri" w:hAnsi="Calibri"/>
                <w:color w:val="333333"/>
                <w:sz w:val="18"/>
              </w:rPr>
              <w:t>-29.5%</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7.7%</w:t>
            </w:r>
          </w:p>
        </w:tc>
        <w:tc>
          <w:tcPr>
            <w:tcW w:type="dxa" w:w="2520"/>
            <w:shd w:fill="F2F4F8" w:val="clear"/>
          </w:tcPr>
          <w:p>
            <w:r>
              <w:rPr>
                <w:rFonts w:ascii="Calibri" w:hAnsi="Calibri"/>
                <w:color w:val="333333"/>
                <w:sz w:val="18"/>
              </w:rPr>
              <w:t>4.8%</w:t>
            </w:r>
          </w:p>
        </w:tc>
        <w:tc>
          <w:tcPr>
            <w:tcW w:type="dxa" w:w="2520"/>
            <w:shd w:fill="F2F4F8" w:val="clear"/>
            <w:shd w:fill="FCE8E6" w:val="clear"/>
          </w:tcPr>
          <w:p>
            <w:r>
              <w:rPr>
                <w:rFonts w:ascii="Calibri" w:hAnsi="Calibri"/>
                <w:color w:val="333333"/>
                <w:sz w:val="18"/>
              </w:rPr>
              <w:t>-38.0%</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8.3%</w:t>
            </w:r>
          </w:p>
        </w:tc>
        <w:tc>
          <w:tcPr>
            <w:tcW w:type="dxa" w:w="2520"/>
          </w:tcPr>
          <w:p>
            <w:r>
              <w:rPr>
                <w:rFonts w:ascii="Calibri" w:hAnsi="Calibri"/>
                <w:color w:val="333333"/>
                <w:sz w:val="18"/>
              </w:rPr>
              <w:t>5.9%</w:t>
            </w:r>
          </w:p>
        </w:tc>
        <w:tc>
          <w:tcPr>
            <w:tcW w:type="dxa" w:w="2520"/>
            <w:shd w:fill="FCE8E6" w:val="clear"/>
          </w:tcPr>
          <w:p>
            <w:r>
              <w:rPr>
                <w:rFonts w:ascii="Calibri" w:hAnsi="Calibri"/>
                <w:color w:val="333333"/>
                <w:sz w:val="18"/>
              </w:rPr>
              <w:t>-28.9%</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$5</w:t>
            </w:r>
          </w:p>
        </w:tc>
        <w:tc>
          <w:tcPr>
            <w:tcW w:type="dxa" w:w="2520"/>
            <w:shd w:fill="F2F4F8" w:val="clear"/>
          </w:tcPr>
          <w:p>
            <w:r>
              <w:rPr>
                <w:rFonts w:ascii="Calibri" w:hAnsi="Calibri"/>
                <w:color w:val="333333"/>
                <w:sz w:val="18"/>
              </w:rPr>
              <w:t>$13</w:t>
            </w:r>
          </w:p>
        </w:tc>
        <w:tc>
          <w:tcPr>
            <w:tcW w:type="dxa" w:w="2520"/>
            <w:shd w:fill="F2F4F8" w:val="clear"/>
            <w:shd w:fill="DCEEF8" w:val="clear"/>
          </w:tcPr>
          <w:p>
            <w:r>
              <w:rPr>
                <w:rFonts w:ascii="Calibri" w:hAnsi="Calibri"/>
                <w:color w:val="333333"/>
                <w:sz w:val="18"/>
              </w:rPr>
              <w:t>148.4%</w:t>
            </w:r>
          </w:p>
        </w:tc>
      </w:tr>
      <w:tr>
        <w:tc>
          <w:tcPr>
            <w:tcW w:type="dxa" w:w="2520"/>
          </w:tcPr>
          <w:p>
            <w:r>
              <w:rPr>
                <w:rFonts w:ascii="Calibri" w:hAnsi="Calibri"/>
                <w:color w:val="333333"/>
                <w:sz w:val="18"/>
              </w:rPr>
              <w:t>Interest coverage ratio</w:t>
            </w:r>
          </w:p>
        </w:tc>
        <w:tc>
          <w:tcPr>
            <w:tcW w:type="dxa" w:w="2520"/>
          </w:tcPr>
          <w:p>
            <w:r>
              <w:rPr>
                <w:rFonts w:ascii="Calibri" w:hAnsi="Calibri"/>
                <w:color w:val="333333"/>
                <w:sz w:val="18"/>
              </w:rPr>
              <w:t>$76</w:t>
            </w:r>
          </w:p>
        </w:tc>
        <w:tc>
          <w:tcPr>
            <w:tcW w:type="dxa" w:w="2520"/>
          </w:tcPr>
          <w:p>
            <w:r>
              <w:rPr>
                <w:rFonts w:ascii="Calibri" w:hAnsi="Calibri"/>
                <w:color w:val="333333"/>
                <w:sz w:val="18"/>
              </w:rPr>
              <w:t>$49</w:t>
            </w:r>
          </w:p>
        </w:tc>
        <w:tc>
          <w:tcPr>
            <w:tcW w:type="dxa" w:w="2520"/>
            <w:shd w:fill="FCE8E6" w:val="clear"/>
          </w:tcPr>
          <w:p>
            <w:r>
              <w:rPr>
                <w:rFonts w:ascii="Calibri" w:hAnsi="Calibri"/>
                <w:color w:val="333333"/>
                <w:sz w:val="18"/>
              </w:rPr>
              <w:t>-35.0%</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$9.8B</w:t>
            </w:r>
          </w:p>
        </w:tc>
        <w:tc>
          <w:tcPr>
            <w:tcW w:type="dxa" w:w="2520"/>
          </w:tcPr>
          <w:p>
            <w:r>
              <w:rPr>
                <w:rFonts w:ascii="Calibri" w:hAnsi="Calibri"/>
                <w:color w:val="333333"/>
                <w:sz w:val="18"/>
              </w:rPr>
              <w:t>$14.0B</w:t>
            </w:r>
          </w:p>
        </w:tc>
        <w:tc>
          <w:tcPr>
            <w:tcW w:type="dxa" w:w="2520"/>
            <w:shd w:fill="DCEEF8" w:val="clear"/>
          </w:tcPr>
          <w:p>
            <w:r>
              <w:rPr>
                <w:rFonts w:ascii="Calibri" w:hAnsi="Calibri"/>
                <w:color w:val="333333"/>
                <w:sz w:val="18"/>
              </w:rPr>
              <w:t>42.7%</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$4.4B</w:t>
            </w:r>
          </w:p>
        </w:tc>
        <w:tc>
          <w:tcPr>
            <w:tcW w:type="dxa" w:w="2520"/>
            <w:shd w:fill="F2F4F8" w:val="clear"/>
          </w:tcPr>
          <w:p>
            <w:r>
              <w:rPr>
                <w:rFonts w:ascii="Calibri" w:hAnsi="Calibri"/>
                <w:color w:val="333333"/>
                <w:sz w:val="18"/>
              </w:rPr>
              <w:t>$7.7B</w:t>
            </w:r>
          </w:p>
        </w:tc>
        <w:tc>
          <w:tcPr>
            <w:tcW w:type="dxa" w:w="2520"/>
            <w:shd w:fill="F2F4F8" w:val="clear"/>
            <w:shd w:fill="DCEEF8" w:val="clear"/>
          </w:tcPr>
          <w:p>
            <w:r>
              <w:rPr>
                <w:rFonts w:ascii="Calibri" w:hAnsi="Calibri"/>
                <w:color w:val="333333"/>
                <w:sz w:val="18"/>
              </w:rPr>
              <w:t>75.0%</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$5.4B</w:t>
            </w:r>
          </w:p>
        </w:tc>
        <w:tc>
          <w:tcPr>
            <w:tcW w:type="dxa" w:w="2520"/>
          </w:tcPr>
          <w:p>
            <w:r>
              <w:rPr>
                <w:rFonts w:ascii="Calibri" w:hAnsi="Calibri"/>
                <w:color w:val="333333"/>
                <w:sz w:val="18"/>
              </w:rPr>
              <w:t>$6.3B</w:t>
            </w:r>
          </w:p>
        </w:tc>
        <w:tc>
          <w:tcPr>
            <w:tcW w:type="dxa" w:w="2520"/>
            <w:shd w:fill="DCEEF8" w:val="clear"/>
          </w:tcPr>
          <w:p>
            <w:r>
              <w:rPr>
                <w:rFonts w:ascii="Calibri" w:hAnsi="Calibri"/>
                <w:color w:val="333333"/>
                <w:sz w:val="18"/>
              </w:rPr>
              <w:t>16.3%</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$8.9B</w:t>
            </w:r>
          </w:p>
        </w:tc>
        <w:tc>
          <w:tcPr>
            <w:tcW w:type="dxa" w:w="2520"/>
            <w:shd w:fill="F2F4F8" w:val="clear"/>
          </w:tcPr>
          <w:p>
            <w:r>
              <w:rPr>
                <w:rFonts w:ascii="Calibri" w:hAnsi="Calibri"/>
                <w:color w:val="333333"/>
                <w:sz w:val="18"/>
              </w:rPr>
              <w:t>$12.3B</w:t>
            </w:r>
          </w:p>
        </w:tc>
        <w:tc>
          <w:tcPr>
            <w:tcW w:type="dxa" w:w="2520"/>
            <w:shd w:fill="F2F4F8" w:val="clear"/>
            <w:shd w:fill="DCEEF8" w:val="clear"/>
          </w:tcPr>
          <w:p>
            <w:r>
              <w:rPr>
                <w:rFonts w:ascii="Calibri" w:hAnsi="Calibri"/>
                <w:color w:val="333333"/>
                <w:sz w:val="18"/>
              </w:rPr>
              <w:t>37.7%</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$2.3B</w:t>
            </w:r>
          </w:p>
        </w:tc>
        <w:tc>
          <w:tcPr>
            <w:tcW w:type="dxa" w:w="2520"/>
          </w:tcPr>
          <w:p>
            <w:r>
              <w:rPr>
                <w:rFonts w:ascii="Calibri" w:hAnsi="Calibri"/>
                <w:color w:val="333333"/>
                <w:sz w:val="18"/>
              </w:rPr>
              <w:t>$2.3B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$1.7B</w:t>
            </w:r>
          </w:p>
        </w:tc>
        <w:tc>
          <w:tcPr>
            <w:tcW w:type="dxa" w:w="2520"/>
            <w:shd w:fill="F2F4F8" w:val="clear"/>
          </w:tcPr>
          <w:p>
            <w:r>
              <w:rPr>
                <w:rFonts w:ascii="Calibri" w:hAnsi="Calibri"/>
                <w:color w:val="333333"/>
                <w:sz w:val="18"/>
              </w:rPr>
              <w:t>$5.2B</w:t>
            </w:r>
          </w:p>
        </w:tc>
        <w:tc>
          <w:tcPr>
            <w:tcW w:type="dxa" w:w="2520"/>
            <w:shd w:fill="F2F4F8" w:val="clear"/>
            <w:shd w:fill="DCEEF8" w:val="clear"/>
          </w:tcPr>
          <w:p>
            <w:r>
              <w:rPr>
                <w:rFonts w:ascii="Calibri" w:hAnsi="Calibri"/>
                <w:color w:val="333333"/>
                <w:sz w:val="18"/>
              </w:rPr>
              <w:t>209.6%</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$2.7B</w:t>
            </w:r>
          </w:p>
        </w:tc>
        <w:tc>
          <w:tcPr>
            <w:tcW w:type="dxa" w:w="2520"/>
          </w:tcPr>
          <w:p>
            <w:r>
              <w:rPr>
                <w:rFonts w:ascii="Calibri" w:hAnsi="Calibri"/>
                <w:color w:val="333333"/>
                <w:sz w:val="18"/>
              </w:rPr>
              <w:t>$2.2B</w:t>
            </w:r>
          </w:p>
        </w:tc>
        <w:tc>
          <w:tcPr>
            <w:tcW w:type="dxa" w:w="2520"/>
            <w:shd w:fill="FCE8E6" w:val="clear"/>
          </w:tcPr>
          <w:p>
            <w:r>
              <w:rPr>
                <w:rFonts w:ascii="Calibri" w:hAnsi="Calibri"/>
                <w:color w:val="333333"/>
                <w:sz w:val="18"/>
              </w:rPr>
              <w:t>-19.5%</w:t>
            </w:r>
          </w:p>
        </w:tc>
      </w:tr>
      <w:tr>
        <w:tc>
          <w:tcPr>
            <w:tcW w:type="dxa" w:w="2520"/>
            <w:shd w:fill="F2F4F8" w:val="clear"/>
          </w:tcPr>
          <w:p>
            <w:r>
              <w:rPr>
                <w:rFonts w:ascii="Calibri" w:hAnsi="Calibri"/>
                <w:color w:val="333333"/>
                <w:sz w:val="18"/>
              </w:rPr>
              <w:t>Inventory, net</w:t>
            </w:r>
          </w:p>
        </w:tc>
        <w:tc>
          <w:tcPr>
            <w:tcW w:type="dxa" w:w="2520"/>
            <w:shd w:fill="F2F4F8" w:val="clear"/>
          </w:tcPr>
          <w:p>
            <w:r>
              <w:rPr>
                <w:rFonts w:ascii="Calibri" w:hAnsi="Calibri"/>
                <w:color w:val="333333"/>
                <w:sz w:val="18"/>
              </w:rPr>
              <w:t>$4.3B</w:t>
            </w:r>
          </w:p>
        </w:tc>
        <w:tc>
          <w:tcPr>
            <w:tcW w:type="dxa" w:w="2520"/>
            <w:shd w:fill="F2F4F8" w:val="clear"/>
          </w:tcPr>
          <w:p>
            <w:r>
              <w:rPr>
                <w:rFonts w:ascii="Calibri" w:hAnsi="Calibri"/>
                <w:color w:val="333333"/>
                <w:sz w:val="18"/>
              </w:rPr>
              <w:t>$4.7B</w:t>
            </w:r>
          </w:p>
        </w:tc>
        <w:tc>
          <w:tcPr>
            <w:tcW w:type="dxa" w:w="2520"/>
            <w:shd w:fill="F2F4F8" w:val="clear"/>
            <w:shd w:fill="FFF3CD" w:val="clear"/>
          </w:tcPr>
          <w:p>
            <w:r>
              <w:rPr>
                <w:rFonts w:ascii="Calibri" w:hAnsi="Calibri"/>
                <w:color w:val="333333"/>
                <w:sz w:val="18"/>
              </w:rPr>
              <w:t>8.0%</w:t>
            </w:r>
          </w:p>
        </w:tc>
      </w:tr>
      <w:tr>
        <w:tc>
          <w:tcPr>
            <w:tcW w:type="dxa" w:w="2520"/>
          </w:tcPr>
          <w:p>
            <w:r>
              <w:rPr>
                <w:rFonts w:ascii="Calibri" w:hAnsi="Calibri"/>
                <w:color w:val="333333"/>
                <w:sz w:val="18"/>
              </w:rPr>
              <w:t>Property, plant and equipment, net</w:t>
            </w:r>
          </w:p>
        </w:tc>
        <w:tc>
          <w:tcPr>
            <w:tcW w:type="dxa" w:w="2520"/>
          </w:tcPr>
          <w:p>
            <w:r>
              <w:rPr>
                <w:rFonts w:ascii="Calibri" w:hAnsi="Calibri"/>
                <w:color w:val="333333"/>
                <w:sz w:val="18"/>
              </w:rPr>
              <w:t>$414.0M</w:t>
            </w:r>
          </w:p>
        </w:tc>
        <w:tc>
          <w:tcPr>
            <w:tcW w:type="dxa" w:w="2520"/>
          </w:tcPr>
          <w:p>
            <w:r>
              <w:rPr>
                <w:rFonts w:ascii="Calibri" w:hAnsi="Calibri"/>
                <w:color w:val="333333"/>
                <w:sz w:val="18"/>
              </w:rPr>
              <w:t>$504.5M</w:t>
            </w:r>
          </w:p>
        </w:tc>
        <w:tc>
          <w:tcPr>
            <w:tcW w:type="dxa" w:w="2520"/>
            <w:shd w:fill="DCEEF8" w:val="clear"/>
          </w:tcPr>
          <w:p>
            <w:r>
              <w:rPr>
                <w:rFonts w:ascii="Calibri" w:hAnsi="Calibri"/>
                <w:color w:val="333333"/>
                <w:sz w:val="18"/>
              </w:rPr>
              <w:t>21.9%</w:t>
            </w:r>
          </w:p>
        </w:tc>
      </w:tr>
      <w:tr>
        <w:tc>
          <w:tcPr>
            <w:tcW w:type="dxa" w:w="2520"/>
            <w:shd w:fill="F2F4F8" w:val="clear"/>
          </w:tcPr>
          <w:p>
            <w:r>
              <w:rPr>
                <w:rFonts w:ascii="Calibri" w:hAnsi="Calibri"/>
                <w:color w:val="333333"/>
                <w:sz w:val="18"/>
              </w:rPr>
              <w:t>Retained earnings / accumulated deficit</w:t>
            </w:r>
          </w:p>
        </w:tc>
        <w:tc>
          <w:tcPr>
            <w:tcW w:type="dxa" w:w="2520"/>
            <w:shd w:fill="F2F4F8" w:val="clear"/>
          </w:tcPr>
          <w:p>
            <w:r>
              <w:rPr>
                <w:rFonts w:ascii="Calibri" w:hAnsi="Calibri"/>
                <w:color w:val="333333"/>
                <w:sz w:val="18"/>
              </w:rPr>
              <w:t>$2.6B</w:t>
            </w:r>
          </w:p>
        </w:tc>
        <w:tc>
          <w:tcPr>
            <w:tcW w:type="dxa" w:w="2520"/>
            <w:shd w:fill="F2F4F8" w:val="clear"/>
          </w:tcPr>
          <w:p>
            <w:r>
              <w:rPr>
                <w:rFonts w:ascii="Calibri" w:hAnsi="Calibri"/>
                <w:color w:val="333333"/>
                <w:sz w:val="18"/>
              </w:rPr>
              <w:t>$3.4B</w:t>
            </w:r>
          </w:p>
        </w:tc>
        <w:tc>
          <w:tcPr>
            <w:tcW w:type="dxa" w:w="2520"/>
            <w:shd w:fill="F2F4F8" w:val="clear"/>
            <w:shd w:fill="DCEEF8" w:val="clear"/>
          </w:tcPr>
          <w:p>
            <w:r>
              <w:rPr>
                <w:rFonts w:ascii="Calibri" w:hAnsi="Calibri"/>
                <w:color w:val="333333"/>
                <w:sz w:val="18"/>
              </w:rPr>
              <w:t>32.8%</w:t>
            </w:r>
          </w:p>
        </w:tc>
      </w:tr>
      <w:tr>
        <w:tc>
          <w:tcPr>
            <w:tcW w:type="dxa" w:w="2520"/>
          </w:tcPr>
          <w:p>
            <w:r>
              <w:rPr>
                <w:rFonts w:ascii="Calibri" w:hAnsi="Calibri"/>
                <w:color w:val="333333"/>
                <w:sz w:val="18"/>
              </w:rPr>
              <w:t>Total debt (short-term + long-term)</w:t>
            </w:r>
          </w:p>
        </w:tc>
        <w:tc>
          <w:tcPr>
            <w:tcW w:type="dxa" w:w="2520"/>
          </w:tcPr>
          <w:p>
            <w:r>
              <w:rPr>
                <w:rFonts w:ascii="Calibri" w:hAnsi="Calibri"/>
                <w:color w:val="333333"/>
                <w:sz w:val="18"/>
              </w:rPr>
              <w:t>$476.4M</w:t>
            </w:r>
          </w:p>
        </w:tc>
        <w:tc>
          <w:tcPr>
            <w:tcW w:type="dxa" w:w="2520"/>
          </w:tcPr>
          <w:p>
            <w:r>
              <w:rPr>
                <w:rFonts w:ascii="Calibri" w:hAnsi="Calibri"/>
                <w:color w:val="333333"/>
                <w:sz w:val="18"/>
              </w:rPr>
              <w:t>$112.5M</w:t>
            </w:r>
          </w:p>
        </w:tc>
        <w:tc>
          <w:tcPr>
            <w:tcW w:type="dxa" w:w="2520"/>
            <w:shd w:fill="FCE8E6" w:val="clear"/>
          </w:tcPr>
          <w:p>
            <w:r>
              <w:rPr>
                <w:rFonts w:ascii="Calibri" w:hAnsi="Calibri"/>
                <w:color w:val="333333"/>
                <w:sz w:val="18"/>
              </w:rPr>
              <w:t>-76.4%</w:t>
            </w:r>
          </w:p>
        </w:tc>
      </w:tr>
      <w:tr>
        <w:tc>
          <w:tcPr>
            <w:tcW w:type="dxa" w:w="2520"/>
            <w:shd w:fill="F2F4F8" w:val="clear"/>
          </w:tcPr>
          <w:p>
            <w:r>
              <w:rPr>
                <w:rFonts w:ascii="Calibri" w:hAnsi="Calibri"/>
                <w:color w:val="333333"/>
                <w:sz w:val="18"/>
              </w:rPr>
              <w:t>Common shares outstanding</w:t>
            </w:r>
          </w:p>
        </w:tc>
        <w:tc>
          <w:tcPr>
            <w:tcW w:type="dxa" w:w="2520"/>
            <w:shd w:fill="F2F4F8" w:val="clear"/>
          </w:tcPr>
          <w:p>
            <w:r>
              <w:rPr>
                <w:rFonts w:ascii="Calibri" w:hAnsi="Calibri"/>
                <w:color w:val="333333"/>
                <w:sz w:val="18"/>
              </w:rPr>
              <w:t>588.1M</w:t>
            </w:r>
          </w:p>
        </w:tc>
        <w:tc>
          <w:tcPr>
            <w:tcW w:type="dxa" w:w="2520"/>
            <w:shd w:fill="F2F4F8" w:val="clear"/>
          </w:tcPr>
          <w:p>
            <w:r>
              <w:rPr>
                <w:rFonts w:ascii="Calibri" w:hAnsi="Calibri"/>
                <w:color w:val="333333"/>
                <w:sz w:val="18"/>
              </w:rPr>
              <w:t>594.1M</w:t>
            </w:r>
          </w:p>
        </w:tc>
        <w:tc>
          <w:tcPr>
            <w:tcW w:type="dxa" w:w="2520"/>
            <w:shd w:fill="F2F4F8" w:val="clear"/>
            <w:shd w:fill="FFF3CD" w:val="clear"/>
          </w:tcPr>
          <w:p>
            <w:r>
              <w:rPr>
                <w:rFonts w:ascii="Calibri" w:hAnsi="Calibri"/>
                <w:color w:val="333333"/>
                <w:sz w:val="18"/>
              </w:rPr>
              <w:t>1.0%</w:t>
            </w:r>
          </w:p>
        </w:tc>
      </w:tr>
      <w:tr>
        <w:tc>
          <w:tcPr>
            <w:tcW w:type="dxa" w:w="2520"/>
          </w:tcPr>
          <w:p>
            <w:r>
              <w:rPr>
                <w:rFonts w:ascii="Calibri" w:hAnsi="Calibri"/>
                <w:color w:val="333333"/>
                <w:sz w:val="18"/>
              </w:rPr>
              <w:t>Accounts payable</w:t>
            </w:r>
          </w:p>
        </w:tc>
        <w:tc>
          <w:tcPr>
            <w:tcW w:type="dxa" w:w="2520"/>
          </w:tcPr>
          <w:p>
            <w:r>
              <w:rPr>
                <w:rFonts w:ascii="Calibri" w:hAnsi="Calibri"/>
                <w:color w:val="333333"/>
                <w:sz w:val="18"/>
              </w:rPr>
              <w:t>$1.5B</w:t>
            </w:r>
          </w:p>
        </w:tc>
        <w:tc>
          <w:tcPr>
            <w:tcW w:type="dxa" w:w="2520"/>
          </w:tcPr>
          <w:p>
            <w:r>
              <w:rPr>
                <w:rFonts w:ascii="Calibri" w:hAnsi="Calibri"/>
                <w:color w:val="333333"/>
                <w:sz w:val="18"/>
              </w:rPr>
              <w:t>$1.3B</w:t>
            </w:r>
          </w:p>
        </w:tc>
        <w:tc>
          <w:tcPr>
            <w:tcW w:type="dxa" w:w="2520"/>
            <w:shd w:fill="FCE8E6" w:val="clear"/>
          </w:tcPr>
          <w:p>
            <w:r>
              <w:rPr>
                <w:rFonts w:ascii="Calibri" w:hAnsi="Calibri"/>
                <w:color w:val="333333"/>
                <w:sz w:val="18"/>
              </w:rPr>
              <w:t>-12.9%</w:t>
            </w:r>
          </w:p>
        </w:tc>
      </w:tr>
      <w:tr>
        <w:tc>
          <w:tcPr>
            <w:tcW w:type="dxa" w:w="2520"/>
            <w:shd w:fill="F2F4F8" w:val="clear"/>
          </w:tcPr>
          <w:p>
            <w:r>
              <w:rPr>
                <w:rFonts w:ascii="Calibri" w:hAnsi="Calibri"/>
                <w:color w:val="333333"/>
                <w:sz w:val="18"/>
              </w:rPr>
              <w:t>Deferred revenue / contract liabilities</w:t>
            </w:r>
          </w:p>
        </w:tc>
        <w:tc>
          <w:tcPr>
            <w:tcW w:type="dxa" w:w="2520"/>
            <w:shd w:fill="F2F4F8" w:val="clear"/>
          </w:tcPr>
          <w:p>
            <w:r>
              <w:rPr>
                <w:rFonts w:ascii="Calibri" w:hAnsi="Calibri"/>
                <w:color w:val="333333"/>
                <w:sz w:val="18"/>
              </w:rPr>
              <w:t>$193.1M</w:t>
            </w:r>
          </w:p>
        </w:tc>
        <w:tc>
          <w:tcPr>
            <w:tcW w:type="dxa" w:w="2520"/>
            <w:shd w:fill="F2F4F8" w:val="clear"/>
          </w:tcPr>
          <w:p>
            <w:r>
              <w:rPr>
                <w:rFonts w:ascii="Calibri" w:hAnsi="Calibri"/>
                <w:color w:val="333333"/>
                <w:sz w:val="18"/>
              </w:rPr>
              <w:t>$368.7M</w:t>
            </w:r>
          </w:p>
        </w:tc>
        <w:tc>
          <w:tcPr>
            <w:tcW w:type="dxa" w:w="2520"/>
            <w:shd w:fill="F2F4F8" w:val="clear"/>
            <w:shd w:fill="DCEEF8" w:val="clear"/>
          </w:tcPr>
          <w:p>
            <w:r>
              <w:rPr>
                <w:rFonts w:ascii="Calibri" w:hAnsi="Calibri"/>
                <w:color w:val="333333"/>
                <w:sz w:val="18"/>
              </w:rPr>
              <w:t>91.0%</w:t>
            </w:r>
          </w:p>
        </w:tc>
      </w:tr>
      <w:tr>
        <w:tc>
          <w:tcPr>
            <w:tcW w:type="dxa" w:w="2520"/>
          </w:tcPr>
          <w:p>
            <w:r>
              <w:rPr>
                <w:rFonts w:ascii="Calibri" w:hAnsi="Calibri"/>
                <w:color w:val="333333"/>
                <w:sz w:val="18"/>
              </w:rPr>
              <w:t>Operating lease liabilities</w:t>
            </w:r>
          </w:p>
        </w:tc>
        <w:tc>
          <w:tcPr>
            <w:tcW w:type="dxa" w:w="2520"/>
          </w:tcPr>
          <w:p>
            <w:r>
              <w:rPr>
                <w:rFonts w:ascii="Calibri" w:hAnsi="Calibri"/>
                <w:color w:val="333333"/>
                <w:sz w:val="18"/>
              </w:rPr>
              <w:t>$35.4M</w:t>
            </w:r>
          </w:p>
        </w:tc>
        <w:tc>
          <w:tcPr>
            <w:tcW w:type="dxa" w:w="2520"/>
          </w:tcPr>
          <w:p>
            <w:r>
              <w:rPr>
                <w:rFonts w:ascii="Calibri" w:hAnsi="Calibri"/>
                <w:color w:val="333333"/>
                <w:sz w:val="18"/>
              </w:rPr>
              <w:t>$301.6M</w:t>
            </w:r>
          </w:p>
        </w:tc>
        <w:tc>
          <w:tcPr>
            <w:tcW w:type="dxa" w:w="2520"/>
            <w:shd w:fill="DCEEF8" w:val="clear"/>
          </w:tcPr>
          <w:p>
            <w:r>
              <w:rPr>
                <w:rFonts w:ascii="Calibri" w:hAnsi="Calibri"/>
                <w:color w:val="333333"/>
                <w:sz w:val="18"/>
              </w:rPr>
              <w:t>752.3%</w:t>
            </w:r>
          </w:p>
        </w:tc>
      </w:tr>
      <w:tr>
        <w:tc>
          <w:tcPr>
            <w:tcW w:type="dxa" w:w="2520"/>
            <w:shd w:fill="F2F4F8" w:val="clear"/>
          </w:tcPr>
          <w:p>
            <w:r>
              <w:rPr>
                <w:rFonts w:ascii="Calibri" w:hAnsi="Calibri"/>
                <w:color w:val="333333"/>
                <w:sz w:val="18"/>
              </w:rPr>
              <w:t>Minority / noncontrolling interest</w:t>
            </w:r>
          </w:p>
        </w:tc>
        <w:tc>
          <w:tcPr>
            <w:tcW w:type="dxa" w:w="2520"/>
            <w:shd w:fill="F2F4F8" w:val="clear"/>
          </w:tcPr>
          <w:p>
            <w:r>
              <w:rPr>
                <w:rFonts w:ascii="Calibri" w:hAnsi="Calibri"/>
                <w:color w:val="333333"/>
                <w:sz w:val="18"/>
              </w:rPr>
              <w:t>$164.0K</w:t>
            </w:r>
          </w:p>
        </w:tc>
        <w:tc>
          <w:tcPr>
            <w:tcW w:type="dxa" w:w="2520"/>
            <w:shd w:fill="F2F4F8" w:val="clear"/>
          </w:tcPr>
          <w:p>
            <w:r>
              <w:rPr>
                <w:rFonts w:ascii="Calibri" w:hAnsi="Calibri"/>
                <w:color w:val="333333"/>
                <w:sz w:val="18"/>
              </w:rPr>
              <w:t>$178.0K</w:t>
            </w:r>
          </w:p>
        </w:tc>
        <w:tc>
          <w:tcPr>
            <w:tcW w:type="dxa" w:w="2520"/>
            <w:shd w:fill="F2F4F8" w:val="clear"/>
            <w:shd w:fill="FFF3CD" w:val="clear"/>
          </w:tcPr>
          <w:p>
            <w:r>
              <w:rPr>
                <w:rFonts w:ascii="Calibri" w:hAnsi="Calibri"/>
                <w:color w:val="333333"/>
                <w:sz w:val="18"/>
              </w:rPr>
              <w:t>8.5%</w:t>
            </w:r>
          </w:p>
        </w:tc>
      </w:tr>
      <w:tr>
        <w:tc>
          <w:tcPr>
            <w:tcW w:type="dxa" w:w="2520"/>
          </w:tcPr>
          <w:p>
            <w:r>
              <w:rPr>
                <w:rFonts w:ascii="Calibri" w:hAnsi="Calibri"/>
                <w:color w:val="333333"/>
                <w:sz w:val="18"/>
              </w:rPr>
              <w:t>Prepaid expenses and other current assets</w:t>
            </w:r>
          </w:p>
        </w:tc>
        <w:tc>
          <w:tcPr>
            <w:tcW w:type="dxa" w:w="2520"/>
          </w:tcPr>
          <w:p>
            <w:r>
              <w:rPr>
                <w:rFonts w:ascii="Calibri" w:hAnsi="Calibri"/>
                <w:color w:val="333333"/>
                <w:sz w:val="18"/>
              </w:rPr>
              <w:t>$191.8M</w:t>
            </w:r>
          </w:p>
        </w:tc>
        <w:tc>
          <w:tcPr>
            <w:tcW w:type="dxa" w:w="2520"/>
          </w:tcPr>
          <w:p>
            <w:r>
              <w:rPr>
                <w:rFonts w:ascii="Calibri" w:hAnsi="Calibri"/>
                <w:color w:val="333333"/>
                <w:sz w:val="18"/>
              </w:rPr>
              <w:t>$247.4M</w:t>
            </w:r>
          </w:p>
        </w:tc>
        <w:tc>
          <w:tcPr>
            <w:tcW w:type="dxa" w:w="2520"/>
            <w:shd w:fill="DCEEF8" w:val="clear"/>
          </w:tcPr>
          <w:p>
            <w:r>
              <w:rPr>
                <w:rFonts w:ascii="Calibri" w:hAnsi="Calibri"/>
                <w:color w:val="333333"/>
                <w:sz w:val="18"/>
              </w:rPr>
              <w:t>29.0%</w:t>
            </w:r>
          </w:p>
        </w:tc>
      </w:tr>
      <w:tr>
        <w:tc>
          <w:tcPr>
            <w:tcW w:type="dxa" w:w="2520"/>
            <w:shd w:fill="F2F4F8" w:val="clear"/>
          </w:tcPr>
          <w:p>
            <w:r>
              <w:rPr>
                <w:rFonts w:ascii="Calibri" w:hAnsi="Calibri"/>
                <w:color w:val="333333"/>
                <w:sz w:val="18"/>
              </w:rPr>
              <w:t>Long-term investments</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$112.4M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Accrued liabilities</w:t>
            </w:r>
          </w:p>
        </w:tc>
        <w:tc>
          <w:tcPr>
            <w:tcW w:type="dxa" w:w="2520"/>
          </w:tcPr>
          <w:p>
            <w:r>
              <w:rPr>
                <w:rFonts w:ascii="Calibri" w:hAnsi="Calibri"/>
                <w:color w:val="333333"/>
                <w:sz w:val="18"/>
              </w:rPr>
              <w:t>$259.7M</w:t>
            </w:r>
          </w:p>
        </w:tc>
        <w:tc>
          <w:tcPr>
            <w:tcW w:type="dxa" w:w="2520"/>
          </w:tcPr>
          <w:p>
            <w:r>
              <w:rPr>
                <w:rFonts w:ascii="Calibri" w:hAnsi="Calibri"/>
                <w:color w:val="333333"/>
                <w:sz w:val="18"/>
              </w:rPr>
              <w:t>$565.6M</w:t>
            </w:r>
          </w:p>
        </w:tc>
        <w:tc>
          <w:tcPr>
            <w:tcW w:type="dxa" w:w="2520"/>
            <w:shd w:fill="DCEEF8" w:val="clear"/>
          </w:tcPr>
          <w:p>
            <w:r>
              <w:rPr>
                <w:rFonts w:ascii="Calibri" w:hAnsi="Calibri"/>
                <w:color w:val="333333"/>
                <w:sz w:val="18"/>
              </w:rPr>
              <w:t>117.8%</w:t>
            </w:r>
          </w:p>
        </w:tc>
      </w:tr>
      <w:tr>
        <w:tc>
          <w:tcPr>
            <w:tcW w:type="dxa" w:w="2520"/>
            <w:shd w:fill="F2F4F8" w:val="clear"/>
          </w:tcPr>
          <w:p>
            <w:r>
              <w:rPr>
                <w:rFonts w:ascii="Calibri" w:hAnsi="Calibri"/>
                <w:color w:val="333333"/>
                <w:sz w:val="18"/>
              </w:rPr>
              <w:t>Deferred income tax assets, net</w:t>
            </w:r>
          </w:p>
        </w:tc>
        <w:tc>
          <w:tcPr>
            <w:tcW w:type="dxa" w:w="2520"/>
            <w:shd w:fill="F2F4F8" w:val="clear"/>
          </w:tcPr>
          <w:p>
            <w:r>
              <w:rPr>
                <w:rFonts w:ascii="Calibri" w:hAnsi="Calibri"/>
                <w:color w:val="333333"/>
                <w:sz w:val="18"/>
              </w:rPr>
              <w:t>$365.2M</w:t>
            </w:r>
          </w:p>
        </w:tc>
        <w:tc>
          <w:tcPr>
            <w:tcW w:type="dxa" w:w="2520"/>
            <w:shd w:fill="F2F4F8" w:val="clear"/>
          </w:tcPr>
          <w:p>
            <w:r>
              <w:rPr>
                <w:rFonts w:ascii="Calibri" w:hAnsi="Calibri"/>
                <w:color w:val="333333"/>
                <w:sz w:val="18"/>
              </w:rPr>
              <w:t>$607.4M</w:t>
            </w:r>
          </w:p>
        </w:tc>
        <w:tc>
          <w:tcPr>
            <w:tcW w:type="dxa" w:w="2520"/>
            <w:shd w:fill="F2F4F8" w:val="clear"/>
            <w:shd w:fill="DCEEF8" w:val="clear"/>
          </w:tcPr>
          <w:p>
            <w:r>
              <w:rPr>
                <w:rFonts w:ascii="Calibri" w:hAnsi="Calibri"/>
                <w:color w:val="333333"/>
                <w:sz w:val="18"/>
              </w:rPr>
              <w:t>66.3%</w:t>
            </w:r>
          </w:p>
        </w:tc>
      </w:tr>
      <w:tr>
        <w:tc>
          <w:tcPr>
            <w:tcW w:type="dxa" w:w="2520"/>
          </w:tcPr>
          <w:p>
            <w:r>
              <w:rPr>
                <w:rFonts w:ascii="Calibri" w:hAnsi="Calibri"/>
                <w:color w:val="333333"/>
                <w:sz w:val="18"/>
              </w:rPr>
              <w:t>Accumulated other comprehensive income/loss</w:t>
            </w:r>
          </w:p>
        </w:tc>
        <w:tc>
          <w:tcPr>
            <w:tcW w:type="dxa" w:w="2520"/>
          </w:tcPr>
          <w:p>
            <w:r>
              <w:rPr>
                <w:rFonts w:ascii="Calibri" w:hAnsi="Calibri"/>
                <w:color w:val="333333"/>
                <w:sz w:val="18"/>
              </w:rPr>
              <w:t>$706.0K</w:t>
            </w:r>
          </w:p>
        </w:tc>
        <w:tc>
          <w:tcPr>
            <w:tcW w:type="dxa" w:w="2520"/>
          </w:tcPr>
          <w:p>
            <w:r>
              <w:rPr>
                <w:rFonts w:ascii="Calibri" w:hAnsi="Calibri"/>
                <w:color w:val="333333"/>
                <w:sz w:val="18"/>
              </w:rPr>
              <w:t>$705.0K</w:t>
            </w:r>
          </w:p>
        </w:tc>
        <w:tc>
          <w:tcPr>
            <w:tcW w:type="dxa" w:w="2520"/>
          </w:tcPr>
          <w:p>
            <w:r>
              <w:rPr>
                <w:rFonts w:ascii="Calibri" w:hAnsi="Calibri"/>
                <w:color w:val="333333"/>
                <w:sz w:val="18"/>
              </w:rPr>
              <w:t>-0.1%</w:t>
            </w:r>
          </w:p>
        </w:tc>
      </w:tr>
      <w:tr>
        <w:tc>
          <w:tcPr>
            <w:tcW w:type="dxa" w:w="2520"/>
            <w:shd w:fill="F2F4F8" w:val="clear"/>
          </w:tcPr>
          <w:p>
            <w:r>
              <w:rPr>
                <w:rFonts w:ascii="Calibri" w:hAnsi="Calibri"/>
                <w:color w:val="333333"/>
                <w:sz w:val="18"/>
              </w:rPr>
              <w:t>Common stock par value</w:t>
            </w:r>
          </w:p>
        </w:tc>
        <w:tc>
          <w:tcPr>
            <w:tcW w:type="dxa" w:w="2520"/>
            <w:shd w:fill="F2F4F8" w:val="clear"/>
          </w:tcPr>
          <w:p>
            <w:r>
              <w:rPr>
                <w:rFonts w:ascii="Calibri" w:hAnsi="Calibri"/>
                <w:color w:val="333333"/>
                <w:sz w:val="18"/>
              </w:rPr>
              <w:t>$2.8B</w:t>
            </w:r>
          </w:p>
        </w:tc>
        <w:tc>
          <w:tcPr>
            <w:tcW w:type="dxa" w:w="2520"/>
            <w:shd w:fill="F2F4F8" w:val="clear"/>
          </w:tcPr>
          <w:p>
            <w:r>
              <w:rPr>
                <w:rFonts w:ascii="Calibri" w:hAnsi="Calibri"/>
                <w:color w:val="333333"/>
                <w:sz w:val="18"/>
              </w:rPr>
              <w:t>$2.9B</w:t>
            </w:r>
          </w:p>
        </w:tc>
        <w:tc>
          <w:tcPr>
            <w:tcW w:type="dxa" w:w="2520"/>
            <w:shd w:fill="F2F4F8" w:val="clear"/>
            <w:shd w:fill="FFF3CD" w:val="clear"/>
          </w:tcPr>
          <w:p>
            <w:r>
              <w:rPr>
                <w:rFonts w:ascii="Calibri" w:hAnsi="Calibri"/>
                <w:color w:val="333333"/>
                <w:sz w:val="18"/>
              </w:rPr>
              <w:t>1.3%</w:t>
            </w:r>
          </w:p>
        </w:tc>
      </w:tr>
      <w:tr>
        <w:tc>
          <w:tcPr>
            <w:tcW w:type="dxa" w:w="2520"/>
          </w:tcPr>
          <w:p>
            <w:r>
              <w:rPr>
                <w:rFonts w:ascii="Calibri" w:hAnsi="Calibri"/>
                <w:color w:val="333333"/>
                <w:sz w:val="18"/>
              </w:rPr>
              <w:t>Total liabilities and stockholders' equity</w:t>
            </w:r>
          </w:p>
        </w:tc>
        <w:tc>
          <w:tcPr>
            <w:tcW w:type="dxa" w:w="2520"/>
          </w:tcPr>
          <w:p>
            <w:r>
              <w:rPr>
                <w:rFonts w:ascii="Calibri" w:hAnsi="Calibri"/>
                <w:color w:val="333333"/>
                <w:sz w:val="18"/>
              </w:rPr>
              <w:t>$9.8B</w:t>
            </w:r>
          </w:p>
        </w:tc>
        <w:tc>
          <w:tcPr>
            <w:tcW w:type="dxa" w:w="2520"/>
          </w:tcPr>
          <w:p>
            <w:r>
              <w:rPr>
                <w:rFonts w:ascii="Calibri" w:hAnsi="Calibri"/>
                <w:color w:val="333333"/>
                <w:sz w:val="18"/>
              </w:rPr>
              <w:t>$14.0B</w:t>
            </w:r>
          </w:p>
        </w:tc>
        <w:tc>
          <w:tcPr>
            <w:tcW w:type="dxa" w:w="2520"/>
            <w:shd w:fill="DCEEF8" w:val="clear"/>
          </w:tcPr>
          <w:p>
            <w:r>
              <w:rPr>
                <w:rFonts w:ascii="Calibri" w:hAnsi="Calibri"/>
                <w:color w:val="333333"/>
                <w:sz w:val="18"/>
              </w:rPr>
              <w:t>42.7%</w:t>
            </w:r>
          </w:p>
        </w:tc>
      </w:tr>
      <w:tr>
        <w:tc>
          <w:tcPr>
            <w:tcW w:type="dxa" w:w="2520"/>
            <w:shd w:fill="F2F4F8" w:val="clear"/>
          </w:tcPr>
          <w:p>
            <w:r>
              <w:rPr>
                <w:rFonts w:ascii="Calibri" w:hAnsi="Calibri"/>
                <w:color w:val="333333"/>
                <w:sz w:val="18"/>
              </w:rPr>
              <w:t>Right-of-use assets (operating and finance leases)</w:t>
            </w:r>
          </w:p>
        </w:tc>
        <w:tc>
          <w:tcPr>
            <w:tcW w:type="dxa" w:w="2520"/>
            <w:shd w:fill="F2F4F8" w:val="clear"/>
          </w:tcPr>
          <w:p>
            <w:r>
              <w:rPr>
                <w:rFonts w:ascii="Calibri" w:hAnsi="Calibri"/>
                <w:color w:val="333333"/>
                <w:sz w:val="18"/>
              </w:rPr>
              <w:t>$34.6M</w:t>
            </w:r>
          </w:p>
        </w:tc>
        <w:tc>
          <w:tcPr>
            <w:tcW w:type="dxa" w:w="2520"/>
            <w:shd w:fill="F2F4F8" w:val="clear"/>
          </w:tcPr>
          <w:p>
            <w:r>
              <w:rPr>
                <w:rFonts w:ascii="Calibri" w:hAnsi="Calibri"/>
                <w:color w:val="333333"/>
                <w:sz w:val="18"/>
              </w:rPr>
              <w:t>$293.7M</w:t>
            </w:r>
          </w:p>
        </w:tc>
        <w:tc>
          <w:tcPr>
            <w:tcW w:type="dxa" w:w="2520"/>
            <w:shd w:fill="F2F4F8" w:val="clear"/>
            <w:shd w:fill="DCEEF8" w:val="clear"/>
          </w:tcPr>
          <w:p>
            <w:r>
              <w:rPr>
                <w:rFonts w:ascii="Calibri" w:hAnsi="Calibri"/>
                <w:color w:val="333333"/>
                <w:sz w:val="18"/>
              </w:rPr>
              <w:t>748.8%</w:t>
            </w:r>
          </w:p>
        </w:tc>
      </w:tr>
      <w:tr>
        <w:tc>
          <w:tcPr>
            <w:tcW w:type="dxa" w:w="2520"/>
          </w:tcPr>
          <w:p>
            <w:r>
              <w:rPr>
                <w:rFonts w:ascii="Calibri" w:hAnsi="Calibri"/>
                <w:color w:val="333333"/>
                <w:sz w:val="18"/>
              </w:rPr>
              <w:t>Other non-current assets</w:t>
            </w:r>
          </w:p>
        </w:tc>
        <w:tc>
          <w:tcPr>
            <w:tcW w:type="dxa" w:w="2520"/>
          </w:tcPr>
          <w:p>
            <w:r>
              <w:rPr>
                <w:rFonts w:ascii="Calibri" w:hAnsi="Calibri"/>
                <w:color w:val="333333"/>
                <w:sz w:val="18"/>
              </w:rPr>
              <w:t>$115.0M</w:t>
            </w:r>
          </w:p>
        </w:tc>
        <w:tc>
          <w:tcPr>
            <w:tcW w:type="dxa" w:w="2520"/>
          </w:tcPr>
          <w:p>
            <w:r>
              <w:rPr>
                <w:rFonts w:ascii="Calibri" w:hAnsi="Calibri"/>
                <w:color w:val="333333"/>
                <w:sz w:val="18"/>
              </w:rPr>
              <w:t>$604.9M</w:t>
            </w:r>
          </w:p>
        </w:tc>
        <w:tc>
          <w:tcPr>
            <w:tcW w:type="dxa" w:w="2520"/>
            <w:shd w:fill="DCEEF8" w:val="clear"/>
          </w:tcPr>
          <w:p>
            <w:r>
              <w:rPr>
                <w:rFonts w:ascii="Calibri" w:hAnsi="Calibri"/>
                <w:color w:val="333333"/>
                <w:sz w:val="18"/>
              </w:rPr>
              <w:t>426.2%</w:t>
            </w:r>
          </w:p>
        </w:tc>
      </w:tr>
      <w:tr>
        <w:tc>
          <w:tcPr>
            <w:tcW w:type="dxa" w:w="2520"/>
            <w:shd w:fill="F2F4F8" w:val="clear"/>
          </w:tcPr>
          <w:p>
            <w:r>
              <w:rPr>
                <w:rFonts w:ascii="Calibri" w:hAnsi="Calibri"/>
                <w:color w:val="333333"/>
                <w:sz w:val="18"/>
              </w:rPr>
              <w:t>Other non-current liabilities</w:t>
            </w:r>
          </w:p>
        </w:tc>
        <w:tc>
          <w:tcPr>
            <w:tcW w:type="dxa" w:w="2520"/>
            <w:shd w:fill="F2F4F8" w:val="clear"/>
          </w:tcPr>
          <w:p>
            <w:r>
              <w:rPr>
                <w:rFonts w:ascii="Calibri" w:hAnsi="Calibri"/>
                <w:color w:val="333333"/>
                <w:sz w:val="18"/>
              </w:rPr>
              <w:t>$67.9M</w:t>
            </w:r>
          </w:p>
        </w:tc>
        <w:tc>
          <w:tcPr>
            <w:tcW w:type="dxa" w:w="2520"/>
            <w:shd w:fill="F2F4F8" w:val="clear"/>
          </w:tcPr>
          <w:p>
            <w:r>
              <w:rPr>
                <w:rFonts w:ascii="Calibri" w:hAnsi="Calibri"/>
                <w:color w:val="333333"/>
                <w:sz w:val="18"/>
              </w:rPr>
              <w:t>$326.5M</w:t>
            </w:r>
          </w:p>
        </w:tc>
        <w:tc>
          <w:tcPr>
            <w:tcW w:type="dxa" w:w="2520"/>
            <w:shd w:fill="F2F4F8" w:val="clear"/>
            <w:shd w:fill="DCEEF8" w:val="clear"/>
          </w:tcPr>
          <w:p>
            <w:r>
              <w:rPr>
                <w:rFonts w:ascii="Calibri" w:hAnsi="Calibri"/>
                <w:color w:val="333333"/>
                <w:sz w:val="18"/>
              </w:rPr>
              <w:t>381.1%</w:t>
            </w:r>
          </w:p>
        </w:tc>
      </w:tr>
      <w:tr>
        <w:tc>
          <w:tcPr>
            <w:tcW w:type="dxa" w:w="2520"/>
          </w:tcPr>
          <w:p>
            <w:r>
              <w:rPr>
                <w:rFonts w:ascii="Calibri" w:hAnsi="Calibri"/>
                <w:color w:val="333333"/>
                <w:sz w:val="18"/>
              </w:rPr>
              <w:t>Contract liabilities (ASC 606 deferred revenue)</w:t>
            </w:r>
          </w:p>
        </w:tc>
        <w:tc>
          <w:tcPr>
            <w:tcW w:type="dxa" w:w="2520"/>
          </w:tcPr>
          <w:p>
            <w:r>
              <w:rPr>
                <w:rFonts w:ascii="Calibri" w:hAnsi="Calibri"/>
                <w:color w:val="333333"/>
                <w:sz w:val="18"/>
              </w:rPr>
              <w:t>$193.1M</w:t>
            </w:r>
          </w:p>
        </w:tc>
        <w:tc>
          <w:tcPr>
            <w:tcW w:type="dxa" w:w="2520"/>
          </w:tcPr>
          <w:p>
            <w:r>
              <w:rPr>
                <w:rFonts w:ascii="Calibri" w:hAnsi="Calibri"/>
                <w:color w:val="333333"/>
                <w:sz w:val="18"/>
              </w:rPr>
              <w:t>$368.7M</w:t>
            </w:r>
          </w:p>
        </w:tc>
        <w:tc>
          <w:tcPr>
            <w:tcW w:type="dxa" w:w="2520"/>
            <w:shd w:fill="DCEEF8" w:val="clear"/>
          </w:tcPr>
          <w:p>
            <w:r>
              <w:rPr>
                <w:rFonts w:ascii="Calibri" w:hAnsi="Calibri"/>
                <w:color w:val="333333"/>
                <w:sz w:val="18"/>
              </w:rPr>
              <w:t>91.0%</w:t>
            </w:r>
          </w:p>
        </w:tc>
      </w:tr>
      <w:tr>
        <w:tc>
          <w:tcPr>
            <w:tcW w:type="dxa" w:w="2520"/>
            <w:shd w:fill="F2F4F8" w:val="clear"/>
          </w:tcPr>
          <w:p>
            <w:r>
              <w:rPr>
                <w:rFonts w:ascii="Calibri" w:hAnsi="Calibri"/>
                <w:color w:val="333333"/>
                <w:sz w:val="18"/>
              </w:rPr>
              <w:t>Convertible debt outstanding</w:t>
            </w:r>
          </w:p>
        </w:tc>
        <w:tc>
          <w:tcPr>
            <w:tcW w:type="dxa" w:w="2520"/>
            <w:shd w:fill="F2F4F8" w:val="clear"/>
          </w:tcPr>
          <w:p>
            <w:r>
              <w:rPr>
                <w:rFonts w:ascii="Calibri" w:hAnsi="Calibri"/>
                <w:color w:val="333333"/>
                <w:sz w:val="18"/>
              </w:rPr>
              <w:t>$1.7B</w:t>
            </w:r>
          </w:p>
        </w:tc>
        <w:tc>
          <w:tcPr>
            <w:tcW w:type="dxa" w:w="2520"/>
            <w:shd w:fill="F2F4F8" w:val="clear"/>
          </w:tcPr>
          <w:p>
            <w:r>
              <w:rPr>
                <w:rFonts w:ascii="Calibri" w:hAnsi="Calibri"/>
                <w:color w:val="333333"/>
                <w:sz w:val="18"/>
              </w:rPr>
              <w:t>$4.6B</w:t>
            </w:r>
          </w:p>
        </w:tc>
        <w:tc>
          <w:tcPr>
            <w:tcW w:type="dxa" w:w="2520"/>
            <w:shd w:fill="F2F4F8" w:val="clear"/>
            <w:shd w:fill="DCEEF8" w:val="clear"/>
          </w:tcPr>
          <w:p>
            <w:r>
              <w:rPr>
                <w:rFonts w:ascii="Calibri" w:hAnsi="Calibri"/>
                <w:color w:val="333333"/>
                <w:sz w:val="18"/>
              </w:rPr>
              <w:t>173.6%</w:t>
            </w:r>
          </w:p>
        </w:tc>
      </w:tr>
      <w:tr>
        <w:tc>
          <w:tcPr>
            <w:tcW w:type="dxa" w:w="2520"/>
          </w:tcPr>
          <w:p>
            <w:r>
              <w:rPr>
                <w:rFonts w:ascii="Calibri" w:hAnsi="Calibri"/>
                <w:color w:val="333333"/>
                <w:sz w:val="18"/>
              </w:rPr>
              <w:t>Unrecognized tax benefits (UTB) liability</w:t>
            </w:r>
          </w:p>
        </w:tc>
        <w:tc>
          <w:tcPr>
            <w:tcW w:type="dxa" w:w="2520"/>
          </w:tcPr>
          <w:p>
            <w:r>
              <w:rPr>
                <w:rFonts w:ascii="Calibri" w:hAnsi="Calibri"/>
                <w:color w:val="333333"/>
                <w:sz w:val="18"/>
              </w:rPr>
              <w:t>$53.4M</w:t>
            </w:r>
          </w:p>
        </w:tc>
        <w:tc>
          <w:tcPr>
            <w:tcW w:type="dxa" w:w="2520"/>
          </w:tcPr>
          <w:p>
            <w:r>
              <w:rPr>
                <w:rFonts w:ascii="Calibri" w:hAnsi="Calibri"/>
                <w:color w:val="333333"/>
                <w:sz w:val="18"/>
              </w:rPr>
              <w:t>$61.6M</w:t>
            </w:r>
          </w:p>
        </w:tc>
        <w:tc>
          <w:tcPr>
            <w:tcW w:type="dxa" w:w="2520"/>
            <w:shd w:fill="DCEEF8" w:val="clear"/>
          </w:tcPr>
          <w:p>
            <w:r>
              <w:rPr>
                <w:rFonts w:ascii="Calibri" w:hAnsi="Calibri"/>
                <w:color w:val="333333"/>
                <w:sz w:val="18"/>
              </w:rPr>
              <w:t>15.2%</w:t>
            </w:r>
          </w:p>
        </w:tc>
      </w:tr>
      <w:tr>
        <w:tc>
          <w:tcPr>
            <w:tcW w:type="dxa" w:w="2520"/>
            <w:shd w:fill="F2F4F8" w:val="clear"/>
          </w:tcPr>
          <w:p>
            <w:r>
              <w:rPr>
                <w:rFonts w:ascii="Calibri" w:hAnsi="Calibri"/>
                <w:color w:val="333333"/>
                <w:sz w:val="18"/>
              </w:rPr>
              <w:t>Product warranty accrual / reserve</w:t>
            </w:r>
          </w:p>
        </w:tc>
        <w:tc>
          <w:tcPr>
            <w:tcW w:type="dxa" w:w="2520"/>
            <w:shd w:fill="F2F4F8" w:val="clear"/>
          </w:tcPr>
          <w:p>
            <w:r>
              <w:rPr>
                <w:rFonts w:ascii="Calibri" w:hAnsi="Calibri"/>
                <w:color w:val="333333"/>
                <w:sz w:val="18"/>
              </w:rPr>
              <w:t>$10.0M</w:t>
            </w:r>
          </w:p>
        </w:tc>
        <w:tc>
          <w:tcPr>
            <w:tcW w:type="dxa" w:w="2520"/>
            <w:shd w:fill="F2F4F8" w:val="clear"/>
          </w:tcPr>
          <w:p>
            <w:r>
              <w:rPr>
                <w:rFonts w:ascii="Calibri" w:hAnsi="Calibri"/>
                <w:color w:val="333333"/>
                <w:sz w:val="18"/>
              </w:rPr>
              <w:t>$9.8M</w:t>
            </w:r>
          </w:p>
        </w:tc>
        <w:tc>
          <w:tcPr>
            <w:tcW w:type="dxa" w:w="2520"/>
            <w:shd w:fill="F2F4F8" w:val="clear"/>
            <w:shd w:fill="FFF3CD" w:val="clear"/>
          </w:tcPr>
          <w:p>
            <w:r>
              <w:rPr>
                <w:rFonts w:ascii="Calibri" w:hAnsi="Calibri"/>
                <w:color w:val="333333"/>
                <w:sz w:val="18"/>
              </w:rPr>
              <w:t>-2.6%</w:t>
            </w:r>
          </w:p>
        </w:tc>
      </w:tr>
      <w:tr>
        <w:tc>
          <w:tcPr>
            <w:tcW w:type="dxa" w:w="2520"/>
          </w:tcPr>
          <w:p>
            <w:r>
              <w:rPr>
                <w:rFonts w:ascii="Calibri" w:hAnsi="Calibri"/>
                <w:color w:val="333333"/>
                <w:sz w:val="18"/>
              </w:rPr>
              <w:t>Common stock shares authorized</w:t>
            </w:r>
          </w:p>
        </w:tc>
        <w:tc>
          <w:tcPr>
            <w:tcW w:type="dxa" w:w="2520"/>
          </w:tcPr>
          <w:p>
            <w:r>
              <w:rPr>
                <w:rFonts w:ascii="Calibri" w:hAnsi="Calibri"/>
                <w:color w:val="333333"/>
                <w:sz w:val="18"/>
              </w:rPr>
              <w:t>1.0B</w:t>
            </w:r>
          </w:p>
        </w:tc>
        <w:tc>
          <w:tcPr>
            <w:tcW w:type="dxa" w:w="2520"/>
          </w:tcPr>
          <w:p>
            <w:r>
              <w:rPr>
                <w:rFonts w:ascii="Calibri" w:hAnsi="Calibri"/>
                <w:color w:val="333333"/>
                <w:sz w:val="18"/>
              </w:rPr>
              <w:t>1.0B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Contract with customer liability (total deferred revenue under ASC 606)</w:t>
            </w:r>
          </w:p>
        </w:tc>
        <w:tc>
          <w:tcPr>
            <w:tcW w:type="dxa" w:w="2520"/>
            <w:shd w:fill="F2F4F8" w:val="clear"/>
          </w:tcPr>
          <w:p>
            <w:r>
              <w:rPr>
                <w:rFonts w:ascii="Calibri" w:hAnsi="Calibri"/>
                <w:color w:val="333333"/>
                <w:sz w:val="18"/>
              </w:rPr>
              <w:t>$193.1M</w:t>
            </w:r>
          </w:p>
        </w:tc>
        <w:tc>
          <w:tcPr>
            <w:tcW w:type="dxa" w:w="2520"/>
            <w:shd w:fill="F2F4F8" w:val="clear"/>
          </w:tcPr>
          <w:p>
            <w:r>
              <w:rPr>
                <w:rFonts w:ascii="Calibri" w:hAnsi="Calibri"/>
                <w:color w:val="333333"/>
                <w:sz w:val="18"/>
              </w:rPr>
              <w:t>$368.7M</w:t>
            </w:r>
          </w:p>
        </w:tc>
        <w:tc>
          <w:tcPr>
            <w:tcW w:type="dxa" w:w="2520"/>
            <w:shd w:fill="F2F4F8" w:val="clear"/>
            <w:shd w:fill="DCEEF8" w:val="clear"/>
          </w:tcPr>
          <w:p>
            <w:r>
              <w:rPr>
                <w:rFonts w:ascii="Calibri" w:hAnsi="Calibri"/>
                <w:color w:val="333333"/>
                <w:sz w:val="18"/>
              </w:rPr>
              <w:t>91.0%</w:t>
            </w:r>
          </w:p>
        </w:tc>
      </w:tr>
      <w:tr>
        <w:tc>
          <w:tcPr>
            <w:tcW w:type="dxa" w:w="2520"/>
          </w:tcPr>
          <w:p>
            <w:r>
              <w:rPr>
                <w:rFonts w:ascii="Calibri" w:hAnsi="Calibri"/>
                <w:color w:val="333333"/>
                <w:sz w:val="18"/>
              </w:rPr>
              <w:t>Current ratio</w:t>
            </w:r>
          </w:p>
        </w:tc>
        <w:tc>
          <w:tcPr>
            <w:tcW w:type="dxa" w:w="2520"/>
          </w:tcPr>
          <w:p>
            <w:r>
              <w:rPr>
                <w:rFonts w:ascii="Calibri" w:hAnsi="Calibri"/>
                <w:color w:val="333333"/>
                <w:sz w:val="18"/>
              </w:rPr>
              <w:t>$4</w:t>
            </w:r>
          </w:p>
        </w:tc>
        <w:tc>
          <w:tcPr>
            <w:tcW w:type="dxa" w:w="2520"/>
          </w:tcPr>
          <w:p>
            <w:r>
              <w:rPr>
                <w:rFonts w:ascii="Calibri" w:hAnsi="Calibri"/>
                <w:color w:val="333333"/>
                <w:sz w:val="18"/>
              </w:rPr>
              <w:t>$5</w:t>
            </w:r>
          </w:p>
        </w:tc>
        <w:tc>
          <w:tcPr>
            <w:tcW w:type="dxa" w:w="2520"/>
            <w:shd w:fill="DCEEF8" w:val="clear"/>
          </w:tcPr>
          <w:p>
            <w:r>
              <w:rPr>
                <w:rFonts w:ascii="Calibri" w:hAnsi="Calibri"/>
                <w:color w:val="333333"/>
                <w:sz w:val="18"/>
              </w:rPr>
              <w:t>37.8%</w:t>
            </w:r>
          </w:p>
        </w:tc>
      </w:tr>
      <w:tr>
        <w:tc>
          <w:tcPr>
            <w:tcW w:type="dxa" w:w="2520"/>
            <w:shd w:fill="F2F4F8" w:val="clear"/>
          </w:tcPr>
          <w:p>
            <w:r>
              <w:rPr>
                <w:rFonts w:ascii="Calibri" w:hAnsi="Calibri"/>
                <w:color w:val="333333"/>
                <w:sz w:val="18"/>
              </w:rPr>
              <w:t>Quick ratio</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$3</w:t>
            </w:r>
          </w:p>
        </w:tc>
        <w:tc>
          <w:tcPr>
            <w:tcW w:type="dxa" w:w="2520"/>
            <w:shd w:fill="F2F4F8" w:val="clear"/>
            <w:shd w:fill="DCEEF8" w:val="clear"/>
          </w:tcPr>
          <w:p>
            <w:r>
              <w:rPr>
                <w:rFonts w:ascii="Calibri" w:hAnsi="Calibri"/>
                <w:color w:val="333333"/>
                <w:sz w:val="18"/>
              </w:rPr>
              <w:t>65.8%</w:t>
            </w:r>
          </w:p>
        </w:tc>
      </w:tr>
      <w:tr>
        <w:tc>
          <w:tcPr>
            <w:tcW w:type="dxa" w:w="2520"/>
          </w:tcPr>
          <w:p>
            <w:r>
              <w:rPr>
                <w:rFonts w:ascii="Calibri" w:hAnsi="Calibri"/>
                <w:color w:val="333333"/>
                <w:sz w:val="18"/>
              </w:rPr>
              <w:t>Debt-to-equity ratio</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shd w:fill="FCE8E6" w:val="clear"/>
          </w:tcPr>
          <w:p>
            <w:r>
              <w:rPr>
                <w:rFonts w:ascii="Calibri" w:hAnsi="Calibri"/>
                <w:color w:val="333333"/>
                <w:sz w:val="18"/>
              </w:rPr>
              <w:t>-79.8%</w:t>
            </w:r>
          </w:p>
        </w:tc>
      </w:tr>
      <w:tr>
        <w:tc>
          <w:tcPr>
            <w:tcW w:type="dxa" w:w="2520"/>
            <w:shd w:fill="F2F4F8" w:val="clear"/>
          </w:tcPr>
          <w:p>
            <w:r>
              <w:rPr>
                <w:rFonts w:ascii="Calibri" w:hAnsi="Calibri"/>
                <w:color w:val="333333"/>
                <w:sz w:val="18"/>
              </w:rPr>
              <w:t>Debt-to-EBITDA ratio</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-77.4%</w:t>
            </w:r>
          </w:p>
        </w:tc>
      </w:tr>
      <w:tr>
        <w:tc>
          <w:tcPr>
            <w:tcW w:type="dxa" w:w="2520"/>
          </w:tcPr>
          <w:p>
            <w:r>
              <w:rPr>
                <w:rFonts w:ascii="Calibri" w:hAnsi="Calibri"/>
                <w:color w:val="333333"/>
                <w:sz w:val="18"/>
              </w:rPr>
              <w:t>Net debt</w:t>
            </w:r>
          </w:p>
        </w:tc>
        <w:tc>
          <w:tcPr>
            <w:tcW w:type="dxa" w:w="2520"/>
          </w:tcPr>
          <w:p>
            <w:r>
              <w:rPr>
                <w:rFonts w:ascii="Calibri" w:hAnsi="Calibri"/>
                <w:color w:val="333333"/>
                <w:sz w:val="18"/>
              </w:rPr>
              <w:t>$-1.2B</w:t>
            </w:r>
          </w:p>
        </w:tc>
        <w:tc>
          <w:tcPr>
            <w:tcW w:type="dxa" w:w="2520"/>
          </w:tcPr>
          <w:p>
            <w:r>
              <w:rPr>
                <w:rFonts w:ascii="Calibri" w:hAnsi="Calibri"/>
                <w:color w:val="333333"/>
                <w:sz w:val="18"/>
              </w:rPr>
              <w:t>$-5.1B</w:t>
            </w:r>
          </w:p>
        </w:tc>
        <w:tc>
          <w:tcPr>
            <w:tcW w:type="dxa" w:w="2520"/>
            <w:shd w:fill="FCE8E6" w:val="clear"/>
          </w:tcPr>
          <w:p>
            <w:r>
              <w:rPr>
                <w:rFonts w:ascii="Calibri" w:hAnsi="Calibri"/>
                <w:color w:val="333333"/>
                <w:sz w:val="18"/>
              </w:rPr>
              <w:t>-323.8%</w:t>
            </w:r>
          </w:p>
        </w:tc>
      </w:tr>
      <w:tr>
        <w:tc>
          <w:tcPr>
            <w:tcW w:type="dxa" w:w="2520"/>
            <w:shd w:fill="F2F4F8" w:val="clear"/>
          </w:tcPr>
          <w:p>
            <w:r>
              <w:rPr>
                <w:rFonts w:ascii="Calibri" w:hAnsi="Calibri"/>
                <w:color w:val="333333"/>
                <w:sz w:val="18"/>
              </w:rPr>
              <w:t>Book value per share</w:t>
            </w:r>
          </w:p>
        </w:tc>
        <w:tc>
          <w:tcPr>
            <w:tcW w:type="dxa" w:w="2520"/>
            <w:shd w:fill="F2F4F8" w:val="clear"/>
          </w:tcPr>
          <w:p>
            <w:r>
              <w:rPr>
                <w:rFonts w:ascii="Calibri" w:hAnsi="Calibri"/>
                <w:color w:val="333333"/>
                <w:sz w:val="18"/>
              </w:rPr>
              <w:t>$9.21</w:t>
            </w:r>
          </w:p>
        </w:tc>
        <w:tc>
          <w:tcPr>
            <w:tcW w:type="dxa" w:w="2520"/>
            <w:shd w:fill="F2F4F8" w:val="clear"/>
          </w:tcPr>
          <w:p>
            <w:r>
              <w:rPr>
                <w:rFonts w:ascii="Calibri" w:hAnsi="Calibri"/>
                <w:color w:val="333333"/>
                <w:sz w:val="18"/>
              </w:rPr>
              <w:t>$10.61</w:t>
            </w:r>
          </w:p>
        </w:tc>
        <w:tc>
          <w:tcPr>
            <w:tcW w:type="dxa" w:w="2520"/>
            <w:shd w:fill="F2F4F8" w:val="clear"/>
            <w:shd w:fill="DCEEF8" w:val="clear"/>
          </w:tcPr>
          <w:p>
            <w:r>
              <w:rPr>
                <w:rFonts w:ascii="Calibri" w:hAnsi="Calibri"/>
                <w:color w:val="333333"/>
                <w:sz w:val="18"/>
              </w:rPr>
              <w:t>15.1%</w:t>
            </w:r>
          </w:p>
        </w:tc>
      </w:tr>
      <w:tr>
        <w:tc>
          <w:tcPr>
            <w:tcW w:type="dxa" w:w="2520"/>
          </w:tcPr>
          <w:p>
            <w:r>
              <w:rPr>
                <w:rFonts w:ascii="Calibri" w:hAnsi="Calibri"/>
                <w:color w:val="333333"/>
                <w:sz w:val="18"/>
              </w:rPr>
              <w:t>Return on assets</w:t>
            </w:r>
          </w:p>
        </w:tc>
        <w:tc>
          <w:tcPr>
            <w:tcW w:type="dxa" w:w="2520"/>
          </w:tcPr>
          <w:p>
            <w:r>
              <w:rPr>
                <w:rFonts w:ascii="Calibri" w:hAnsi="Calibri"/>
                <w:color w:val="333333"/>
                <w:sz w:val="18"/>
              </w:rPr>
              <w:t>$12</w:t>
            </w:r>
          </w:p>
        </w:tc>
        <w:tc>
          <w:tcPr>
            <w:tcW w:type="dxa" w:w="2520"/>
          </w:tcPr>
          <w:p>
            <w:r>
              <w:rPr>
                <w:rFonts w:ascii="Calibri" w:hAnsi="Calibri"/>
                <w:color w:val="333333"/>
                <w:sz w:val="18"/>
              </w:rPr>
              <w:t>$7</w:t>
            </w:r>
          </w:p>
        </w:tc>
        <w:tc>
          <w:tcPr>
            <w:tcW w:type="dxa" w:w="2520"/>
            <w:shd w:fill="FCE8E6" w:val="clear"/>
          </w:tcPr>
          <w:p>
            <w:r>
              <w:rPr>
                <w:rFonts w:ascii="Calibri" w:hAnsi="Calibri"/>
                <w:color w:val="333333"/>
                <w:sz w:val="18"/>
              </w:rPr>
              <w:t>-36.2%</w:t>
            </w:r>
          </w:p>
        </w:tc>
      </w:tr>
      <w:tr>
        <w:tc>
          <w:tcPr>
            <w:tcW w:type="dxa" w:w="2520"/>
            <w:shd w:fill="F2F4F8" w:val="clear"/>
          </w:tcPr>
          <w:p>
            <w:r>
              <w:rPr>
                <w:rFonts w:ascii="Calibri" w:hAnsi="Calibri"/>
                <w:color w:val="333333"/>
                <w:sz w:val="18"/>
              </w:rPr>
              <w:t>Return on equity</w:t>
            </w:r>
          </w:p>
        </w:tc>
        <w:tc>
          <w:tcPr>
            <w:tcW w:type="dxa" w:w="2520"/>
            <w:shd w:fill="F2F4F8" w:val="clear"/>
          </w:tcPr>
          <w:p>
            <w:r>
              <w:rPr>
                <w:rFonts w:ascii="Calibri" w:hAnsi="Calibri"/>
                <w:color w:val="333333"/>
                <w:sz w:val="18"/>
              </w:rPr>
              <w:t>$21</w:t>
            </w:r>
          </w:p>
        </w:tc>
        <w:tc>
          <w:tcPr>
            <w:tcW w:type="dxa" w:w="2520"/>
            <w:shd w:fill="F2F4F8" w:val="clear"/>
          </w:tcPr>
          <w:p>
            <w:r>
              <w:rPr>
                <w:rFonts w:ascii="Calibri" w:hAnsi="Calibri"/>
                <w:color w:val="333333"/>
                <w:sz w:val="18"/>
              </w:rPr>
              <w:t>$17</w:t>
            </w:r>
          </w:p>
        </w:tc>
        <w:tc>
          <w:tcPr>
            <w:tcW w:type="dxa" w:w="2520"/>
            <w:shd w:fill="F2F4F8" w:val="clear"/>
            <w:shd w:fill="FCE8E6" w:val="clear"/>
          </w:tcPr>
          <w:p>
            <w:r>
              <w:rPr>
                <w:rFonts w:ascii="Calibri" w:hAnsi="Calibri"/>
                <w:color w:val="333333"/>
                <w:sz w:val="18"/>
              </w:rPr>
              <w:t>-21.8%</w:t>
            </w:r>
          </w:p>
        </w:tc>
      </w:tr>
      <w:tr>
        <w:tc>
          <w:tcPr>
            <w:tcW w:type="dxa" w:w="2520"/>
          </w:tcPr>
          <w:p>
            <w:r>
              <w:rPr>
                <w:rFonts w:ascii="Calibri" w:hAnsi="Calibri"/>
                <w:color w:val="333333"/>
                <w:sz w:val="18"/>
              </w:rPr>
              <w:t>Asset turnover ratio</w:t>
            </w:r>
          </w:p>
        </w:tc>
        <w:tc>
          <w:tcPr>
            <w:tcW w:type="dxa" w:w="2520"/>
          </w:tcPr>
          <w:p>
            <w:r>
              <w:rPr>
                <w:rFonts w:ascii="Calibri" w:hAnsi="Calibri"/>
                <w:color w:val="333333"/>
                <w:sz w:val="18"/>
              </w:rPr>
              <w:t>$2</w:t>
            </w:r>
          </w:p>
        </w:tc>
        <w:tc>
          <w:tcPr>
            <w:tcW w:type="dxa" w:w="2520"/>
          </w:tcPr>
          <w:p>
            <w:r>
              <w:rPr>
                <w:rFonts w:ascii="Calibri" w:hAnsi="Calibri"/>
                <w:color w:val="333333"/>
                <w:sz w:val="18"/>
              </w:rPr>
              <w:t>$2</w:t>
            </w:r>
          </w:p>
        </w:tc>
        <w:tc>
          <w:tcPr>
            <w:tcW w:type="dxa" w:w="2520"/>
            <w:shd w:fill="FFF3CD" w:val="clear"/>
          </w:tcPr>
          <w:p>
            <w:r>
              <w:rPr>
                <w:rFonts w:ascii="Calibri" w:hAnsi="Calibri"/>
                <w:color w:val="333333"/>
                <w:sz w:val="18"/>
              </w:rPr>
              <w:t>2.8%</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5.25</w:t>
            </w:r>
          </w:p>
        </w:tc>
        <w:tc>
          <w:tcPr>
            <w:tcW w:type="dxa" w:w="3360"/>
          </w:tcPr>
          <w:p>
            <w:r>
              <w:rPr>
                <w:rFonts w:ascii="Calibri" w:hAnsi="Calibri"/>
                <w:color w:val="333333"/>
                <w:sz w:val="18"/>
              </w:rPr>
              <w:t>Healthy</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0.02</w:t>
            </w:r>
          </w:p>
        </w:tc>
        <w:tc>
          <w:tcPr>
            <w:tcW w:type="dxa" w:w="3360"/>
            <w:shd w:fill="F2F4F8" w:val="clear"/>
          </w:tcPr>
          <w:p>
            <w:r>
              <w:rPr>
                <w:rFonts w:ascii="Calibri" w:hAnsi="Calibri"/>
                <w:color w:val="333333"/>
                <w:sz w:val="18"/>
              </w:rPr>
              <w:t>Conservative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0.55</w:t>
            </w:r>
          </w:p>
        </w:tc>
        <w:tc>
          <w:tcPr>
            <w:tcW w:type="dxa" w:w="3360"/>
          </w:tcPr>
          <w:p>
            <w:r>
              <w:rPr>
                <w:rFonts w:ascii="Calibri" w:hAnsi="Calibri"/>
                <w:color w:val="333333"/>
                <w:sz w:val="18"/>
              </w:rPr>
              <w:t>Moderate</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36.9%</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$-2.5B</w:t>
            </w:r>
          </w:p>
        </w:tc>
        <w:tc>
          <w:tcPr>
            <w:tcW w:type="dxa" w:w="2520"/>
          </w:tcPr>
          <w:p>
            <w:r>
              <w:rPr>
                <w:rFonts w:ascii="Calibri" w:hAnsi="Calibri"/>
                <w:color w:val="333333"/>
                <w:sz w:val="18"/>
              </w:rPr>
              <w:t>$1.7B</w:t>
            </w:r>
          </w:p>
        </w:tc>
        <w:tc>
          <w:tcPr>
            <w:tcW w:type="dxa" w:w="2520"/>
            <w:shd w:fill="DCEEF8" w:val="clear"/>
          </w:tcPr>
          <w:p>
            <w:r>
              <w:rPr>
                <w:rFonts w:ascii="Calibri" w:hAnsi="Calibri"/>
                <w:color w:val="333333"/>
                <w:sz w:val="18"/>
              </w:rPr>
              <w:t>166.8%</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$-194.2M</w:t>
            </w:r>
          </w:p>
        </w:tc>
        <w:tc>
          <w:tcPr>
            <w:tcW w:type="dxa" w:w="2520"/>
            <w:shd w:fill="F2F4F8" w:val="clear"/>
          </w:tcPr>
          <w:p>
            <w:r>
              <w:rPr>
                <w:rFonts w:ascii="Calibri" w:hAnsi="Calibri"/>
                <w:color w:val="333333"/>
                <w:sz w:val="18"/>
              </w:rPr>
              <w:t>$-183.2M</w:t>
            </w:r>
          </w:p>
        </w:tc>
        <w:tc>
          <w:tcPr>
            <w:tcW w:type="dxa" w:w="2520"/>
            <w:shd w:fill="F2F4F8" w:val="clear"/>
            <w:shd w:fill="FFF3CD" w:val="clear"/>
          </w:tcPr>
          <w:p>
            <w:r>
              <w:rPr>
                <w:rFonts w:ascii="Calibri" w:hAnsi="Calibri"/>
                <w:color w:val="333333"/>
                <w:sz w:val="18"/>
              </w:rPr>
              <w:t>5.7%</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$3.9B</w:t>
            </w:r>
          </w:p>
        </w:tc>
        <w:tc>
          <w:tcPr>
            <w:tcW w:type="dxa" w:w="2520"/>
          </w:tcPr>
          <w:p>
            <w:r>
              <w:rPr>
                <w:rFonts w:ascii="Calibri" w:hAnsi="Calibri"/>
                <w:color w:val="333333"/>
                <w:sz w:val="18"/>
              </w:rPr>
              <w:t>$2.0B</w:t>
            </w:r>
          </w:p>
        </w:tc>
        <w:tc>
          <w:tcPr>
            <w:tcW w:type="dxa" w:w="2520"/>
            <w:shd w:fill="FCE8E6" w:val="clear"/>
          </w:tcPr>
          <w:p>
            <w:r>
              <w:rPr>
                <w:rFonts w:ascii="Calibri" w:hAnsi="Calibri"/>
                <w:color w:val="333333"/>
                <w:sz w:val="18"/>
              </w:rPr>
              <w:t>-48.3%</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$124.3M</w:t>
            </w:r>
          </w:p>
        </w:tc>
        <w:tc>
          <w:tcPr>
            <w:tcW w:type="dxa" w:w="2520"/>
            <w:shd w:fill="F2F4F8" w:val="clear"/>
          </w:tcPr>
          <w:p>
            <w:r>
              <w:rPr>
                <w:rFonts w:ascii="Calibri" w:hAnsi="Calibri"/>
                <w:color w:val="333333"/>
                <w:sz w:val="18"/>
              </w:rPr>
              <w:t>$127.2M</w:t>
            </w:r>
          </w:p>
        </w:tc>
        <w:tc>
          <w:tcPr>
            <w:tcW w:type="dxa" w:w="2520"/>
            <w:shd w:fill="F2F4F8" w:val="clear"/>
            <w:shd w:fill="FFF3CD" w:val="clear"/>
          </w:tcPr>
          <w:p>
            <w:r>
              <w:rPr>
                <w:rFonts w:ascii="Calibri" w:hAnsi="Calibri"/>
                <w:color w:val="333333"/>
                <w:sz w:val="18"/>
              </w:rPr>
              <w:t>2.4%</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$30.1M</w:t>
            </w:r>
          </w:p>
        </w:tc>
        <w:tc>
          <w:tcPr>
            <w:tcW w:type="dxa" w:w="2520"/>
          </w:tcPr>
          <w:p>
            <w:r>
              <w:rPr>
                <w:rFonts w:ascii="Calibri" w:hAnsi="Calibri"/>
                <w:color w:val="333333"/>
                <w:sz w:val="18"/>
              </w:rPr>
              <w:t>$41.0M</w:t>
            </w:r>
          </w:p>
        </w:tc>
        <w:tc>
          <w:tcPr>
            <w:tcW w:type="dxa" w:w="2520"/>
            <w:shd w:fill="DCEEF8" w:val="clear"/>
          </w:tcPr>
          <w:p>
            <w:r>
              <w:rPr>
                <w:rFonts w:ascii="Calibri" w:hAnsi="Calibri"/>
                <w:color w:val="333333"/>
                <w:sz w:val="18"/>
              </w:rPr>
              <w:t>36.2%</w:t>
            </w:r>
          </w:p>
        </w:tc>
      </w:tr>
      <w:tr>
        <w:tc>
          <w:tcPr>
            <w:tcW w:type="dxa" w:w="2520"/>
            <w:shd w:fill="F2F4F8" w:val="clear"/>
          </w:tcPr>
          <w:p>
            <w:r>
              <w:rPr>
                <w:rFonts w:ascii="Calibri" w:hAnsi="Calibri"/>
                <w:color w:val="333333"/>
                <w:sz w:val="18"/>
              </w:rPr>
              <w:t>Share repurchases / buybacks</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$200.0M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Acquisitions, net of cash acquired</w:t>
            </w:r>
          </w:p>
        </w:tc>
        <w:tc>
          <w:tcPr>
            <w:tcW w:type="dxa" w:w="2520"/>
          </w:tcPr>
          <w:p>
            <w:r>
              <w:rPr>
                <w:rFonts w:ascii="Calibri" w:hAnsi="Calibri"/>
                <w:color w:val="333333"/>
                <w:sz w:val="18"/>
              </w:rPr>
              <w:t>$296.0K</w:t>
            </w:r>
          </w:p>
        </w:tc>
        <w:tc>
          <w:tcPr>
            <w:tcW w:type="dxa" w:w="2520"/>
          </w:tcPr>
          <w:p>
            <w:r>
              <w:rPr>
                <w:rFonts w:ascii="Calibri" w:hAnsi="Calibri"/>
                <w:color w:val="333333"/>
                <w:sz w:val="18"/>
              </w:rPr>
              <w:t>$0</w:t>
            </w:r>
          </w:p>
        </w:tc>
        <w:tc>
          <w:tcPr>
            <w:tcW w:type="dxa" w:w="2520"/>
            <w:shd w:fill="FCE8E6" w:val="clear"/>
          </w:tcPr>
          <w:p>
            <w:r>
              <w:rPr>
                <w:rFonts w:ascii="Calibri" w:hAnsi="Calibri"/>
                <w:color w:val="333333"/>
                <w:sz w:val="18"/>
              </w:rPr>
              <w:t>-100.0%</w:t>
            </w:r>
          </w:p>
        </w:tc>
      </w:tr>
      <w:tr>
        <w:tc>
          <w:tcPr>
            <w:tcW w:type="dxa" w:w="2520"/>
            <w:shd w:fill="F2F4F8" w:val="clear"/>
          </w:tcPr>
          <w:p>
            <w:r>
              <w:rPr>
                <w:rFonts w:ascii="Calibri" w:hAnsi="Calibri"/>
                <w:color w:val="333333"/>
                <w:sz w:val="18"/>
              </w:rPr>
              <w:t>Proceeds from issuance of debt</w:t>
            </w:r>
          </w:p>
        </w:tc>
        <w:tc>
          <w:tcPr>
            <w:tcW w:type="dxa" w:w="2520"/>
            <w:shd w:fill="F2F4F8" w:val="clear"/>
          </w:tcPr>
          <w:p>
            <w:r>
              <w:rPr>
                <w:rFonts w:ascii="Calibri" w:hAnsi="Calibri"/>
                <w:color w:val="333333"/>
                <w:sz w:val="18"/>
              </w:rPr>
              <w:t>$2.2B</w:t>
            </w:r>
          </w:p>
        </w:tc>
        <w:tc>
          <w:tcPr>
            <w:tcW w:type="dxa" w:w="2520"/>
            <w:shd w:fill="F2F4F8" w:val="clear"/>
          </w:tcPr>
          <w:p>
            <w:r>
              <w:rPr>
                <w:rFonts w:ascii="Calibri" w:hAnsi="Calibri"/>
                <w:color w:val="333333"/>
                <w:sz w:val="18"/>
              </w:rPr>
              <w:t>$1.4B</w:t>
            </w:r>
          </w:p>
        </w:tc>
        <w:tc>
          <w:tcPr>
            <w:tcW w:type="dxa" w:w="2520"/>
            <w:shd w:fill="F2F4F8" w:val="clear"/>
            <w:shd w:fill="FCE8E6" w:val="clear"/>
          </w:tcPr>
          <w:p>
            <w:r>
              <w:rPr>
                <w:rFonts w:ascii="Calibri" w:hAnsi="Calibri"/>
                <w:color w:val="333333"/>
                <w:sz w:val="18"/>
              </w:rPr>
              <w:t>-35.6%</w:t>
            </w:r>
          </w:p>
        </w:tc>
      </w:tr>
      <w:tr>
        <w:tc>
          <w:tcPr>
            <w:tcW w:type="dxa" w:w="2520"/>
          </w:tcPr>
          <w:p>
            <w:r>
              <w:rPr>
                <w:rFonts w:ascii="Calibri" w:hAnsi="Calibri"/>
                <w:color w:val="333333"/>
                <w:sz w:val="18"/>
              </w:rPr>
              <w:t>Repayments of debt</w:t>
            </w:r>
          </w:p>
        </w:tc>
        <w:tc>
          <w:tcPr>
            <w:tcW w:type="dxa" w:w="2520"/>
          </w:tcPr>
          <w:p>
            <w:r>
              <w:rPr>
                <w:rFonts w:ascii="Calibri" w:hAnsi="Calibri"/>
                <w:color w:val="333333"/>
                <w:sz w:val="18"/>
              </w:rPr>
              <w:t>$2.0B</w:t>
            </w:r>
          </w:p>
        </w:tc>
        <w:tc>
          <w:tcPr>
            <w:tcW w:type="dxa" w:w="2520"/>
          </w:tcPr>
          <w:p>
            <w:r>
              <w:rPr>
                <w:rFonts w:ascii="Calibri" w:hAnsi="Calibri"/>
                <w:color w:val="333333"/>
                <w:sz w:val="18"/>
              </w:rPr>
              <w:t>$1.8B</w:t>
            </w:r>
          </w:p>
        </w:tc>
        <w:tc>
          <w:tcPr>
            <w:tcW w:type="dxa" w:w="2520"/>
            <w:shd w:fill="FCE8E6" w:val="clear"/>
          </w:tcPr>
          <w:p>
            <w:r>
              <w:rPr>
                <w:rFonts w:ascii="Calibri" w:hAnsi="Calibri"/>
                <w:color w:val="333333"/>
                <w:sz w:val="18"/>
              </w:rPr>
              <w:t>-10.1%</w:t>
            </w:r>
          </w:p>
        </w:tc>
      </w:tr>
      <w:tr>
        <w:tc>
          <w:tcPr>
            <w:tcW w:type="dxa" w:w="2520"/>
            <w:shd w:fill="F2F4F8" w:val="clear"/>
          </w:tcPr>
          <w:p>
            <w:r>
              <w:rPr>
                <w:rFonts w:ascii="Calibri" w:hAnsi="Calibri"/>
                <w:color w:val="333333"/>
                <w:sz w:val="18"/>
              </w:rPr>
              <w:t>Interest paid (supplemental)</w:t>
            </w:r>
          </w:p>
        </w:tc>
        <w:tc>
          <w:tcPr>
            <w:tcW w:type="dxa" w:w="2520"/>
            <w:shd w:fill="F2F4F8" w:val="clear"/>
          </w:tcPr>
          <w:p>
            <w:r>
              <w:rPr>
                <w:rFonts w:ascii="Calibri" w:hAnsi="Calibri"/>
                <w:color w:val="333333"/>
                <w:sz w:val="18"/>
              </w:rPr>
              <w:t>$16.0M</w:t>
            </w:r>
          </w:p>
        </w:tc>
        <w:tc>
          <w:tcPr>
            <w:tcW w:type="dxa" w:w="2520"/>
            <w:shd w:fill="F2F4F8" w:val="clear"/>
          </w:tcPr>
          <w:p>
            <w:r>
              <w:rPr>
                <w:rFonts w:ascii="Calibri" w:hAnsi="Calibri"/>
                <w:color w:val="333333"/>
                <w:sz w:val="18"/>
              </w:rPr>
              <w:t>$25.5M</w:t>
            </w:r>
          </w:p>
        </w:tc>
        <w:tc>
          <w:tcPr>
            <w:tcW w:type="dxa" w:w="2520"/>
            <w:shd w:fill="F2F4F8" w:val="clear"/>
            <w:shd w:fill="DCEEF8" w:val="clear"/>
          </w:tcPr>
          <w:p>
            <w:r>
              <w:rPr>
                <w:rFonts w:ascii="Calibri" w:hAnsi="Calibri"/>
                <w:color w:val="333333"/>
                <w:sz w:val="18"/>
              </w:rPr>
              <w:t>59.2%</w:t>
            </w:r>
          </w:p>
        </w:tc>
      </w:tr>
      <w:tr>
        <w:tc>
          <w:tcPr>
            <w:tcW w:type="dxa" w:w="2520"/>
          </w:tcPr>
          <w:p>
            <w:r>
              <w:rPr>
                <w:rFonts w:ascii="Calibri" w:hAnsi="Calibri"/>
                <w:color w:val="333333"/>
                <w:sz w:val="18"/>
              </w:rPr>
              <w:t>Income taxes paid (supplemental)</w:t>
            </w:r>
          </w:p>
        </w:tc>
        <w:tc>
          <w:tcPr>
            <w:tcW w:type="dxa" w:w="2520"/>
          </w:tcPr>
          <w:p>
            <w:r>
              <w:rPr>
                <w:rFonts w:ascii="Calibri" w:hAnsi="Calibri"/>
                <w:color w:val="333333"/>
                <w:sz w:val="18"/>
              </w:rPr>
              <w:t>$392.0M</w:t>
            </w:r>
          </w:p>
        </w:tc>
        <w:tc>
          <w:tcPr>
            <w:tcW w:type="dxa" w:w="2520"/>
          </w:tcPr>
          <w:p>
            <w:r>
              <w:rPr>
                <w:rFonts w:ascii="Calibri" w:hAnsi="Calibri"/>
                <w:color w:val="333333"/>
                <w:sz w:val="18"/>
              </w:rPr>
              <w:t>$327.2M</w:t>
            </w:r>
          </w:p>
        </w:tc>
        <w:tc>
          <w:tcPr>
            <w:tcW w:type="dxa" w:w="2520"/>
            <w:shd w:fill="FCE8E6" w:val="clear"/>
          </w:tcPr>
          <w:p>
            <w:r>
              <w:rPr>
                <w:rFonts w:ascii="Calibri" w:hAnsi="Calibri"/>
                <w:color w:val="333333"/>
                <w:sz w:val="18"/>
              </w:rPr>
              <w:t>-16.6%</w:t>
            </w:r>
          </w:p>
        </w:tc>
      </w:tr>
      <w:tr>
        <w:tc>
          <w:tcPr>
            <w:tcW w:type="dxa" w:w="2520"/>
            <w:shd w:fill="F2F4F8" w:val="clear"/>
          </w:tcPr>
          <w:p>
            <w:r>
              <w:rPr>
                <w:rFonts w:ascii="Calibri" w:hAnsi="Calibri"/>
                <w:color w:val="333333"/>
                <w:sz w:val="18"/>
              </w:rPr>
              <w:t>Stock-based compensation (cash flow adjustment)</w:t>
            </w:r>
          </w:p>
        </w:tc>
        <w:tc>
          <w:tcPr>
            <w:tcW w:type="dxa" w:w="2520"/>
            <w:shd w:fill="F2F4F8" w:val="clear"/>
          </w:tcPr>
          <w:p>
            <w:r>
              <w:rPr>
                <w:rFonts w:ascii="Calibri" w:hAnsi="Calibri"/>
                <w:color w:val="333333"/>
                <w:sz w:val="18"/>
              </w:rPr>
              <w:t>$231.5M</w:t>
            </w:r>
          </w:p>
        </w:tc>
        <w:tc>
          <w:tcPr>
            <w:tcW w:type="dxa" w:w="2520"/>
            <w:shd w:fill="F2F4F8" w:val="clear"/>
          </w:tcPr>
          <w:p>
            <w:r>
              <w:rPr>
                <w:rFonts w:ascii="Calibri" w:hAnsi="Calibri"/>
                <w:color w:val="333333"/>
                <w:sz w:val="18"/>
              </w:rPr>
              <w:t>$314.5M</w:t>
            </w:r>
          </w:p>
        </w:tc>
        <w:tc>
          <w:tcPr>
            <w:tcW w:type="dxa" w:w="2520"/>
            <w:shd w:fill="F2F4F8" w:val="clear"/>
            <w:shd w:fill="DCEEF8" w:val="clear"/>
          </w:tcPr>
          <w:p>
            <w:r>
              <w:rPr>
                <w:rFonts w:ascii="Calibri" w:hAnsi="Calibri"/>
                <w:color w:val="333333"/>
                <w:sz w:val="18"/>
              </w:rPr>
              <w:t>35.8%</w:t>
            </w:r>
          </w:p>
        </w:tc>
      </w:tr>
      <w:tr>
        <w:tc>
          <w:tcPr>
            <w:tcW w:type="dxa" w:w="2520"/>
          </w:tcPr>
          <w:p>
            <w:r>
              <w:rPr>
                <w:rFonts w:ascii="Calibri" w:hAnsi="Calibri"/>
                <w:color w:val="333333"/>
                <w:sz w:val="18"/>
              </w:rPr>
              <w:t>Net increase/decrease in cash and equivalents</w:t>
            </w:r>
          </w:p>
        </w:tc>
        <w:tc>
          <w:tcPr>
            <w:tcW w:type="dxa" w:w="2520"/>
          </w:tcPr>
          <w:p>
            <w:r>
              <w:rPr>
                <w:rFonts w:ascii="Calibri" w:hAnsi="Calibri"/>
                <w:color w:val="333333"/>
                <w:sz w:val="18"/>
              </w:rPr>
              <w:t>$1.2B</w:t>
            </w:r>
          </w:p>
        </w:tc>
        <w:tc>
          <w:tcPr>
            <w:tcW w:type="dxa" w:w="2520"/>
          </w:tcPr>
          <w:p>
            <w:r>
              <w:rPr>
                <w:rFonts w:ascii="Calibri" w:hAnsi="Calibri"/>
                <w:color w:val="333333"/>
                <w:sz w:val="18"/>
              </w:rPr>
              <w:t>$3.5B</w:t>
            </w:r>
          </w:p>
        </w:tc>
        <w:tc>
          <w:tcPr>
            <w:tcW w:type="dxa" w:w="2520"/>
            <w:shd w:fill="DCEEF8" w:val="clear"/>
          </w:tcPr>
          <w:p>
            <w:r>
              <w:rPr>
                <w:rFonts w:ascii="Calibri" w:hAnsi="Calibri"/>
                <w:color w:val="333333"/>
                <w:sz w:val="18"/>
              </w:rPr>
              <w:t>184.9%</w:t>
            </w:r>
          </w:p>
        </w:tc>
      </w:tr>
      <w:tr>
        <w:tc>
          <w:tcPr>
            <w:tcW w:type="dxa" w:w="2520"/>
            <w:shd w:fill="F2F4F8" w:val="clear"/>
          </w:tcPr>
          <w:p>
            <w:r>
              <w:rPr>
                <w:rFonts w:ascii="Calibri" w:hAnsi="Calibri"/>
                <w:color w:val="333333"/>
                <w:sz w:val="18"/>
              </w:rPr>
              <w:t>Purchases of investments</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$56.0M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$-168.5M</w:t>
            </w:r>
          </w:p>
        </w:tc>
        <w:tc>
          <w:tcPr>
            <w:tcW w:type="dxa" w:w="2520"/>
          </w:tcPr>
          <w:p>
            <w:r>
              <w:rPr>
                <w:rFonts w:ascii="Calibri" w:hAnsi="Calibri"/>
                <w:color w:val="333333"/>
                <w:sz w:val="18"/>
              </w:rPr>
              <w:t>$-214.6M</w:t>
            </w:r>
          </w:p>
        </w:tc>
        <w:tc>
          <w:tcPr>
            <w:tcW w:type="dxa" w:w="2520"/>
            <w:shd w:fill="FCE8E6" w:val="clear"/>
          </w:tcPr>
          <w:p>
            <w:r>
              <w:rPr>
                <w:rFonts w:ascii="Calibri" w:hAnsi="Calibri"/>
                <w:color w:val="333333"/>
                <w:sz w:val="18"/>
              </w:rPr>
              <w:t>-27.4%</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$1.6B</w:t>
            </w:r>
          </w:p>
        </w:tc>
        <w:tc>
          <w:tcPr>
            <w:tcW w:type="dxa" w:w="2520"/>
            <w:shd w:fill="F2F4F8" w:val="clear"/>
          </w:tcPr>
          <w:p>
            <w:r>
              <w:rPr>
                <w:rFonts w:ascii="Calibri" w:hAnsi="Calibri"/>
                <w:color w:val="333333"/>
                <w:sz w:val="18"/>
              </w:rPr>
              <w:t>$-533.3M</w:t>
            </w:r>
          </w:p>
        </w:tc>
        <w:tc>
          <w:tcPr>
            <w:tcW w:type="dxa" w:w="2520"/>
            <w:shd w:fill="F2F4F8" w:val="clear"/>
            <w:shd w:fill="FCE8E6" w:val="clear"/>
          </w:tcPr>
          <w:p>
            <w:r>
              <w:rPr>
                <w:rFonts w:ascii="Calibri" w:hAnsi="Calibri"/>
                <w:color w:val="333333"/>
                <w:sz w:val="18"/>
              </w:rPr>
              <w:t>-133.6%</w:t>
            </w:r>
          </w:p>
        </w:tc>
      </w:tr>
      <w:tr>
        <w:tc>
          <w:tcPr>
            <w:tcW w:type="dxa" w:w="2520"/>
          </w:tcPr>
          <w:p>
            <w:r>
              <w:rPr>
                <w:rFonts w:ascii="Calibri" w:hAnsi="Calibri"/>
                <w:color w:val="333333"/>
                <w:sz w:val="18"/>
              </w:rPr>
              <w:t>Change in inventory</w:t>
            </w:r>
          </w:p>
        </w:tc>
        <w:tc>
          <w:tcPr>
            <w:tcW w:type="dxa" w:w="2520"/>
          </w:tcPr>
          <w:p>
            <w:r>
              <w:rPr>
                <w:rFonts w:ascii="Calibri" w:hAnsi="Calibri"/>
                <w:color w:val="333333"/>
                <w:sz w:val="18"/>
              </w:rPr>
              <w:t>$2.9B</w:t>
            </w:r>
          </w:p>
        </w:tc>
        <w:tc>
          <w:tcPr>
            <w:tcW w:type="dxa" w:w="2520"/>
          </w:tcPr>
          <w:p>
            <w:r>
              <w:rPr>
                <w:rFonts w:ascii="Calibri" w:hAnsi="Calibri"/>
                <w:color w:val="333333"/>
                <w:sz w:val="18"/>
              </w:rPr>
              <w:t>$355.6M</w:t>
            </w:r>
          </w:p>
        </w:tc>
        <w:tc>
          <w:tcPr>
            <w:tcW w:type="dxa" w:w="2520"/>
            <w:shd w:fill="FCE8E6" w:val="clear"/>
          </w:tcPr>
          <w:p>
            <w:r>
              <w:rPr>
                <w:rFonts w:ascii="Calibri" w:hAnsi="Calibri"/>
                <w:color w:val="333333"/>
                <w:sz w:val="18"/>
              </w:rPr>
              <w:t>-87.7%</w:t>
            </w:r>
          </w:p>
        </w:tc>
      </w:tr>
      <w:tr>
        <w:tc>
          <w:tcPr>
            <w:tcW w:type="dxa" w:w="2520"/>
            <w:shd w:fill="F2F4F8" w:val="clear"/>
          </w:tcPr>
          <w:p>
            <w:r>
              <w:rPr>
                <w:rFonts w:ascii="Calibri" w:hAnsi="Calibri"/>
                <w:color w:val="333333"/>
                <w:sz w:val="18"/>
              </w:rPr>
              <w:t>Change in accounts payable</w:t>
            </w:r>
          </w:p>
        </w:tc>
        <w:tc>
          <w:tcPr>
            <w:tcW w:type="dxa" w:w="2520"/>
            <w:shd w:fill="F2F4F8" w:val="clear"/>
          </w:tcPr>
          <w:p>
            <w:r>
              <w:rPr>
                <w:rFonts w:ascii="Calibri" w:hAnsi="Calibri"/>
                <w:color w:val="333333"/>
                <w:sz w:val="18"/>
              </w:rPr>
              <w:t>$679.2M</w:t>
            </w:r>
          </w:p>
        </w:tc>
        <w:tc>
          <w:tcPr>
            <w:tcW w:type="dxa" w:w="2520"/>
            <w:shd w:fill="F2F4F8" w:val="clear"/>
          </w:tcPr>
          <w:p>
            <w:r>
              <w:rPr>
                <w:rFonts w:ascii="Calibri" w:hAnsi="Calibri"/>
                <w:color w:val="333333"/>
                <w:sz w:val="18"/>
              </w:rPr>
              <w:t>$-181.0M</w:t>
            </w:r>
          </w:p>
        </w:tc>
        <w:tc>
          <w:tcPr>
            <w:tcW w:type="dxa" w:w="2520"/>
            <w:shd w:fill="F2F4F8" w:val="clear"/>
            <w:shd w:fill="FCE8E6" w:val="clear"/>
          </w:tcPr>
          <w:p>
            <w:r>
              <w:rPr>
                <w:rFonts w:ascii="Calibri" w:hAnsi="Calibri"/>
                <w:color w:val="333333"/>
                <w:sz w:val="18"/>
              </w:rPr>
              <w:t>-126.6%</w:t>
            </w:r>
          </w:p>
        </w:tc>
      </w:tr>
      <w:tr>
        <w:tc>
          <w:tcPr>
            <w:tcW w:type="dxa" w:w="2520"/>
          </w:tcPr>
          <w:p>
            <w:r>
              <w:rPr>
                <w:rFonts w:ascii="Calibri" w:hAnsi="Calibri"/>
                <w:color w:val="333333"/>
                <w:sz w:val="18"/>
              </w:rPr>
              <w:t>Effect of exchange rate changes on cash</w:t>
            </w:r>
          </w:p>
        </w:tc>
        <w:tc>
          <w:tcPr>
            <w:tcW w:type="dxa" w:w="2520"/>
          </w:tcPr>
          <w:p>
            <w:r>
              <w:rPr>
                <w:rFonts w:ascii="Calibri" w:hAnsi="Calibri"/>
                <w:color w:val="333333"/>
                <w:sz w:val="18"/>
              </w:rPr>
              <w:t>$-2.2M</w:t>
            </w:r>
          </w:p>
        </w:tc>
        <w:tc>
          <w:tcPr>
            <w:tcW w:type="dxa" w:w="2520"/>
          </w:tcPr>
          <w:p>
            <w:r>
              <w:rPr>
                <w:rFonts w:ascii="Calibri" w:hAnsi="Calibri"/>
                <w:color w:val="333333"/>
                <w:sz w:val="18"/>
              </w:rPr>
              <w:t>$1.7M</w:t>
            </w:r>
          </w:p>
        </w:tc>
        <w:tc>
          <w:tcPr>
            <w:tcW w:type="dxa" w:w="2520"/>
            <w:shd w:fill="DCEEF8" w:val="clear"/>
          </w:tcPr>
          <w:p>
            <w:r>
              <w:rPr>
                <w:rFonts w:ascii="Calibri" w:hAnsi="Calibri"/>
                <w:color w:val="333333"/>
                <w:sz w:val="18"/>
              </w:rPr>
              <w:t>176.4%</w:t>
            </w:r>
          </w:p>
        </w:tc>
      </w:tr>
      <w:tr>
        <w:tc>
          <w:tcPr>
            <w:tcW w:type="dxa" w:w="2520"/>
            <w:shd w:fill="F2F4F8" w:val="clear"/>
          </w:tcPr>
          <w:p>
            <w:r>
              <w:rPr>
                <w:rFonts w:ascii="Calibri" w:hAnsi="Calibri"/>
                <w:color w:val="333333"/>
                <w:sz w:val="18"/>
              </w:rPr>
              <w:t>Free cash flow</w:t>
            </w:r>
          </w:p>
        </w:tc>
        <w:tc>
          <w:tcPr>
            <w:tcW w:type="dxa" w:w="2520"/>
            <w:shd w:fill="F2F4F8" w:val="clear"/>
          </w:tcPr>
          <w:p>
            <w:r>
              <w:rPr>
                <w:rFonts w:ascii="Calibri" w:hAnsi="Calibri"/>
                <w:color w:val="333333"/>
                <w:sz w:val="18"/>
              </w:rPr>
              <w:t>$-2.6B</w:t>
            </w:r>
          </w:p>
        </w:tc>
        <w:tc>
          <w:tcPr>
            <w:tcW w:type="dxa" w:w="2520"/>
            <w:shd w:fill="F2F4F8" w:val="clear"/>
          </w:tcPr>
          <w:p>
            <w:r>
              <w:rPr>
                <w:rFonts w:ascii="Calibri" w:hAnsi="Calibri"/>
                <w:color w:val="333333"/>
                <w:sz w:val="18"/>
              </w:rPr>
              <w:t>$1.5B</w:t>
            </w:r>
          </w:p>
        </w:tc>
        <w:tc>
          <w:tcPr>
            <w:tcW w:type="dxa" w:w="2520"/>
            <w:shd w:fill="F2F4F8" w:val="clear"/>
            <w:shd w:fill="DCEEF8" w:val="clear"/>
          </w:tcPr>
          <w:p>
            <w:r>
              <w:rPr>
                <w:rFonts w:ascii="Calibri" w:hAnsi="Calibri"/>
                <w:color w:val="333333"/>
                <w:sz w:val="18"/>
              </w:rPr>
              <w:t>158.7%</w:t>
            </w:r>
          </w:p>
        </w:tc>
      </w:tr>
      <w:tr>
        <w:tc>
          <w:tcPr>
            <w:tcW w:type="dxa" w:w="2520"/>
          </w:tcPr>
          <w:p>
            <w:r>
              <w:rPr>
                <w:rFonts w:ascii="Calibri" w:hAnsi="Calibri"/>
                <w:color w:val="333333"/>
                <w:sz w:val="18"/>
              </w:rPr>
              <w:t>FCF-to-revenue ratio</w:t>
            </w:r>
          </w:p>
        </w:tc>
        <w:tc>
          <w:tcPr>
            <w:tcW w:type="dxa" w:w="2520"/>
          </w:tcPr>
          <w:p>
            <w:r>
              <w:rPr>
                <w:rFonts w:ascii="Calibri" w:hAnsi="Calibri"/>
                <w:color w:val="333333"/>
                <w:sz w:val="18"/>
              </w:rPr>
              <w:t>$-17</w:t>
            </w:r>
          </w:p>
        </w:tc>
        <w:tc>
          <w:tcPr>
            <w:tcW w:type="dxa" w:w="2520"/>
          </w:tcPr>
          <w:p>
            <w:r>
              <w:rPr>
                <w:rFonts w:ascii="Calibri" w:hAnsi="Calibri"/>
                <w:color w:val="333333"/>
                <w:sz w:val="18"/>
              </w:rPr>
              <w:t>$7</w:t>
            </w:r>
          </w:p>
        </w:tc>
        <w:tc>
          <w:tcPr>
            <w:tcW w:type="dxa" w:w="2520"/>
            <w:shd w:fill="DCEEF8" w:val="clear"/>
          </w:tcPr>
          <w:p>
            <w:r>
              <w:rPr>
                <w:rFonts w:ascii="Calibri" w:hAnsi="Calibri"/>
                <w:color w:val="333333"/>
                <w:sz w:val="18"/>
              </w:rPr>
              <w:t>140.0%</w:t>
            </w:r>
          </w:p>
        </w:tc>
      </w:tr>
      <w:tr>
        <w:tc>
          <w:tcPr>
            <w:tcW w:type="dxa" w:w="2520"/>
            <w:shd w:fill="F2F4F8" w:val="clear"/>
          </w:tcPr>
          <w:p>
            <w:r>
              <w:rPr>
                <w:rFonts w:ascii="Calibri" w:hAnsi="Calibri"/>
                <w:color w:val="333333"/>
                <w:sz w:val="18"/>
              </w:rPr>
              <w:t>Capex-to-revenue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CE8E6" w:val="clear"/>
          </w:tcPr>
          <w:p>
            <w:r>
              <w:rPr>
                <w:rFonts w:ascii="Calibri" w:hAnsi="Calibri"/>
                <w:color w:val="333333"/>
                <w:sz w:val="18"/>
              </w:rPr>
              <w:t>-30.1%</w:t>
            </w:r>
          </w:p>
        </w:tc>
      </w:tr>
      <w:tr>
        <w:tc>
          <w:tcPr>
            <w:tcW w:type="dxa" w:w="2520"/>
          </w:tcPr>
          <w:p>
            <w:r>
              <w:rPr>
                <w:rFonts w:ascii="Calibri" w:hAnsi="Calibri"/>
                <w:color w:val="333333"/>
                <w:sz w:val="18"/>
              </w:rPr>
              <w:t>Capex-to-depreciation ratio</w:t>
            </w:r>
          </w:p>
        </w:tc>
        <w:tc>
          <w:tcPr>
            <w:tcW w:type="dxa" w:w="2520"/>
          </w:tcPr>
          <w:p>
            <w:r>
              <w:rPr>
                <w:rFonts w:ascii="Calibri" w:hAnsi="Calibri"/>
                <w:color w:val="333333"/>
                <w:sz w:val="18"/>
              </w:rPr>
              <w:t>$4</w:t>
            </w:r>
          </w:p>
        </w:tc>
        <w:tc>
          <w:tcPr>
            <w:tcW w:type="dxa" w:w="2520"/>
          </w:tcPr>
          <w:p>
            <w:r>
              <w:rPr>
                <w:rFonts w:ascii="Calibri" w:hAnsi="Calibri"/>
                <w:color w:val="333333"/>
                <w:sz w:val="18"/>
              </w:rPr>
              <w:t>$3</w:t>
            </w:r>
          </w:p>
        </w:tc>
        <w:tc>
          <w:tcPr>
            <w:tcW w:type="dxa" w:w="2520"/>
            <w:shd w:fill="FCE8E6" w:val="clear"/>
          </w:tcPr>
          <w:p>
            <w:r>
              <w:rPr>
                <w:rFonts w:ascii="Calibri" w:hAnsi="Calibri"/>
                <w:color w:val="333333"/>
                <w:sz w:val="18"/>
              </w:rPr>
              <w:t>-24.9%</w:t>
            </w:r>
          </w:p>
        </w:tc>
      </w:tr>
      <w:tr>
        <w:tc>
          <w:tcPr>
            <w:tcW w:type="dxa" w:w="2520"/>
            <w:shd w:fill="F2F4F8" w:val="clear"/>
          </w:tcPr>
          <w:p>
            <w:r>
              <w:rPr>
                <w:rFonts w:ascii="Calibri" w:hAnsi="Calibri"/>
                <w:color w:val="333333"/>
                <w:sz w:val="18"/>
              </w:rPr>
              <w:t>Free cash flow per share</w:t>
            </w:r>
          </w:p>
        </w:tc>
        <w:tc>
          <w:tcPr>
            <w:tcW w:type="dxa" w:w="2520"/>
            <w:shd w:fill="F2F4F8" w:val="clear"/>
          </w:tcPr>
          <w:p>
            <w:r>
              <w:rPr>
                <w:rFonts w:ascii="Calibri" w:hAnsi="Calibri"/>
                <w:color w:val="333333"/>
                <w:sz w:val="18"/>
              </w:rPr>
              <w:t>$-4.44</w:t>
            </w:r>
          </w:p>
        </w:tc>
        <w:tc>
          <w:tcPr>
            <w:tcW w:type="dxa" w:w="2520"/>
            <w:shd w:fill="F2F4F8" w:val="clear"/>
          </w:tcPr>
          <w:p>
            <w:r>
              <w:rPr>
                <w:rFonts w:ascii="Calibri" w:hAnsi="Calibri"/>
                <w:color w:val="333333"/>
                <w:sz w:val="18"/>
              </w:rPr>
              <w:t>$2.58</w:t>
            </w:r>
          </w:p>
        </w:tc>
        <w:tc>
          <w:tcPr>
            <w:tcW w:type="dxa" w:w="2520"/>
            <w:shd w:fill="F2F4F8" w:val="clear"/>
            <w:shd w:fill="DCEEF8" w:val="clear"/>
          </w:tcPr>
          <w:p>
            <w:r>
              <w:rPr>
                <w:rFonts w:ascii="Calibri" w:hAnsi="Calibri"/>
                <w:color w:val="333333"/>
                <w:sz w:val="18"/>
              </w:rPr>
              <w:t>158.1%</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5.25</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3.25</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0.02</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49.2x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4.14</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FY2024: 5.0 -&gt; FY2025: 4.1 (declining)</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-2.32</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5.00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5/9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98th percentile among 0 peers (peer median: 2.0x).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1.58</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-0.04</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Auditor</w:t>
            </w:r>
          </w:p>
        </w:tc>
        <w:tc>
          <w:tcPr>
            <w:tcW w:type="dxa" w:w="5040"/>
          </w:tcPr>
          <w:p>
            <w:r>
              <w:rPr>
                <w:rFonts w:ascii="Calibri" w:hAnsi="Calibri"/>
                <w:color w:val="333333"/>
                <w:sz w:val="18"/>
              </w:rPr>
              <w:t>Deloitte</w:t>
            </w:r>
          </w:p>
        </w:tc>
      </w:tr>
      <w:tr>
        <w:tc>
          <w:tcPr>
            <w:tcW w:type="dxa" w:w="5040"/>
            <w:shd w:fill="F2F4F8" w:val="clear"/>
          </w:tcPr>
          <w:p>
            <w:r>
              <w:rPr>
                <w:rFonts w:ascii="Calibri" w:hAnsi="Calibri"/>
                <w:color w:val="333333"/>
                <w:sz w:val="18"/>
              </w:rPr>
              <w:t>Big 4 Firm</w:t>
            </w:r>
          </w:p>
        </w:tc>
        <w:tc>
          <w:tcPr>
            <w:tcW w:type="dxa" w:w="5040"/>
            <w:shd w:fill="F2F4F8" w:val="clear"/>
          </w:tcPr>
          <w:p>
            <w:r>
              <w:rPr>
                <w:rFonts w:ascii="Calibri" w:hAnsi="Calibri"/>
                <w:color w:val="333333"/>
                <w:sz w:val="18"/>
              </w:rPr>
              <w:t>Yes</w:t>
            </w:r>
          </w:p>
        </w:tc>
      </w:tr>
      <w:tr>
        <w:tc>
          <w:tcPr>
            <w:tcW w:type="dxa" w:w="5040"/>
          </w:tcPr>
          <w:p>
            <w:r>
              <w:rPr>
                <w:rFonts w:ascii="Calibri" w:hAnsi="Calibri"/>
                <w:color w:val="333333"/>
                <w:sz w:val="18"/>
              </w:rPr>
              <w:t>Tenure (Years)</w:t>
            </w:r>
          </w:p>
        </w:tc>
        <w:tc>
          <w:tcPr>
            <w:tcW w:type="dxa" w:w="5040"/>
          </w:tcPr>
          <w:p>
            <w:r>
              <w:rPr>
                <w:rFonts w:ascii="Calibri" w:hAnsi="Calibri"/>
                <w:color w:val="333333"/>
                <w:sz w:val="18"/>
              </w:rPr>
              <w:t>2</w:t>
            </w:r>
          </w:p>
        </w:tc>
      </w:tr>
      <w:tr>
        <w:tc>
          <w:tcPr>
            <w:tcW w:type="dxa" w:w="5040"/>
            <w:shd w:fill="F2F4F8" w:val="clear"/>
          </w:tcPr>
          <w:p>
            <w:r>
              <w:rPr>
                <w:rFonts w:ascii="Calibri" w:hAnsi="Calibri"/>
                <w:color w:val="333333"/>
                <w:sz w:val="18"/>
              </w:rPr>
              <w:t>Opinion Type</w:t>
            </w:r>
          </w:p>
        </w:tc>
        <w:tc>
          <w:tcPr>
            <w:tcW w:type="dxa" w:w="5040"/>
            <w:shd w:fill="F2F4F8" w:val="clear"/>
          </w:tcPr>
          <w:p>
            <w:r>
              <w:rPr>
                <w:rFonts w:ascii="Calibri" w:hAnsi="Calibri"/>
                <w:color w:val="333333"/>
                <w:sz w:val="18"/>
              </w:rPr>
              <w:t>adverse</w:t>
            </w:r>
          </w:p>
        </w:tc>
      </w:tr>
      <w:tr>
        <w:tc>
          <w:tcPr>
            <w:tcW w:type="dxa" w:w="5040"/>
          </w:tcPr>
          <w:p>
            <w:r>
              <w:rPr>
                <w:rFonts w:ascii="Calibri" w:hAnsi="Calibri"/>
                <w:color w:val="333333"/>
                <w:sz w:val="18"/>
              </w:rPr>
              <w:t>Going Concern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Material Weaknesses</w:t>
            </w:r>
          </w:p>
        </w:tc>
        <w:tc>
          <w:tcPr>
            <w:tcW w:type="dxa" w:w="5040"/>
            <w:shd w:fill="F2F4F8" w:val="clear"/>
            <w:shd w:fill="FCE8E6" w:val="clear"/>
          </w:tcPr>
          <w:p>
            <w:r>
              <w:rPr>
                <w:rFonts w:ascii="Calibri" w:hAnsi="Calibri"/>
                <w:color w:val="333333"/>
                <w:sz w:val="18"/>
              </w:rPr>
              <w:t>5</w:t>
            </w:r>
          </w:p>
        </w:tc>
      </w:tr>
      <w:tr>
        <w:tc>
          <w:tcPr>
            <w:tcW w:type="dxa" w:w="5040"/>
          </w:tcPr>
          <w:p>
            <w:r>
              <w:rPr>
                <w:rFonts w:ascii="Calibri" w:hAnsi="Calibri"/>
                <w:color w:val="333333"/>
                <w:sz w:val="18"/>
              </w:rPr>
              <w:t>Significant Deficiencies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Restatements</w:t>
            </w:r>
          </w:p>
        </w:tc>
        <w:tc>
          <w:tcPr>
            <w:tcW w:type="dxa" w:w="5040"/>
            <w:shd w:fill="F2F4F8" w:val="clear"/>
            <w:shd w:fill="FCE8E6" w:val="clear"/>
          </w:tcPr>
          <w:p>
            <w:r>
              <w:rPr>
                <w:rFonts w:ascii="Calibri" w:hAnsi="Calibri"/>
                <w:color w:val="333333"/>
                <w:sz w:val="18"/>
              </w:rPr>
              <w:t>1</w:t>
            </w:r>
          </w:p>
        </w:tc>
      </w:tr>
      <w:tr>
        <w:tc>
          <w:tcPr>
            <w:tcW w:type="dxa" w:w="5040"/>
          </w:tcPr>
          <w:p>
            <w:r>
              <w:rPr>
                <w:rFonts w:ascii="Calibri" w:hAnsi="Calibri"/>
                <w:color w:val="333333"/>
                <w:sz w:val="18"/>
              </w:rPr>
              <w:t>Critical Audit Matters (CAMs)</w:t>
            </w:r>
          </w:p>
        </w:tc>
        <w:tc>
          <w:tcPr>
            <w:tcW w:type="dxa" w:w="5040"/>
          </w:tcPr>
          <w:p>
            <w:r>
              <w:rPr>
                <w:rFonts w:ascii="Calibri" w:hAnsi="Calibri"/>
                <w:color w:val="333333"/>
                <w:sz w:val="18"/>
              </w:rPr>
              <w:t>5</w:t>
            </w:r>
          </w:p>
        </w:tc>
      </w:tr>
    </w:tbl>
    <w:p>
      <w:pPr>
        <w:pStyle w:val="DOBody"/>
      </w:pPr>
      <w:r>
        <w:t>Material Weaknesses (5):  disclosed 1 material weakness(es) in internal controls over financial reporting (F3). Material weaknesses are cited in virtually every restatement-driven SCA as evidence that management was reckless in certifying financial statements under SOX 302/906. Research shows material weakness disclosure increases restatement probability by 3.4x. Evaluate the specific control deficiency: revenue recognition weaknesses carry the highest SCA risk, followed by asset valuation and expense timing controls.</w:t>
      </w:r>
      <w:r>
        <w:rPr>
          <w:b/>
          <w:color w:val="EA580C"/>
          <w:sz w:val="18"/>
        </w:rPr>
        <w:t xml:space="preserve"> [HIGH]</w:t>
      </w:r>
    </w:p>
    <w:p>
      <w:pPr>
        <w:pStyle w:val="DOBody"/>
      </w:pPr>
      <w:r>
        <w:rPr>
          <w:sz w:val="18"/>
        </w:rPr>
        <w:t xml:space="preserve">  - Based upon this evaluation, our Chief Executive Officer and Chief Financial Officer concluded that our disclosure controls and procedures were not effective at the reasonable assurance level as of June 30, 2025 due to the material weaknesses in our internal control over financial reporting described below</w:t>
      </w:r>
    </w:p>
    <w:p>
      <w:pPr>
        <w:pStyle w:val="DOBody"/>
      </w:pPr>
      <w:r>
        <w:rPr>
          <w:sz w:val="18"/>
        </w:rPr>
        <w:t xml:space="preserve">  - Notwithstanding the identified material weaknesses, management believes and has concluded that the consolidated financial statements included in this Annual Report fairly present, in all material respects, our financial condition, results of operations and cash flows for the periods presented in conformity with U</w:t>
      </w:r>
    </w:p>
    <w:p>
      <w:pPr>
        <w:pStyle w:val="DOBody"/>
      </w:pPr>
      <w:r>
        <w:rPr>
          <w:sz w:val="18"/>
        </w:rPr>
        <w:t xml:space="preserve">  - We have identified the following unremediated material weaknesses in internal control over financial reporting as of June 30, 2025: (i) information technology general controls for certain systems that support our financial reporting process were not appropriately identified, designed or implemented; (ii) controls to address segregation of duties conflicts were not properly designed and appropriately implemented; (iii) controls over the completeness and accuracy of information we produce, impacti</w:t>
      </w:r>
    </w:p>
    <w:p>
      <w:pPr>
        <w:pStyle w:val="DOBody"/>
      </w:pPr>
      <w:r>
        <w:rPr>
          <w:sz w:val="18"/>
        </w:rPr>
        <w:t xml:space="preserve">  - The above material weaknesses could have increased the risk of unauthorized access to certain information technology systems that support our financial reporting processes, manipulation of data that we use to produce our financial statements, and/or lack of complete and accurate information, which could lead to financial misstatements and affect our ability to report our information on a timely basis</w:t>
      </w:r>
    </w:p>
    <w:p>
      <w:pPr>
        <w:pStyle w:val="DOBody"/>
      </w:pPr>
      <w:r>
        <w:rPr>
          <w:sz w:val="18"/>
        </w:rPr>
        <w:t xml:space="preserve">  - Notwithstanding the material weaknesses in internal control over financial reporting described above, management believes and has concluded that the consolidated financial statements included in this Annual Report fairly present, in all material respects, our financial position, results of operations and cash flows for the periods presented in conformity with U</w:t>
      </w:r>
    </w:p>
    <w:p>
      <w:pPr>
        <w:pStyle w:val="DOBody"/>
      </w:pPr>
      <w:r>
        <w:t>Restatements (1):  Restatement History at 1 (threshold: &gt;0 restatements within 5 years) is in the caution zone for Financial Irregularities / Restatement Risk (F3). Monitor for deterioration — trend direction and peer comparison inform the D&amp;O risk assessment.</w:t>
      </w:r>
      <w:r>
        <w:rPr>
          <w:b/>
          <w:color w:val="DC2626"/>
          <w:sz w:val="18"/>
        </w:rPr>
        <w:t xml:space="preserve"> [CRITICAL]</w:t>
      </w:r>
    </w:p>
    <w:p>
      <w:pPr>
        <w:pStyle w:val="DOBody"/>
      </w:pPr>
      <w:r>
        <w:rPr>
          <w:sz w:val="18"/>
        </w:rPr>
        <w:t xml:space="preserve">  - N/A</w:t>
      </w:r>
    </w:p>
    <w:p>
      <w:pPr>
        <w:pStyle w:val="DOBody"/>
      </w:pPr>
      <w:r>
        <w:t>Critical Audit Matters (5):  Internal Controls at 5 (threshold: &gt;0 material weaknesses disclosed) signals elevated Financial Irregularities / Restatement Risk risk (F3). Internal control deficiencies create the conditions for financial misstatement. Material weaknesses are cited in virtually every restatement-driven SCA as evidence that management was reckless in certifying financial statements under SOX 302/906.</w:t>
      </w:r>
      <w:r>
        <w:rPr>
          <w:b/>
          <w:color w:val="EAB308"/>
          <w:sz w:val="18"/>
        </w:rPr>
        <w:t xml:space="preserve"> [ELEVATED]</w:t>
      </w:r>
    </w:p>
    <w:p>
      <w:pPr>
        <w:pStyle w:val="DOBody"/>
      </w:pPr>
      <w:r>
        <w:rPr>
          <w:sz w:val="18"/>
        </w:rPr>
        <w:t xml:space="preserve">  - Critical Audit Matters The critical audit matters communicated below are matters arising from the current period audit of the consolidated financial statements that were communicated or required to be communicated to the audit committee and that: (1) relate to accounts or disclosures that are materi</w:t>
      </w:r>
    </w:p>
    <w:p>
      <w:pPr>
        <w:pStyle w:val="DOBody"/>
      </w:pPr>
      <w:r>
        <w:rPr>
          <w:sz w:val="18"/>
        </w:rPr>
        <w:t xml:space="preserve">  - The communication of the critical audit matters does not alter in any way our opinion on the consolidated financial statements, taken as a whole, and we are not, by communicating the critical audit matters below, providing separate opinions on the critical audit matters or on the accounts or disclos</w:t>
      </w:r>
    </w:p>
    <w:p>
      <w:pPr>
        <w:pStyle w:val="DOBody"/>
      </w:pPr>
      <w:r>
        <w:rPr>
          <w:sz w:val="18"/>
        </w:rPr>
        <w:t xml:space="preserve">  - We identified the valuation of inventories as a critical audit matter</w:t>
      </w:r>
    </w:p>
    <w:p>
      <w:pPr>
        <w:pStyle w:val="DOBody"/>
      </w:pPr>
      <w:r>
        <w:rPr>
          <w:sz w:val="18"/>
        </w:rPr>
        <w:t xml:space="preserve">  - The primary procedures we performed to address this critical audit matter included: &amp;#8226; Inquiring of various personnel in the Company including but not limited to finance and operations personnel about the expected product lifecycles and product development plans to understand and evaluate the C</w:t>
      </w:r>
    </w:p>
    <w:p>
      <w:pPr>
        <w:pStyle w:val="DOBody"/>
      </w:pPr>
      <w:r>
        <w:rPr>
          <w:sz w:val="18"/>
        </w:rPr>
        <w:t xml:space="preserve">  - We identified the auditing of revenue recognition from contracts with customers as a critical audit matter because it involved a high degree of auditor effort required in performing audit procedures</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0.02</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0.09</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49.16</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12.9%</w:t>
            </w:r>
          </w:p>
        </w:tc>
        <w:tc>
          <w:tcPr>
            <w:tcW w:type="dxa" w:w="3360"/>
          </w:tcPr>
          <w:p>
            <w:r>
              <w:rPr>
                <w:rFonts w:ascii="Calibri" w:hAnsi="Calibri"/>
                <w:color w:val="333333"/>
                <w:sz w:val="18"/>
              </w:rPr>
              <w:t>Below statutory rate -- review required</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$305.5B</w:t>
            </w:r>
          </w:p>
        </w:tc>
        <w:tc>
          <w:tcPr>
            <w:tcW w:type="dxa" w:w="2016"/>
          </w:tcPr>
          <w:p>
            <w:r>
              <w:rPr>
                <w:rFonts w:ascii="Calibri" w:hAnsi="Calibri"/>
                <w:color w:val="333333"/>
                <w:sz w:val="18"/>
              </w:rPr>
              <w:t>13</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$402.8B</w:t>
            </w:r>
          </w:p>
        </w:tc>
        <w:tc>
          <w:tcPr>
            <w:tcW w:type="dxa" w:w="2016"/>
            <w:shd w:fill="F2F4F8" w:val="clear"/>
          </w:tcPr>
          <w:p>
            <w:r>
              <w:rPr>
                <w:rFonts w:ascii="Calibri" w:hAnsi="Calibri"/>
                <w:color w:val="333333"/>
                <w:sz w:val="18"/>
              </w:rPr>
              <w:t>3</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$716.9B</w:t>
            </w:r>
          </w:p>
        </w:tc>
        <w:tc>
          <w:tcPr>
            <w:tcW w:type="dxa" w:w="2016"/>
          </w:tcPr>
          <w:p>
            <w:r>
              <w:rPr>
                <w:rFonts w:ascii="Calibri" w:hAnsi="Calibri"/>
                <w:color w:val="333333"/>
                <w:sz w:val="18"/>
              </w:rPr>
              <w:t>2</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$201.0B</w:t>
            </w:r>
          </w:p>
        </w:tc>
        <w:tc>
          <w:tcPr>
            <w:tcW w:type="dxa" w:w="2016"/>
            <w:shd w:fill="F2F4F8" w:val="clear"/>
          </w:tcPr>
          <w:p>
            <w:r>
              <w:rPr>
                <w:rFonts w:ascii="Calibri" w:hAnsi="Calibri"/>
                <w:color w:val="333333"/>
                <w:sz w:val="18"/>
              </w:rPr>
              <w:t>3</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$215.9B</w:t>
            </w:r>
          </w:p>
        </w:tc>
        <w:tc>
          <w:tcPr>
            <w:tcW w:type="dxa" w:w="2016"/>
          </w:tcPr>
          <w:p>
            <w:r>
              <w:rPr>
                <w:rFonts w:ascii="Calibri" w:hAnsi="Calibri"/>
                <w:color w:val="333333"/>
                <w:sz w:val="18"/>
              </w:rPr>
              <w:t>14</w:t>
            </w:r>
          </w:p>
        </w:tc>
      </w:tr>
      <w:tr>
        <w:tc>
          <w:tcPr>
            <w:tcW w:type="dxa" w:w="2016"/>
            <w:shd w:fill="F2F4F8" w:val="clear"/>
          </w:tcPr>
          <w:p>
            <w:r>
              <w:rPr>
                <w:rFonts w:ascii="Calibri" w:hAnsi="Calibri"/>
                <w:color w:val="333333"/>
                <w:sz w:val="18"/>
              </w:rPr>
              <w:t>CRM</w:t>
            </w:r>
          </w:p>
        </w:tc>
        <w:tc>
          <w:tcPr>
            <w:tcW w:type="dxa" w:w="2016"/>
            <w:shd w:fill="F2F4F8" w:val="clear"/>
          </w:tcPr>
          <w:p>
            <w:r>
              <w:rPr>
                <w:rFonts w:ascii="Calibri" w:hAnsi="Calibri"/>
                <w:color w:val="333333"/>
                <w:sz w:val="18"/>
              </w:rPr>
              <w:t>Salesforce, Inc.</w:t>
            </w:r>
          </w:p>
        </w:tc>
        <w:tc>
          <w:tcPr>
            <w:tcW w:type="dxa" w:w="2016"/>
            <w:shd w:fill="F2F4F8" w:val="clear"/>
          </w:tcPr>
          <w:p>
            <w:r>
              <w:rPr>
                <w:rFonts w:ascii="Calibri" w:hAnsi="Calibri"/>
                <w:color w:val="333333"/>
                <w:sz w:val="18"/>
              </w:rPr>
              <w:t>$175.4B</w:t>
            </w:r>
          </w:p>
        </w:tc>
        <w:tc>
          <w:tcPr>
            <w:tcW w:type="dxa" w:w="2016"/>
            <w:shd w:fill="F2F4F8" w:val="clear"/>
          </w:tcPr>
          <w:p>
            <w:r>
              <w:rPr>
                <w:rFonts w:ascii="Calibri" w:hAnsi="Calibri"/>
                <w:color w:val="333333"/>
                <w:sz w:val="18"/>
              </w:rPr>
              <w:t>$41.5B</w:t>
            </w:r>
          </w:p>
        </w:tc>
        <w:tc>
          <w:tcPr>
            <w:tcW w:type="dxa" w:w="2016"/>
            <w:shd w:fill="F2F4F8" w:val="clear"/>
          </w:tcPr>
          <w:p>
            <w:r>
              <w:rPr>
                <w:rFonts w:ascii="Calibri" w:hAnsi="Calibri"/>
                <w:color w:val="333333"/>
                <w:sz w:val="18"/>
              </w:rPr>
              <w:t>22</w:t>
            </w:r>
          </w:p>
        </w:tc>
      </w:tr>
      <w:tr>
        <w:tc>
          <w:tcPr>
            <w:tcW w:type="dxa" w:w="2016"/>
          </w:tcPr>
          <w:p>
            <w:r>
              <w:rPr>
                <w:rFonts w:ascii="Calibri" w:hAnsi="Calibri"/>
                <w:color w:val="333333"/>
                <w:sz w:val="18"/>
              </w:rPr>
              <w:t>ADBE</w:t>
            </w:r>
          </w:p>
        </w:tc>
        <w:tc>
          <w:tcPr>
            <w:tcW w:type="dxa" w:w="2016"/>
          </w:tcPr>
          <w:p>
            <w:r>
              <w:rPr>
                <w:rFonts w:ascii="Calibri" w:hAnsi="Calibri"/>
                <w:color w:val="333333"/>
                <w:sz w:val="18"/>
              </w:rPr>
              <w:t>Adobe Inc.</w:t>
            </w:r>
          </w:p>
        </w:tc>
        <w:tc>
          <w:tcPr>
            <w:tcW w:type="dxa" w:w="2016"/>
          </w:tcPr>
          <w:p>
            <w:r>
              <w:rPr>
                <w:rFonts w:ascii="Calibri" w:hAnsi="Calibri"/>
                <w:color w:val="333333"/>
                <w:sz w:val="18"/>
              </w:rPr>
              <w:t>$99.0B</w:t>
            </w:r>
          </w:p>
        </w:tc>
        <w:tc>
          <w:tcPr>
            <w:tcW w:type="dxa" w:w="2016"/>
          </w:tcPr>
          <w:p>
            <w:r>
              <w:rPr>
                <w:rFonts w:ascii="Calibri" w:hAnsi="Calibri"/>
                <w:color w:val="333333"/>
                <w:sz w:val="18"/>
              </w:rPr>
              <w:t>$24.5B</w:t>
            </w:r>
          </w:p>
        </w:tc>
        <w:tc>
          <w:tcPr>
            <w:tcW w:type="dxa" w:w="2016"/>
          </w:tcPr>
          <w:p>
            <w:r>
              <w:rPr>
                <w:rFonts w:ascii="Calibri" w:hAnsi="Calibri"/>
                <w:color w:val="333333"/>
                <w:sz w:val="18"/>
              </w:rPr>
              <w:t>25</w:t>
            </w:r>
          </w:p>
        </w:tc>
      </w:tr>
      <w:tr>
        <w:tc>
          <w:tcPr>
            <w:tcW w:type="dxa" w:w="2016"/>
            <w:shd w:fill="F2F4F8" w:val="clear"/>
          </w:tcPr>
          <w:p>
            <w:r>
              <w:rPr>
                <w:rFonts w:ascii="Calibri" w:hAnsi="Calibri"/>
                <w:color w:val="333333"/>
                <w:sz w:val="18"/>
              </w:rPr>
              <w:t>ORCL</w:t>
            </w:r>
          </w:p>
        </w:tc>
        <w:tc>
          <w:tcPr>
            <w:tcW w:type="dxa" w:w="2016"/>
            <w:shd w:fill="F2F4F8" w:val="clear"/>
          </w:tcPr>
          <w:p>
            <w:r>
              <w:rPr>
                <w:rFonts w:ascii="Calibri" w:hAnsi="Calibri"/>
                <w:color w:val="333333"/>
                <w:sz w:val="18"/>
              </w:rPr>
              <w:t>Oracle Corporation</w:t>
            </w:r>
          </w:p>
        </w:tc>
        <w:tc>
          <w:tcPr>
            <w:tcW w:type="dxa" w:w="2016"/>
            <w:shd w:fill="F2F4F8" w:val="clear"/>
          </w:tcPr>
          <w:p>
            <w:r>
              <w:rPr>
                <w:rFonts w:ascii="Calibri" w:hAnsi="Calibri"/>
                <w:color w:val="333333"/>
                <w:sz w:val="18"/>
              </w:rPr>
              <w:t>$421.0B</w:t>
            </w:r>
          </w:p>
        </w:tc>
        <w:tc>
          <w:tcPr>
            <w:tcW w:type="dxa" w:w="2016"/>
            <w:shd w:fill="F2F4F8" w:val="clear"/>
          </w:tcPr>
          <w:p>
            <w:r>
              <w:rPr>
                <w:rFonts w:ascii="Calibri" w:hAnsi="Calibri"/>
                <w:color w:val="333333"/>
                <w:sz w:val="18"/>
              </w:rPr>
              <w:t>$64.1B</w:t>
            </w:r>
          </w:p>
        </w:tc>
        <w:tc>
          <w:tcPr>
            <w:tcW w:type="dxa" w:w="2016"/>
            <w:shd w:fill="F2F4F8" w:val="clear"/>
          </w:tcPr>
          <w:p>
            <w:r>
              <w:rPr>
                <w:rFonts w:ascii="Calibri" w:hAnsi="Calibri"/>
                <w:color w:val="333333"/>
                <w:sz w:val="18"/>
              </w:rPr>
              <w:t>18</w:t>
            </w:r>
          </w:p>
        </w:tc>
      </w:tr>
      <w:tr>
        <w:tc>
          <w:tcPr>
            <w:tcW w:type="dxa" w:w="2016"/>
          </w:tcPr>
          <w:p>
            <w:r>
              <w:rPr>
                <w:rFonts w:ascii="Calibri" w:hAnsi="Calibri"/>
                <w:color w:val="333333"/>
                <w:sz w:val="18"/>
              </w:rPr>
              <w:t>CSCO</w:t>
            </w:r>
          </w:p>
        </w:tc>
        <w:tc>
          <w:tcPr>
            <w:tcW w:type="dxa" w:w="2016"/>
          </w:tcPr>
          <w:p>
            <w:r>
              <w:rPr>
                <w:rFonts w:ascii="Calibri" w:hAnsi="Calibri"/>
                <w:color w:val="333333"/>
                <w:sz w:val="18"/>
              </w:rPr>
              <w:t>Cisco Systems, Inc.</w:t>
            </w:r>
          </w:p>
        </w:tc>
        <w:tc>
          <w:tcPr>
            <w:tcW w:type="dxa" w:w="2016"/>
          </w:tcPr>
          <w:p>
            <w:r>
              <w:rPr>
                <w:rFonts w:ascii="Calibri" w:hAnsi="Calibri"/>
                <w:color w:val="333333"/>
                <w:sz w:val="18"/>
              </w:rPr>
              <w:t>$312.2B</w:t>
            </w:r>
          </w:p>
        </w:tc>
        <w:tc>
          <w:tcPr>
            <w:tcW w:type="dxa" w:w="2016"/>
          </w:tcPr>
          <w:p>
            <w:r>
              <w:rPr>
                <w:rFonts w:ascii="Calibri" w:hAnsi="Calibri"/>
                <w:color w:val="333333"/>
                <w:sz w:val="18"/>
              </w:rPr>
              <w:t>$59.1B</w:t>
            </w:r>
          </w:p>
        </w:tc>
        <w:tc>
          <w:tcPr>
            <w:tcW w:type="dxa" w:w="2016"/>
          </w:tcPr>
          <w:p>
            <w:r>
              <w:rPr>
                <w:rFonts w:ascii="Calibri" w:hAnsi="Calibri"/>
                <w:color w:val="333333"/>
                <w:sz w:val="18"/>
              </w:rPr>
              <w:t>19</w:t>
            </w:r>
          </w:p>
        </w:tc>
      </w:tr>
      <w:tr>
        <w:tc>
          <w:tcPr>
            <w:tcW w:type="dxa" w:w="2016"/>
            <w:shd w:fill="F2F4F8" w:val="clear"/>
          </w:tcPr>
          <w:p>
            <w:r>
              <w:rPr>
                <w:rFonts w:ascii="Calibri" w:hAnsi="Calibri"/>
                <w:color w:val="333333"/>
                <w:sz w:val="18"/>
              </w:rPr>
              <w:t>INTC</w:t>
            </w:r>
          </w:p>
        </w:tc>
        <w:tc>
          <w:tcPr>
            <w:tcW w:type="dxa" w:w="2016"/>
            <w:shd w:fill="F2F4F8" w:val="clear"/>
          </w:tcPr>
          <w:p>
            <w:r>
              <w:rPr>
                <w:rFonts w:ascii="Calibri" w:hAnsi="Calibri"/>
                <w:color w:val="333333"/>
                <w:sz w:val="18"/>
              </w:rPr>
              <w:t>Intel Corporation</w:t>
            </w:r>
          </w:p>
        </w:tc>
        <w:tc>
          <w:tcPr>
            <w:tcW w:type="dxa" w:w="2016"/>
            <w:shd w:fill="F2F4F8" w:val="clear"/>
          </w:tcPr>
          <w:p>
            <w:r>
              <w:rPr>
                <w:rFonts w:ascii="Calibri" w:hAnsi="Calibri"/>
                <w:color w:val="333333"/>
                <w:sz w:val="18"/>
              </w:rPr>
              <w:t>$253.0B</w:t>
            </w:r>
          </w:p>
        </w:tc>
        <w:tc>
          <w:tcPr>
            <w:tcW w:type="dxa" w:w="2016"/>
            <w:shd w:fill="F2F4F8" w:val="clear"/>
          </w:tcPr>
          <w:p>
            <w:r>
              <w:rPr>
                <w:rFonts w:ascii="Calibri" w:hAnsi="Calibri"/>
                <w:color w:val="333333"/>
                <w:sz w:val="18"/>
              </w:rPr>
              <w:t>$52.9B</w:t>
            </w:r>
          </w:p>
        </w:tc>
        <w:tc>
          <w:tcPr>
            <w:tcW w:type="dxa" w:w="2016"/>
            <w:shd w:fill="F2F4F8" w:val="clear"/>
          </w:tcPr>
          <w:p>
            <w:r>
              <w:rPr>
                <w:rFonts w:ascii="Calibri" w:hAnsi="Calibri"/>
                <w:color w:val="333333"/>
                <w:sz w:val="18"/>
              </w:rPr>
              <w:t>20</w:t>
            </w:r>
          </w:p>
        </w:tc>
      </w:tr>
    </w:tbl>
    <w:p>
      <w:pPr>
        <w:pStyle w:val="DOBody"/>
      </w:pPr>
      <w:r>
        <w:t>Revenue: Ranks at the 0th percentile among 10 peers. Leverage: Ranks at the 98th percentile among 0 peers (peer median: 2.0x).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The board consists of only three directors with no disclosed independence ratio or qualifications, as the proxy lists placeholder names like "To Serve As" and "Class Expiration," revealing a severe lack of transparency. Charles Liang, with an 11-year tenure as CEO and $18.1 million in total compensation, operates without the counterbalance of an independent chair, concentrating strategic oversight. This minimal structure, combined with a classified board and a governance score of 39.6, creates severe *Caremark* duty of oversight exposure, as there is no evidence of a functioning committee framework to monitor enterprise risk. The proxy's lack of substantive director disclosures directly implicates the duty of candor, making the company highly vulnerable to derivative suits challenging the board's fundamental composition and oversight capacity. Any material operational failure would face immediate allegations of a complete board-level control failure, given that 4 of 90 governance checks were triggered. Underwriting this risk requires pricing for the high probability that any significant loss event will target the directors personally for these systemic governance deficiencies.</w:t>
      </w:r>
    </w:p>
    <w:p>
      <w:pPr>
        <w:pStyle w:val="DOHeading1"/>
      </w:pPr>
      <w:r>
        <w:t>Section 5: Governance &amp; Leadership</w:t>
      </w:r>
    </w:p>
    <w:p>
      <w:pPr>
        <w:pStyle w:val="DOBody"/>
      </w:pPr>
      <w:r>
        <w:rPr>
          <w:rFonts w:ascii="Calibri" w:hAnsi="Calibri"/>
          <w:color w:val="333333"/>
          <w:sz w:val="20"/>
        </w:rPr>
        <w:t>Leadership team is stable with average tenure of 11.0 years. Board governance is weak (40/100), raising oversight concerns.</w:t>
      </w:r>
      <w:r>
        <w:rPr>
          <w:rFonts w:ascii="Consolas" w:hAnsi="Consolas"/>
          <w:color w:val="666666"/>
          <w:sz w:val="16"/>
        </w:rPr>
        <w:t xml:space="preserve">  [Rule-based synthesis of governance extraction results, 2026-04-03, LOW]</w:t>
      </w:r>
    </w:p>
    <w:p>
      <w:pPr>
        <w:pStyle w:val="DOBody"/>
      </w:pPr>
      <w:r>
        <w:rPr>
          <w:rFonts w:ascii="Calibri" w:hAnsi="Calibri"/>
          <w:color w:val="333333"/>
          <w:sz w:val="20"/>
        </w:rPr>
        <w:t>Governance Quality Score: 39.6/10</w:t>
      </w:r>
      <w:r>
        <w:rPr>
          <w:rFonts w:ascii="Consolas" w:hAnsi="Consolas"/>
          <w:color w:val="666666"/>
          <w:sz w:val="16"/>
        </w:rPr>
        <w:t xml:space="preserve">  [Computed from governance dimensions, 2026-04-03,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Charles Liang</w:t>
            </w:r>
          </w:p>
        </w:tc>
        <w:tc>
          <w:tcPr>
            <w:tcW w:type="dxa" w:w="1680"/>
          </w:tcPr>
          <w:p>
            <w:r>
              <w:rPr>
                <w:rFonts w:ascii="Calibri" w:hAnsi="Calibri"/>
                <w:color w:val="333333"/>
                <w:sz w:val="18"/>
              </w:rPr>
              <w:t>CEO</w:t>
            </w:r>
          </w:p>
        </w:tc>
        <w:tc>
          <w:tcPr>
            <w:tcW w:type="dxa" w:w="1680"/>
          </w:tcPr>
          <w:p>
            <w:r>
              <w:rPr>
                <w:rFonts w:ascii="Calibri" w:hAnsi="Calibri"/>
                <w:color w:val="333333"/>
                <w:sz w:val="18"/>
              </w:rPr>
              <w:t>11.0</w:t>
            </w:r>
          </w:p>
        </w:tc>
        <w:tc>
          <w:tcPr>
            <w:tcW w:type="dxa" w:w="1680"/>
          </w:tcPr>
          <w:p>
            <w:r>
              <w:rPr>
                <w:rFonts w:ascii="Calibri" w:hAnsi="Calibri"/>
                <w:color w:val="333333"/>
                <w:sz w:val="18"/>
              </w:rPr>
              <w:t>ACTIVE</w:t>
            </w:r>
          </w:p>
        </w:tc>
        <w:tc>
          <w:tcPr>
            <w:tcW w:type="dxa" w:w="1680"/>
          </w:tcPr>
          <w:p>
            <w:r>
              <w:rPr>
                <w:rFonts w:ascii="Calibri" w:hAnsi="Calibri"/>
                <w:color w:val="333333"/>
                <w:sz w:val="18"/>
              </w:rPr>
              <w:t>5</w:t>
            </w:r>
          </w:p>
        </w:tc>
        <w:tc>
          <w:tcPr>
            <w:tcW w:type="dxa" w:w="1680"/>
          </w:tcPr>
          <w:p>
            <w:r>
              <w:rPr>
                <w:rFonts w:ascii="Calibri" w:hAnsi="Calibri"/>
                <w:color w:val="333333"/>
                <w:sz w:val="18"/>
              </w:rPr>
              <w:t>None</w:t>
            </w:r>
          </w:p>
        </w:tc>
      </w:tr>
    </w:tbl>
    <w:p>
      <w:pPr>
        <w:pStyle w:val="DOBody"/>
      </w:pPr>
      <w:r>
        <w:rPr>
          <w:i/>
          <w:sz w:val="16"/>
        </w:rPr>
        <w:t>D&amp;O Context (Charles Liang, 5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2026-04-03,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To Serve As</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Unless Otherwise Specified</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Class Expiration</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$18.1M</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56.3%</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13.9%</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29.8%</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Geode Capital Management, LLC</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Morgan Stanley</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Super Micro currently faces three active SCAs, including the *In re Super Micro Computer, Inc. Securities Litigation (2024)* with a class period from April 30, 2024, to March 19, 2026, led by top-tier plaintiffs' firms Robbins Geller, Frank R. Cruz, and Glancy Prongay. The company's adjusted SCA filing rate of 11.18% more than doubles the 5.0% sector average, indicating a severe recurrence probability that demands a material surcharge. With six open solicitation campaigns actively building plaintiff groups and no SEC enforcement stage yet, we face a heightened risk of a corrective disclosure event that will amplify these class actions; defense costs alone will be material given the MODERATE defense strength and the complex, fact-intensive allegations around revenue recognition and supply chain disclosures, which are prevalent industry patterns. The absence of any prior settlement history for benchmarking is a critical blind spot, forcing us to extrapolate from peer hardware companies while accounting for Super Micro's uniquely elevated filing frequency, which is more than twice the sector norm.</w:t>
      </w:r>
    </w:p>
    <w:p>
      <w:pPr>
        <w:pStyle w:val="DOHeading1"/>
      </w:pPr>
      <w:r>
        <w:t>Section 6: Litigation &amp; Regulatory Exposure</w:t>
      </w:r>
    </w:p>
    <w:p>
      <w:pPr>
        <w:pStyle w:val="DOBody"/>
      </w:pPr>
      <w:r>
        <w:rPr>
          <w:rFonts w:ascii="Calibri" w:hAnsi="Calibri"/>
          <w:color w:val="333333"/>
          <w:sz w:val="20"/>
        </w:rPr>
        <w:t>The company faces 3 active securities class action(s). The primary case, In re Super Micro Computer, Inc. Securities Litigation (2024), is currently pending. Industry claim exposure: revenue_recognition, supply_chain_disclosure, ip_misrepresentation.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2 active matter(s), 2 historical matter(s)</w:t>
      </w:r>
    </w:p>
    <w:p>
      <w:pPr>
        <w:pStyle w:val="DOHeading3"/>
      </w:pPr>
      <w:r>
        <w:t>Litigation Timeline</w:t>
      </w:r>
    </w:p>
    <w:p>
      <w:r>
        <w:drawing>
          <wp:inline xmlns:a="http://schemas.openxmlformats.org/drawingml/2006/main" xmlns:pic="http://schemas.openxmlformats.org/drawingml/2006/picture">
            <wp:extent cx="5943600" cy="2932276"/>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932276"/>
                    </a:xfrm>
                    <a:prstGeom prst="rect"/>
                  </pic:spPr>
                </pic:pic>
              </a:graphicData>
            </a:graphic>
          </wp:inline>
        </w:drawing>
      </w:r>
    </w:p>
    <w:p>
      <w:pPr>
        <w:pStyle w:val="DOCaption"/>
      </w:pPr>
      <w:r>
        <w:t>Figure: Chronological litigation and regulatory events overlaid with corporate events for pattern recognition</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Super Micro Computer, Inc. Securities (2026)</w:t>
            </w:r>
          </w:p>
        </w:tc>
        <w:tc>
          <w:tcPr>
            <w:tcW w:type="dxa" w:w="1008"/>
          </w:tcPr>
          <w:p>
            <w:r>
              <w:rPr>
                <w:rFonts w:ascii="Calibri" w:hAnsi="Calibri"/>
                <w:color w:val="333333"/>
                <w:sz w:val="18"/>
              </w:rPr>
              <w:t>N/A</w:t>
            </w:r>
          </w:p>
        </w:tc>
        <w:tc>
          <w:tcPr>
            <w:tcW w:type="dxa" w:w="1008"/>
          </w:tcPr>
          <w:p>
            <w:r>
              <w:rPr>
                <w:rFonts w:ascii="Calibri" w:hAnsi="Calibri"/>
                <w:color w:val="333333"/>
                <w:sz w:val="18"/>
              </w:rPr>
              <w:t>Regulatory</w:t>
            </w:r>
          </w:p>
        </w:tc>
        <w:tc>
          <w:tcPr>
            <w:tcW w:type="dxa" w:w="1008"/>
          </w:tcPr>
          <w:p>
            <w:r>
              <w:rPr>
                <w:rFonts w:ascii="Calibri" w:hAnsi="Calibri"/>
                <w:color w:val="333333"/>
                <w:sz w:val="18"/>
              </w:rPr>
              <w:t>N.D. Cal.</w:t>
            </w:r>
          </w:p>
        </w:tc>
        <w:tc>
          <w:tcPr>
            <w:tcW w:type="dxa" w:w="1008"/>
          </w:tcPr>
          <w:p>
            <w:r>
              <w:rPr>
                <w:rFonts w:ascii="Calibri" w:hAnsi="Calibri"/>
                <w:color w:val="333333"/>
                <w:sz w:val="18"/>
              </w:rPr>
              <w:t>2026-03-25</w:t>
            </w:r>
          </w:p>
        </w:tc>
        <w:tc>
          <w:tcPr>
            <w:tcW w:type="dxa" w:w="1008"/>
          </w:tcPr>
          <w:p>
            <w:r>
              <w:rPr>
                <w:rFonts w:ascii="Calibri" w:hAnsi="Calibri"/>
                <w:color w:val="333333"/>
                <w:sz w:val="18"/>
              </w:rPr>
              <w:t>ACTIVE</w:t>
            </w:r>
          </w:p>
        </w:tc>
        <w:tc>
          <w:tcPr>
            <w:tcW w:type="dxa" w:w="1008"/>
          </w:tcPr>
          <w:p>
            <w:r>
              <w:rPr>
                <w:rFonts w:ascii="Calibri" w:hAnsi="Calibri"/>
                <w:color w:val="333333"/>
                <w:sz w:val="18"/>
              </w:rPr>
              <w:t>N/A</w:t>
            </w:r>
          </w:p>
        </w:tc>
        <w:tc>
          <w:tcPr>
            <w:tcW w:type="dxa" w:w="1008"/>
          </w:tcPr>
          <w:p>
            <w:r>
              <w:rPr>
                <w:rFonts w:ascii="Calibri" w:hAnsi="Calibri"/>
                <w:color w:val="333333"/>
                <w:sz w:val="18"/>
              </w:rPr>
              <w:t>Robbins Geller; Frank R. Cruz; Glancy Prongay</w:t>
            </w:r>
          </w:p>
        </w:tc>
        <w:tc>
          <w:tcPr>
            <w:tcW w:type="dxa" w:w="1008"/>
          </w:tcPr>
          <w:p>
            <w:r>
              <w:rPr>
                <w:rFonts w:ascii="Calibri" w:hAnsi="Calibri"/>
                <w:color w:val="333333"/>
                <w:sz w:val="18"/>
              </w:rPr>
              <w:t>N/A</w:t>
            </w:r>
          </w:p>
        </w:tc>
        <w:tc>
          <w:tcPr>
            <w:tcW w:type="dxa" w:w="1008"/>
          </w:tcPr>
          <w:p>
            <w:r>
              <w:rPr>
                <w:rFonts w:ascii="Calibri" w:hAnsi="Calibri"/>
                <w:color w:val="333333"/>
                <w:sz w:val="18"/>
              </w:rPr>
              <w:t>[web search, 2026-04-03, LOW]</w:t>
            </w:r>
          </w:p>
        </w:tc>
      </w:tr>
      <w:tr>
        <w:tc>
          <w:tcPr>
            <w:tcW w:type="dxa" w:w="1008"/>
            <w:shd w:fill="F2F4F8" w:val="clear"/>
          </w:tcPr>
          <w:p>
            <w:r>
              <w:rPr>
                <w:rFonts w:ascii="Calibri" w:hAnsi="Calibri"/>
                <w:color w:val="333333"/>
                <w:sz w:val="18"/>
              </w:rPr>
              <w:t>In re Super Micro Computer, Inc. Securities Litigation (2024)</w:t>
            </w:r>
          </w:p>
        </w:tc>
        <w:tc>
          <w:tcPr>
            <w:tcW w:type="dxa" w:w="1008"/>
            <w:shd w:fill="F2F4F8" w:val="clear"/>
          </w:tcPr>
          <w:p>
            <w:r>
              <w:rPr>
                <w:rFonts w:ascii="Calibri" w:hAnsi="Calibri"/>
                <w:color w:val="333333"/>
                <w:sz w:val="18"/>
              </w:rPr>
              <w:t>Rule 10b-5</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2024-08-30</w:t>
            </w:r>
          </w:p>
        </w:tc>
        <w:tc>
          <w:tcPr>
            <w:tcW w:type="dxa" w:w="1008"/>
            <w:shd w:fill="F2F4F8" w:val="clear"/>
          </w:tcPr>
          <w:p>
            <w:r>
              <w:rPr>
                <w:rFonts w:ascii="Calibri" w:hAnsi="Calibri"/>
                <w:color w:val="333333"/>
                <w:sz w:val="18"/>
              </w:rPr>
              <w:t>ACTIVE</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[Supabase SCA database, 2026-04-03, MEDIUM]</w:t>
            </w:r>
          </w:p>
        </w:tc>
      </w:tr>
      <w:tr>
        <w:tc>
          <w:tcPr>
            <w:tcW w:type="dxa" w:w="1008"/>
          </w:tcPr>
          <w:p>
            <w:r>
              <w:rPr>
                <w:rFonts w:ascii="Calibri" w:hAnsi="Calibri"/>
                <w:color w:val="333333"/>
                <w:sz w:val="18"/>
              </w:rPr>
              <w:t>In re Super Micro Computer, Inc. Securities Litigation (2018)</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N/A</w:t>
            </w:r>
          </w:p>
        </w:tc>
        <w:tc>
          <w:tcPr>
            <w:tcW w:type="dxa" w:w="1008"/>
          </w:tcPr>
          <w:p>
            <w:r>
              <w:rPr>
                <w:rFonts w:ascii="Calibri" w:hAnsi="Calibri"/>
                <w:color w:val="333333"/>
                <w:sz w:val="18"/>
              </w:rPr>
              <w:t>2018-02-08</w:t>
            </w:r>
          </w:p>
        </w:tc>
        <w:tc>
          <w:tcPr>
            <w:tcW w:type="dxa" w:w="1008"/>
          </w:tcPr>
          <w:p>
            <w:r>
              <w:rPr>
                <w:rFonts w:ascii="Calibri" w:hAnsi="Calibri"/>
                <w:color w:val="333333"/>
                <w:sz w:val="18"/>
              </w:rPr>
              <w:t>SETTLED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$3.4M</w:t>
            </w:r>
          </w:p>
        </w:tc>
        <w:tc>
          <w:tcPr>
            <w:tcW w:type="dxa" w:w="1008"/>
          </w:tcPr>
          <w:p>
            <w:r>
              <w:rPr>
                <w:rFonts w:ascii="Calibri" w:hAnsi="Calibri"/>
                <w:color w:val="333333"/>
                <w:sz w:val="18"/>
              </w:rPr>
              <w:t>[Supabase SCA database, 2026-04-03, MEDIUM]</w:t>
            </w:r>
          </w:p>
        </w:tc>
      </w:tr>
      <w:tr>
        <w:tc>
          <w:tcPr>
            <w:tcW w:type="dxa" w:w="1008"/>
            <w:shd w:fill="F2F4F8" w:val="clear"/>
          </w:tcPr>
          <w:p>
            <w:r>
              <w:rPr>
                <w:rFonts w:ascii="Calibri" w:hAnsi="Calibri"/>
                <w:color w:val="333333"/>
                <w:sz w:val="18"/>
              </w:rPr>
              <w:t>In re Super Micro Computer, Inc. Securities Litigation (2015)</w:t>
            </w:r>
          </w:p>
        </w:tc>
        <w:tc>
          <w:tcPr>
            <w:tcW w:type="dxa" w:w="1008"/>
            <w:shd w:fill="F2F4F8" w:val="clear"/>
          </w:tcPr>
          <w:p>
            <w:r>
              <w:rPr>
                <w:rFonts w:ascii="Calibri" w:hAnsi="Calibri"/>
                <w:color w:val="333333"/>
                <w:sz w:val="18"/>
              </w:rPr>
              <w:t>Rule 10b-5</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2015-09-04</w:t>
            </w:r>
          </w:p>
        </w:tc>
        <w:tc>
          <w:tcPr>
            <w:tcW w:type="dxa" w:w="1008"/>
            <w:shd w:fill="F2F4F8" w:val="clear"/>
          </w:tcPr>
          <w:p>
            <w:r>
              <w:rPr>
                <w:rFonts w:ascii="Calibri" w:hAnsi="Calibri"/>
                <w:color w:val="333333"/>
                <w:sz w:val="18"/>
              </w:rPr>
              <w:t>DISMISSED</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[Supabase SCA database, 2026-04-03, MEDIUM]</w:t>
            </w:r>
          </w:p>
        </w:tc>
      </w:tr>
    </w:tbl>
    <w:p>
      <w:pPr>
        <w:pStyle w:val="DOBody"/>
        <w:shd w:fill="FCE8E6" w:val="clear"/>
      </w:pPr>
      <w:r>
        <w:rPr>
          <w:b/>
          <w:color w:val="EA580C"/>
          <w:sz w:val="18"/>
        </w:rPr>
        <w:t xml:space="preserve">[HIGH] </w:t>
      </w:r>
      <w:r>
        <w:rPr>
          <w:b/>
          <w:sz w:val="20"/>
        </w:rPr>
        <w:t>1 Active Securities Class Action(s)</w:t>
      </w:r>
      <w:r>
        <w:rPr>
          <w:color w:val="666666"/>
          <w:sz w:val="16"/>
        </w:rPr>
        <w:t xml:space="preserve"> --  triggered Active SCA Status (F1) — this agent risk (executive/director actions and decisions that create D&amp;O exposure) indicates Litigation History / Settlement Patterns. Evidence: Boolean check: Active case.</w:t>
      </w:r>
    </w:p>
    <w:p>
      <w:pPr>
        <w:pStyle w:val="DOCaption"/>
        <w:ind w:left="360"/>
      </w:pPr>
      <w:r>
        <w:rPr>
          <w:i/>
          <w:color w:val="666666"/>
          <w:sz w:val="18"/>
        </w:rPr>
        <w:t>Context: Cases with PSLRA safe harbor and forum selection provisions settle at 40% lower median amounts.</w:t>
      </w:r>
    </w:p>
    <w:p>
      <w:pPr>
        <w:pStyle w:val="DOBody"/>
      </w:pPr>
      <w:r>
        <w:rPr>
          <w:i/>
          <w:color w:val="FFD000"/>
          <w:sz w:val="18"/>
        </w:rPr>
        <w:t>See Meeting Prep: Active Litigation</w:t>
      </w:r>
    </w:p>
    <w:p>
      <w:pPr>
        <w:pStyle w:val="DOBody"/>
      </w:pPr>
      <w:r>
        <w:rPr>
          <w:i/>
          <w:sz w:val="16"/>
        </w:rPr>
        <w:t>D&amp;O Context: Historical settlements total $3.4M. Settlement history establishes severity baseline for pricing.</w:t>
      </w:r>
      <w:r>
        <w:rPr>
          <w:b/>
          <w:color w:val="EAB308"/>
          <w:sz w:val="18"/>
        </w:rPr>
        <w:t xml:space="preserve"> [ELEVATED]</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2026-04-03, LOW]</w:t>
      </w:r>
    </w:p>
    <w:p>
      <w:pPr>
        <w:pStyle w:val="DOHeading3"/>
      </w:pPr>
      <w:r>
        <w:t>Derivative Suits</w:t>
      </w:r>
    </w:p>
    <w:p>
      <w:pPr>
        <w:pStyle w:val="DOBody"/>
      </w:pPr>
      <w:r>
        <w:t>No derivative suit history found.</w:t>
      </w:r>
    </w:p>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DOJ_FCPA</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DOJ</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bl>
    <w:p>
      <w:pPr>
        <w:pStyle w:val="DOHeading3"/>
      </w:pPr>
      <w:r>
        <w:t>Industry Claim Patterns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Legal Theory</w:t>
            </w:r>
          </w:p>
        </w:tc>
        <w:tc>
          <w:tcPr>
            <w:tcW w:type="dxa" w:w="2520"/>
            <w:shd w:fill="1A1446" w:val="clear"/>
          </w:tcPr>
          <w:p>
            <w:r>
              <w:rPr>
                <w:rFonts w:ascii="Calibri" w:hAnsi="Calibri"/>
                <w:b/>
                <w:color w:val="FFFFFF"/>
                <w:sz w:val="18"/>
              </w:rPr>
              <w:t>Exposed</w:t>
            </w:r>
          </w:p>
        </w:tc>
        <w:tc>
          <w:tcPr>
            <w:tcW w:type="dxa" w:w="2520"/>
            <w:shd w:fill="1A1446" w:val="clear"/>
          </w:tcPr>
          <w:p>
            <w:r>
              <w:rPr>
                <w:rFonts w:ascii="Calibri" w:hAnsi="Calibri"/>
                <w:b/>
                <w:color w:val="FFFFFF"/>
                <w:sz w:val="18"/>
              </w:rPr>
              <w:t>Contagion Risk</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Revenue Recognition</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[Technology Hardware] Premature or fraudulent revenue recogn</w:t>
            </w:r>
          </w:p>
        </w:tc>
      </w:tr>
      <w:tr>
        <w:tc>
          <w:tcPr>
            <w:tcW w:type="dxa" w:w="2520"/>
            <w:shd w:fill="F2F4F8" w:val="clear"/>
          </w:tcPr>
          <w:p>
            <w:r>
              <w:rPr>
                <w:rFonts w:ascii="Calibri" w:hAnsi="Calibri"/>
                <w:color w:val="333333"/>
                <w:sz w:val="18"/>
              </w:rPr>
              <w:t>Supply Chain Disclosure</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[Technology Hardware] Failure to disclose supply chain disru</w:t>
            </w:r>
          </w:p>
        </w:tc>
      </w:tr>
      <w:tr>
        <w:tc>
          <w:tcPr>
            <w:tcW w:type="dxa" w:w="2520"/>
          </w:tcPr>
          <w:p>
            <w:r>
              <w:rPr>
                <w:rFonts w:ascii="Calibri" w:hAnsi="Calibri"/>
                <w:color w:val="333333"/>
                <w:sz w:val="18"/>
              </w:rPr>
              <w:t>Ip Misrepresentation</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[Technology Hardware] Overstating IP portfolio value or prot</w:t>
            </w:r>
          </w:p>
        </w:tc>
      </w:tr>
    </w:tbl>
    <w:p>
      <w:pPr>
        <w:pStyle w:val="DOBody"/>
      </w:pPr>
      <w:r>
        <w:rPr>
          <w:i/>
          <w:sz w:val="16"/>
        </w:rPr>
        <w:t>D&amp;O Context: Company exposed to 3 industry claim pattern(s). Peer lawsuits create contagion risk -- plaintiff firms often file similar claims across the industry.</w:t>
      </w:r>
      <w:r>
        <w:rPr>
          <w:b/>
          <w:color w:val="EAB308"/>
          <w:sz w:val="18"/>
        </w:rPr>
        <w:t xml:space="preserve"> [ELEVATED]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2025-08-28</w:t>
            </w:r>
          </w:p>
        </w:tc>
        <w:tc>
          <w:tcPr>
            <w:tcW w:type="dxa" w:w="2016"/>
          </w:tcPr>
          <w:p>
            <w:r>
              <w:rPr>
                <w:rFonts w:ascii="Calibri" w:hAnsi="Calibri"/>
                <w:color w:val="333333"/>
                <w:sz w:val="18"/>
              </w:rPr>
              <w:t>2027-08-28</w:t>
            </w:r>
          </w:p>
        </w:tc>
        <w:tc>
          <w:tcPr>
            <w:tcW w:type="dxa" w:w="2016"/>
          </w:tcPr>
          <w:p>
            <w:r>
              <w:rPr>
                <w:rFonts w:ascii="Calibri" w:hAnsi="Calibri"/>
                <w:color w:val="333333"/>
                <w:sz w:val="18"/>
              </w:rPr>
              <w:t>2027-08-28</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2025-08-28</w:t>
            </w:r>
          </w:p>
        </w:tc>
        <w:tc>
          <w:tcPr>
            <w:tcW w:type="dxa" w:w="2016"/>
            <w:shd w:fill="F2F4F8" w:val="clear"/>
          </w:tcPr>
          <w:p>
            <w:r>
              <w:rPr>
                <w:rFonts w:ascii="Calibri" w:hAnsi="Calibri"/>
                <w:color w:val="333333"/>
                <w:sz w:val="18"/>
              </w:rPr>
              <w:t>2029-08-27</w:t>
            </w:r>
          </w:p>
        </w:tc>
        <w:tc>
          <w:tcPr>
            <w:tcW w:type="dxa" w:w="2016"/>
            <w:shd w:fill="F2F4F8" w:val="clear"/>
          </w:tcPr>
          <w:p>
            <w:r>
              <w:rPr>
                <w:rFonts w:ascii="Calibri" w:hAnsi="Calibri"/>
                <w:color w:val="333333"/>
                <w:sz w:val="18"/>
              </w:rPr>
              <w:t>2029-08-27</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2025-08-28</w:t>
            </w:r>
          </w:p>
        </w:tc>
        <w:tc>
          <w:tcPr>
            <w:tcW w:type="dxa" w:w="2016"/>
          </w:tcPr>
          <w:p>
            <w:r>
              <w:rPr>
                <w:rFonts w:ascii="Calibri" w:hAnsi="Calibri"/>
                <w:color w:val="333333"/>
                <w:sz w:val="18"/>
              </w:rPr>
              <w:t>2030-08-27</w:t>
            </w:r>
          </w:p>
        </w:tc>
        <w:tc>
          <w:tcPr>
            <w:tcW w:type="dxa" w:w="2016"/>
          </w:tcPr>
          <w:p>
            <w:r>
              <w:rPr>
                <w:rFonts w:ascii="Calibri" w:hAnsi="Calibri"/>
                <w:color w:val="333333"/>
                <w:sz w:val="18"/>
              </w:rPr>
              <w:t>2030-08-27</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2025-08-28</w:t>
            </w:r>
          </w:p>
        </w:tc>
        <w:tc>
          <w:tcPr>
            <w:tcW w:type="dxa" w:w="2016"/>
            <w:shd w:fill="F2F4F8" w:val="clear"/>
          </w:tcPr>
          <w:p>
            <w:r>
              <w:rPr>
                <w:rFonts w:ascii="Calibri" w:hAnsi="Calibri"/>
                <w:color w:val="333333"/>
                <w:sz w:val="18"/>
              </w:rPr>
              <w:t>2030-08-27</w:t>
            </w:r>
          </w:p>
        </w:tc>
        <w:tc>
          <w:tcPr>
            <w:tcW w:type="dxa" w:w="2016"/>
            <w:shd w:fill="F2F4F8" w:val="clear"/>
          </w:tcPr>
          <w:p>
            <w:r>
              <w:rPr>
                <w:rFonts w:ascii="Calibri" w:hAnsi="Calibri"/>
                <w:color w:val="333333"/>
                <w:sz w:val="18"/>
              </w:rPr>
              <w:t>2030-08-27</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2025-08-28</w:t>
            </w:r>
          </w:p>
        </w:tc>
        <w:tc>
          <w:tcPr>
            <w:tcW w:type="dxa" w:w="2016"/>
          </w:tcPr>
          <w:p>
            <w:r>
              <w:rPr>
                <w:rFonts w:ascii="Calibri" w:hAnsi="Calibri"/>
                <w:color w:val="333333"/>
                <w:sz w:val="18"/>
              </w:rPr>
              <w:t>2028-08-27</w:t>
            </w:r>
          </w:p>
        </w:tc>
        <w:tc>
          <w:tcPr>
            <w:tcW w:type="dxa" w:w="2016"/>
          </w:tcPr>
          <w:p>
            <w:r>
              <w:rPr>
                <w:rFonts w:ascii="Calibri" w:hAnsi="Calibri"/>
                <w:color w:val="333333"/>
                <w:sz w:val="18"/>
              </w:rPr>
              <w:t>2031-08-27</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2025-08-28</w:t>
            </w:r>
          </w:p>
        </w:tc>
        <w:tc>
          <w:tcPr>
            <w:tcW w:type="dxa" w:w="2016"/>
            <w:shd w:fill="F2F4F8" w:val="clear"/>
          </w:tcPr>
          <w:p>
            <w:r>
              <w:rPr>
                <w:rFonts w:ascii="Calibri" w:hAnsi="Calibri"/>
                <w:color w:val="333333"/>
                <w:sz w:val="18"/>
              </w:rPr>
              <w:t>2028-08-27</w:t>
            </w:r>
          </w:p>
        </w:tc>
        <w:tc>
          <w:tcPr>
            <w:tcW w:type="dxa" w:w="2016"/>
            <w:shd w:fill="F2F4F8" w:val="clear"/>
          </w:tcPr>
          <w:p>
            <w:r>
              <w:rPr>
                <w:rFonts w:ascii="Calibri" w:hAnsi="Calibri"/>
                <w:color w:val="333333"/>
                <w:sz w:val="18"/>
              </w:rPr>
              <w:t>2031-08-27</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2015-09-04</w:t>
            </w:r>
          </w:p>
        </w:tc>
        <w:tc>
          <w:tcPr>
            <w:tcW w:type="dxa" w:w="2016"/>
          </w:tcPr>
          <w:p>
            <w:r>
              <w:rPr>
                <w:rFonts w:ascii="Calibri" w:hAnsi="Calibri"/>
                <w:color w:val="333333"/>
                <w:sz w:val="18"/>
              </w:rPr>
              <w:t>2016-09-03</w:t>
            </w:r>
          </w:p>
        </w:tc>
        <w:tc>
          <w:tcPr>
            <w:tcW w:type="dxa" w:w="2016"/>
          </w:tcPr>
          <w:p>
            <w:r>
              <w:rPr>
                <w:rFonts w:ascii="Calibri" w:hAnsi="Calibri"/>
                <w:color w:val="333333"/>
                <w:sz w:val="18"/>
              </w:rPr>
              <w:t>2018-09-03</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2015-09-04</w:t>
            </w:r>
          </w:p>
        </w:tc>
        <w:tc>
          <w:tcPr>
            <w:tcW w:type="dxa" w:w="2016"/>
            <w:shd w:fill="F2F4F8" w:val="clear"/>
          </w:tcPr>
          <w:p>
            <w:r>
              <w:rPr>
                <w:rFonts w:ascii="Calibri" w:hAnsi="Calibri"/>
                <w:color w:val="333333"/>
                <w:sz w:val="18"/>
              </w:rPr>
              <w:t>2016-09-03</w:t>
            </w:r>
          </w:p>
        </w:tc>
        <w:tc>
          <w:tcPr>
            <w:tcW w:type="dxa" w:w="2016"/>
            <w:shd w:fill="F2F4F8" w:val="clear"/>
          </w:tcPr>
          <w:p>
            <w:r>
              <w:rPr>
                <w:rFonts w:ascii="Calibri" w:hAnsi="Calibri"/>
                <w:color w:val="333333"/>
                <w:sz w:val="18"/>
              </w:rPr>
              <w:t>2018-09-03</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2015-09-04</w:t>
            </w:r>
          </w:p>
        </w:tc>
        <w:tc>
          <w:tcPr>
            <w:tcW w:type="dxa" w:w="2016"/>
          </w:tcPr>
          <w:p>
            <w:r>
              <w:rPr>
                <w:rFonts w:ascii="Calibri" w:hAnsi="Calibri"/>
                <w:color w:val="333333"/>
                <w:sz w:val="18"/>
              </w:rPr>
              <w:t>2017-09-03</w:t>
            </w:r>
          </w:p>
        </w:tc>
        <w:tc>
          <w:tcPr>
            <w:tcW w:type="dxa" w:w="2016"/>
          </w:tcPr>
          <w:p>
            <w:r>
              <w:rPr>
                <w:rFonts w:ascii="Calibri" w:hAnsi="Calibri"/>
                <w:color w:val="333333"/>
                <w:sz w:val="18"/>
              </w:rPr>
              <w:t>2020-09-02</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VIABLE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MODERATE with standard forward-looking statement protections. Additional defense factors include viable truth-on-the-market defense.</w:t>
      </w:r>
      <w:r>
        <w:rPr>
          <w:rFonts w:ascii="Consolas" w:hAnsi="Consolas"/>
          <w:color w:val="666666"/>
          <w:sz w:val="16"/>
        </w:rPr>
        <w:t xml:space="preserve">  [DEF 14A; 10-K, 2026-04-03, LOW]</w:t>
      </w:r>
    </w:p>
    <w:p>
      <w:pPr>
        <w:pStyle w:val="DOHeading3"/>
      </w:pPr>
      <w:r>
        <w:t>Contingent Liabilities</w:t>
      </w:r>
    </w:p>
    <w:p>
      <w:pPr>
        <w:pStyle w:val="DOBody"/>
      </w:pPr>
      <w:r>
        <w:t>No disclosed contingent liabilities found in SEC filings. Review Item 8 footnotes and Item 3 for complete assessment.</w:t>
      </w:r>
    </w:p>
    <w:p>
      <w:pPr>
        <w:pStyle w:val="DOHeading3"/>
      </w:pPr>
      <w:r>
        <w:t>Workforce, Product &amp; Environmental Matters</w:t>
      </w:r>
    </w:p>
    <w:p>
      <w:pPr>
        <w:pStyle w:val="DOBody"/>
      </w:pPr>
      <w:r>
        <w:rPr>
          <w:b/>
          <w:sz w:val="20"/>
        </w:rPr>
        <w:t>Cybersecurity Incidents:</w:t>
      </w:r>
    </w:p>
    <w:p>
      <w:pPr>
        <w:pStyle w:val="DOBody"/>
      </w:pPr>
      <w:r>
        <w:t xml:space="preserve">  - [data_breach] g attempts by malicious actors, including through hacking, malware, ransomware, denial-of-service attacks, social engineering, exploitation of internet-connected devices, and other attacks, to obtain unauthorized access to, acquire or misuse confidential information, or to disrupt service reliability and threaten the confidentiality, integrity and availability of our systems and information we process.</w:t>
      </w:r>
    </w:p>
    <w:p>
      <w:pPr>
        <w:pStyle w:val="DOBody"/>
      </w:pPr>
      <w:r>
        <w:t xml:space="preserve">  - [data_breach] Additionally, while our security systems are designed to maintain the physical security of our facilities and information systems, accidental or willful security breaches or incidents or other unauthorized access by third parties to our facilities or our information systems could lead to unauthorized access to, or misappropriation, disclosure, or other processing of proprietary, confidential and other information.</w:t>
      </w:r>
    </w:p>
    <w:p>
      <w:pPr>
        <w:pStyle w:val="DOBody"/>
      </w:pPr>
      <w:r>
        <w:t xml:space="preserve">  - [data_breach] f our facilities and information systems, accidental or willful security breaches or incidents or other unauthorized access by third parties to our facilities or our information systems could lead to unauthorized access to, or misappropriation, disclosure, or other processing of proprietary, confidential and other information.</w:t>
      </w:r>
    </w:p>
    <w:p>
      <w:pPr>
        <w:pStyle w:val="DOBody"/>
      </w:pPr>
      <w:r>
        <w:t xml:space="preserve">  - [data_breach] y system failure, disruption, accident or security breach or incident affecting us or our third-party service providers could result in disruptions to our operations and loss or unavailability of, or unauthorized access or damage to, inappropriate access to, or use, disclosure or other processing of confidential information and other information maintained or otherwise processed by us.</w:t>
      </w:r>
    </w:p>
    <w:p>
      <w:pPr>
        <w:pStyle w:val="DOBody"/>
      </w:pPr>
      <w:r>
        <w:t xml:space="preserve">  - [cyber_attack] Like other companies, we are subject to ongoing attempts by malicious actors, including through hacking, malware, ransomware, denial-of-service attacks, social engineering, exploitation of internet-connected devices, and other attacks, to obtain unauthorized access to, acquire or misuse confidential information, or to disrupt service reliability and threaten the confidentiality, integrity and availability of our systems</w:t>
      </w:r>
    </w:p>
    <w:p>
      <w:pPr>
        <w:pStyle w:val="DOBody"/>
      </w:pPr>
      <w:r>
        <w:t xml:space="preserve">  - [cyber_attack] Additionally, cybersecurity researchers have warned of increased risks of cyber-attacks, in connection with the Russia-Ukraine war.</w:t>
      </w:r>
    </w:p>
    <w:p>
      <w:pPr>
        <w:pStyle w:val="DOBody"/>
      </w:pPr>
      <w:r>
        <w:t xml:space="preserve">  - [cyber_attack] to mitigate these potential risks, including through information security policies, employee awareness and training, there is no assurance that such actions have been or will be sufficient to prevent cyber-attacks or security breaches or incidents.</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Super Micro's Quality Score of 33/100 places it in the WATCH tier with a 6.4-9.2% claim probability, driven by a 12.64-point deduction from key risk factors. The risk profile is dominated by an active securities class action and a catastrophic stock drop, which impose a binding CRF-9 ceiling and reflect severe, ongoing litigation exposure that directly increases D&amp;O claim severity. A history of prior litigation, contributing a 4.92-point deduction, and specific guidance misses exceeding 15% versus forecasts compound this, indicating a pattern of operational volatility that fuels plaintiff allegations of misleading disclosures. The active "Guidance Track Record" pattern, supported by 28 signals, confirms this is a recurrent governance concern that plaintiffs will target. Underwrite this with extreme caution; the combination of live litigation, volatile guidance, and elevated short interest (a 1.55-point deduction) creates a predictable plaintiff narrative that demands senior review and aggressive pricing.</w:t>
      </w:r>
    </w:p>
    <w:p>
      <w:pPr>
        <w:pStyle w:val="DOHeading1"/>
      </w:pPr>
      <w:r>
        <w:t>Section 7: Risk Scoring &amp; Synthesis</w:t>
      </w:r>
    </w:p>
    <w:p>
      <w:pPr>
        <w:pStyle w:val="DOBody"/>
      </w:pPr>
      <w:r>
        <w:rPr>
          <w:rFonts w:ascii="Calibri" w:hAnsi="Calibri"/>
          <w:color w:val="333333"/>
          <w:sz w:val="20"/>
        </w:rPr>
        <w:t>Underwriting tier: **WATCH** (quality score: 33.0/100). Recommended action: Write carefully, senior review required. Expected claim probability band: 6.4-9.2%. Top risk contributors: Prior Litigation (F1: -4.9 pts); Guidance Misses (F5: -1.7 pts); Short Interest (F6: -1.5 pts). Active composite patterns: Guidance Track Record. **Red flag gates active**: Active Securities Class Action (ceiling: 55); Catastrophic Stock Drop (ceiling: 55); Recent Drop - 7 Day (ceiling: 50); Recent Drop - 30 Day (ceiling: 50); Recent Drop - 90 Day (ceiling: 50). Binding ceiling: CRF-9. Claim probability band: ELEVATED (6.4%-9.2%).</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33.0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87.4</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12.6</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WATCH</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31 - 50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Write carefully, senior review required</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6.4-9.2%</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1.5-2x + attachment</w:t>
            </w:r>
          </w:p>
        </w:tc>
      </w:tr>
      <w:tr>
        <w:tc>
          <w:tcPr>
            <w:tcW w:type="dxa" w:w="5040"/>
          </w:tcPr>
          <w:p>
            <w:r>
              <w:rPr>
                <w:rFonts w:ascii="Calibri" w:hAnsi="Calibri"/>
                <w:color w:val="333333"/>
                <w:sz w:val="18"/>
              </w:rPr>
              <w:t>Binding Ceiling</w:t>
            </w:r>
          </w:p>
        </w:tc>
        <w:tc>
          <w:tcPr>
            <w:tcW w:type="dxa" w:w="5040"/>
          </w:tcPr>
          <w:p>
            <w:r>
              <w:rPr>
                <w:rFonts w:ascii="Calibri" w:hAnsi="Calibri"/>
                <w:color w:val="333333"/>
                <w:sz w:val="18"/>
              </w:rPr>
              <w:t>CRF-9</w:t>
            </w:r>
          </w:p>
        </w:tc>
      </w:tr>
    </w:tbl>
    <w:p>
      <w:pPr>
        <w:pStyle w:val="DOBody"/>
      </w:pPr>
      <w:r>
        <w:rPr>
          <w:b/>
        </w:rPr>
        <w:t>Risk Assessment: HIGH</w:t>
      </w:r>
      <w:r>
        <w:rPr>
          <w:b/>
          <w:color w:val="EA580C"/>
          <w:sz w:val="18"/>
        </w:rPr>
        <w:t xml:space="preserve"> [HIGH]</w:t>
      </w:r>
    </w:p>
    <w:p>
      <w:pPr>
        <w:pStyle w:val="DOHeading3"/>
      </w:pPr>
      <w:r>
        <w:t>D&amp;O Claim Peril Assessment</w:t>
      </w:r>
    </w:p>
    <w:p>
      <w:pPr>
        <w:pStyle w:val="DOBody"/>
      </w:pPr>
      <w:r>
        <w:t>1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CCBC" w:val="clear"/>
          </w:tcPr>
          <w:p>
            <w:r>
              <w:rPr>
                <w:rFonts w:ascii="Calibri" w:hAnsi="Calibri"/>
                <w:b/>
                <w:color w:val="CC3300"/>
                <w:sz w:val="18"/>
              </w:rPr>
              <w:t>ELEVATED</w:t>
            </w:r>
          </w:p>
        </w:tc>
        <w:tc>
          <w:tcPr>
            <w:tcW w:type="dxa" w:w="2520"/>
          </w:tcPr>
          <w:p>
            <w:r>
              <w:rPr>
                <w:rFonts w:ascii="Calibri" w:hAnsi="Calibri"/>
                <w:sz w:val="18"/>
              </w:rPr>
              <w:t>2/5</w:t>
            </w:r>
          </w:p>
        </w:tc>
        <w:tc>
          <w:tcPr>
            <w:tcW w:type="dxa" w:w="2520"/>
          </w:tcPr>
          <w:p>
            <w:r>
              <w:rPr>
                <w:rFonts w:ascii="Calibri" w:hAnsi="Calibri"/>
                <w:color w:val="666666"/>
                <w:sz w:val="18"/>
              </w:rPr>
              <w:t>Resolved via web search: confirmed; Verified (value: -2.32)</w:t>
            </w:r>
          </w:p>
        </w:tc>
      </w:tr>
      <w:tr>
        <w:tc>
          <w:tcPr>
            <w:tcW w:type="dxa" w:w="2520"/>
          </w:tcPr>
          <w:p>
            <w:r>
              <w:rPr>
                <w:rFonts w:ascii="Calibri" w:hAnsi="Calibri"/>
                <w:b/>
                <w:color w:val="333333"/>
                <w:sz w:val="18"/>
              </w:rPr>
              <w:t>Fiduciary Breach</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0/3</w:t>
            </w:r>
          </w:p>
        </w:tc>
        <w:tc>
          <w:tcPr>
            <w:tcW w:type="dxa" w:w="2520"/>
          </w:tcPr>
          <w:p>
            <w:r>
              <w:rPr>
                <w:rFonts w:ascii="Calibri" w:hAnsi="Calibri"/>
                <w:color w:val="666666"/>
                <w:sz w:val="18"/>
              </w:rPr>
              <w:t>—</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ELEVATED</w:t>
      </w:r>
      <w:r>
        <w:rPr>
          <w:b/>
          <w:color w:val="EAB308"/>
          <w:sz w:val="18"/>
        </w:rPr>
        <w:t xml:space="preserve"> [ELEVATED]</w:t>
      </w:r>
    </w:p>
    <w:p>
      <w:pPr>
        <w:pStyle w:val="DOBody"/>
      </w:pPr>
      <w:r>
        <w:rPr>
          <w:color w:val="666666"/>
          <w:sz w:val="16"/>
        </w:rPr>
        <w:t>Frequency: moderate | Severity: high | Typical range: $5M - $500M+</w:t>
      </w:r>
    </w:p>
    <w:p>
      <w:pPr>
        <w:pStyle w:val="DOBody"/>
      </w:pPr>
      <w:r>
        <w:t>2 of 5 causal chains active.</w:t>
      </w:r>
    </w:p>
    <w:p>
      <w:pPr>
        <w:pStyle w:val="DOBody"/>
      </w:pPr>
      <w:r>
        <w:rPr>
          <w:b/>
        </w:rPr>
        <w:t>Chain: Restatement → Securities Class Action</w:t>
      </w:r>
      <w:r>
        <w:t xml:space="preserve"> [ELEVATED]</w:t>
      </w:r>
    </w:p>
    <w:p>
      <w:pPr>
        <w:pStyle w:val="DOBody"/>
      </w:pPr>
      <w:r>
        <w:rPr>
          <w:i/>
          <w:sz w:val="16"/>
        </w:rPr>
        <w:t>Financial restatement (especially revenue/earnings) triggers near-automatic SCA filing. Restatements provide strong scienter evidence for plaintiffs.</w:t>
        <w:br/>
      </w:r>
    </w:p>
    <w:p>
      <w:pPr>
        <w:pStyle w:val="DOBody"/>
      </w:pPr>
      <w:r>
        <w:rPr>
          <w:b/>
          <w:sz w:val="20"/>
        </w:rPr>
        <w:t xml:space="preserve">  Triggers: </w:t>
      </w:r>
      <w:r>
        <w:br/>
        <w:t xml:space="preserve">    • FIN.ACCT.restatement</w:t>
      </w:r>
    </w:p>
    <w:p>
      <w:pPr>
        <w:pStyle w:val="DOBody"/>
      </w:pPr>
      <w:r>
        <w:rPr>
          <w:b/>
          <w:sz w:val="20"/>
        </w:rPr>
        <w:t xml:space="preserve">  Amplifiers: </w:t>
      </w:r>
      <w:r>
        <w:br/>
        <w:t xml:space="preserve">    • FIN.ACCT.material_weakness</w:t>
      </w:r>
      <w:r>
        <w:br/>
        <w:t xml:space="preserve">    • FIN.ACCT.internal_controls</w:t>
      </w:r>
      <w:r>
        <w:br/>
        <w:t xml:space="preserve">    • FIN.ACCT.restatement_pattern</w:t>
      </w:r>
    </w:p>
    <w:p>
      <w:pPr>
        <w:pStyle w:val="DOBody"/>
      </w:pPr>
      <w:r>
        <w:rPr>
          <w:color w:val="666666"/>
          <w:sz w:val="16"/>
        </w:rPr>
        <w:t xml:space="preserve">  Historical filing rate: 65% | Median severity: $25M</w:t>
      </w:r>
    </w:p>
    <w:p>
      <w:pPr>
        <w:pStyle w:val="DOBody"/>
      </w:pPr>
      <w:r>
        <w:rPr>
          <w:b/>
        </w:rPr>
        <w:t>Chain: Guidance Miss → Securities Fraud</w:t>
      </w:r>
      <w:r>
        <w:t xml:space="preserve"> [ELEVATED]</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b/>
          <w:sz w:val="20"/>
        </w:rPr>
        <w:t xml:space="preserve">  Amplifiers: </w:t>
      </w:r>
      <w:r>
        <w:br/>
        <w:t xml:space="preserve">    • GOV.INSIDER.executive_sales</w:t>
      </w:r>
    </w:p>
    <w:p>
      <w:pPr>
        <w:pStyle w:val="DOBody"/>
      </w:pPr>
      <w:r>
        <w:rPr>
          <w:color w:val="666666"/>
          <w:sz w:val="16"/>
        </w:rPr>
        <w:t xml:space="preserve">  Historical filing rate: 8% | Median severity: $12M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4.9</w:t>
            </w:r>
          </w:p>
        </w:tc>
        <w:tc>
          <w:tcPr>
            <w:tcW w:type="dxa" w:w="1680"/>
          </w:tcPr>
          <w:p>
            <w:r>
              <w:rPr>
                <w:rFonts w:ascii="Calibri" w:hAnsi="Calibri"/>
                <w:color w:val="333333"/>
                <w:sz w:val="18"/>
              </w:rPr>
              <w:t>25%</w:t>
            </w:r>
          </w:p>
        </w:tc>
        <w:tc>
          <w:tcPr>
            <w:tcW w:type="dxa" w:w="1680"/>
          </w:tcPr>
          <w:p>
            <w:r>
              <w:rPr>
                <w:rFonts w:ascii="Calibri" w:hAnsi="Calibri"/>
                <w:color w:val="333333"/>
                <w:sz w:val="18"/>
              </w:rPr>
              <w:t>Signal-driven scoring: 66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1.1</w:t>
            </w:r>
          </w:p>
        </w:tc>
        <w:tc>
          <w:tcPr>
            <w:tcW w:type="dxa" w:w="1680"/>
            <w:shd w:fill="F2F4F8" w:val="clear"/>
          </w:tcPr>
          <w:p>
            <w:r>
              <w:rPr>
                <w:rFonts w:ascii="Calibri" w:hAnsi="Calibri"/>
                <w:color w:val="333333"/>
                <w:sz w:val="18"/>
              </w:rPr>
              <w:t>7%</w:t>
            </w:r>
          </w:p>
        </w:tc>
        <w:tc>
          <w:tcPr>
            <w:tcW w:type="dxa" w:w="1680"/>
            <w:shd w:fill="F2F4F8" w:val="clear"/>
          </w:tcPr>
          <w:p>
            <w:r>
              <w:rPr>
                <w:rFonts w:ascii="Calibri" w:hAnsi="Calibri"/>
                <w:color w:val="333333"/>
                <w:sz w:val="18"/>
              </w:rPr>
              <w:t>Signal-driven scoring: 29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1.1</w:t>
            </w:r>
          </w:p>
        </w:tc>
        <w:tc>
          <w:tcPr>
            <w:tcW w:type="dxa" w:w="1680"/>
          </w:tcPr>
          <w:p>
            <w:r>
              <w:rPr>
                <w:rFonts w:ascii="Calibri" w:hAnsi="Calibri"/>
                <w:color w:val="333333"/>
                <w:sz w:val="18"/>
              </w:rPr>
              <w:t>9%</w:t>
            </w:r>
          </w:p>
        </w:tc>
        <w:tc>
          <w:tcPr>
            <w:tcW w:type="dxa" w:w="1680"/>
          </w:tcPr>
          <w:p>
            <w:r>
              <w:rPr>
                <w:rFonts w:ascii="Calibri" w:hAnsi="Calibri"/>
                <w:color w:val="333333"/>
                <w:sz w:val="18"/>
              </w:rPr>
              <w:t>Signal-driven scoring: 84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0.9</w:t>
            </w:r>
          </w:p>
        </w:tc>
        <w:tc>
          <w:tcPr>
            <w:tcW w:type="dxa" w:w="1680"/>
            <w:shd w:fill="F2F4F8" w:val="clear"/>
          </w:tcPr>
          <w:p>
            <w:r>
              <w:rPr>
                <w:rFonts w:ascii="Calibri" w:hAnsi="Calibri"/>
                <w:color w:val="333333"/>
                <w:sz w:val="18"/>
              </w:rPr>
              <w:t>9%</w:t>
            </w:r>
          </w:p>
        </w:tc>
        <w:tc>
          <w:tcPr>
            <w:tcW w:type="dxa" w:w="1680"/>
            <w:shd w:fill="F2F4F8" w:val="clear"/>
          </w:tcPr>
          <w:p>
            <w:r>
              <w:rPr>
                <w:rFonts w:ascii="Calibri" w:hAnsi="Calibri"/>
                <w:color w:val="333333"/>
                <w:sz w:val="18"/>
              </w:rPr>
              <w:t>Signal-driven scoring: 17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13</w:t>
            </w:r>
          </w:p>
        </w:tc>
        <w:tc>
          <w:tcPr>
            <w:tcW w:type="dxa" w:w="1680"/>
          </w:tcPr>
          <w:p>
            <w:r>
              <w:rPr>
                <w:rFonts w:ascii="Calibri" w:hAnsi="Calibri"/>
                <w:color w:val="333333"/>
                <w:sz w:val="18"/>
              </w:rPr>
              <w:t>1.7</w:t>
            </w:r>
          </w:p>
        </w:tc>
        <w:tc>
          <w:tcPr>
            <w:tcW w:type="dxa" w:w="1680"/>
          </w:tcPr>
          <w:p>
            <w:r>
              <w:rPr>
                <w:rFonts w:ascii="Calibri" w:hAnsi="Calibri"/>
                <w:color w:val="333333"/>
                <w:sz w:val="18"/>
              </w:rPr>
              <w:t>13%</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19%</w:t>
            </w:r>
          </w:p>
        </w:tc>
        <w:tc>
          <w:tcPr>
            <w:tcW w:type="dxa" w:w="1680"/>
            <w:shd w:fill="F2F4F8" w:val="clear"/>
          </w:tcPr>
          <w:p>
            <w:r>
              <w:rPr>
                <w:rFonts w:ascii="Calibri" w:hAnsi="Calibri"/>
                <w:color w:val="333333"/>
                <w:sz w:val="18"/>
              </w:rPr>
              <w:t>Signal-driven scoring: 23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7</w:t>
            </w:r>
          </w:p>
        </w:tc>
        <w:tc>
          <w:tcPr>
            <w:tcW w:type="dxa" w:w="1680"/>
          </w:tcPr>
          <w:p>
            <w:r>
              <w:rPr>
                <w:rFonts w:ascii="Calibri" w:hAnsi="Calibri"/>
                <w:color w:val="333333"/>
                <w:sz w:val="18"/>
              </w:rPr>
              <w:t>0.4</w:t>
            </w:r>
          </w:p>
        </w:tc>
        <w:tc>
          <w:tcPr>
            <w:tcW w:type="dxa" w:w="1680"/>
          </w:tcPr>
          <w:p>
            <w:r>
              <w:rPr>
                <w:rFonts w:ascii="Calibri" w:hAnsi="Calibri"/>
                <w:color w:val="333333"/>
                <w:sz w:val="18"/>
              </w:rPr>
              <w:t>6%</w:t>
            </w:r>
          </w:p>
        </w:tc>
        <w:tc>
          <w:tcPr>
            <w:tcW w:type="dxa" w:w="1680"/>
          </w:tcPr>
          <w:p>
            <w:r>
              <w:rPr>
                <w:rFonts w:ascii="Calibri" w:hAnsi="Calibri"/>
                <w:color w:val="333333"/>
                <w:sz w:val="18"/>
              </w:rPr>
              <w:t>Signal-driven scoring: 30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0.8</w:t>
            </w:r>
          </w:p>
        </w:tc>
        <w:tc>
          <w:tcPr>
            <w:tcW w:type="dxa" w:w="1680"/>
          </w:tcPr>
          <w:p>
            <w:r>
              <w:rPr>
                <w:rFonts w:ascii="Calibri" w:hAnsi="Calibri"/>
                <w:color w:val="333333"/>
                <w:sz w:val="18"/>
              </w:rPr>
              <w:t>14%</w:t>
            </w:r>
          </w:p>
        </w:tc>
        <w:tc>
          <w:tcPr>
            <w:tcW w:type="dxa" w:w="1680"/>
          </w:tcPr>
          <w:p>
            <w:r>
              <w:rPr>
                <w:rFonts w:ascii="Calibri" w:hAnsi="Calibri"/>
                <w:color w:val="333333"/>
                <w:sz w:val="18"/>
              </w:rPr>
              <w:t>Signal-driven scoring: 40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85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Active Securities Class Action</w:t>
            </w:r>
          </w:p>
        </w:tc>
        <w:tc>
          <w:tcPr>
            <w:tcW w:type="dxa" w:w="2016"/>
          </w:tcPr>
          <w:p>
            <w:r>
              <w:rPr>
                <w:rFonts w:ascii="Calibri" w:hAnsi="Calibri"/>
                <w:color w:val="333333"/>
                <w:sz w:val="18"/>
              </w:rPr>
              <w:t>Active SCA: In re Super Micro Computer, Inc. Securities Litigation (2024)</w:t>
            </w:r>
          </w:p>
        </w:tc>
        <w:tc>
          <w:tcPr>
            <w:tcW w:type="dxa" w:w="2016"/>
          </w:tcPr>
          <w:p>
            <w:r>
              <w:rPr>
                <w:rFonts w:ascii="Calibri" w:hAnsi="Calibri"/>
                <w:color w:val="333333"/>
                <w:sz w:val="18"/>
              </w:rPr>
              <w:t>Ceiling: 55</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Catastrophic Stock Drop</w:t>
            </w:r>
          </w:p>
        </w:tc>
        <w:tc>
          <w:tcPr>
            <w:tcW w:type="dxa" w:w="2016"/>
            <w:shd w:fill="F2F4F8" w:val="clear"/>
          </w:tcPr>
          <w:p>
            <w:r>
              <w:rPr>
                <w:rFonts w:ascii="Calibri" w:hAnsi="Calibri"/>
                <w:color w:val="333333"/>
                <w:sz w:val="18"/>
              </w:rPr>
              <w:t>Stock decline 62.8% from 52-week high</w:t>
            </w:r>
          </w:p>
        </w:tc>
        <w:tc>
          <w:tcPr>
            <w:tcW w:type="dxa" w:w="2016"/>
            <w:shd w:fill="F2F4F8" w:val="clear"/>
          </w:tcPr>
          <w:p>
            <w:r>
              <w:rPr>
                <w:rFonts w:ascii="Calibri" w:hAnsi="Calibri"/>
                <w:color w:val="333333"/>
                <w:sz w:val="18"/>
              </w:rPr>
              <w:t>Ceiling: 55</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Recent Drop - 7 Day</w:t>
            </w:r>
          </w:p>
        </w:tc>
        <w:tc>
          <w:tcPr>
            <w:tcW w:type="dxa" w:w="2016"/>
          </w:tcPr>
          <w:p>
            <w:r>
              <w:rPr>
                <w:rFonts w:ascii="Calibri" w:hAnsi="Calibri"/>
                <w:color w:val="333333"/>
                <w:sz w:val="18"/>
              </w:rPr>
              <w:t>7-day drop: 33.8% (3 days ago)</w:t>
            </w:r>
          </w:p>
        </w:tc>
        <w:tc>
          <w:tcPr>
            <w:tcW w:type="dxa" w:w="2016"/>
          </w:tcPr>
          <w:p>
            <w:r>
              <w:rPr>
                <w:rFonts w:ascii="Calibri" w:hAnsi="Calibri"/>
                <w:color w:val="333333"/>
                <w:sz w:val="18"/>
              </w:rPr>
              <w:t>Ceiling: 50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Recent Drop - 30 Day</w:t>
            </w:r>
          </w:p>
        </w:tc>
        <w:tc>
          <w:tcPr>
            <w:tcW w:type="dxa" w:w="2016"/>
            <w:shd w:fill="F2F4F8" w:val="clear"/>
          </w:tcPr>
          <w:p>
            <w:r>
              <w:rPr>
                <w:rFonts w:ascii="Calibri" w:hAnsi="Calibri"/>
                <w:color w:val="333333"/>
                <w:sz w:val="18"/>
              </w:rPr>
              <w:t>30-day drop: 33.3% (13 days ago)</w:t>
            </w:r>
          </w:p>
        </w:tc>
        <w:tc>
          <w:tcPr>
            <w:tcW w:type="dxa" w:w="2016"/>
            <w:shd w:fill="F2F4F8" w:val="clear"/>
          </w:tcPr>
          <w:p>
            <w:r>
              <w:rPr>
                <w:rFonts w:ascii="Calibri" w:hAnsi="Calibri"/>
                <w:color w:val="333333"/>
                <w:sz w:val="18"/>
              </w:rPr>
              <w:t>Ceiling: 50</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Recent Drop - 90 Day</w:t>
            </w:r>
          </w:p>
        </w:tc>
        <w:tc>
          <w:tcPr>
            <w:tcW w:type="dxa" w:w="2016"/>
          </w:tcPr>
          <w:p>
            <w:r>
              <w:rPr>
                <w:rFonts w:ascii="Calibri" w:hAnsi="Calibri"/>
                <w:color w:val="333333"/>
                <w:sz w:val="18"/>
              </w:rPr>
              <w:t>90-day drop: 33.3% (13 days ago)</w:t>
            </w:r>
          </w:p>
        </w:tc>
        <w:tc>
          <w:tcPr>
            <w:tcW w:type="dxa" w:w="2016"/>
          </w:tcPr>
          <w:p>
            <w:r>
              <w:rPr>
                <w:rFonts w:ascii="Calibri" w:hAnsi="Calibri"/>
                <w:color w:val="333333"/>
                <w:sz w:val="18"/>
              </w:rPr>
              <w:t>Ceiling: 50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Prior Litigation: 5/20 points</w:t>
            </w:r>
          </w:p>
        </w:tc>
        <w:tc>
          <w:tcPr>
            <w:tcW w:type="dxa" w:w="2016"/>
            <w:shd w:fill="F2F4F8" w:val="clear"/>
          </w:tcPr>
          <w:p>
            <w:r>
              <w:rPr>
                <w:rFonts w:ascii="Calibri" w:hAnsi="Calibri"/>
                <w:color w:val="333333"/>
                <w:sz w:val="18"/>
              </w:rPr>
              <w:t>Signal-driven scoring: 66 signals, coverage=100%</w:t>
            </w:r>
          </w:p>
        </w:tc>
        <w:tc>
          <w:tcPr>
            <w:tcW w:type="dxa" w:w="2016"/>
            <w:shd w:fill="F2F4F8" w:val="clear"/>
          </w:tcPr>
          <w:p>
            <w:r>
              <w:rPr>
                <w:rFonts w:ascii="Calibri" w:hAnsi="Calibri"/>
                <w:color w:val="333333"/>
                <w:sz w:val="18"/>
              </w:rPr>
              <w:t>F1: 5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Decline: 1/15 points</w:t>
            </w:r>
          </w:p>
        </w:tc>
        <w:tc>
          <w:tcPr>
            <w:tcW w:type="dxa" w:w="2016"/>
          </w:tcPr>
          <w:p>
            <w:r>
              <w:rPr>
                <w:rFonts w:ascii="Calibri" w:hAnsi="Calibri"/>
                <w:color w:val="333333"/>
                <w:sz w:val="18"/>
              </w:rPr>
              <w:t>Signal-driven scoring: 29 signals, coverage=100%; Drop contribution modifier: 0.32x (decay + company-specific + disclosure)</w:t>
            </w:r>
          </w:p>
        </w:tc>
        <w:tc>
          <w:tcPr>
            <w:tcW w:type="dxa" w:w="2016"/>
          </w:tcPr>
          <w:p>
            <w:r>
              <w:rPr>
                <w:rFonts w:ascii="Calibri" w:hAnsi="Calibri"/>
                <w:color w:val="333333"/>
                <w:sz w:val="18"/>
              </w:rPr>
              <w:t>F2: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Restatement/Audit Issues: 1/12 points</w:t>
            </w:r>
          </w:p>
        </w:tc>
        <w:tc>
          <w:tcPr>
            <w:tcW w:type="dxa" w:w="2016"/>
            <w:shd w:fill="F2F4F8" w:val="clear"/>
          </w:tcPr>
          <w:p>
            <w:r>
              <w:rPr>
                <w:rFonts w:ascii="Calibri" w:hAnsi="Calibri"/>
                <w:color w:val="333333"/>
                <w:sz w:val="18"/>
              </w:rPr>
              <w:t>Signal-driven scoring: 84 signals, coverage=100%</w:t>
            </w:r>
          </w:p>
        </w:tc>
        <w:tc>
          <w:tcPr>
            <w:tcW w:type="dxa" w:w="2016"/>
            <w:shd w:fill="F2F4F8" w:val="clear"/>
          </w:tcPr>
          <w:p>
            <w:r>
              <w:rPr>
                <w:rFonts w:ascii="Calibri" w:hAnsi="Calibri"/>
                <w:color w:val="333333"/>
                <w:sz w:val="18"/>
              </w:rPr>
              <w:t>F3: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IPO/SPAC/M&amp;A: 1/10 points</w:t>
            </w:r>
          </w:p>
        </w:tc>
        <w:tc>
          <w:tcPr>
            <w:tcW w:type="dxa" w:w="2016"/>
          </w:tcPr>
          <w:p>
            <w:r>
              <w:rPr>
                <w:rFonts w:ascii="Calibri" w:hAnsi="Calibri"/>
                <w:color w:val="333333"/>
                <w:sz w:val="18"/>
              </w:rPr>
              <w:t>Signal-driven scoring: 17 signals, coverage=100%</w:t>
            </w:r>
          </w:p>
        </w:tc>
        <w:tc>
          <w:tcPr>
            <w:tcW w:type="dxa" w:w="2016"/>
          </w:tcPr>
          <w:p>
            <w:r>
              <w:rPr>
                <w:rFonts w:ascii="Calibri" w:hAnsi="Calibri"/>
                <w:color w:val="333333"/>
                <w:sz w:val="18"/>
              </w:rPr>
              <w:t>F4: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Guidance Misses: 2/13 points</w:t>
            </w:r>
          </w:p>
        </w:tc>
        <w:tc>
          <w:tcPr>
            <w:tcW w:type="dxa" w:w="2016"/>
            <w:shd w:fill="F2F4F8" w:val="clear"/>
          </w:tcPr>
          <w:p>
            <w:r>
              <w:rPr>
                <w:rFonts w:ascii="Calibri" w:hAnsi="Calibri"/>
                <w:color w:val="333333"/>
                <w:sz w:val="18"/>
              </w:rPr>
              <w:t>Signal-driven scoring: 28 signals, coverage=100%; Any single miss &gt;15% vs guidance</w:t>
            </w:r>
          </w:p>
        </w:tc>
        <w:tc>
          <w:tcPr>
            <w:tcW w:type="dxa" w:w="2016"/>
            <w:shd w:fill="F2F4F8" w:val="clear"/>
          </w:tcPr>
          <w:p>
            <w:r>
              <w:rPr>
                <w:rFonts w:ascii="Calibri" w:hAnsi="Calibri"/>
                <w:color w:val="333333"/>
                <w:sz w:val="18"/>
              </w:rPr>
              <w:t>F5: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Short Interest: 2/8 points</w:t>
            </w:r>
          </w:p>
        </w:tc>
        <w:tc>
          <w:tcPr>
            <w:tcW w:type="dxa" w:w="2016"/>
          </w:tcPr>
          <w:p>
            <w:r>
              <w:rPr>
                <w:rFonts w:ascii="Calibri" w:hAnsi="Calibri"/>
                <w:color w:val="333333"/>
                <w:sz w:val="18"/>
              </w:rPr>
              <w:t>Signal-driven scoring: 23 signals, coverage=100%</w:t>
            </w:r>
          </w:p>
        </w:tc>
        <w:tc>
          <w:tcPr>
            <w:tcW w:type="dxa" w:w="2016"/>
          </w:tcPr>
          <w:p>
            <w:r>
              <w:rPr>
                <w:rFonts w:ascii="Calibri" w:hAnsi="Calibri"/>
                <w:color w:val="333333"/>
                <w:sz w:val="18"/>
              </w:rPr>
              <w:t>F6: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Volatility: 0/7 points</w:t>
            </w:r>
          </w:p>
        </w:tc>
        <w:tc>
          <w:tcPr>
            <w:tcW w:type="dxa" w:w="2016"/>
            <w:shd w:fill="F2F4F8" w:val="clear"/>
          </w:tcPr>
          <w:p>
            <w:r>
              <w:rPr>
                <w:rFonts w:ascii="Calibri" w:hAnsi="Calibri"/>
                <w:color w:val="333333"/>
                <w:sz w:val="18"/>
              </w:rPr>
              <w:t>Signal-driven scoring: 30 signals, coverage=100%</w:t>
            </w:r>
          </w:p>
        </w:tc>
        <w:tc>
          <w:tcPr>
            <w:tcW w:type="dxa" w:w="2016"/>
            <w:shd w:fill="F2F4F8" w:val="clear"/>
          </w:tcPr>
          <w:p>
            <w:r>
              <w:rPr>
                <w:rFonts w:ascii="Calibri" w:hAnsi="Calibri"/>
                <w:color w:val="333333"/>
                <w:sz w:val="18"/>
              </w:rPr>
              <w:t>F7: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Governance Issues: 1/6 points</w:t>
            </w:r>
          </w:p>
        </w:tc>
        <w:tc>
          <w:tcPr>
            <w:tcW w:type="dxa" w:w="2016"/>
          </w:tcPr>
          <w:p>
            <w:r>
              <w:rPr>
                <w:rFonts w:ascii="Calibri" w:hAnsi="Calibri"/>
                <w:color w:val="333333"/>
                <w:sz w:val="18"/>
              </w:rPr>
              <w:t>Signal-driven scoring: 40 signals, coverage=100%</w:t>
            </w:r>
          </w:p>
        </w:tc>
        <w:tc>
          <w:tcPr>
            <w:tcW w:type="dxa" w:w="2016"/>
          </w:tcPr>
          <w:p>
            <w:r>
              <w:rPr>
                <w:rFonts w:ascii="Calibri" w:hAnsi="Calibri"/>
                <w:color w:val="333333"/>
                <w:sz w:val="18"/>
              </w:rPr>
              <w:t>F9: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Officer Stability: 0/2 points</w:t>
            </w:r>
          </w:p>
        </w:tc>
        <w:tc>
          <w:tcPr>
            <w:tcW w:type="dxa" w:w="2016"/>
            <w:shd w:fill="F2F4F8" w:val="clear"/>
          </w:tcPr>
          <w:p>
            <w:r>
              <w:rPr>
                <w:rFonts w:ascii="Calibri" w:hAnsi="Calibri"/>
                <w:color w:val="333333"/>
                <w:sz w:val="18"/>
              </w:rPr>
              <w:t>Signal-driven scoring: 85 signals, coverage=100%</w:t>
            </w:r>
          </w:p>
        </w:tc>
        <w:tc>
          <w:tcPr>
            <w:tcW w:type="dxa" w:w="2016"/>
            <w:shd w:fill="F2F4F8" w:val="clear"/>
          </w:tcPr>
          <w:p>
            <w:r>
              <w:rPr>
                <w:rFonts w:ascii="Calibri" w:hAnsi="Calibri"/>
                <w:color w:val="333333"/>
                <w:sz w:val="18"/>
              </w:rPr>
              <w:t>F10: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Pattern: Guidance Track Record (BASELINE)</w:t>
            </w:r>
          </w:p>
        </w:tc>
        <w:tc>
          <w:tcPr>
            <w:tcW w:type="dxa" w:w="2016"/>
          </w:tcPr>
          <w:p>
            <w:r>
              <w:rPr>
                <w:rFonts w:ascii="Calibri" w:hAnsi="Calibri"/>
                <w:color w:val="333333"/>
                <w:sz w:val="18"/>
              </w:rPr>
              <w:t>Pattern evaluation</w:t>
            </w:r>
          </w:p>
        </w:tc>
        <w:tc>
          <w:tcPr>
            <w:tcW w:type="dxa" w:w="2016"/>
          </w:tcPr>
          <w:p>
            <w:r>
              <w:rPr>
                <w:rFonts w:ascii="Calibri" w:hAnsi="Calibri"/>
                <w:color w:val="333333"/>
                <w:sz w:val="18"/>
              </w:rPr>
              <w:t>F5: 0</w:t>
            </w:r>
          </w:p>
        </w:tc>
        <w:tc>
          <w:tcPr>
            <w:tcW w:type="dxa" w:w="2016"/>
          </w:tcPr>
          <w:p>
            <w:r>
              <w:rPr>
                <w:rFonts w:ascii="Calibri" w:hAnsi="Calibri"/>
                <w:color w:val="333333"/>
                <w:sz w:val="18"/>
              </w:rPr>
              <w:t>NEW</w:t>
            </w:r>
          </w:p>
        </w:tc>
      </w:tr>
    </w:tbl>
    <w:p>
      <w:pPr>
        <w:pStyle w:val="DOBody"/>
      </w:pPr>
      <w:r>
        <w:t>Critical: 5, High: 0, Moderate: 0, Low: 10</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1.7 points; Issues guidance (philosophy: MIXED)</w:t>
            </w:r>
          </w:p>
        </w:tc>
      </w:tr>
    </w:tbl>
    <w:p>
      <w:pPr>
        <w:pStyle w:val="DOHeading3"/>
      </w:pPr>
      <w:r>
        <w:t>Severity Scenarios</w:t>
      </w:r>
    </w:p>
    <w:p>
      <w:pPr>
        <w:pStyle w:val="DOBody"/>
      </w:pPr>
      <w:r>
        <w:t>Analysis based on market cap: $13.9B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$2.4B</w:t>
            </w:r>
          </w:p>
        </w:tc>
        <w:tc>
          <w:tcPr>
            <w:tcW w:type="dxa" w:w="2016"/>
          </w:tcPr>
          <w:p>
            <w:r>
              <w:rPr>
                <w:rFonts w:ascii="Calibri" w:hAnsi="Calibri"/>
                <w:color w:val="333333"/>
                <w:sz w:val="18"/>
              </w:rPr>
              <w:t>$360.4M</w:t>
            </w:r>
          </w:p>
        </w:tc>
        <w:tc>
          <w:tcPr>
            <w:tcW w:type="dxa" w:w="2016"/>
          </w:tcPr>
          <w:p>
            <w:r>
              <w:rPr>
                <w:rFonts w:ascii="Calibri" w:hAnsi="Calibri"/>
                <w:color w:val="333333"/>
                <w:sz w:val="18"/>
              </w:rPr>
              <w:t>$2.8B</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$4.8B</w:t>
            </w:r>
          </w:p>
        </w:tc>
        <w:tc>
          <w:tcPr>
            <w:tcW w:type="dxa" w:w="2016"/>
            <w:shd w:fill="F2F4F8" w:val="clear"/>
          </w:tcPr>
          <w:p>
            <w:r>
              <w:rPr>
                <w:rFonts w:ascii="Calibri" w:hAnsi="Calibri"/>
                <w:color w:val="333333"/>
                <w:sz w:val="18"/>
              </w:rPr>
              <w:t>$961.2M</w:t>
            </w:r>
          </w:p>
        </w:tc>
        <w:tc>
          <w:tcPr>
            <w:tcW w:type="dxa" w:w="2016"/>
            <w:shd w:fill="F2F4F8" w:val="clear"/>
          </w:tcPr>
          <w:p>
            <w:r>
              <w:rPr>
                <w:rFonts w:ascii="Calibri" w:hAnsi="Calibri"/>
                <w:color w:val="333333"/>
                <w:sz w:val="18"/>
              </w:rPr>
              <w:t>$5.8B</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$9.6B</w:t>
            </w:r>
          </w:p>
        </w:tc>
        <w:tc>
          <w:tcPr>
            <w:tcW w:type="dxa" w:w="2016"/>
          </w:tcPr>
          <w:p>
            <w:r>
              <w:rPr>
                <w:rFonts w:ascii="Calibri" w:hAnsi="Calibri"/>
                <w:color w:val="333333"/>
                <w:sz w:val="18"/>
              </w:rPr>
              <w:t>$2.4B</w:t>
            </w:r>
          </w:p>
        </w:tc>
        <w:tc>
          <w:tcPr>
            <w:tcW w:type="dxa" w:w="2016"/>
          </w:tcPr>
          <w:p>
            <w:r>
              <w:rPr>
                <w:rFonts w:ascii="Calibri" w:hAnsi="Calibri"/>
                <w:color w:val="333333"/>
                <w:sz w:val="18"/>
              </w:rPr>
              <w:t>$12.0B</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$19.2B</w:t>
            </w:r>
          </w:p>
        </w:tc>
        <w:tc>
          <w:tcPr>
            <w:tcW w:type="dxa" w:w="2016"/>
            <w:shd w:fill="F2F4F8" w:val="clear"/>
          </w:tcPr>
          <w:p>
            <w:r>
              <w:rPr>
                <w:rFonts w:ascii="Calibri" w:hAnsi="Calibri"/>
                <w:color w:val="333333"/>
                <w:sz w:val="18"/>
              </w:rPr>
              <w:t>$5.8B</w:t>
            </w:r>
          </w:p>
        </w:tc>
        <w:tc>
          <w:tcPr>
            <w:tcW w:type="dxa" w:w="2016"/>
            <w:shd w:fill="F2F4F8" w:val="clear"/>
          </w:tcPr>
          <w:p>
            <w:r>
              <w:rPr>
                <w:rFonts w:ascii="Calibri" w:hAnsi="Calibri"/>
                <w:color w:val="333333"/>
                <w:sz w:val="18"/>
              </w:rPr>
              <w:t>$25.0B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4.9</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66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1.1</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29 signals, coverage=100%; Drop contribution modifier: 0.32x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1.1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84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0.9</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17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1.7</w:t>
            </w:r>
          </w:p>
        </w:tc>
        <w:tc>
          <w:tcPr>
            <w:tcW w:type="dxa" w:w="2016"/>
          </w:tcPr>
          <w:p>
            <w:r>
              <w:rPr>
                <w:rFonts w:ascii="Calibri" w:hAnsi="Calibri"/>
                <w:color w:val="333333"/>
                <w:sz w:val="18"/>
              </w:rPr>
              <w:t>F5-006</w:t>
            </w:r>
          </w:p>
        </w:tc>
        <w:tc>
          <w:tcPr>
            <w:tcW w:type="dxa" w:w="2016"/>
          </w:tcPr>
          <w:p>
            <w:r>
              <w:rPr>
                <w:rFonts w:ascii="Calibri" w:hAnsi="Calibri"/>
                <w:color w:val="333333"/>
                <w:sz w:val="18"/>
              </w:rPr>
              <w:t>Signal-driven scoring: 28 signals, coverage=100%; Any single miss &gt;15% vs guidance</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1.5</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23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30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0.8</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40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85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4.92</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4.92</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4.92</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3.40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0.32</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1.08</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1.08</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1.33</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1.33</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1.33</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0.88</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0.88</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0.88</w:t>
            </w:r>
          </w:p>
        </w:tc>
      </w:tr>
      <w:tr>
        <w:tc>
          <w:tcPr>
            <w:tcW w:type="dxa" w:w="3360"/>
          </w:tcPr>
          <w:p>
            <w:r>
              <w:rPr>
                <w:rFonts w:ascii="Calibri" w:hAnsi="Calibri"/>
                <w:color w:val="333333"/>
                <w:sz w:val="18"/>
              </w:rPr>
              <w:t>F5</w:t>
            </w:r>
          </w:p>
        </w:tc>
        <w:tc>
          <w:tcPr>
            <w:tcW w:type="dxa" w:w="3360"/>
          </w:tcPr>
          <w:p>
            <w:r>
              <w:rPr>
                <w:rFonts w:ascii="Calibri" w:hAnsi="Calibri"/>
                <w:color w:val="333333"/>
                <w:sz w:val="18"/>
              </w:rPr>
              <w:t>base</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2.00</w:t>
            </w:r>
          </w:p>
        </w:tc>
      </w:tr>
      <w:tr>
        <w:tc>
          <w:tcPr>
            <w:tcW w:type="dxa" w:w="3360"/>
          </w:tcPr>
          <w:p>
            <w:r>
              <w:rPr>
                <w:rFonts w:ascii="Calibri" w:hAnsi="Calibri"/>
                <w:color w:val="333333"/>
                <w:sz w:val="18"/>
              </w:rPr>
              <w:t>F5</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2.00</w:t>
            </w:r>
          </w:p>
        </w:tc>
      </w:tr>
      <w:tr>
        <w:tc>
          <w:tcPr>
            <w:tcW w:type="dxa" w:w="3360"/>
          </w:tcPr>
          <w:p>
            <w:r>
              <w:rPr>
                <w:rFonts w:ascii="Calibri" w:hAnsi="Calibri"/>
                <w:color w:val="333333"/>
                <w:sz w:val="18"/>
              </w:rPr>
              <w:t>F5</w:t>
            </w:r>
          </w:p>
        </w:tc>
        <w:tc>
          <w:tcPr>
            <w:tcW w:type="dxa" w:w="3360"/>
          </w:tcPr>
          <w:p>
            <w:r>
              <w:rPr>
                <w:rFonts w:ascii="Calibri" w:hAnsi="Calibri"/>
                <w:color w:val="333333"/>
                <w:sz w:val="18"/>
              </w:rPr>
              <w:t>pattern_modifier</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F6</w:t>
            </w:r>
          </w:p>
        </w:tc>
        <w:tc>
          <w:tcPr>
            <w:tcW w:type="dxa" w:w="3360"/>
          </w:tcPr>
          <w:p>
            <w:r>
              <w:rPr>
                <w:rFonts w:ascii="Calibri" w:hAnsi="Calibri"/>
                <w:color w:val="333333"/>
                <w:sz w:val="18"/>
              </w:rPr>
              <w:t>base</w:t>
            </w:r>
          </w:p>
        </w:tc>
        <w:tc>
          <w:tcPr>
            <w:tcW w:type="dxa" w:w="3360"/>
          </w:tcPr>
          <w:p>
            <w:r>
              <w:rPr>
                <w:rFonts w:ascii="Calibri" w:hAnsi="Calibri"/>
                <w:color w:val="333333"/>
                <w:sz w:val="18"/>
              </w:rPr>
              <w:t>1.82</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1.82</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1.82</w:t>
            </w:r>
          </w:p>
        </w:tc>
      </w:tr>
      <w:tr>
        <w:tc>
          <w:tcPr>
            <w:tcW w:type="dxa" w:w="3360"/>
          </w:tcPr>
          <w:p>
            <w:r>
              <w:rPr>
                <w:rFonts w:ascii="Calibri" w:hAnsi="Calibri"/>
                <w:color w:val="333333"/>
                <w:sz w:val="18"/>
              </w:rPr>
              <w:t>F6</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0.47</w:t>
            </w:r>
          </w:p>
        </w:tc>
      </w:tr>
      <w:tr>
        <w:tc>
          <w:tcPr>
            <w:tcW w:type="dxa" w:w="3360"/>
          </w:tcPr>
          <w:p>
            <w:r>
              <w:rPr>
                <w:rFonts w:ascii="Calibri" w:hAnsi="Calibri"/>
                <w:color w:val="333333"/>
                <w:sz w:val="18"/>
              </w:rPr>
              <w:t>F7</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0.47</w:t>
            </w:r>
          </w:p>
        </w:tc>
      </w:tr>
      <w:tr>
        <w:tc>
          <w:tcPr>
            <w:tcW w:type="dxa" w:w="3360"/>
          </w:tcPr>
          <w:p>
            <w:r>
              <w:rPr>
                <w:rFonts w:ascii="Calibri" w:hAnsi="Calibri"/>
                <w:color w:val="333333"/>
                <w:sz w:val="18"/>
              </w:rPr>
              <w:t>F7</w:t>
            </w:r>
          </w:p>
        </w:tc>
        <w:tc>
          <w:tcPr>
            <w:tcW w:type="dxa" w:w="3360"/>
          </w:tcPr>
          <w:p>
            <w:r>
              <w:rPr>
                <w:rFonts w:ascii="Calibri" w:hAnsi="Calibri"/>
                <w:color w:val="333333"/>
                <w:sz w:val="18"/>
              </w:rPr>
              <w:t>capped</w:t>
            </w:r>
          </w:p>
        </w:tc>
        <w:tc>
          <w:tcPr>
            <w:tcW w:type="dxa" w:w="3360"/>
          </w:tcPr>
          <w:p>
            <w:r>
              <w:rPr>
                <w:rFonts w:ascii="Calibri" w:hAnsi="Calibri"/>
                <w:color w:val="333333"/>
                <w:sz w:val="18"/>
              </w:rPr>
              <w:t>0.47</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F9</w:t>
            </w:r>
          </w:p>
        </w:tc>
        <w:tc>
          <w:tcPr>
            <w:tcW w:type="dxa" w:w="3360"/>
          </w:tcPr>
          <w:p>
            <w:r>
              <w:rPr>
                <w:rFonts w:ascii="Calibri" w:hAnsi="Calibri"/>
                <w:color w:val="333333"/>
                <w:sz w:val="18"/>
              </w:rPr>
              <w:t>base</w:t>
            </w:r>
          </w:p>
        </w:tc>
        <w:tc>
          <w:tcPr>
            <w:tcW w:type="dxa" w:w="3360"/>
          </w:tcPr>
          <w:p>
            <w:r>
              <w:rPr>
                <w:rFonts w:ascii="Calibri" w:hAnsi="Calibri"/>
                <w:color w:val="333333"/>
                <w:sz w:val="18"/>
              </w:rPr>
              <w:t>1.00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1.00</w:t>
            </w:r>
          </w:p>
        </w:tc>
      </w:tr>
      <w:tr>
        <w:tc>
          <w:tcPr>
            <w:tcW w:type="dxa" w:w="3360"/>
          </w:tcPr>
          <w:p>
            <w:r>
              <w:rPr>
                <w:rFonts w:ascii="Calibri" w:hAnsi="Calibri"/>
                <w:color w:val="333333"/>
                <w:sz w:val="18"/>
              </w:rPr>
              <w:t>F9</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0.12</w:t>
            </w:r>
          </w:p>
        </w:tc>
      </w:tr>
      <w:tr>
        <w:tc>
          <w:tcPr>
            <w:tcW w:type="dxa" w:w="3360"/>
          </w:tcPr>
          <w:p>
            <w:r>
              <w:rPr>
                <w:rFonts w:ascii="Calibri" w:hAnsi="Calibri"/>
                <w:color w:val="333333"/>
                <w:sz w:val="18"/>
              </w:rPr>
              <w:t>F10</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0.12</w:t>
            </w:r>
          </w:p>
        </w:tc>
      </w:tr>
      <w:tr>
        <w:tc>
          <w:tcPr>
            <w:tcW w:type="dxa" w:w="3360"/>
          </w:tcPr>
          <w:p>
            <w:r>
              <w:rPr>
                <w:rFonts w:ascii="Calibri" w:hAnsi="Calibri"/>
                <w:color w:val="333333"/>
                <w:sz w:val="18"/>
              </w:rPr>
              <w:t>F10</w:t>
            </w:r>
          </w:p>
        </w:tc>
        <w:tc>
          <w:tcPr>
            <w:tcW w:type="dxa" w:w="3360"/>
          </w:tcPr>
          <w:p>
            <w:r>
              <w:rPr>
                <w:rFonts w:ascii="Calibri" w:hAnsi="Calibri"/>
                <w:color w:val="333333"/>
                <w:sz w:val="18"/>
              </w:rPr>
              <w:t>capped</w:t>
            </w:r>
          </w:p>
        </w:tc>
        <w:tc>
          <w:tcPr>
            <w:tcW w:type="dxa" w:w="3360"/>
          </w:tcPr>
          <w:p>
            <w:r>
              <w:rPr>
                <w:rFonts w:ascii="Calibri" w:hAnsi="Calibri"/>
                <w:color w:val="333333"/>
                <w:sz w:val="18"/>
              </w:rPr>
              <w:t>0.12</w:t>
            </w:r>
          </w:p>
        </w:tc>
      </w:tr>
    </w:tbl>
    <w:p>
      <w:pPr>
        <w:pStyle w:val="DOHeading3"/>
      </w:pPr>
      <w:r>
        <w:t>Pattern Detection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Pattern</w:t>
            </w:r>
          </w:p>
        </w:tc>
        <w:tc>
          <w:tcPr>
            <w:tcW w:type="dxa" w:w="2520"/>
            <w:shd w:fill="1A1446" w:val="clear"/>
          </w:tcPr>
          <w:p>
            <w:r>
              <w:rPr>
                <w:rFonts w:ascii="Calibri" w:hAnsi="Calibri"/>
                <w:b/>
                <w:color w:val="FFFFFF"/>
                <w:sz w:val="18"/>
              </w:rPr>
              <w:t>Severity</w:t>
            </w:r>
          </w:p>
        </w:tc>
        <w:tc>
          <w:tcPr>
            <w:tcW w:type="dxa" w:w="2520"/>
            <w:shd w:fill="1A1446" w:val="clear"/>
          </w:tcPr>
          <w:p>
            <w:r>
              <w:rPr>
                <w:rFonts w:ascii="Calibri" w:hAnsi="Calibri"/>
                <w:b/>
                <w:color w:val="FFFFFF"/>
                <w:sz w:val="18"/>
              </w:rPr>
              <w:t>Triggers Matched</w:t>
            </w:r>
          </w:p>
        </w:tc>
        <w:tc>
          <w:tcPr>
            <w:tcW w:type="dxa" w:w="2520"/>
            <w:shd w:fill="1A1446" w:val="clear"/>
          </w:tcPr>
          <w:p>
            <w:r>
              <w:rPr>
                <w:rFonts w:ascii="Calibri" w:hAnsi="Calibri"/>
                <w:b/>
                <w:color w:val="FFFFFF"/>
                <w:sz w:val="18"/>
              </w:rPr>
              <w:t>Score Impact</w:t>
            </w:r>
          </w:p>
        </w:tc>
      </w:tr>
      <w:tr>
        <w:tc>
          <w:tcPr>
            <w:tcW w:type="dxa" w:w="2520"/>
          </w:tcPr>
          <w:p>
            <w:r>
              <w:rPr>
                <w:rFonts w:ascii="Calibri" w:hAnsi="Calibri"/>
                <w:color w:val="333333"/>
                <w:sz w:val="18"/>
              </w:rPr>
              <w:t>Guidance Track Record</w:t>
            </w:r>
          </w:p>
        </w:tc>
        <w:tc>
          <w:tcPr>
            <w:tcW w:type="dxa" w:w="2520"/>
          </w:tcPr>
          <w:p>
            <w:r>
              <w:rPr>
                <w:rFonts w:ascii="Calibri" w:hAnsi="Calibri"/>
                <w:color w:val="333333"/>
                <w:sz w:val="18"/>
              </w:rPr>
              <w:t>BASELINE</w:t>
            </w:r>
          </w:p>
        </w:tc>
        <w:tc>
          <w:tcPr>
            <w:tcW w:type="dxa" w:w="2520"/>
          </w:tcPr>
          <w:p>
            <w:r>
              <w:rPr>
                <w:rFonts w:ascii="Calibri" w:hAnsi="Calibri"/>
                <w:color w:val="333333"/>
                <w:sz w:val="18"/>
              </w:rPr>
            </w:r>
          </w:p>
        </w:tc>
        <w:tc>
          <w:tcPr>
            <w:tcW w:type="dxa" w:w="2520"/>
          </w:tcPr>
          <w:p>
            <w:r>
              <w:rPr>
                <w:rFonts w:ascii="Calibri" w:hAnsi="Calibri"/>
                <w:color w:val="333333"/>
                <w:sz w:val="18"/>
              </w:rPr>
              <w:t>F5: +0</w:t>
            </w:r>
          </w:p>
        </w:tc>
      </w:tr>
    </w:tbl>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66 signals, coverage=100%; F3: Signal-driven scoring: 84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29 signals, coverage=100%; F2: Drop contribution modifier: 0.32x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30 signals, coverage=100%; 2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40 signals, coverage=100%; F10: Signal-driven scoring: 85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17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6.4% - 9.2%</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Industry base rate: 5.0%. Tier WATCH (10-15%): Significantly above base rate. Co</w:t>
            </w:r>
          </w:p>
        </w:tc>
      </w:tr>
    </w:tbl>
    <w:p>
      <w:pPr>
        <w:pStyle w:val="DOBody"/>
      </w:pPr>
      <w:r>
        <w:rPr>
          <w:b/>
        </w:rPr>
        <w:t>Claim probability: ELEVATED</w:t>
      </w:r>
      <w:r>
        <w:rPr>
          <w:b/>
          <w:color w:val="EA580C"/>
          <w:sz w:val="18"/>
        </w:rPr>
        <w:t xml:space="preserve"> [HIGH]</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MID_EXCESS</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$4806.0M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17</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[Charles Liang (CEO)]: Prior litigation: title: A Letter From CEO Charles Liang - Super Micro Computer, Inc.</w:t>
      </w:r>
    </w:p>
    <w:p>
      <w:pPr>
        <w:pStyle w:val="DOBody"/>
      </w:pPr>
      <w:r>
        <w:t>- [Charles Liang (CEO)]: Prior litigation: url: https://ir.supermicro.com/news/news-details/2026/A-Letter-From-CEO-Charles-Liang-2026-LfRyW8BDw</w:t>
      </w:r>
    </w:p>
    <w:p>
      <w:pPr>
        <w:pStyle w:val="DOBody"/>
      </w:pPr>
      <w:r>
        <w:t xml:space="preserve">- [Charles Liang (CEO)]: Prior litigation: snippet: SUPER MICRO COMPUTER, INC.,. CHARLES LIANG, and DAVID WEIGAND,. Defendants. Case No. CLASS </w:t>
      </w:r>
    </w:p>
    <w:p>
      <w:pPr>
        <w:pStyle w:val="DOBody"/>
      </w:pPr>
      <w:r>
        <w:t>- [To Serve As (Director)]: Prior litigation: title: Super Micro Computer, Inc. Class Action Lawsuit - SMCI</w:t>
      </w:r>
    </w:p>
    <w:p>
      <w:pPr>
        <w:pStyle w:val="DOBody"/>
      </w:pPr>
      <w:r>
        <w:t>- [To Serve As (Director)]: Prior litigation: url: https://www.rgrdlaw.com/cases-super-micro-computer-class-action-lawsuit-smci.html</w:t>
      </w:r>
    </w:p>
    <w:p>
      <w:pPr>
        <w:pStyle w:val="DOBody"/>
      </w:pPr>
      <w:r>
        <w:t>- [To Serve As (Director)]: Prior litigation: snippet: The Super Micro class action lawsuit – captioned Bhuva v. Super Micro Computer, Inc., No. 2</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19.98, 'prior_fog': None, 'fog_change': None, 'current_flesch': 21.5, 'prior_flesch': None, 'classification': 'CURRENT_ONLY', 'evidence': 'Current Fog Index: 20.0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Government</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bl>
    <w:p>
      <w:pPr>
        <w:pStyle w:val="DOBody"/>
      </w:pPr>
      <w:r>
        <w:rPr>
          <w:color w:val="666666"/>
          <w:sz w:val="16"/>
        </w:rPr>
        <w:t>Shareholders: 51 triggered checks. Key: Litigation History Profile: 3 (elevated vs benchmark of 0)</w:t>
      </w:r>
    </w:p>
    <w:p>
      <w:pPr>
        <w:pStyle w:val="DOBody"/>
      </w:pPr>
      <w:r>
        <w:rPr>
          <w:color w:val="666666"/>
          <w:sz w:val="16"/>
        </w:rPr>
        <w:t>Regulators: 17 triggered checks. Key: Disclosure Complexity Score: 47 (elevated vs benchmark of 40)</w:t>
      </w:r>
    </w:p>
    <w:p>
      <w:pPr>
        <w:pStyle w:val="DOBody"/>
      </w:pPr>
      <w:r>
        <w:rPr>
          <w:color w:val="666666"/>
          <w:sz w:val="16"/>
        </w:rPr>
        <w:t>Government: 3 triggered checks. Key: Product Concentration: 2 (elevated vs benchmark of 1)</w:t>
      </w:r>
    </w:p>
    <w:p>
      <w:pPr>
        <w:pStyle w:val="DOHeading3"/>
      </w:pPr>
      <w:r>
        <w:t>Bear Cases</w:t>
      </w:r>
    </w:p>
    <w:p>
      <w:pPr>
        <w:pStyle w:val="DOHeading3"/>
      </w:pPr>
      <w:r>
        <w:t>Bear Case: A Disclosure</w:t>
      </w:r>
    </w:p>
    <w:p>
      <w:pPr>
        <w:pStyle w:val="DOBody"/>
      </w:pPr>
      <w:r>
        <w:rPr>
          <w:b/>
        </w:rPr>
        <w:t>Super Micro Computer, Inc.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[BIZ.DEPEND.regulatory_dep] Single-Source Suppliers (Source: regulatory_dependency_count)</w:t>
      </w:r>
    </w:p>
    <w:p>
      <w:pPr>
        <w:pStyle w:val="DOBody"/>
      </w:pPr>
      <w:r>
        <w:rPr>
          <w:sz w:val="16"/>
        </w:rPr>
        <w:t>4. [BIZ.DEPEND.macro_sensitivity] Supply Chain Complexity (Source: macro_sensitivity_count)</w:t>
      </w:r>
    </w:p>
    <w:p>
      <w:pPr>
        <w:pStyle w:val="DOBody"/>
      </w:pPr>
      <w:r>
        <w:rPr>
          <w:sz w:val="16"/>
        </w:rPr>
        <w:t>5. [BIZ.EVENT.ipo_exposure] IPO/Offering Exposure Window (Source: event_ipo_exposure_score)</w:t>
      </w:r>
    </w:p>
    <w:p>
      <w:pPr>
        <w:pStyle w:val="DOBody"/>
      </w:pPr>
      <w:r>
        <w:rPr>
          <w:sz w:val="16"/>
        </w:rPr>
        <w:t>6. [BIZ.OPS.workforce] Workforce Distribution (Source: workforce_distribution)</w:t>
      </w:r>
    </w:p>
    <w:p>
      <w:pPr>
        <w:pStyle w:val="DOBody"/>
      </w:pPr>
      <w:r>
        <w:rPr>
          <w:sz w:val="16"/>
        </w:rPr>
        <w:t>7. [BIZ.STRUC.disclosure_complexity] Disclosure Complexity Score (Source: disclosure_complexity_score)</w:t>
      </w:r>
    </w:p>
    <w:p>
      <w:pPr>
        <w:pStyle w:val="DOBody"/>
      </w:pPr>
      <w:r>
        <w:rPr>
          <w:sz w:val="16"/>
        </w:rPr>
        <w:t>8. [BIZ.STRUC.obs_exposure] Off-Balance-Sheet Exposure (Source: obs_exposure_score)</w:t>
      </w:r>
    </w:p>
    <w:p>
      <w:pPr>
        <w:pStyle w:val="DOBody"/>
      </w:pPr>
      <w:r>
        <w:rPr>
          <w:sz w:val="16"/>
        </w:rPr>
        <w:t>9. [EXEC.PRIOR_LIT.any_officer] Any Officer With Prior Litigation at Previous Company (Source: value)</w:t>
      </w:r>
    </w:p>
    <w:p>
      <w:pPr>
        <w:pStyle w:val="DOBody"/>
      </w:pPr>
      <w:r>
        <w:rPr>
          <w:sz w:val="16"/>
        </w:rPr>
        <w:t>10. [EXEC.PRIOR_LIT.ceo_cfo] CEO or CFO With Prior Litigation (Source: value)</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Company Profile &amp; Industry</w:t>
      </w:r>
    </w:p>
    <w:p>
      <w:pPr>
        <w:pStyle w:val="DOBody"/>
      </w:pPr>
      <w:r>
        <w:rPr>
          <w:b/>
          <w:sz w:val="16"/>
        </w:rPr>
        <w:t xml:space="preserve">  [REQUIRED] </w:t>
      </w:r>
      <w:r>
        <w:rPr>
          <w:sz w:val="16"/>
        </w:rPr>
        <w:t>FWRD.EVENT.shareholder_mtg (Shareholder Meeting Date): Required data not available from filings</w:t>
      </w:r>
    </w:p>
    <w:p>
      <w:pPr>
        <w:pStyle w:val="DOBody"/>
      </w:pPr>
      <w:r>
        <w:rPr>
          <w:b/>
          <w:sz w:val="16"/>
        </w:rPr>
        <w:t xml:space="preserve">  [REQUIRED] </w:t>
      </w:r>
      <w:r>
        <w:rPr>
          <w:sz w:val="16"/>
        </w:rPr>
        <w:t>FWRD.EVENT.proxy_deadline (Proxy Deadline): Required data not available from filings</w:t>
      </w:r>
    </w:p>
    <w:p>
      <w:pPr>
        <w:pStyle w:val="DOHeading3"/>
      </w:pPr>
      <w:r>
        <w:t>Executive Summary &amp; Key Metrics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DISC.YOY.new_risk_factors (New Risk Factors (YoY)): No trend data available for field</w:t>
      </w:r>
    </w:p>
    <w:p>
      <w:pPr>
        <w:pStyle w:val="DOBody"/>
      </w:pPr>
      <w:r>
        <w:rPr>
          <w:b/>
          <w:sz w:val="16"/>
        </w:rPr>
        <w:t xml:space="preserve">  [EVALUATIVE] </w:t>
      </w:r>
      <w:r>
        <w:rPr>
          <w:sz w:val="16"/>
        </w:rPr>
        <w:t>DISC.YOY.removed_risk_factors (Removed Risk Factors (YoY)): No trend data available for field</w:t>
      </w:r>
    </w:p>
    <w:p>
      <w:pPr>
        <w:pStyle w:val="DOBody"/>
      </w:pPr>
      <w:r>
        <w:rPr>
          <w:b/>
          <w:sz w:val="16"/>
        </w:rPr>
        <w:t xml:space="preserve">  [EVALUATIVE] </w:t>
      </w:r>
      <w:r>
        <w:rPr>
          <w:sz w:val="16"/>
        </w:rPr>
        <w:t>DISC.YOY.escalated_risk_factors (Escalated Risk Factors (YoY)): No trend data available for field</w:t>
      </w:r>
    </w:p>
    <w:p>
      <w:pPr>
        <w:pStyle w:val="DOBody"/>
      </w:pPr>
      <w:r>
        <w:rPr>
          <w:b/>
          <w:sz w:val="16"/>
        </w:rPr>
        <w:t xml:space="preserve">  [EVALUATIVE] </w:t>
      </w:r>
      <w:r>
        <w:rPr>
          <w:sz w:val="16"/>
        </w:rPr>
        <w:t>DISC.YOY.material_weakness (Material Weakness Change): No trend data available for field</w:t>
      </w:r>
    </w:p>
    <w:p>
      <w:pPr>
        <w:pStyle w:val="DOBody"/>
      </w:pPr>
      <w:r>
        <w:rPr>
          <w:b/>
          <w:sz w:val="16"/>
        </w:rPr>
        <w:t xml:space="preserve">  [EVALUATIVE] </w:t>
      </w:r>
      <w:r>
        <w:rPr>
          <w:sz w:val="16"/>
        </w:rPr>
        <w:t>DISC.YOY.controls_changed (Internal Controls Disclosure Change): No trend data available for field</w:t>
      </w:r>
    </w:p>
    <w:p>
      <w:pPr>
        <w:pStyle w:val="DOBody"/>
      </w:pPr>
      <w:r>
        <w:rPr>
          <w:b/>
          <w:sz w:val="16"/>
        </w:rPr>
        <w:t xml:space="preserve">  [EVALUATIVE] </w:t>
      </w:r>
      <w:r>
        <w:rPr>
          <w:sz w:val="16"/>
        </w:rPr>
        <w:t>DISC.YOY.legal_proceedings_delta (Legal Proceedings Change (YoY)): No trend data available for field</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EXEC.INSIDER.ceo_net_selling (CEO Net Seller of Stock): Required data not available from filings</w:t>
      </w:r>
    </w:p>
    <w:p>
      <w:pPr>
        <w:pStyle w:val="DOBody"/>
      </w:pPr>
      <w:r>
        <w:rPr>
          <w:b/>
          <w:sz w:val="16"/>
        </w:rPr>
        <w:t xml:space="preserve">  [EVALUATIVE] </w:t>
      </w:r>
      <w:r>
        <w:rPr>
          <w:sz w:val="16"/>
        </w:rPr>
        <w:t>EXEC.INSIDER.cfo_net_selling (CFO Net Seller of Stock): Required data not available from filings</w:t>
      </w:r>
    </w:p>
    <w:p>
      <w:pPr>
        <w:pStyle w:val="DOBody"/>
      </w:pPr>
      <w:r>
        <w:rPr>
          <w:b/>
          <w:sz w:val="16"/>
        </w:rPr>
        <w:t xml:space="preserve">  [EVALUATIVE] </w:t>
      </w:r>
      <w:r>
        <w:rPr>
          <w:sz w:val="16"/>
        </w:rPr>
        <w:t>EXEC.TENURE.cfo_new (CFO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GOV.EXEC.cfo_profile (CFO Profile): Required data not available from filings</w:t>
      </w:r>
    </w:p>
    <w:p>
      <w:pPr>
        <w:pStyle w:val="DOBody"/>
      </w:pPr>
      <w:r>
        <w:rPr>
          <w:b/>
          <w:sz w:val="16"/>
        </w:rPr>
        <w:t xml:space="preserve">  [EVALUATIVE] </w:t>
      </w:r>
      <w:r>
        <w:rPr>
          <w:sz w:val="16"/>
        </w:rPr>
        <w:t>GOV.PAY.ceo_total (Ceo Total): Required data not available from filings</w:t>
      </w:r>
    </w:p>
    <w:p>
      <w:pPr>
        <w:pStyle w:val="DOBody"/>
      </w:pPr>
      <w:r>
        <w:rPr>
          <w:b/>
          <w:sz w:val="16"/>
        </w:rPr>
        <w:t xml:space="preserve">  [REQUIRED] </w:t>
      </w:r>
      <w:r>
        <w:rPr>
          <w:sz w:val="16"/>
        </w:rPr>
        <w:t>GOV.PAY.ceo_structure (Ceo Structure): Required data not available from filings</w:t>
      </w:r>
    </w:p>
    <w:p>
      <w:pPr>
        <w:pStyle w:val="DOBody"/>
      </w:pPr>
      <w:r>
        <w:rPr>
          <w:b/>
          <w:sz w:val="16"/>
        </w:rPr>
        <w:t xml:space="preserve">  [EVALUATIVE] </w:t>
      </w:r>
      <w:r>
        <w:rPr>
          <w:sz w:val="16"/>
        </w:rPr>
        <w:t>GOV.PAY.peer_comparison (Peer Comparison): Required data not available from filings</w:t>
      </w:r>
    </w:p>
    <w:p>
      <w:pPr>
        <w:pStyle w:val="DOBody"/>
      </w:pPr>
      <w:r>
        <w:rPr>
          <w:b/>
          <w:sz w:val="16"/>
        </w:rPr>
        <w:t xml:space="preserve">  [EVALUATIVE] </w:t>
      </w:r>
      <w:r>
        <w:rPr>
          <w:sz w:val="16"/>
        </w:rPr>
        <w:t>GOV.PAY.say_on_pay (Say-on-Pay Results):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FIN.ASSET.goodwill_equity_ratio (Goodwill/Intangible as % of Equity): Required data not available from filings</w:t>
      </w:r>
    </w:p>
    <w:p>
      <w:pPr>
        <w:pStyle w:val="DOBody"/>
      </w:pPr>
      <w:r>
        <w:rPr>
          <w:b/>
          <w:sz w:val="16"/>
        </w:rPr>
        <w:t xml:space="preserve">  [EVALUATIVE] </w:t>
      </w:r>
      <w:r>
        <w:rPr>
          <w:sz w:val="16"/>
        </w:rPr>
        <w:t>FIN.COMP.unvested_cost (Unvested SBC Pipeline): Required data not available from filings</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FIN.DERIV.fair_value_risk (Derivative Fair Value Risk):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FIN.FORENSIC.goodwill_impairment_risk (Goodwill Impairment Risk): Data mapping not configured for this check</w:t>
      </w:r>
    </w:p>
    <w:p>
      <w:pPr>
        <w:pStyle w:val="DOBody"/>
      </w:pPr>
      <w:r>
        <w:rPr>
          <w:b/>
          <w:sz w:val="16"/>
        </w:rPr>
        <w:t xml:space="preserve">  [EVALUATIVE] </w:t>
      </w:r>
      <w:r>
        <w:rPr>
          <w:sz w:val="16"/>
        </w:rPr>
        <w:t>FIN.FORENSIC.intangible_concentration (Intangible Asset Concentration): Data mapping not configured for this check</w:t>
      </w:r>
    </w:p>
    <w:p>
      <w:pPr>
        <w:pStyle w:val="DOBody"/>
      </w:pPr>
      <w:r>
        <w:rPr>
          <w:b/>
          <w:sz w:val="16"/>
        </w:rPr>
        <w:t xml:space="preserve">  [EVALUATIVE] </w:t>
      </w:r>
      <w:r>
        <w:rPr>
          <w:sz w:val="16"/>
        </w:rPr>
        <w:t>FIN.FORENSIC.acquisition_effectiveness (Acquisition Effectiveness):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FIN.FORENSIC.dividend_sustainability (Dividend Sustainability): Data mapping not configured for this check</w:t>
      </w:r>
    </w:p>
    <w:p>
      <w:pPr>
        <w:pStyle w:val="DOBody"/>
      </w:pPr>
      <w:r>
        <w:rPr>
          <w:b/>
          <w:sz w:val="16"/>
        </w:rPr>
        <w:t xml:space="preserve">  [EVALUATIVE] </w:t>
      </w:r>
      <w:r>
        <w:rPr>
          <w:sz w:val="16"/>
        </w:rPr>
        <w:t>FIN.FORENSIC.deferred_tax_growth (Deferred Tax Liability Growth):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FIN.RESTRUCT.charges (Restructuring Charges):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[EVALUATIVE] </w:t>
      </w:r>
      <w:r>
        <w:rPr>
          <w:sz w:val="16"/>
        </w:rPr>
        <w:t>FIN.IMPAIR.intangible_writedown (Intangible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STOCK.INSIDER.notable_activity (Notable Activity): Required data not available from filings</w:t>
      </w:r>
    </w:p>
    <w:p>
      <w:pPr>
        <w:pStyle w:val="DOBody"/>
      </w:pPr>
      <w:r>
        <w:rPr>
          <w:b/>
          <w:sz w:val="16"/>
        </w:rPr>
        <w:t xml:space="preserve">  [EVALUATIVE] </w:t>
      </w:r>
      <w:r>
        <w:rPr>
          <w:sz w:val="16"/>
        </w:rPr>
        <w:t>STOCK.VALUATION.peg_ratio (Peg Ratio):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10 | Evaluative checks: 116</w:t>
      </w:r>
    </w:p>
    <w:p>
      <w:pPr>
        <w:pStyle w:val="DOBody"/>
      </w:pPr>
      <w:r>
        <w:rPr>
          <w:b/>
        </w:rPr>
        <w:t>Total: 126 checks data-unavailable out of 576 total checks (78%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EMERGING_TECH_REGULATORY_GAP</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CRYPTO_HACKING_INCIDENTS</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CRYPTO_SEC_INVESTIGATIONS</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CRYPTO_REGULATORY_CLARITY</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CRYPTO_STAKING_REGULATORY</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crypto_cyber_incident_frequency</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crypto_sec_investigation</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AUDITOR_RESIGNATION_INTEGRITY</w:t>
            </w:r>
          </w:p>
        </w:tc>
        <w:tc>
          <w:tcPr>
            <w:tcW w:type="dxa" w:w="2520"/>
          </w:tcPr>
          <w:p>
            <w:r>
              <w:rPr>
                <w:sz w:val="18"/>
              </w:rPr>
              <w:t>Proposed by ingestion of 'blind_spot:SMCI:Super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CHINA_SALES_DISCLOSURE</w:t>
            </w:r>
          </w:p>
        </w:tc>
        <w:tc>
          <w:tcPr>
            <w:tcW w:type="dxa" w:w="2520"/>
          </w:tcPr>
          <w:p>
            <w:r>
              <w:rPr>
                <w:sz w:val="18"/>
              </w:rPr>
              <w:t>Proposed by ingestion of 'blind_spot:SMCI:Super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EXPORT_COMPLIANCE_CONTROLS</w:t>
            </w:r>
          </w:p>
        </w:tc>
        <w:tc>
          <w:tcPr>
            <w:tcW w:type="dxa" w:w="2520"/>
          </w:tcPr>
          <w:p>
            <w:r>
              <w:rPr>
                <w:sz w:val="18"/>
              </w:rPr>
              <w:t>Proposed by ingestion of 'blind_spot:SMCI:Super Micro Comput</w:t>
            </w:r>
          </w:p>
        </w:tc>
        <w:tc>
          <w:tcPr>
            <w:tcW w:type="dxa" w:w="2520"/>
          </w:tcPr>
          <w:p>
            <w:r>
              <w:rPr>
                <w:sz w:val="18"/>
              </w:rPr>
              <w:t>ingestion_pipeline</w:t>
            </w:r>
          </w:p>
        </w:tc>
      </w:tr>
    </w:tbl>
    <w:p>
      <w:pPr>
        <w:pStyle w:val="DOHeading3"/>
      </w:pPr>
      <w:r>
        <w:t>Discovery Findings</w:t>
      </w:r>
    </w:p>
    <w:p>
      <w:pPr>
        <w:pStyle w:val="DOBody"/>
      </w:pPr>
      <w:r>
        <w:t>5 document(s) analyzed, 9 proposal(s) generated, from blind spot search</w:t>
      </w:r>
    </w:p>
    <w:p>
      <w:pPr>
        <w:pStyle w:val="DOHeading3"/>
      </w:pPr>
      <w:r>
        <w:t>Feedback for SMCI</w:t>
      </w:r>
    </w:p>
    <w:p>
      <w:pPr>
        <w:pStyle w:val="DOBody"/>
      </w:pPr>
      <w:r>
        <w:t>No pending feedback for SMCI.</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Super Micro Computer, Inc. (SMCI)</w:t>
    </w:r>
    <w:r>
      <w:rPr>
        <w:color w:val="999999"/>
        <w:sz w:val="16"/>
      </w:rPr>
      <w:t xml:space="preserve">  |  Generated: 2026-04-03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