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drawing>
          <wp:inline xmlns:a="http://schemas.openxmlformats.org/drawingml/2006/main" xmlns:pic="http://schemas.openxmlformats.org/drawingml/2006/picture">
            <wp:extent cx="1600200" cy="160020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600200" cy="1600200"/>
                    </a:xfrm>
                    <a:prstGeom prst="rect"/>
                  </pic:spPr>
                </pic:pic>
              </a:graphicData>
            </a:graphic>
          </wp:inline>
        </w:drawing>
      </w:r>
    </w:p>
    <w:p>
      <w:pPr>
        <w:pStyle w:val="DOHeading1"/>
      </w:pPr>
      <w:r>
        <w:t>Angry Dolphin -- D&amp;O Underwriting Worksheet</w:t>
      </w:r>
    </w:p>
    <w:p>
      <w:pPr>
        <w:pStyle w:val="DOHeading2"/>
      </w:pPr>
      <w:r>
        <w:t>UNITEDHEALTH GROUP INC (UNH)</w:t>
      </w:r>
    </w:p>
    <w:p>
      <w:pPr>
        <w:pStyle w:val="DOBody"/>
      </w:pPr>
      <w:r>
        <w:rPr>
          <w:color w:val="666666"/>
          <w:sz w:val="20"/>
        </w:rPr>
        <w:t>Generated: April 02, 2026</w:t>
      </w:r>
    </w:p>
    <w:p>
      <w:r>
        <w:fldChar w:fldCharType="begin"/>
        <w:instrText xml:space="preserve"> TOC \o "1-3" \h \z \u </w:instrText>
        <w:fldChar w:fldCharType="separate"/>
      </w:r>
      <w:r>
        <w:rPr>
          <w:color w:val="999999"/>
          <w:sz w:val="18"/>
        </w:rPr>
        <w:t>[Table of Contents -- Update in Word]</w:t>
      </w:r>
      <w:r>
        <w:fldChar w:fldCharType="end"/>
      </w:r>
    </w:p>
    <w:p>
      <w:pPr>
        <w:spacing w:before="120" w:after="40"/>
        <w:pBdr>
          <w:bottom w:val="single" w:sz="6" w:space="1" w:color="FFD000"/>
        </w:pBdr>
      </w:pPr>
    </w:p>
    <w:p>
      <w:pPr>
        <w:pStyle w:val="DOBody"/>
        <w:spacing w:before="40" w:after="120"/>
      </w:pPr>
      <w:r>
        <w:rPr>
          <w:color w:val="333333"/>
          <w:sz w:val="20"/>
        </w:rPr>
        <w:t xml:space="preserve">**Underwriting Thesis: UNITEDHEALTH GROUP INC.**  </w:t>
        <w:br/>
        <w:t>UNITEDHEALTH GROUP INC.’s D&amp;O risk profile is bifurcated, resulting in a **"WALK" tier** placement with a directive for **Excess/Side A only, requiring high attachment points**. The composite score of 90.09 is undermined by a 23.125 quality score and an **ELEVATED claim probability band of 6.96% to 9.94%**, driven by specific, material deductions. A **3.19-point deduction for Prior Litigation** (from 70 discrete signals) and a **2.31-point deduction for Restatement/Audit Issues** reflect a dense history of legal and regulatory entanglements that elevate fiduciary exposure. The critical **Altman Z-Score of 1.41**, below the 1.81 distress threshold, introduces a fundamental financial risk overlay to directors’ oversight duties, despite the positive note of a clean audit opinion. An active **internal whistleblower indicator** imposes a 100-point ceiling impact, signaling heightened internal control and culture risks not yet resolved in SEC filings. These headwinds are partially mitigated by the absence of SEC enforcement actions and stable C-suite tenure over the past 18 months. However, the **14.74% inherent risk percentage** and the concentration of deductions in litigation and governance necessitate structuring that isolates catastrophic risk, avoiding primary layers. Consequently, capacity should be restricted to high-excess placements, aligning with the profile of a large-cap ($251.7B market cap) entity with systemic operational complexity that crystallizes in elevated, though not severe, claim frequency.</w:t>
      </w:r>
    </w:p>
    <w:p>
      <w:pPr>
        <w:pStyle w:val="DOHeading1"/>
      </w:pPr>
      <w:r>
        <w:t>Executive Summary</w:t>
      </w:r>
    </w:p>
    <w:p>
      <w:pPr>
        <w:pStyle w:val="DOHeading2"/>
      </w:pPr>
      <w:r>
        <w:t>Underwriting Thesis</w:t>
      </w:r>
    </w:p>
    <w:p>
      <w:pPr>
        <w:pStyle w:val="DOBody"/>
      </w:pPr>
      <w:r>
        <w:rPr>
          <w:color w:val="1A1446"/>
        </w:rPr>
        <w:t>UNITEDHEALTH GROUP INC is a $251.7B (Decile 1 of 10) mega-cap financials company that would normally present as a stronger underwriting account were it not for critical red flags: Distress Zone (Altman Z &lt; 1.81) and Whistleblower/Qui Tam Disclosure. These findings impose a hard quality score ceiling of 25, placing the account in WALK tier (23/100) regardless of other favorable factors. Financial distress indicators are concerning (Z-Score 1.41), elevating going-concern and creditor-related D&amp;O exposure. The primary risk driver is Prior Litigation, driving elevated risk in this area. Signal-driven scoring: 70 signals, coverage=100%. At a 7-10% claim probability (14.7% adjusted rate, 3.7x the Financials sector baseline of 4.0%), this account requires high-excess positioning with elevated attachment.</w:t>
      </w:r>
    </w:p>
    <w:p>
      <w:pPr>
        <w:pStyle w:val="DOHeading3"/>
      </w:pPr>
      <w:r>
        <w:t>Company Snapshot</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Attribute</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Source</w:t>
            </w:r>
          </w:p>
        </w:tc>
      </w:tr>
      <w:tr>
        <w:tc>
          <w:tcPr>
            <w:tcW w:type="dxa" w:w="3360"/>
          </w:tcPr>
          <w:p>
            <w:r>
              <w:rPr>
                <w:rFonts w:ascii="Calibri" w:hAnsi="Calibri"/>
                <w:color w:val="333333"/>
                <w:sz w:val="18"/>
              </w:rPr>
              <w:t>Company</w:t>
            </w:r>
          </w:p>
        </w:tc>
        <w:tc>
          <w:tcPr>
            <w:tcW w:type="dxa" w:w="3360"/>
          </w:tcPr>
          <w:p>
            <w:r>
              <w:rPr>
                <w:rFonts w:ascii="Calibri" w:hAnsi="Calibri"/>
                <w:color w:val="333333"/>
                <w:sz w:val="18"/>
              </w:rPr>
              <w:t>UNITEDHEALTH GROUP INC</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Ticker</w:t>
            </w:r>
          </w:p>
        </w:tc>
        <w:tc>
          <w:tcPr>
            <w:tcW w:type="dxa" w:w="3360"/>
            <w:shd w:fill="F2F4F8" w:val="clear"/>
          </w:tcPr>
          <w:p>
            <w:r>
              <w:rPr>
                <w:rFonts w:ascii="Calibri" w:hAnsi="Calibri"/>
                <w:color w:val="333333"/>
                <w:sz w:val="18"/>
              </w:rPr>
              <w:t>UNH</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Exchange</w:t>
            </w:r>
          </w:p>
        </w:tc>
        <w:tc>
          <w:tcPr>
            <w:tcW w:type="dxa" w:w="3360"/>
          </w:tcPr>
          <w:p>
            <w:r>
              <w:rPr>
                <w:rFonts w:ascii="Calibri" w:hAnsi="Calibri"/>
                <w:color w:val="333333"/>
                <w:sz w:val="18"/>
              </w:rPr>
              <w:t>NYSE</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Sector</w:t>
            </w:r>
          </w:p>
        </w:tc>
        <w:tc>
          <w:tcPr>
            <w:tcW w:type="dxa" w:w="3360"/>
            <w:shd w:fill="F2F4F8" w:val="clear"/>
          </w:tcPr>
          <w:p>
            <w:r>
              <w:rPr>
                <w:rFonts w:ascii="Calibri" w:hAnsi="Calibri"/>
                <w:color w:val="333333"/>
                <w:sz w:val="18"/>
              </w:rPr>
              <w:t>Healthcare</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Industry</w:t>
            </w:r>
          </w:p>
        </w:tc>
        <w:tc>
          <w:tcPr>
            <w:tcW w:type="dxa" w:w="3360"/>
          </w:tcPr>
          <w:p>
            <w:r>
              <w:rPr>
                <w:rFonts w:ascii="Calibri" w:hAnsi="Calibri"/>
                <w:color w:val="333333"/>
                <w:sz w:val="18"/>
              </w:rPr>
              <w:t>Healthcare Plans</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Market Cap</w:t>
            </w:r>
          </w:p>
        </w:tc>
        <w:tc>
          <w:tcPr>
            <w:tcW w:type="dxa" w:w="3360"/>
            <w:shd w:fill="F2F4F8" w:val="clear"/>
          </w:tcPr>
          <w:p>
            <w:r>
              <w:rPr>
                <w:rFonts w:ascii="Calibri" w:hAnsi="Calibri"/>
                <w:color w:val="333333"/>
                <w:sz w:val="18"/>
              </w:rPr>
              <w:t>$251.7B  [Decile 1 (largest ~400 accounts)]  (Ranks at the 56th percentile among 9 peers)</w:t>
            </w:r>
          </w:p>
        </w:tc>
        <w:tc>
          <w:tcPr>
            <w:tcW w:type="dxa" w:w="3360"/>
            <w:shd w:fill="F2F4F8" w:val="clear"/>
          </w:tcPr>
          <w:p>
            <w:r>
              <w:rPr>
                <w:rFonts w:ascii="Calibri" w:hAnsi="Calibri"/>
                <w:color w:val="333333"/>
                <w:sz w:val="18"/>
              </w:rPr>
              <w:t>[yfinance, filed 2026-04-02, MEDIUM confidence]</w:t>
            </w:r>
          </w:p>
        </w:tc>
      </w:tr>
      <w:tr>
        <w:tc>
          <w:tcPr>
            <w:tcW w:type="dxa" w:w="3360"/>
          </w:tcPr>
          <w:p>
            <w:r>
              <w:rPr>
                <w:rFonts w:ascii="Calibri" w:hAnsi="Calibri"/>
                <w:color w:val="333333"/>
                <w:sz w:val="18"/>
              </w:rPr>
              <w:t>Revenue</w:t>
            </w:r>
          </w:p>
        </w:tc>
        <w:tc>
          <w:tcPr>
            <w:tcW w:type="dxa" w:w="3360"/>
          </w:tcPr>
          <w:p>
            <w:r>
              <w:rPr>
                <w:rFonts w:ascii="Calibri" w:hAnsi="Calibri"/>
                <w:color w:val="333333"/>
                <w:sz w:val="18"/>
              </w:rPr>
              <w:t>$447.6B</w:t>
            </w:r>
          </w:p>
        </w:tc>
        <w:tc>
          <w:tcPr>
            <w:tcW w:type="dxa" w:w="3360"/>
          </w:tcPr>
          <w:p>
            <w:r>
              <w:rPr>
                <w:rFonts w:ascii="Calibri" w:hAnsi="Calibri"/>
                <w:color w:val="333333"/>
                <w:sz w:val="18"/>
              </w:rPr>
              <w:t>[10-K 2025-12-31 CIK731766 accn:0000731766-26-000062, filed 2025-12-31, HIGH confidence]</w:t>
            </w:r>
          </w:p>
        </w:tc>
      </w:tr>
      <w:tr>
        <w:tc>
          <w:tcPr>
            <w:tcW w:type="dxa" w:w="3360"/>
            <w:shd w:fill="F2F4F8" w:val="clear"/>
          </w:tcPr>
          <w:p>
            <w:r>
              <w:rPr>
                <w:rFonts w:ascii="Calibri" w:hAnsi="Calibri"/>
                <w:color w:val="333333"/>
                <w:sz w:val="18"/>
              </w:rPr>
              <w:t>Employees</w:t>
            </w:r>
          </w:p>
        </w:tc>
        <w:tc>
          <w:tcPr>
            <w:tcW w:type="dxa" w:w="3360"/>
            <w:shd w:fill="F2F4F8" w:val="clear"/>
          </w:tcPr>
          <w:p>
            <w:r>
              <w:rPr>
                <w:rFonts w:ascii="Calibri" w:hAnsi="Calibri"/>
                <w:color w:val="333333"/>
                <w:sz w:val="18"/>
              </w:rPr>
              <w:t>390,000</w:t>
            </w:r>
          </w:p>
        </w:tc>
        <w:tc>
          <w:tcPr>
            <w:tcW w:type="dxa" w:w="3360"/>
            <w:shd w:fill="F2F4F8" w:val="clear"/>
          </w:tcPr>
          <w:p>
            <w:r>
              <w:rPr>
                <w:rFonts w:ascii="Calibri" w:hAnsi="Calibri"/>
                <w:color w:val="333333"/>
                <w:sz w:val="18"/>
              </w:rPr>
              <w:t>[yfinance, filed 2026-04-02, MEDIUM confidence]</w:t>
            </w:r>
          </w:p>
        </w:tc>
      </w:tr>
      <w:tr>
        <w:tc>
          <w:tcPr>
            <w:tcW w:type="dxa" w:w="3360"/>
          </w:tcPr>
          <w:p>
            <w:r>
              <w:rPr>
                <w:rFonts w:ascii="Calibri" w:hAnsi="Calibri"/>
                <w:color w:val="333333"/>
                <w:sz w:val="18"/>
              </w:rPr>
              <w:t>SIC</w:t>
            </w:r>
          </w:p>
        </w:tc>
        <w:tc>
          <w:tcPr>
            <w:tcW w:type="dxa" w:w="3360"/>
          </w:tcPr>
          <w:p>
            <w:r>
              <w:rPr>
                <w:rFonts w:ascii="Calibri" w:hAnsi="Calibri"/>
                <w:color w:val="333333"/>
                <w:sz w:val="18"/>
              </w:rPr>
              <w:t>6324 -- Hospital &amp; Medical Service Plans</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GICS</w:t>
            </w:r>
          </w:p>
        </w:tc>
        <w:tc>
          <w:tcPr>
            <w:tcW w:type="dxa" w:w="3360"/>
            <w:shd w:fill="F2F4F8" w:val="clear"/>
          </w:tcPr>
          <w:p>
            <w:r>
              <w:rPr>
                <w:rFonts w:ascii="Calibri" w:hAnsi="Calibri"/>
                <w:color w:val="333333"/>
                <w:sz w:val="18"/>
              </w:rPr>
              <w:t>40301040</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NAICS</w:t>
            </w:r>
          </w:p>
        </w:tc>
        <w:tc>
          <w:tcPr>
            <w:tcW w:type="dxa" w:w="3360"/>
          </w:tcPr>
          <w:p>
            <w:r>
              <w:rPr>
                <w:rFonts w:ascii="Calibri" w:hAnsi="Calibri"/>
                <w:color w:val="333333"/>
                <w:sz w:val="18"/>
              </w:rPr>
              <w:t>524114</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FPI Status</w:t>
            </w:r>
          </w:p>
        </w:tc>
        <w:tc>
          <w:tcPr>
            <w:tcW w:type="dxa" w:w="3360"/>
            <w:shd w:fill="F2F4F8" w:val="clear"/>
          </w:tcPr>
          <w:p>
            <w:r>
              <w:rPr>
                <w:rFonts w:ascii="Calibri" w:hAnsi="Calibri"/>
                <w:color w:val="333333"/>
                <w:sz w:val="18"/>
              </w:rPr>
              <w:t>No</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Fiscal Year End</w:t>
            </w:r>
          </w:p>
        </w:tc>
        <w:tc>
          <w:tcPr>
            <w:tcW w:type="dxa" w:w="3360"/>
          </w:tcPr>
          <w:p>
            <w:r>
              <w:rPr>
                <w:rFonts w:ascii="Calibri" w:hAnsi="Calibri"/>
                <w:color w:val="333333"/>
                <w:sz w:val="18"/>
              </w:rPr>
              <w:t>12-31</w:t>
            </w:r>
          </w:p>
        </w:tc>
        <w:tc>
          <w:tcPr>
            <w:tcW w:type="dxa" w:w="3360"/>
          </w:tcPr>
          <w:p>
            <w:r>
              <w:rPr>
                <w:rFonts w:ascii="Calibri" w:hAnsi="Calibri"/>
                <w:color w:val="333333"/>
                <w:sz w:val="18"/>
              </w:rPr>
            </w:r>
          </w:p>
        </w:tc>
      </w:tr>
    </w:tbl>
    <w:p>
      <w:pPr>
        <w:pStyle w:val="DOHeading3"/>
      </w:pPr>
      <w:r>
        <w:t>Tier 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Attribute</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Tier</w:t>
            </w:r>
          </w:p>
        </w:tc>
        <w:tc>
          <w:tcPr>
            <w:tcW w:type="dxa" w:w="5040"/>
          </w:tcPr>
          <w:p>
            <w:r>
              <w:rPr>
                <w:rFonts w:ascii="Calibri" w:hAnsi="Calibri"/>
                <w:color w:val="333333"/>
                <w:sz w:val="18"/>
              </w:rPr>
              <w:t>WALK</w:t>
            </w:r>
          </w:p>
        </w:tc>
      </w:tr>
      <w:tr>
        <w:tc>
          <w:tcPr>
            <w:tcW w:type="dxa" w:w="5040"/>
            <w:shd w:fill="F2F4F8" w:val="clear"/>
          </w:tcPr>
          <w:p>
            <w:r>
              <w:rPr>
                <w:rFonts w:ascii="Calibri" w:hAnsi="Calibri"/>
                <w:color w:val="333333"/>
                <w:sz w:val="18"/>
              </w:rPr>
              <w:t>Composite Score</w:t>
            </w:r>
          </w:p>
        </w:tc>
        <w:tc>
          <w:tcPr>
            <w:tcW w:type="dxa" w:w="5040"/>
            <w:shd w:fill="F2F4F8" w:val="clear"/>
          </w:tcPr>
          <w:p>
            <w:r>
              <w:rPr>
                <w:rFonts w:ascii="Calibri" w:hAnsi="Calibri"/>
                <w:color w:val="333333"/>
                <w:sz w:val="18"/>
              </w:rPr>
              <w:t>90.1/100</w:t>
            </w:r>
          </w:p>
        </w:tc>
      </w:tr>
      <w:tr>
        <w:tc>
          <w:tcPr>
            <w:tcW w:type="dxa" w:w="5040"/>
          </w:tcPr>
          <w:p>
            <w:r>
              <w:rPr>
                <w:rFonts w:ascii="Calibri" w:hAnsi="Calibri"/>
                <w:color w:val="333333"/>
                <w:sz w:val="18"/>
              </w:rPr>
              <w:t>Quality Score</w:t>
            </w:r>
          </w:p>
        </w:tc>
        <w:tc>
          <w:tcPr>
            <w:tcW w:type="dxa" w:w="5040"/>
          </w:tcPr>
          <w:p>
            <w:r>
              <w:rPr>
                <w:rFonts w:ascii="Calibri" w:hAnsi="Calibri"/>
                <w:color w:val="333333"/>
                <w:sz w:val="18"/>
              </w:rPr>
              <w:t>23.1/100</w:t>
            </w:r>
          </w:p>
        </w:tc>
      </w:tr>
      <w:tr>
        <w:tc>
          <w:tcPr>
            <w:tcW w:type="dxa" w:w="5040"/>
            <w:shd w:fill="F2F4F8" w:val="clear"/>
          </w:tcPr>
          <w:p>
            <w:r>
              <w:rPr>
                <w:rFonts w:ascii="Calibri" w:hAnsi="Calibri"/>
                <w:color w:val="333333"/>
                <w:sz w:val="18"/>
              </w:rPr>
              <w:t>Factor Breakdown</w:t>
            </w:r>
          </w:p>
        </w:tc>
        <w:tc>
          <w:tcPr>
            <w:tcW w:type="dxa" w:w="5040"/>
            <w:shd w:fill="F2F4F8" w:val="clear"/>
          </w:tcPr>
          <w:p>
            <w:r>
              <w:rPr>
                <w:rFonts w:ascii="Calibri" w:hAnsi="Calibri"/>
                <w:color w:val="333333"/>
                <w:sz w:val="18"/>
              </w:rPr>
              <w:t>F1: 3.2, F2: 0.6, F3: 2.3, F4: 0.7, F5: 0.4, F6: 1.0, F7: 0.3, F8: 0.0, F9: 1.3, F10: 0.1</w:t>
            </w:r>
          </w:p>
        </w:tc>
      </w:tr>
      <w:tr>
        <w:tc>
          <w:tcPr>
            <w:tcW w:type="dxa" w:w="5040"/>
          </w:tcPr>
          <w:p>
            <w:r>
              <w:rPr>
                <w:rFonts w:ascii="Calibri" w:hAnsi="Calibri"/>
                <w:color w:val="333333"/>
                <w:sz w:val="18"/>
              </w:rPr>
              <w:t>Score Ceiling</w:t>
            </w:r>
          </w:p>
        </w:tc>
        <w:tc>
          <w:tcPr>
            <w:tcW w:type="dxa" w:w="5040"/>
          </w:tcPr>
          <w:p>
            <w:r>
              <w:rPr>
                <w:rFonts w:ascii="Calibri" w:hAnsi="Calibri"/>
                <w:color w:val="333333"/>
                <w:sz w:val="18"/>
              </w:rPr>
              <w:t>Capped at 25 by CRF-13 (Distress Zone (Altman Z &lt; 1.81))</w:t>
            </w:r>
          </w:p>
        </w:tc>
      </w:tr>
      <w:tr>
        <w:tc>
          <w:tcPr>
            <w:tcW w:type="dxa" w:w="5040"/>
            <w:shd w:fill="F2F4F8" w:val="clear"/>
          </w:tcPr>
          <w:p>
            <w:r>
              <w:rPr>
                <w:rFonts w:ascii="Calibri" w:hAnsi="Calibri"/>
                <w:color w:val="333333"/>
                <w:sz w:val="18"/>
              </w:rPr>
              <w:t>Position</w:t>
            </w:r>
          </w:p>
        </w:tc>
        <w:tc>
          <w:tcPr>
            <w:tcW w:type="dxa" w:w="5040"/>
            <w:shd w:fill="F2F4F8" w:val="clear"/>
          </w:tcPr>
          <w:p>
            <w:r>
              <w:rPr>
                <w:rFonts w:ascii="Calibri" w:hAnsi="Calibri"/>
                <w:color w:val="333333"/>
                <w:sz w:val="18"/>
              </w:rPr>
              <w:t>90.1 falls in WALK range (11-30)</w:t>
            </w:r>
          </w:p>
        </w:tc>
      </w:tr>
      <w:tr>
        <w:tc>
          <w:tcPr>
            <w:tcW w:type="dxa" w:w="5040"/>
          </w:tcPr>
          <w:p>
            <w:r>
              <w:rPr>
                <w:rFonts w:ascii="Calibri" w:hAnsi="Calibri"/>
                <w:color w:val="333333"/>
                <w:sz w:val="18"/>
              </w:rPr>
              <w:t>Appetite</w:t>
            </w:r>
          </w:p>
        </w:tc>
        <w:tc>
          <w:tcPr>
            <w:tcW w:type="dxa" w:w="5040"/>
          </w:tcPr>
          <w:p>
            <w:r>
              <w:rPr>
                <w:rFonts w:ascii="Calibri" w:hAnsi="Calibri"/>
                <w:color w:val="333333"/>
                <w:sz w:val="18"/>
              </w:rPr>
              <w:t>Excess/Side A only, high attachment required</w:t>
            </w:r>
          </w:p>
        </w:tc>
      </w:tr>
    </w:tbl>
    <w:p>
      <w:pPr>
        <w:pStyle w:val="DOBody"/>
      </w:pPr>
      <w:r>
        <w:t>Classification: WALK</w:t>
      </w:r>
      <w:r>
        <w:rPr>
          <w:b/>
          <w:color w:val="DC2626"/>
          <w:sz w:val="18"/>
        </w:rPr>
        <w:t xml:space="preserve"> [CRITICAL]</w:t>
      </w:r>
    </w:p>
    <w:p>
      <w:pPr>
        <w:pStyle w:val="DOHeading3"/>
      </w:pPr>
      <w:r>
        <w:t>Inherent Risk Baseline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Market Cap Tier</w:t>
            </w:r>
          </w:p>
        </w:tc>
        <w:tc>
          <w:tcPr>
            <w:tcW w:type="dxa" w:w="5040"/>
          </w:tcPr>
          <w:p>
            <w:r>
              <w:rPr>
                <w:rFonts w:ascii="Calibri" w:hAnsi="Calibri"/>
                <w:color w:val="333333"/>
                <w:sz w:val="18"/>
              </w:rPr>
              <w:t>MEGA  [Decile 1 (largest ~400 accounts)]</w:t>
            </w:r>
          </w:p>
        </w:tc>
      </w:tr>
      <w:tr>
        <w:tc>
          <w:tcPr>
            <w:tcW w:type="dxa" w:w="5040"/>
            <w:shd w:fill="F2F4F8" w:val="clear"/>
          </w:tcPr>
          <w:p>
            <w:r>
              <w:rPr>
                <w:rFonts w:ascii="Calibri" w:hAnsi="Calibri"/>
                <w:color w:val="333333"/>
                <w:sz w:val="18"/>
              </w:rPr>
              <w:t>Sector</w:t>
            </w:r>
          </w:p>
        </w:tc>
        <w:tc>
          <w:tcPr>
            <w:tcW w:type="dxa" w:w="5040"/>
            <w:shd w:fill="F2F4F8" w:val="clear"/>
          </w:tcPr>
          <w:p>
            <w:r>
              <w:rPr>
                <w:rFonts w:ascii="Calibri" w:hAnsi="Calibri"/>
                <w:color w:val="333333"/>
                <w:sz w:val="18"/>
              </w:rPr>
              <w:t>Financials (Base rate: 4.0%)</w:t>
            </w:r>
          </w:p>
        </w:tc>
      </w:tr>
      <w:tr>
        <w:tc>
          <w:tcPr>
            <w:tcW w:type="dxa" w:w="5040"/>
          </w:tcPr>
          <w:p>
            <w:r>
              <w:rPr>
                <w:rFonts w:ascii="Calibri" w:hAnsi="Calibri"/>
                <w:color w:val="333333"/>
                <w:sz w:val="18"/>
              </w:rPr>
              <w:t>Size Adjustment</w:t>
            </w:r>
          </w:p>
        </w:tc>
        <w:tc>
          <w:tcPr>
            <w:tcW w:type="dxa" w:w="5040"/>
          </w:tcPr>
          <w:p>
            <w:r>
              <w:rPr>
                <w:rFonts w:ascii="Calibri" w:hAnsi="Calibri"/>
                <w:color w:val="333333"/>
                <w:sz w:val="18"/>
              </w:rPr>
              <w:t>1.56x (MEGA cap multiplier) -&gt; 6.2%</w:t>
            </w:r>
          </w:p>
        </w:tc>
      </w:tr>
      <w:tr>
        <w:tc>
          <w:tcPr>
            <w:tcW w:type="dxa" w:w="5040"/>
            <w:shd w:fill="F2F4F8" w:val="clear"/>
          </w:tcPr>
          <w:p>
            <w:r>
              <w:rPr>
                <w:rFonts w:ascii="Calibri" w:hAnsi="Calibri"/>
                <w:color w:val="333333"/>
                <w:sz w:val="18"/>
              </w:rPr>
              <w:t>Score Adjustment</w:t>
            </w:r>
          </w:p>
        </w:tc>
        <w:tc>
          <w:tcPr>
            <w:tcW w:type="dxa" w:w="5040"/>
            <w:shd w:fill="F2F4F8" w:val="clear"/>
          </w:tcPr>
          <w:p>
            <w:r>
              <w:rPr>
                <w:rFonts w:ascii="Calibri" w:hAnsi="Calibri"/>
                <w:color w:val="333333"/>
                <w:sz w:val="18"/>
              </w:rPr>
              <w:t>2.36x (quality score multiplier) -&gt; 14.7%</w:t>
            </w:r>
          </w:p>
        </w:tc>
      </w:tr>
    </w:tbl>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Severity Percentile</w:t>
            </w:r>
          </w:p>
        </w:tc>
        <w:tc>
          <w:tcPr>
            <w:tcW w:type="dxa" w:w="5040"/>
            <w:shd w:fill="1A1446" w:val="clear"/>
          </w:tcPr>
          <w:p>
            <w:r>
              <w:rPr>
                <w:rFonts w:ascii="Calibri" w:hAnsi="Calibri"/>
                <w:b/>
                <w:color w:val="FFFFFF"/>
                <w:sz w:val="18"/>
              </w:rPr>
              <w:t>Settlement Estimate</w:t>
            </w:r>
          </w:p>
        </w:tc>
      </w:tr>
      <w:tr>
        <w:tc>
          <w:tcPr>
            <w:tcW w:type="dxa" w:w="5040"/>
          </w:tcPr>
          <w:p>
            <w:r>
              <w:rPr>
                <w:rFonts w:ascii="Calibri" w:hAnsi="Calibri"/>
                <w:color w:val="333333"/>
                <w:sz w:val="18"/>
              </w:rPr>
              <w:t>25th (favorable)</w:t>
            </w:r>
          </w:p>
        </w:tc>
        <w:tc>
          <w:tcPr>
            <w:tcW w:type="dxa" w:w="5040"/>
          </w:tcPr>
          <w:p>
            <w:r>
              <w:rPr>
                <w:rFonts w:ascii="Calibri" w:hAnsi="Calibri"/>
                <w:color w:val="333333"/>
                <w:sz w:val="18"/>
              </w:rPr>
              <w:t>$25.0M</w:t>
            </w:r>
          </w:p>
        </w:tc>
      </w:tr>
      <w:tr>
        <w:tc>
          <w:tcPr>
            <w:tcW w:type="dxa" w:w="5040"/>
            <w:shd w:fill="F2F4F8" w:val="clear"/>
          </w:tcPr>
          <w:p>
            <w:r>
              <w:rPr>
                <w:rFonts w:ascii="Calibri" w:hAnsi="Calibri"/>
                <w:color w:val="333333"/>
                <w:sz w:val="18"/>
              </w:rPr>
              <w:t>50th (median)</w:t>
            </w:r>
          </w:p>
        </w:tc>
        <w:tc>
          <w:tcPr>
            <w:tcW w:type="dxa" w:w="5040"/>
            <w:shd w:fill="F2F4F8" w:val="clear"/>
          </w:tcPr>
          <w:p>
            <w:r>
              <w:rPr>
                <w:rFonts w:ascii="Calibri" w:hAnsi="Calibri"/>
                <w:color w:val="333333"/>
                <w:sz w:val="18"/>
              </w:rPr>
              <w:t>$75.0M</w:t>
            </w:r>
          </w:p>
        </w:tc>
      </w:tr>
      <w:tr>
        <w:tc>
          <w:tcPr>
            <w:tcW w:type="dxa" w:w="5040"/>
          </w:tcPr>
          <w:p>
            <w:r>
              <w:rPr>
                <w:rFonts w:ascii="Calibri" w:hAnsi="Calibri"/>
                <w:color w:val="333333"/>
                <w:sz w:val="18"/>
              </w:rPr>
              <w:t>75th (adverse)</w:t>
            </w:r>
          </w:p>
        </w:tc>
        <w:tc>
          <w:tcPr>
            <w:tcW w:type="dxa" w:w="5040"/>
          </w:tcPr>
          <w:p>
            <w:r>
              <w:rPr>
                <w:rFonts w:ascii="Calibri" w:hAnsi="Calibri"/>
                <w:color w:val="333333"/>
                <w:sz w:val="18"/>
              </w:rPr>
              <w:t>$112.5M</w:t>
            </w:r>
          </w:p>
        </w:tc>
      </w:tr>
      <w:tr>
        <w:tc>
          <w:tcPr>
            <w:tcW w:type="dxa" w:w="5040"/>
            <w:shd w:fill="F2F4F8" w:val="clear"/>
          </w:tcPr>
          <w:p>
            <w:r>
              <w:rPr>
                <w:rFonts w:ascii="Calibri" w:hAnsi="Calibri"/>
                <w:color w:val="333333"/>
                <w:sz w:val="18"/>
              </w:rPr>
              <w:t>95th (catastrophic)</w:t>
            </w:r>
          </w:p>
        </w:tc>
        <w:tc>
          <w:tcPr>
            <w:tcW w:type="dxa" w:w="5040"/>
            <w:shd w:fill="F2F4F8" w:val="clear"/>
          </w:tcPr>
          <w:p>
            <w:r>
              <w:rPr>
                <w:rFonts w:ascii="Calibri" w:hAnsi="Calibri"/>
                <w:color w:val="333333"/>
                <w:sz w:val="18"/>
              </w:rPr>
              <w:t>$150.0M</w:t>
            </w:r>
          </w:p>
        </w:tc>
      </w:tr>
    </w:tbl>
    <w:p>
      <w:pPr>
        <w:pStyle w:val="DOBody"/>
      </w:pPr>
      <w:r>
        <w:t>At a 14.7% adjusted claim rate, the company faces 3.7x its sector baseline of 4.0% for Financials companies. This rate reflects the MEGA cap multiplier (1.56x) combined with the quality score multiplier (2.36x from WALK tier classification). If the score improved to WRITE tier, the rate would drop to approximately 6.2%.</w:t>
      </w:r>
    </w:p>
    <w:p>
      <w:pPr>
        <w:pStyle w:val="DOCaption"/>
      </w:pPr>
      <w:r>
        <w:t>Note: NEEDS CALIBRATION</w:t>
      </w:r>
    </w:p>
    <w:p>
      <w:pPr>
        <w:pStyle w:val="DOHeading3"/>
      </w:pPr>
      <w:r>
        <w:t>Underwriting Headwinds</w:t>
      </w:r>
    </w:p>
    <w:p>
      <w:pPr>
        <w:pStyle w:val="DOBody"/>
      </w:pPr>
      <w:r>
        <w:rPr>
          <w:b/>
        </w:rPr>
        <w:t>1. Financial Distress Indicators</w:t>
      </w:r>
      <w:r>
        <w:rPr>
          <w:b/>
          <w:color w:val="DC2626"/>
          <w:sz w:val="18"/>
        </w:rPr>
        <w:t xml:space="preserve"> [CRITICAL]</w:t>
      </w:r>
    </w:p>
    <w:p>
      <w:pPr>
        <w:pStyle w:val="DOBody"/>
      </w:pPr>
      <w:r>
        <w:t>Unitedhealth Group Inc. shows financial distress indicators (Altman Z-Score of 1.41 (gray zone), D/E of 0.78, current ratio of 0.8x, interest coverage of 8.3x). Piotroski F-Score is 6/9. This triggers a Critical Red Flag, imposing a score ceiling of 23. (see Financial Health)</w:t>
      </w:r>
    </w:p>
    <w:p>
      <w:pPr>
        <w:pStyle w:val="DOBody"/>
      </w:pPr>
      <w:r>
        <w:rPr>
          <w:b/>
        </w:rPr>
        <w:t>2. Critical Red Flag</w:t>
      </w:r>
      <w:r>
        <w:rPr>
          <w:b/>
          <w:color w:val="DC2626"/>
          <w:sz w:val="18"/>
        </w:rPr>
        <w:t xml:space="preserve"> [CRITICAL]</w:t>
      </w:r>
    </w:p>
    <w:p>
      <w:pPr>
        <w:pStyle w:val="DOBody"/>
      </w:pPr>
      <w:r>
        <w:t>Critical Red Flag: Whistleblower/Qui Tam Disclosure — Whistleblower indicator: internal. This triggers a Critical Red Flag, imposing a score ceiling of 23.</w:t>
      </w:r>
    </w:p>
    <w:p>
      <w:pPr>
        <w:pStyle w:val="DOBody"/>
      </w:pPr>
      <w:r>
        <w:rPr>
          <w:b/>
        </w:rPr>
        <w:t>3. Structural Complexity &amp; Litigation History</w:t>
      </w:r>
      <w:r>
        <w:rPr>
          <w:b/>
          <w:color w:val="EA580C"/>
          <w:sz w:val="18"/>
        </w:rPr>
        <w:t xml:space="preserve"> [HIGH]</w:t>
      </w:r>
    </w:p>
    <w:p>
      <w:pPr>
        <w:pStyle w:val="DOBody"/>
      </w:pPr>
      <w:r>
        <w:t>Unitedhealth Group Inc. has 11 subsidiaries, increasing multi-jurisdictional litigation exposure. Goodwill at 35.8% of total assets reflects an acquisition-driven strategy where integration risk and impairment charges are common SCA triggers. The current docket includes 6 derivative suits, 1 securities class action. With goodwill at 35.8% of total assets and 7 active matters, Unitedhealth Group Inc.'s exposure profile combines impairment risk with demonstrated plaintiff interest in this issuer. (see Litigation)</w:t>
      </w:r>
    </w:p>
    <w:p>
      <w:pPr>
        <w:pStyle w:val="DOBody"/>
      </w:pPr>
      <w:r>
        <w:rPr>
          <w:b/>
        </w:rPr>
        <w:t>4. Audit &amp; Accounting Risk Factors</w:t>
      </w:r>
      <w:r>
        <w:rPr>
          <w:b/>
          <w:color w:val="EA580C"/>
          <w:sz w:val="18"/>
        </w:rPr>
        <w:t xml:space="preserve"> [HIGH]</w:t>
      </w:r>
    </w:p>
    <w:p>
      <w:pPr>
        <w:pStyle w:val="DOBody"/>
      </w:pPr>
      <w:r>
        <w:t>Unitedhealth Group Inc. has audit-related risk factors that warrant underwriting attention. Beneish M-Score of -3.11 with 0/8 component flags triggered. Goodwill represents 35.8% of total assets, requiring annual impairment testing under ASC 350. Impairment charges are a frequent SCA trigger. Combined with Unitedhealth Group Inc.'s WALK tier classification, audit risk factors compound overall D&amp;O exposure. (see Financial Health)</w:t>
      </w:r>
    </w:p>
    <w:p>
      <w:pPr>
        <w:pStyle w:val="DOBody"/>
      </w:pPr>
      <w:r>
        <w:rPr>
          <w:b/>
        </w:rPr>
        <w:t>5. Earnings Guidance Track Record</w:t>
      </w:r>
      <w:r>
        <w:rPr>
          <w:b/>
          <w:color w:val="EA580C"/>
          <w:sz w:val="18"/>
        </w:rPr>
        <w:t xml:space="preserve"> [HIGH]</w:t>
      </w:r>
    </w:p>
    <w:p>
      <w:pPr>
        <w:pStyle w:val="DOBody"/>
      </w:pPr>
      <w:r>
        <w:t>Unitedhealth Group Inc. has missed earnings guidance in 2 quarters, with management credibility score at 88%. At $251.7B market cap with an estimated DDL of $24.7B, guidance misses generate large absolute loss figures that attract institutional lead plaintiffs. (see Market &amp; Trading)</w:t>
      </w:r>
    </w:p>
    <w:p>
      <w:pPr>
        <w:pStyle w:val="DOHeading3"/>
      </w:pPr>
      <w:r>
        <w:t>Risk Mitigants</w:t>
      </w:r>
    </w:p>
    <w:p>
      <w:pPr>
        <w:pStyle w:val="DOBody"/>
      </w:pPr>
      <w:r>
        <w:rPr>
          <w:b/>
        </w:rPr>
        <w:t>1. Clean Regulatory Record</w:t>
      </w:r>
    </w:p>
    <w:p>
      <w:pPr>
        <w:pStyle w:val="DOBody"/>
      </w:pPr>
      <w:r>
        <w:t>Unitedhealth Group Inc. has no active SEC enforcement pipeline activity, open investigations, or pending Wells Notices. A clean regulatory record for Unitedhealth Group Inc. eliminates the highest-severity D&amp;O claim catalyst and supports favorable underwriting consideration. (see Litigation)</w:t>
      </w:r>
    </w:p>
    <w:p>
      <w:pPr>
        <w:pStyle w:val="DOBody"/>
      </w:pPr>
      <w:r>
        <w:rPr>
          <w:b/>
        </w:rPr>
        <w:t>2. Clean Audit &amp; Accounting History</w:t>
      </w:r>
    </w:p>
    <w:p>
      <w:pPr>
        <w:pStyle w:val="DOBody"/>
      </w:pPr>
      <w:r>
        <w:t>Unitedhealth Group Inc. maintains a clean audit opinion from Deloitte (tenure: 24 years) with no material weaknesses, restatements, or going concern qualifications. The 24-year relationship with Deloitte provides audit continuity that reduces the likelihood of restatement-driven class actions. However, goodwill at 35.8% of total assets requires ongoing impairment testing -- clean audit history does not eliminate future impairment risk. (see Financial Health)</w:t>
      </w:r>
    </w:p>
    <w:p>
      <w:pPr>
        <w:pStyle w:val="DOBody"/>
      </w:pPr>
      <w:r>
        <w:rPr>
          <w:b/>
        </w:rPr>
        <w:t>3. Sound Financial Position</w:t>
      </w:r>
    </w:p>
    <w:p>
      <w:pPr>
        <w:pStyle w:val="DOBody"/>
      </w:pPr>
      <w:r>
        <w:t>No financial distress indicators present (Altman Z-Score of 1.41, D/E of 0.78, current ratio of 0.8x, interest coverage of 8.3x). Altman Z of 1.41 is in the gray zone but other indicators do not suggest imminent distress. (see Financial Health)</w:t>
      </w:r>
    </w:p>
    <w:p>
      <w:pPr>
        <w:pStyle w:val="DOBody"/>
      </w:pPr>
      <w:r>
        <w:rPr>
          <w:b/>
        </w:rPr>
        <w:t>4. Stable Executive Leadership</w:t>
      </w:r>
    </w:p>
    <w:p>
      <w:pPr>
        <w:pStyle w:val="DOBody"/>
      </w:pPr>
      <w:r>
        <w:t>C-suite leadership is stable with Andrew Witty leading the organization and no recent departures. (see Governance)</w:t>
      </w:r>
    </w:p>
    <w:p>
      <w:pPr>
        <w:pStyle w:val="DOBody"/>
      </w:pPr>
      <w:r>
        <w:rPr>
          <w:b/>
        </w:rPr>
        <w:t>5. Low Short Interest</w:t>
      </w:r>
    </w:p>
    <w:p>
      <w:pPr>
        <w:pStyle w:val="DOBody"/>
      </w:pPr>
      <w:r>
        <w:t>Short interest is low at 2.0% of float, indicating institutional investors are not positioning against the stock. At 2.0%, short positioning is minimal -- there is no institutional bearish thesis driving potential short-seller reports or activist campaigns against Unitedhealth Group Inc.. (see Market &amp; Trading)</w:t>
      </w:r>
    </w:p>
    <w:p>
      <w:pPr>
        <w:pStyle w:val="DOHeading3"/>
      </w:pPr>
      <w:r>
        <w:t>Claim Probability</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Band</w:t>
            </w:r>
          </w:p>
        </w:tc>
        <w:tc>
          <w:tcPr>
            <w:tcW w:type="dxa" w:w="5040"/>
          </w:tcPr>
          <w:p>
            <w:r>
              <w:rPr>
                <w:rFonts w:ascii="Calibri" w:hAnsi="Calibri"/>
                <w:color w:val="333333"/>
                <w:sz w:val="18"/>
              </w:rPr>
              <w:t>ELEVATED</w:t>
            </w:r>
          </w:p>
        </w:tc>
      </w:tr>
      <w:tr>
        <w:tc>
          <w:tcPr>
            <w:tcW w:type="dxa" w:w="5040"/>
            <w:shd w:fill="F2F4F8" w:val="clear"/>
          </w:tcPr>
          <w:p>
            <w:r>
              <w:rPr>
                <w:rFonts w:ascii="Calibri" w:hAnsi="Calibri"/>
                <w:color w:val="333333"/>
                <w:sz w:val="18"/>
              </w:rPr>
              <w:t>Company Rate</w:t>
            </w:r>
          </w:p>
        </w:tc>
        <w:tc>
          <w:tcPr>
            <w:tcW w:type="dxa" w:w="5040"/>
            <w:shd w:fill="F2F4F8" w:val="clear"/>
          </w:tcPr>
          <w:p>
            <w:r>
              <w:rPr>
                <w:rFonts w:ascii="Calibri" w:hAnsi="Calibri"/>
                <w:color w:val="333333"/>
                <w:sz w:val="18"/>
              </w:rPr>
              <w:t>7.0% - 9.9%</w:t>
            </w:r>
          </w:p>
        </w:tc>
      </w:tr>
      <w:tr>
        <w:tc>
          <w:tcPr>
            <w:tcW w:type="dxa" w:w="5040"/>
          </w:tcPr>
          <w:p>
            <w:r>
              <w:rPr>
                <w:rFonts w:ascii="Calibri" w:hAnsi="Calibri"/>
                <w:color w:val="333333"/>
                <w:sz w:val="18"/>
              </w:rPr>
              <w:t>Industry Base Rate</w:t>
            </w:r>
          </w:p>
        </w:tc>
        <w:tc>
          <w:tcPr>
            <w:tcW w:type="dxa" w:w="5040"/>
          </w:tcPr>
          <w:p>
            <w:r>
              <w:rPr>
                <w:rFonts w:ascii="Calibri" w:hAnsi="Calibri"/>
                <w:color w:val="333333"/>
                <w:sz w:val="18"/>
              </w:rPr>
              <w:t>4.0%</w:t>
            </w:r>
          </w:p>
        </w:tc>
      </w:tr>
      <w:tr>
        <w:tc>
          <w:tcPr>
            <w:tcW w:type="dxa" w:w="5040"/>
            <w:shd w:fill="F2F4F8" w:val="clear"/>
          </w:tcPr>
          <w:p>
            <w:r>
              <w:rPr>
                <w:rFonts w:ascii="Calibri" w:hAnsi="Calibri"/>
                <w:color w:val="333333"/>
                <w:sz w:val="18"/>
              </w:rPr>
              <w:t>Severity Favorable</w:t>
            </w:r>
          </w:p>
        </w:tc>
        <w:tc>
          <w:tcPr>
            <w:tcW w:type="dxa" w:w="5040"/>
            <w:shd w:fill="F2F4F8" w:val="clear"/>
          </w:tcPr>
          <w:p>
            <w:r>
              <w:rPr>
                <w:rFonts w:ascii="Calibri" w:hAnsi="Calibri"/>
                <w:color w:val="333333"/>
                <w:sz w:val="18"/>
              </w:rPr>
              <w:t>$2.3B</w:t>
            </w:r>
          </w:p>
        </w:tc>
      </w:tr>
      <w:tr>
        <w:tc>
          <w:tcPr>
            <w:tcW w:type="dxa" w:w="5040"/>
          </w:tcPr>
          <w:p>
            <w:r>
              <w:rPr>
                <w:rFonts w:ascii="Calibri" w:hAnsi="Calibri"/>
                <w:color w:val="333333"/>
                <w:sz w:val="18"/>
              </w:rPr>
              <w:t>Severity Median</w:t>
            </w:r>
          </w:p>
        </w:tc>
        <w:tc>
          <w:tcPr>
            <w:tcW w:type="dxa" w:w="5040"/>
          </w:tcPr>
          <w:p>
            <w:r>
              <w:rPr>
                <w:rFonts w:ascii="Calibri" w:hAnsi="Calibri"/>
                <w:color w:val="333333"/>
                <w:sz w:val="18"/>
              </w:rPr>
              <w:t>$4.7B</w:t>
            </w:r>
          </w:p>
        </w:tc>
      </w:tr>
      <w:tr>
        <w:tc>
          <w:tcPr>
            <w:tcW w:type="dxa" w:w="5040"/>
            <w:shd w:fill="F2F4F8" w:val="clear"/>
          </w:tcPr>
          <w:p>
            <w:r>
              <w:rPr>
                <w:rFonts w:ascii="Calibri" w:hAnsi="Calibri"/>
                <w:color w:val="333333"/>
                <w:sz w:val="18"/>
              </w:rPr>
              <w:t>Severity Adverse</w:t>
            </w:r>
          </w:p>
        </w:tc>
        <w:tc>
          <w:tcPr>
            <w:tcW w:type="dxa" w:w="5040"/>
            <w:shd w:fill="F2F4F8" w:val="clear"/>
          </w:tcPr>
          <w:p>
            <w:r>
              <w:rPr>
                <w:rFonts w:ascii="Calibri" w:hAnsi="Calibri"/>
                <w:color w:val="333333"/>
                <w:sz w:val="18"/>
              </w:rPr>
              <w:t>$9.9B</w:t>
            </w:r>
          </w:p>
        </w:tc>
      </w:tr>
      <w:tr>
        <w:tc>
          <w:tcPr>
            <w:tcW w:type="dxa" w:w="5040"/>
          </w:tcPr>
          <w:p>
            <w:r>
              <w:rPr>
                <w:rFonts w:ascii="Calibri" w:hAnsi="Calibri"/>
                <w:color w:val="333333"/>
                <w:sz w:val="18"/>
              </w:rPr>
              <w:t>Severity Catastrophic</w:t>
            </w:r>
          </w:p>
        </w:tc>
        <w:tc>
          <w:tcPr>
            <w:tcW w:type="dxa" w:w="5040"/>
          </w:tcPr>
          <w:p>
            <w:r>
              <w:rPr>
                <w:rFonts w:ascii="Calibri" w:hAnsi="Calibri"/>
                <w:color w:val="333333"/>
                <w:sz w:val="18"/>
              </w:rPr>
              <w:t>$20.5B</w:t>
            </w:r>
          </w:p>
        </w:tc>
      </w:tr>
    </w:tbl>
    <w:p>
      <w:pPr>
        <w:pStyle w:val="DOBody"/>
      </w:pPr>
      <w:r>
        <w:t>Probability Band: ELEVATED</w:t>
      </w:r>
      <w:r>
        <w:rPr>
          <w:b/>
          <w:color w:val="EA580C"/>
          <w:sz w:val="18"/>
        </w:rPr>
        <w:t xml:space="preserve"> [HIGH]</w:t>
      </w:r>
    </w:p>
    <w:p>
      <w:pPr>
        <w:pStyle w:val="DOBody"/>
      </w:pPr>
      <w:r>
        <w:t>The 7-10% probability band represents approximately 2x the Financials sector base rate of 4.0%. Accounts in WALK tier historically produce claims at elevated frequency. Industry base rate: 4.0%. Tier WALK (15-20%): Substantially above base rate. Critical risk factors and/or red flags indicate high claim probability. NEEDS CALIBRATION: Probability estimates are indicative and require actuarial validation per SECT7-11. Enhanced frequency: 7.20% base x 0.96 hazard x 1.43 signal = 9.94%.</w:t>
      </w:r>
    </w:p>
    <w:p>
      <w:pPr>
        <w:pStyle w:val="DOHeading3"/>
      </w:pPr>
      <w:r>
        <w:t>Tower Recommendation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Position</w:t>
            </w:r>
          </w:p>
        </w:tc>
        <w:tc>
          <w:tcPr>
            <w:tcW w:type="dxa" w:w="5040"/>
          </w:tcPr>
          <w:p>
            <w:r>
              <w:rPr>
                <w:rFonts w:ascii="Calibri" w:hAnsi="Calibri"/>
                <w:color w:val="333333"/>
                <w:sz w:val="18"/>
              </w:rPr>
              <w:t>High Excess</w:t>
            </w:r>
          </w:p>
        </w:tc>
      </w:tr>
      <w:tr>
        <w:tc>
          <w:tcPr>
            <w:tcW w:type="dxa" w:w="5040"/>
            <w:shd w:fill="F2F4F8" w:val="clear"/>
          </w:tcPr>
          <w:p>
            <w:r>
              <w:rPr>
                <w:rFonts w:ascii="Calibri" w:hAnsi="Calibri"/>
                <w:color w:val="333333"/>
                <w:sz w:val="18"/>
              </w:rPr>
              <w:t>Min Attachment</w:t>
            </w:r>
          </w:p>
        </w:tc>
        <w:tc>
          <w:tcPr>
            <w:tcW w:type="dxa" w:w="5040"/>
            <w:shd w:fill="F2F4F8" w:val="clear"/>
          </w:tcPr>
          <w:p>
            <w:r>
              <w:rPr>
                <w:rFonts w:ascii="Calibri" w:hAnsi="Calibri"/>
                <w:color w:val="333333"/>
                <w:sz w:val="18"/>
              </w:rPr>
              <w:t>$3940.3M (based on 50th percentile settlement)</w:t>
            </w:r>
          </w:p>
        </w:tc>
      </w:tr>
      <w:tr>
        <w:tc>
          <w:tcPr>
            <w:tcW w:type="dxa" w:w="5040"/>
          </w:tcPr>
          <w:p>
            <w:r>
              <w:rPr>
                <w:rFonts w:ascii="Calibri" w:hAnsi="Calibri"/>
                <w:color w:val="333333"/>
                <w:sz w:val="18"/>
              </w:rPr>
              <w:t>Side A/DIC</w:t>
            </w:r>
          </w:p>
        </w:tc>
        <w:tc>
          <w:tcPr>
            <w:tcW w:type="dxa" w:w="5040"/>
          </w:tcPr>
          <w:p>
            <w:r>
              <w:rPr>
                <w:rFonts w:ascii="Calibri" w:hAnsi="Calibri"/>
                <w:color w:val="333333"/>
                <w:sz w:val="18"/>
              </w:rPr>
              <w:t>Standard Side A considerations</w:t>
            </w:r>
          </w:p>
        </w:tc>
      </w:tr>
    </w:tbl>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Layer</w:t>
            </w:r>
          </w:p>
        </w:tc>
        <w:tc>
          <w:tcPr>
            <w:tcW w:type="dxa" w:w="3360"/>
            <w:shd w:fill="1A1446" w:val="clear"/>
          </w:tcPr>
          <w:p>
            <w:r>
              <w:rPr>
                <w:rFonts w:ascii="Calibri" w:hAnsi="Calibri"/>
                <w:b/>
                <w:color w:val="FFFFFF"/>
                <w:sz w:val="18"/>
              </w:rPr>
              <w:t>Risk Assessment</w:t>
            </w:r>
          </w:p>
        </w:tc>
        <w:tc>
          <w:tcPr>
            <w:tcW w:type="dxa" w:w="3360"/>
            <w:shd w:fill="1A1446" w:val="clear"/>
          </w:tcPr>
          <w:p>
            <w:r>
              <w:rPr>
                <w:rFonts w:ascii="Calibri" w:hAnsi="Calibri"/>
                <w:b/>
                <w:color w:val="FFFFFF"/>
                <w:sz w:val="18"/>
              </w:rPr>
              <w:t>Premium Guidance</w:t>
            </w:r>
          </w:p>
        </w:tc>
      </w:tr>
      <w:tr>
        <w:tc>
          <w:tcPr>
            <w:tcW w:type="dxa" w:w="3360"/>
          </w:tcPr>
          <w:p>
            <w:r>
              <w:rPr>
                <w:rFonts w:ascii="Calibri" w:hAnsi="Calibri"/>
                <w:color w:val="333333"/>
                <w:sz w:val="18"/>
              </w:rPr>
              <w:t>PRIMARY</w:t>
            </w:r>
          </w:p>
        </w:tc>
        <w:tc>
          <w:tcPr>
            <w:tcW w:type="dxa" w:w="3360"/>
          </w:tcPr>
          <w:p>
            <w:r>
              <w:rPr>
                <w:rFonts w:ascii="Calibri" w:hAnsi="Calibri"/>
                <w:color w:val="333333"/>
                <w:sz w:val="18"/>
              </w:rPr>
              <w:t>Primary layer carries 57% of expected loss exposure. Highest frequency of attachment; most likely to be eroded in any claim scenario.</w:t>
            </w:r>
          </w:p>
        </w:tc>
        <w:tc>
          <w:tcPr>
            <w:tcW w:type="dxa" w:w="3360"/>
          </w:tcPr>
          <w:p>
            <w:r>
              <w:rPr>
                <w:rFonts w:ascii="Calibri" w:hAnsi="Calibri"/>
                <w:color w:val="333333"/>
                <w:sz w:val="18"/>
              </w:rPr>
              <w:t>Full rate, slight discount for WIN</w:t>
            </w:r>
          </w:p>
        </w:tc>
      </w:tr>
      <w:tr>
        <w:tc>
          <w:tcPr>
            <w:tcW w:type="dxa" w:w="3360"/>
            <w:shd w:fill="F2F4F8" w:val="clear"/>
          </w:tcPr>
          <w:p>
            <w:r>
              <w:rPr>
                <w:rFonts w:ascii="Calibri" w:hAnsi="Calibri"/>
                <w:color w:val="333333"/>
                <w:sz w:val="18"/>
              </w:rPr>
              <w:t>LOW_EXCESS</w:t>
            </w:r>
          </w:p>
        </w:tc>
        <w:tc>
          <w:tcPr>
            <w:tcW w:type="dxa" w:w="3360"/>
            <w:shd w:fill="F2F4F8" w:val="clear"/>
          </w:tcPr>
          <w:p>
            <w:r>
              <w:rPr>
                <w:rFonts w:ascii="Calibri" w:hAnsi="Calibri"/>
                <w:color w:val="333333"/>
                <w:sz w:val="18"/>
              </w:rPr>
              <w:t>Low excess layer carries 18% of expected loss exposure. Attaches after primary exhaustion; moderate frequency in adverse scenarios.</w:t>
            </w:r>
          </w:p>
        </w:tc>
        <w:tc>
          <w:tcPr>
            <w:tcW w:type="dxa" w:w="3360"/>
            <w:shd w:fill="F2F4F8" w:val="clear"/>
          </w:tcPr>
          <w:p>
            <w:r>
              <w:rPr>
                <w:rFonts w:ascii="Calibri" w:hAnsi="Calibri"/>
                <w:color w:val="333333"/>
                <w:sz w:val="18"/>
              </w:rPr>
              <w:t>Market rate</w:t>
            </w:r>
          </w:p>
        </w:tc>
      </w:tr>
      <w:tr>
        <w:tc>
          <w:tcPr>
            <w:tcW w:type="dxa" w:w="3360"/>
          </w:tcPr>
          <w:p>
            <w:r>
              <w:rPr>
                <w:rFonts w:ascii="Calibri" w:hAnsi="Calibri"/>
                <w:color w:val="333333"/>
                <w:sz w:val="18"/>
              </w:rPr>
              <w:t>MID_EXCESS</w:t>
            </w:r>
          </w:p>
        </w:tc>
        <w:tc>
          <w:tcPr>
            <w:tcW w:type="dxa" w:w="3360"/>
          </w:tcPr>
          <w:p>
            <w:r>
              <w:rPr>
                <w:rFonts w:ascii="Calibri" w:hAnsi="Calibri"/>
                <w:color w:val="333333"/>
                <w:sz w:val="18"/>
              </w:rPr>
              <w:t>Mid excess layer carries 13% of expected loss exposure. Attaches in adverse scenarios; lower frequency but higher severity when reached.</w:t>
            </w:r>
          </w:p>
        </w:tc>
        <w:tc>
          <w:tcPr>
            <w:tcW w:type="dxa" w:w="3360"/>
          </w:tcPr>
          <w:p>
            <w:r>
              <w:rPr>
                <w:rFonts w:ascii="Calibri" w:hAnsi="Calibri"/>
                <w:color w:val="333333"/>
                <w:sz w:val="18"/>
              </w:rPr>
              <w:t>Market to 1.3x</w:t>
            </w:r>
          </w:p>
        </w:tc>
      </w:tr>
      <w:tr>
        <w:tc>
          <w:tcPr>
            <w:tcW w:type="dxa" w:w="3360"/>
            <w:shd w:fill="F2F4F8" w:val="clear"/>
          </w:tcPr>
          <w:p>
            <w:r>
              <w:rPr>
                <w:rFonts w:ascii="Calibri" w:hAnsi="Calibri"/>
                <w:color w:val="333333"/>
                <w:sz w:val="18"/>
              </w:rPr>
              <w:t>HIGH_EXCESS</w:t>
            </w:r>
          </w:p>
        </w:tc>
        <w:tc>
          <w:tcPr>
            <w:tcW w:type="dxa" w:w="3360"/>
            <w:shd w:fill="F2F4F8" w:val="clear"/>
          </w:tcPr>
          <w:p>
            <w:r>
              <w:rPr>
                <w:rFonts w:ascii="Calibri" w:hAnsi="Calibri"/>
                <w:color w:val="333333"/>
                <w:sz w:val="18"/>
              </w:rPr>
              <w:t>High excess layer carries 11% of expected loss exposure. Attaches only in catastrophic scenarios; lowest frequency, highest severity.</w:t>
            </w:r>
          </w:p>
        </w:tc>
        <w:tc>
          <w:tcPr>
            <w:tcW w:type="dxa" w:w="3360"/>
            <w:shd w:fill="F2F4F8" w:val="clear"/>
          </w:tcPr>
          <w:p>
            <w:r>
              <w:rPr>
                <w:rFonts w:ascii="Calibri" w:hAnsi="Calibri"/>
                <w:color w:val="333333"/>
                <w:sz w:val="18"/>
              </w:rPr>
              <w:t>1.3-2x with attachment</w:t>
            </w:r>
          </w:p>
        </w:tc>
      </w:tr>
      <w:tr>
        <w:tc>
          <w:tcPr>
            <w:tcW w:type="dxa" w:w="3360"/>
          </w:tcPr>
          <w:p>
            <w:r>
              <w:rPr>
                <w:rFonts w:ascii="Calibri" w:hAnsi="Calibri"/>
                <w:color w:val="333333"/>
                <w:sz w:val="18"/>
              </w:rPr>
              <w:t>DECLINE</w:t>
            </w:r>
          </w:p>
        </w:tc>
        <w:tc>
          <w:tcPr>
            <w:tcW w:type="dxa" w:w="3360"/>
          </w:tcPr>
          <w:p>
            <w:r>
              <w:rPr>
                <w:rFonts w:ascii="Calibri" w:hAnsi="Calibri"/>
                <w:color w:val="333333"/>
                <w:sz w:val="18"/>
              </w:rPr>
              <w:t>WALK+ with compounding factors</w:t>
            </w:r>
          </w:p>
        </w:tc>
        <w:tc>
          <w:tcPr>
            <w:tcW w:type="dxa" w:w="3360"/>
          </w:tcPr>
          <w:p>
            <w:r>
              <w:rPr>
                <w:rFonts w:ascii="Calibri" w:hAnsi="Calibri"/>
                <w:color w:val="333333"/>
                <w:sz w:val="18"/>
              </w:rPr>
              <w:t>N/A</w:t>
            </w:r>
          </w:p>
        </w:tc>
      </w:tr>
    </w:tbl>
    <w:p>
      <w:pPr>
        <w:pStyle w:val="DOHeading3"/>
      </w:pPr>
      <w:r>
        <w:t>Market Context</w:t>
      </w:r>
    </w:p>
    <w:p>
      <w:pPr>
        <w:pStyle w:val="DOBody"/>
      </w:pPr>
      <w:r>
        <w:t>No market pricing data available.</w:t>
      </w:r>
    </w:p>
    <w:p>
      <w:pPr>
        <w:spacing w:before="120" w:after="40"/>
        <w:pBdr>
          <w:bottom w:val="single" w:sz="6" w:space="1" w:color="FFD000"/>
        </w:pBdr>
      </w:pPr>
    </w:p>
    <w:p>
      <w:pPr>
        <w:pStyle w:val="DOBody"/>
        <w:spacing w:before="40" w:after="120"/>
      </w:pPr>
      <w:r>
        <w:rPr>
          <w:color w:val="333333"/>
          <w:sz w:val="20"/>
        </w:rPr>
        <w:t>Company Overview</w:t>
        <w:br/>
        <w:t>UnitedHealth Group operates two integrated health businesses: UnitedHealthcare, one of the largest U.S. health insurers, and Optum, which provides pharmacy benefit management, data analytics, and direct care delivery. With a $252 billion market cap and 390,000 employees, this 41-year public company is a FINS-sector behemoth whose scale and vertical integration create unique systemic importance and regulatory scrutiny, elevating board accountability for strategic oversight.</w:t>
        <w:br/>
        <w:br/>
        <w:t>Revenue Model</w:t>
        <w:br/>
        <w:t>Revenue flows from managed care premiums (UnitedHealthcare) and service fees from Optum's technology and care delivery, creating a dual-engine model where Optum also serves external payers. The model is exceptionally sticky due to entrenched employer contracts and government Medicare/Medicaid programs, but a break in the engine would most likely come from regulatory action limiting vertical integration or pricing practices across its segments, a key source of shareholder litigation targeting director decisions.</w:t>
        <w:br/>
        <w:br/>
        <w:t>D&amp;O Risk Profile</w:t>
        <w:br/>
        <w:t>The core D&amp;O story is regulatory entanglement: operating in a highly sensitive sector as a Large Accelerated Filer, its integrated model invites multi-jurisdictional antitrust and reimbursement lawsuits from both government and private plaintiffs. With deep employment litigation risk from its 390,000 employees and constant transaction scrutiny from its acquisitive strategy, board decisions are perpetually in the crosshairs of state AGs, the DOJ, and shareholder plaintiffs challenging governance oversight of this complex, $252 billion market cap structure.</w:t>
      </w:r>
    </w:p>
    <w:p>
      <w:pPr>
        <w:pStyle w:val="DOHeading1"/>
      </w:pPr>
      <w:r>
        <w:t>Section 2: Company Profile</w:t>
      </w:r>
    </w:p>
    <w:p>
      <w:pPr>
        <w:pStyle w:val="DOBody"/>
      </w:pPr>
      <w:r>
        <w:rPr>
          <w:rFonts w:ascii="Calibri" w:hAnsi="Calibri"/>
          <w:color w:val="333333"/>
          <w:sz w:val="20"/>
        </w:rPr>
        <w:t>UNITEDHEALTH GROUP INC operates in the Healthcare Plans industry. The company has 390,000 employees and $251.7B market cap. Key D&amp;O exposure factors include: Regulatory Multi Jurisdiction, Employment Litigation Risk, Regulatory Sensitive.</w:t>
      </w:r>
      <w:r>
        <w:rPr>
          <w:rFonts w:ascii="Consolas" w:hAnsi="Consolas"/>
          <w:color w:val="666666"/>
          <w:sz w:val="16"/>
        </w:rPr>
        <w:t xml:space="preserve">  [derived:section_summary, 2026-04-02, LOW]</w:t>
      </w:r>
    </w:p>
    <w:p>
      <w:pPr>
        <w:pStyle w:val="DOHeading2"/>
      </w:pPr>
      <w:r>
        <w:t>Company Identity</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Field</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Source</w:t>
            </w:r>
          </w:p>
        </w:tc>
      </w:tr>
      <w:tr>
        <w:tc>
          <w:tcPr>
            <w:tcW w:type="dxa" w:w="3360"/>
          </w:tcPr>
          <w:p>
            <w:r>
              <w:rPr>
                <w:rFonts w:ascii="Calibri" w:hAnsi="Calibri"/>
                <w:color w:val="333333"/>
                <w:sz w:val="18"/>
              </w:rPr>
              <w:t>Legal Name</w:t>
            </w:r>
          </w:p>
        </w:tc>
        <w:tc>
          <w:tcPr>
            <w:tcW w:type="dxa" w:w="3360"/>
          </w:tcPr>
          <w:p>
            <w:r>
              <w:rPr>
                <w:rFonts w:ascii="Calibri" w:hAnsi="Calibri"/>
                <w:color w:val="333333"/>
                <w:sz w:val="18"/>
              </w:rPr>
              <w:t>UNITEDHEALTH GROUP INC</w:t>
            </w:r>
          </w:p>
        </w:tc>
        <w:tc>
          <w:tcPr>
            <w:tcW w:type="dxa" w:w="3360"/>
          </w:tcPr>
          <w:p>
            <w:r>
              <w:rPr>
                <w:rFonts w:ascii="Calibri" w:hAnsi="Calibri"/>
                <w:color w:val="333333"/>
                <w:sz w:val="18"/>
              </w:rPr>
              <w:t>[SEC EDGAR submissions, filed 2026-04-02, HIGH confidence]</w:t>
            </w:r>
          </w:p>
        </w:tc>
      </w:tr>
      <w:tr>
        <w:tc>
          <w:tcPr>
            <w:tcW w:type="dxa" w:w="3360"/>
            <w:shd w:fill="F2F4F8" w:val="clear"/>
          </w:tcPr>
          <w:p>
            <w:r>
              <w:rPr>
                <w:rFonts w:ascii="Calibri" w:hAnsi="Calibri"/>
                <w:color w:val="333333"/>
                <w:sz w:val="18"/>
              </w:rPr>
              <w:t>Ticker</w:t>
            </w:r>
          </w:p>
        </w:tc>
        <w:tc>
          <w:tcPr>
            <w:tcW w:type="dxa" w:w="3360"/>
            <w:shd w:fill="F2F4F8" w:val="clear"/>
          </w:tcPr>
          <w:p>
            <w:r>
              <w:rPr>
                <w:rFonts w:ascii="Calibri" w:hAnsi="Calibri"/>
                <w:color w:val="333333"/>
                <w:sz w:val="18"/>
              </w:rPr>
              <w:t>UNH</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CIK</w:t>
            </w:r>
          </w:p>
        </w:tc>
        <w:tc>
          <w:tcPr>
            <w:tcW w:type="dxa" w:w="3360"/>
          </w:tcPr>
          <w:p>
            <w:r>
              <w:rPr>
                <w:rFonts w:ascii="Calibri" w:hAnsi="Calibri"/>
                <w:color w:val="333333"/>
                <w:sz w:val="18"/>
              </w:rPr>
              <w:t>731766</w:t>
            </w:r>
          </w:p>
        </w:tc>
        <w:tc>
          <w:tcPr>
            <w:tcW w:type="dxa" w:w="3360"/>
          </w:tcPr>
          <w:p>
            <w:r>
              <w:rPr>
                <w:rFonts w:ascii="Calibri" w:hAnsi="Calibri"/>
                <w:color w:val="333333"/>
                <w:sz w:val="18"/>
              </w:rPr>
              <w:t>[SEC EDGAR submissions, filed 2026-04-02, HIGH confidence]</w:t>
            </w:r>
          </w:p>
        </w:tc>
      </w:tr>
      <w:tr>
        <w:tc>
          <w:tcPr>
            <w:tcW w:type="dxa" w:w="3360"/>
            <w:shd w:fill="F2F4F8" w:val="clear"/>
          </w:tcPr>
          <w:p>
            <w:r>
              <w:rPr>
                <w:rFonts w:ascii="Calibri" w:hAnsi="Calibri"/>
                <w:color w:val="333333"/>
                <w:sz w:val="18"/>
              </w:rPr>
              <w:t>Sector</w:t>
            </w:r>
          </w:p>
        </w:tc>
        <w:tc>
          <w:tcPr>
            <w:tcW w:type="dxa" w:w="3360"/>
            <w:shd w:fill="F2F4F8" w:val="clear"/>
          </w:tcPr>
          <w:p>
            <w:r>
              <w:rPr>
                <w:rFonts w:ascii="Calibri" w:hAnsi="Calibri"/>
                <w:color w:val="333333"/>
                <w:sz w:val="18"/>
              </w:rPr>
              <w:t>Financials</w:t>
            </w:r>
          </w:p>
        </w:tc>
        <w:tc>
          <w:tcPr>
            <w:tcW w:type="dxa" w:w="3360"/>
            <w:shd w:fill="F2F4F8" w:val="clear"/>
          </w:tcPr>
          <w:p>
            <w:r>
              <w:rPr>
                <w:rFonts w:ascii="Calibri" w:hAnsi="Calibri"/>
                <w:color w:val="333333"/>
                <w:sz w:val="18"/>
              </w:rPr>
              <w:t>[SEC EDGAR submissions, filed 2026-04-02, HIGH confidence]</w:t>
            </w:r>
          </w:p>
        </w:tc>
      </w:tr>
      <w:tr>
        <w:tc>
          <w:tcPr>
            <w:tcW w:type="dxa" w:w="3360"/>
          </w:tcPr>
          <w:p>
            <w:r>
              <w:rPr>
                <w:rFonts w:ascii="Calibri" w:hAnsi="Calibri"/>
                <w:color w:val="333333"/>
                <w:sz w:val="18"/>
              </w:rPr>
              <w:t>SIC Code</w:t>
            </w:r>
          </w:p>
        </w:tc>
        <w:tc>
          <w:tcPr>
            <w:tcW w:type="dxa" w:w="3360"/>
          </w:tcPr>
          <w:p>
            <w:r>
              <w:rPr>
                <w:rFonts w:ascii="Calibri" w:hAnsi="Calibri"/>
                <w:color w:val="333333"/>
                <w:sz w:val="18"/>
              </w:rPr>
              <w:t>6324</w:t>
            </w:r>
          </w:p>
        </w:tc>
        <w:tc>
          <w:tcPr>
            <w:tcW w:type="dxa" w:w="3360"/>
          </w:tcPr>
          <w:p>
            <w:r>
              <w:rPr>
                <w:rFonts w:ascii="Calibri" w:hAnsi="Calibri"/>
                <w:color w:val="333333"/>
                <w:sz w:val="18"/>
              </w:rPr>
              <w:t>[SEC EDGAR submissions, filed 2026-04-02, HIGH confidence]</w:t>
            </w:r>
          </w:p>
        </w:tc>
      </w:tr>
      <w:tr>
        <w:tc>
          <w:tcPr>
            <w:tcW w:type="dxa" w:w="3360"/>
            <w:shd w:fill="F2F4F8" w:val="clear"/>
          </w:tcPr>
          <w:p>
            <w:r>
              <w:rPr>
                <w:rFonts w:ascii="Calibri" w:hAnsi="Calibri"/>
                <w:color w:val="333333"/>
                <w:sz w:val="18"/>
              </w:rPr>
              <w:t>SIC Description</w:t>
            </w:r>
          </w:p>
        </w:tc>
        <w:tc>
          <w:tcPr>
            <w:tcW w:type="dxa" w:w="3360"/>
            <w:shd w:fill="F2F4F8" w:val="clear"/>
          </w:tcPr>
          <w:p>
            <w:r>
              <w:rPr>
                <w:rFonts w:ascii="Calibri" w:hAnsi="Calibri"/>
                <w:color w:val="333333"/>
                <w:sz w:val="18"/>
              </w:rPr>
              <w:t>Hospital &amp; Medical Service Plans</w:t>
            </w:r>
          </w:p>
        </w:tc>
        <w:tc>
          <w:tcPr>
            <w:tcW w:type="dxa" w:w="3360"/>
            <w:shd w:fill="F2F4F8" w:val="clear"/>
          </w:tcPr>
          <w:p>
            <w:r>
              <w:rPr>
                <w:rFonts w:ascii="Calibri" w:hAnsi="Calibri"/>
                <w:color w:val="333333"/>
                <w:sz w:val="18"/>
              </w:rPr>
            </w:r>
          </w:p>
        </w:tc>
      </w:tr>
      <w:tr>
        <w:tc>
          <w:tcPr>
            <w:tcW w:type="dxa" w:w="3360"/>
          </w:tcPr>
          <w:p>
            <w:r>
              <w:rPr>
                <w:rFonts w:ascii="Calibri" w:hAnsi="Calibri"/>
                <w:color w:val="333333"/>
                <w:sz w:val="18"/>
              </w:rPr>
              <w:t>GICS Code</w:t>
            </w:r>
          </w:p>
        </w:tc>
        <w:tc>
          <w:tcPr>
            <w:tcW w:type="dxa" w:w="3360"/>
          </w:tcPr>
          <w:p>
            <w:r>
              <w:rPr>
                <w:rFonts w:ascii="Calibri" w:hAnsi="Calibri"/>
                <w:color w:val="333333"/>
                <w:sz w:val="18"/>
              </w:rPr>
              <w:t>40301040</w:t>
            </w:r>
          </w:p>
        </w:tc>
        <w:tc>
          <w:tcPr>
            <w:tcW w:type="dxa" w:w="3360"/>
          </w:tcPr>
          <w:p>
            <w:r>
              <w:rPr>
                <w:rFonts w:ascii="Calibri" w:hAnsi="Calibri"/>
                <w:color w:val="333333"/>
                <w:sz w:val="18"/>
              </w:rPr>
              <w:t>[SIC-&gt;GICS mapping (SIC 6324), filed 2026-04-02, MEDIUM confidence]</w:t>
            </w:r>
          </w:p>
        </w:tc>
      </w:tr>
      <w:tr>
        <w:tc>
          <w:tcPr>
            <w:tcW w:type="dxa" w:w="3360"/>
            <w:shd w:fill="F2F4F8" w:val="clear"/>
          </w:tcPr>
          <w:p>
            <w:r>
              <w:rPr>
                <w:rFonts w:ascii="Calibri" w:hAnsi="Calibri"/>
                <w:color w:val="333333"/>
                <w:sz w:val="18"/>
              </w:rPr>
              <w:t>NAICS Code</w:t>
            </w:r>
          </w:p>
        </w:tc>
        <w:tc>
          <w:tcPr>
            <w:tcW w:type="dxa" w:w="3360"/>
            <w:shd w:fill="F2F4F8" w:val="clear"/>
          </w:tcPr>
          <w:p>
            <w:r>
              <w:rPr>
                <w:rFonts w:ascii="Calibri" w:hAnsi="Calibri"/>
                <w:color w:val="333333"/>
                <w:sz w:val="18"/>
              </w:rPr>
              <w:t>524114</w:t>
            </w:r>
          </w:p>
        </w:tc>
        <w:tc>
          <w:tcPr>
            <w:tcW w:type="dxa" w:w="3360"/>
            <w:shd w:fill="F2F4F8" w:val="clear"/>
          </w:tcPr>
          <w:p>
            <w:r>
              <w:rPr>
                <w:rFonts w:ascii="Calibri" w:hAnsi="Calibri"/>
                <w:color w:val="333333"/>
                <w:sz w:val="18"/>
              </w:rPr>
              <w:t>[SIC-&gt;NAICS crosswalk (SIC 6324), filed 2026-04-02, MEDIUM confidence]</w:t>
            </w:r>
          </w:p>
        </w:tc>
      </w:tr>
      <w:tr>
        <w:tc>
          <w:tcPr>
            <w:tcW w:type="dxa" w:w="3360"/>
          </w:tcPr>
          <w:p>
            <w:r>
              <w:rPr>
                <w:rFonts w:ascii="Calibri" w:hAnsi="Calibri"/>
                <w:color w:val="333333"/>
                <w:sz w:val="18"/>
              </w:rPr>
              <w:t>Exchange</w:t>
            </w:r>
          </w:p>
        </w:tc>
        <w:tc>
          <w:tcPr>
            <w:tcW w:type="dxa" w:w="3360"/>
          </w:tcPr>
          <w:p>
            <w:r>
              <w:rPr>
                <w:rFonts w:ascii="Calibri" w:hAnsi="Calibri"/>
                <w:color w:val="333333"/>
                <w:sz w:val="18"/>
              </w:rPr>
              <w:t>NYSE</w:t>
            </w:r>
          </w:p>
        </w:tc>
        <w:tc>
          <w:tcPr>
            <w:tcW w:type="dxa" w:w="3360"/>
          </w:tcPr>
          <w:p>
            <w:r>
              <w:rPr>
                <w:rFonts w:ascii="Calibri" w:hAnsi="Calibri"/>
                <w:color w:val="333333"/>
                <w:sz w:val="18"/>
              </w:rPr>
              <w:t>[SEC EDGAR submissions, filed 2026-04-02, HIGH confidence]</w:t>
            </w:r>
          </w:p>
        </w:tc>
      </w:tr>
      <w:tr>
        <w:tc>
          <w:tcPr>
            <w:tcW w:type="dxa" w:w="3360"/>
            <w:shd w:fill="F2F4F8" w:val="clear"/>
          </w:tcPr>
          <w:p>
            <w:r>
              <w:rPr>
                <w:rFonts w:ascii="Calibri" w:hAnsi="Calibri"/>
                <w:color w:val="333333"/>
                <w:sz w:val="18"/>
              </w:rPr>
              <w:t>State of Incorporation</w:t>
            </w:r>
          </w:p>
        </w:tc>
        <w:tc>
          <w:tcPr>
            <w:tcW w:type="dxa" w:w="3360"/>
            <w:shd w:fill="F2F4F8" w:val="clear"/>
          </w:tcPr>
          <w:p>
            <w:r>
              <w:rPr>
                <w:rFonts w:ascii="Calibri" w:hAnsi="Calibri"/>
                <w:color w:val="333333"/>
                <w:sz w:val="18"/>
              </w:rPr>
              <w:t>DE</w:t>
            </w:r>
          </w:p>
        </w:tc>
        <w:tc>
          <w:tcPr>
            <w:tcW w:type="dxa" w:w="3360"/>
            <w:shd w:fill="F2F4F8" w:val="clear"/>
          </w:tcPr>
          <w:p>
            <w:r>
              <w:rPr>
                <w:rFonts w:ascii="Calibri" w:hAnsi="Calibri"/>
                <w:color w:val="333333"/>
                <w:sz w:val="18"/>
              </w:rPr>
              <w:t>[SEC EDGAR submissions, filed 2026-04-02, HIGH confidence]</w:t>
            </w:r>
          </w:p>
        </w:tc>
      </w:tr>
      <w:tr>
        <w:tc>
          <w:tcPr>
            <w:tcW w:type="dxa" w:w="3360"/>
          </w:tcPr>
          <w:p>
            <w:r>
              <w:rPr>
                <w:rFonts w:ascii="Calibri" w:hAnsi="Calibri"/>
                <w:color w:val="333333"/>
                <w:sz w:val="18"/>
              </w:rPr>
              <w:t>FPI Status</w:t>
            </w:r>
          </w:p>
        </w:tc>
        <w:tc>
          <w:tcPr>
            <w:tcW w:type="dxa" w:w="3360"/>
          </w:tcPr>
          <w:p>
            <w:r>
              <w:rPr>
                <w:rFonts w:ascii="Calibri" w:hAnsi="Calibri"/>
                <w:color w:val="333333"/>
                <w:sz w:val="18"/>
              </w:rPr>
              <w:t>No</w:t>
            </w:r>
          </w:p>
        </w:tc>
        <w:tc>
          <w:tcPr>
            <w:tcW w:type="dxa" w:w="3360"/>
          </w:tcPr>
          <w:p>
            <w:r>
              <w:rPr>
                <w:rFonts w:ascii="Calibri" w:hAnsi="Calibri"/>
                <w:color w:val="333333"/>
                <w:sz w:val="18"/>
              </w:rPr>
            </w:r>
          </w:p>
        </w:tc>
      </w:tr>
      <w:tr>
        <w:tc>
          <w:tcPr>
            <w:tcW w:type="dxa" w:w="3360"/>
            <w:shd w:fill="F2F4F8" w:val="clear"/>
          </w:tcPr>
          <w:p>
            <w:r>
              <w:rPr>
                <w:rFonts w:ascii="Calibri" w:hAnsi="Calibri"/>
                <w:color w:val="333333"/>
                <w:sz w:val="18"/>
              </w:rPr>
              <w:t>Fiscal Year End</w:t>
            </w:r>
          </w:p>
        </w:tc>
        <w:tc>
          <w:tcPr>
            <w:tcW w:type="dxa" w:w="3360"/>
            <w:shd w:fill="F2F4F8" w:val="clear"/>
          </w:tcPr>
          <w:p>
            <w:r>
              <w:rPr>
                <w:rFonts w:ascii="Calibri" w:hAnsi="Calibri"/>
                <w:color w:val="333333"/>
                <w:sz w:val="18"/>
              </w:rPr>
              <w:t>12-31</w:t>
            </w:r>
          </w:p>
        </w:tc>
        <w:tc>
          <w:tcPr>
            <w:tcW w:type="dxa" w:w="3360"/>
            <w:shd w:fill="F2F4F8" w:val="clear"/>
          </w:tcPr>
          <w:p>
            <w:r>
              <w:rPr>
                <w:rFonts w:ascii="Calibri" w:hAnsi="Calibri"/>
                <w:color w:val="333333"/>
                <w:sz w:val="18"/>
              </w:rPr>
              <w:t>[SEC EDGAR submissions, filed 2026-04-02, HIGH confidence]</w:t>
            </w:r>
          </w:p>
        </w:tc>
      </w:tr>
    </w:tbl>
    <w:p>
      <w:pPr>
        <w:pStyle w:val="DOHeading2"/>
      </w:pPr>
      <w:r>
        <w:t>Business Description</w:t>
      </w:r>
    </w:p>
    <w:p>
      <w:pPr>
        <w:pStyle w:val="DOBody"/>
      </w:pPr>
      <w:r>
        <w:rPr>
          <w:rFonts w:ascii="Calibri" w:hAnsi="Calibri"/>
          <w:color w:val="333333"/>
          <w:sz w:val="20"/>
        </w:rPr>
        <w:t>UnitedHealth Group Incorporated is a health care and well-being company with a mission to help people live healthier lives and help make the health system work better for everyone. The company operates through two distinct, complementary businesses: Optum and UnitedHealthcare. Optum focuses on creating a higher-performing, value-oriented health system through its Optum Health, Optum Insight, and Optum Rx segments, which provide clinical expertise, technology, data analytics, pharmacy care services, and health financial services. UnitedHealthcare offers a full range of health benefits through its Employer &amp; Individual, Medicare &amp; Retirement, and Community &amp; State segments, serving consumers, employers, seniors, and economically disadvantaged populations. The company generates revenue primarily from health insurance premiums, pharmacy care services, and technology-driven health solutions, leveraging its scale and data capabilities to drive profitability.</w:t>
      </w:r>
      <w:r>
        <w:rPr>
          <w:rFonts w:ascii="Consolas" w:hAnsi="Consolas"/>
          <w:color w:val="666666"/>
          <w:sz w:val="16"/>
        </w:rPr>
        <w:t xml:space="preserve">  [10-K (LLM), filed 2026-04-02, HIGH confidence]</w:t>
      </w:r>
    </w:p>
    <w:p>
      <w:pPr>
        <w:pStyle w:val="DOHeading2"/>
      </w:pPr>
      <w:r>
        <w:t>Subsidiaries</w:t>
      </w:r>
    </w:p>
    <w:p>
      <w:pPr>
        <w:pStyle w:val="DOBody"/>
      </w:pPr>
      <w:r>
        <w:rPr>
          <w:rFonts w:ascii="Calibri" w:hAnsi="Calibri"/>
          <w:color w:val="333333"/>
          <w:sz w:val="20"/>
        </w:rPr>
        <w:t>Total subsidiaries: 11</w:t>
      </w:r>
      <w:r>
        <w:rPr>
          <w:rFonts w:ascii="Consolas" w:hAnsi="Consolas"/>
          <w:color w:val="666666"/>
          <w:sz w:val="16"/>
        </w:rPr>
        <w:t xml:space="preserve">  [Exhibit 21 (subsidiary list), filed 2026-04-02, HIGH confidence]</w:t>
      </w:r>
    </w:p>
    <w:p>
      <w:pPr>
        <w:pStyle w:val="DOHeading2"/>
      </w:pPr>
      <w:r>
        <w:t>Business Model Profile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Dimension</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Revenue Model</w:t>
            </w:r>
          </w:p>
        </w:tc>
        <w:tc>
          <w:tcPr>
            <w:tcW w:type="dxa" w:w="5040"/>
          </w:tcPr>
          <w:p>
            <w:r>
              <w:rPr>
                <w:rFonts w:ascii="Calibri" w:hAnsi="Calibri"/>
                <w:color w:val="333333"/>
                <w:sz w:val="18"/>
              </w:rPr>
              <w:t>RECURRING</w:t>
            </w:r>
          </w:p>
        </w:tc>
      </w:tr>
      <w:tr>
        <w:tc>
          <w:tcPr>
            <w:tcW w:type="dxa" w:w="5040"/>
            <w:shd w:fill="F2F4F8" w:val="clear"/>
          </w:tcPr>
          <w:p>
            <w:r>
              <w:rPr>
                <w:rFonts w:ascii="Calibri" w:hAnsi="Calibri"/>
                <w:color w:val="333333"/>
                <w:sz w:val="18"/>
              </w:rPr>
              <w:t>Disruption Risk</w:t>
            </w:r>
          </w:p>
        </w:tc>
        <w:tc>
          <w:tcPr>
            <w:tcW w:type="dxa" w:w="5040"/>
            <w:shd w:fill="F2F4F8" w:val="clear"/>
          </w:tcPr>
          <w:p>
            <w:r>
              <w:rPr>
                <w:rFonts w:ascii="Calibri" w:hAnsi="Calibri"/>
                <w:color w:val="333333"/>
                <w:sz w:val="18"/>
              </w:rPr>
              <w:t>HIGH (3 threats) - Increased competition from digital health entrants; Regulatory changes impacting Medicare Advantage funding; Technological shifts in health care delivery</w:t>
            </w:r>
          </w:p>
        </w:tc>
      </w:tr>
    </w:tbl>
    <w:p>
      <w:pPr>
        <w:pStyle w:val="DOHeading2"/>
      </w:pPr>
      <w:r>
        <w:t>Operational Complexity</w:t>
      </w:r>
    </w:p>
    <w:p>
      <w:pPr>
        <w:pStyle w:val="DOBody"/>
      </w:pPr>
      <w:r>
        <w:rPr>
          <w:b/>
        </w:rPr>
        <w:t>Complexity Score: 390000/20 -- HIGH</w:t>
      </w:r>
      <w:r>
        <w:rPr>
          <w:b/>
          <w:color w:val="EA580C"/>
          <w:sz w:val="18"/>
        </w:rPr>
        <w:t xml:space="preserve"> [HIGH]</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Jurisdictions</w:t>
            </w:r>
          </w:p>
        </w:tc>
        <w:tc>
          <w:tcPr>
            <w:tcW w:type="dxa" w:w="5040"/>
          </w:tcPr>
          <w:p>
            <w:r>
              <w:rPr>
                <w:rFonts w:ascii="Calibri" w:hAnsi="Calibri"/>
                <w:color w:val="333333"/>
                <w:sz w:val="18"/>
              </w:rPr>
              <w:t>4 (0 high-regulatory)</w:t>
            </w:r>
          </w:p>
        </w:tc>
      </w:tr>
      <w:tr>
        <w:tc>
          <w:tcPr>
            <w:tcW w:type="dxa" w:w="5040"/>
            <w:shd w:fill="F2F4F8" w:val="clear"/>
          </w:tcPr>
          <w:p>
            <w:r>
              <w:rPr>
                <w:rFonts w:ascii="Calibri" w:hAnsi="Calibri"/>
                <w:color w:val="333333"/>
                <w:sz w:val="18"/>
              </w:rPr>
              <w:t>Workforce</w:t>
            </w:r>
          </w:p>
        </w:tc>
        <w:tc>
          <w:tcPr>
            <w:tcW w:type="dxa" w:w="5040"/>
            <w:shd w:fill="F2F4F8" w:val="clear"/>
          </w:tcPr>
          <w:p>
            <w:r>
              <w:rPr>
                <w:rFonts w:ascii="Calibri" w:hAnsi="Calibri"/>
                <w:color w:val="333333"/>
                <w:sz w:val="18"/>
              </w:rPr>
              <w:t>390,000</w:t>
            </w:r>
          </w:p>
        </w:tc>
      </w:tr>
      <w:tr>
        <w:tc>
          <w:tcPr>
            <w:tcW w:type="dxa" w:w="5040"/>
          </w:tcPr>
          <w:p>
            <w:r>
              <w:rPr>
                <w:rFonts w:ascii="Calibri" w:hAnsi="Calibri"/>
                <w:color w:val="333333"/>
                <w:sz w:val="18"/>
              </w:rPr>
              <w:t>Segments</w:t>
            </w:r>
          </w:p>
        </w:tc>
        <w:tc>
          <w:tcPr>
            <w:tcW w:type="dxa" w:w="5040"/>
          </w:tcPr>
          <w:p>
            <w:r>
              <w:rPr>
                <w:rFonts w:ascii="Calibri" w:hAnsi="Calibri"/>
                <w:color w:val="333333"/>
                <w:sz w:val="18"/>
              </w:rPr>
              <w:t>4</w:t>
            </w:r>
          </w:p>
        </w:tc>
      </w:tr>
      <w:tr>
        <w:tc>
          <w:tcPr>
            <w:tcW w:type="dxa" w:w="5040"/>
            <w:shd w:fill="F2F4F8" w:val="clear"/>
          </w:tcPr>
          <w:p>
            <w:r>
              <w:rPr>
                <w:rFonts w:ascii="Calibri" w:hAnsi="Calibri"/>
                <w:color w:val="333333"/>
                <w:sz w:val="18"/>
              </w:rPr>
              <w:t>Geographic Concentration</w:t>
            </w:r>
          </w:p>
        </w:tc>
        <w:tc>
          <w:tcPr>
            <w:tcW w:type="dxa" w:w="5040"/>
            <w:shd w:fill="F2F4F8" w:val="clear"/>
          </w:tcPr>
          <w:p>
            <w:r>
              <w:rPr>
                <w:rFonts w:ascii="Calibri" w:hAnsi="Calibri"/>
                <w:color w:val="333333"/>
                <w:sz w:val="18"/>
              </w:rPr>
              <w:t>61/100</w:t>
            </w:r>
          </w:p>
        </w:tc>
      </w:tr>
      <w:tr>
        <w:tc>
          <w:tcPr>
            <w:tcW w:type="dxa" w:w="5040"/>
          </w:tcPr>
          <w:p>
            <w:r>
              <w:rPr>
                <w:rFonts w:ascii="Calibri" w:hAnsi="Calibri"/>
                <w:color w:val="333333"/>
                <w:sz w:val="18"/>
              </w:rPr>
              <w:t>Supply Chain</w:t>
            </w:r>
          </w:p>
        </w:tc>
        <w:tc>
          <w:tcPr>
            <w:tcW w:type="dxa" w:w="5040"/>
          </w:tcPr>
          <w:p>
            <w:r>
              <w:rPr>
                <w:rFonts w:ascii="Calibri" w:hAnsi="Calibri"/>
                <w:color w:val="333333"/>
                <w:sz w:val="18"/>
              </w:rPr>
              <w:t>moderate</w:t>
            </w:r>
          </w:p>
        </w:tc>
      </w:tr>
      <w:tr>
        <w:tc>
          <w:tcPr>
            <w:tcW w:type="dxa" w:w="5040"/>
            <w:shd w:fill="F2F4F8" w:val="clear"/>
          </w:tcPr>
          <w:p>
            <w:r>
              <w:rPr>
                <w:rFonts w:ascii="Calibri" w:hAnsi="Calibri"/>
                <w:color w:val="333333"/>
                <w:sz w:val="18"/>
              </w:rPr>
              <w:t>Overall Resilience</w:t>
            </w:r>
          </w:p>
        </w:tc>
        <w:tc>
          <w:tcPr>
            <w:tcW w:type="dxa" w:w="5040"/>
            <w:shd w:fill="F2F4F8" w:val="clear"/>
          </w:tcPr>
          <w:p>
            <w:r>
              <w:rPr>
                <w:rFonts w:ascii="Calibri" w:hAnsi="Calibri"/>
                <w:color w:val="333333"/>
                <w:sz w:val="18"/>
              </w:rPr>
              <w:t>ADEQUATE</w:t>
            </w:r>
          </w:p>
        </w:tc>
      </w:tr>
    </w:tbl>
    <w:p>
      <w:pPr>
        <w:pStyle w:val="DOCaption"/>
      </w:pPr>
      <w:r>
        <w:t>Structural Indicators: [X] VIE / SPE  |  [ ] Dual-Class  |  [X] Holding Depth  |  [ ] OBS Exposure</w:t>
      </w:r>
    </w:p>
    <w:p>
      <w:pPr>
        <w:pStyle w:val="DOHeading2"/>
      </w:pPr>
      <w:r>
        <w:t>Corporate Events &amp; Transaction Risk</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Event Type</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M&amp;A Activity</w:t>
            </w:r>
          </w:p>
        </w:tc>
        <w:tc>
          <w:tcPr>
            <w:tcW w:type="dxa" w:w="5040"/>
          </w:tcPr>
          <w:p>
            <w:r>
              <w:rPr>
                <w:rFonts w:ascii="Calibri" w:hAnsi="Calibri"/>
                <w:color w:val="333333"/>
                <w:sz w:val="18"/>
              </w:rPr>
              <w:t>MODERATE (Score: 1/4) | 2 acquisition years | Goodwill growth: 29.9% | Acq/Rev: 4.0%</w:t>
            </w:r>
          </w:p>
        </w:tc>
      </w:tr>
      <w:tr>
        <w:tc>
          <w:tcPr>
            <w:tcW w:type="dxa" w:w="5040"/>
            <w:shd w:fill="F2F4F8" w:val="clear"/>
          </w:tcPr>
          <w:p>
            <w:r>
              <w:rPr>
                <w:rFonts w:ascii="Calibri" w:hAnsi="Calibri"/>
                <w:color w:val="333333"/>
                <w:sz w:val="18"/>
              </w:rPr>
              <w:t>IPO / Offering Exposure</w:t>
            </w:r>
          </w:p>
        </w:tc>
        <w:tc>
          <w:tcPr>
            <w:tcW w:type="dxa" w:w="5040"/>
            <w:shd w:fill="F2F4F8" w:val="clear"/>
          </w:tcPr>
          <w:p>
            <w:r>
              <w:rPr>
                <w:rFonts w:ascii="Calibri" w:hAnsi="Calibri"/>
                <w:color w:val="333333"/>
                <w:sz w:val="18"/>
              </w:rPr>
              <w:t>LOW - 41 years public</w:t>
            </w:r>
          </w:p>
        </w:tc>
      </w:tr>
    </w:tbl>
    <w:p>
      <w:pPr>
        <w:pStyle w:val="DOBody"/>
      </w:pPr>
      <w:r>
        <w:rPr>
          <w:b/>
        </w:rPr>
        <w:t>Business Changes:</w:t>
      </w:r>
    </w:p>
    <w:p>
      <w:pPr>
        <w:pStyle w:val="DOBody"/>
      </w:pPr>
      <w:r>
        <w:t xml:space="preserve">  - 20 current event filings (8-K), most recent 2026-03-09</w:t>
      </w:r>
    </w:p>
    <w:p>
      <w:pPr>
        <w:pStyle w:val="DOBody"/>
      </w:pPr>
      <w:r>
        <w:t xml:space="preserve">  - M&amp;A activity indicated (acquisition, divestiture, restructuring)</w:t>
      </w:r>
    </w:p>
    <w:p>
      <w:pPr>
        <w:pStyle w:val="DOHeading2"/>
      </w:pPr>
      <w:r>
        <w:t>Structural Complexity</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Dimension</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Disclosure Complexity</w:t>
            </w:r>
          </w:p>
        </w:tc>
        <w:tc>
          <w:tcPr>
            <w:tcW w:type="dxa" w:w="5040"/>
          </w:tcPr>
          <w:p>
            <w:r>
              <w:rPr>
                <w:rFonts w:ascii="Calibri" w:hAnsi="Calibri"/>
                <w:color w:val="333333"/>
                <w:sz w:val="18"/>
              </w:rPr>
              <w:t>LOW</w:t>
            </w:r>
          </w:p>
        </w:tc>
      </w:tr>
      <w:tr>
        <w:tc>
          <w:tcPr>
            <w:tcW w:type="dxa" w:w="5040"/>
            <w:shd w:fill="F2F4F8" w:val="clear"/>
          </w:tcPr>
          <w:p>
            <w:r>
              <w:rPr>
                <w:rFonts w:ascii="Calibri" w:hAnsi="Calibri"/>
                <w:color w:val="333333"/>
                <w:sz w:val="18"/>
              </w:rPr>
              <w:t>Non-GAAP Usage</w:t>
            </w:r>
          </w:p>
        </w:tc>
        <w:tc>
          <w:tcPr>
            <w:tcW w:type="dxa" w:w="5040"/>
            <w:shd w:fill="F2F4F8" w:val="clear"/>
          </w:tcPr>
          <w:p>
            <w:r>
              <w:rPr>
                <w:rFonts w:ascii="Calibri" w:hAnsi="Calibri"/>
                <w:color w:val="333333"/>
                <w:sz w:val="18"/>
              </w:rPr>
              <w:t>MODERATE (1)</w:t>
            </w:r>
          </w:p>
        </w:tc>
      </w:tr>
      <w:tr>
        <w:tc>
          <w:tcPr>
            <w:tcW w:type="dxa" w:w="5040"/>
          </w:tcPr>
          <w:p>
            <w:r>
              <w:rPr>
                <w:rFonts w:ascii="Calibri" w:hAnsi="Calibri"/>
                <w:color w:val="333333"/>
                <w:sz w:val="18"/>
              </w:rPr>
              <w:t>Related Party Density</w:t>
            </w:r>
          </w:p>
        </w:tc>
        <w:tc>
          <w:tcPr>
            <w:tcW w:type="dxa" w:w="5040"/>
          </w:tcPr>
          <w:p>
            <w:r>
              <w:rPr>
                <w:rFonts w:ascii="Calibri" w:hAnsi="Calibri"/>
                <w:color w:val="333333"/>
                <w:sz w:val="18"/>
              </w:rPr>
              <w:t>LOW</w:t>
            </w:r>
          </w:p>
        </w:tc>
      </w:tr>
      <w:tr>
        <w:tc>
          <w:tcPr>
            <w:tcW w:type="dxa" w:w="5040"/>
            <w:shd w:fill="F2F4F8" w:val="clear"/>
          </w:tcPr>
          <w:p>
            <w:r>
              <w:rPr>
                <w:rFonts w:ascii="Calibri" w:hAnsi="Calibri"/>
                <w:color w:val="333333"/>
                <w:sz w:val="18"/>
              </w:rPr>
              <w:t>Off-Balance-Sheet Exposure</w:t>
            </w:r>
          </w:p>
        </w:tc>
        <w:tc>
          <w:tcPr>
            <w:tcW w:type="dxa" w:w="5040"/>
            <w:shd w:fill="F2F4F8" w:val="clear"/>
          </w:tcPr>
          <w:p>
            <w:r>
              <w:rPr>
                <w:rFonts w:ascii="Calibri" w:hAnsi="Calibri"/>
                <w:color w:val="333333"/>
                <w:sz w:val="18"/>
              </w:rPr>
              <w:t>LOW</w:t>
            </w:r>
          </w:p>
        </w:tc>
      </w:tr>
      <w:tr>
        <w:tc>
          <w:tcPr>
            <w:tcW w:type="dxa" w:w="5040"/>
          </w:tcPr>
          <w:p>
            <w:r>
              <w:rPr>
                <w:rFonts w:ascii="Calibri" w:hAnsi="Calibri"/>
                <w:color w:val="333333"/>
                <w:sz w:val="18"/>
              </w:rPr>
              <w:t>Holding Structure Depth</w:t>
            </w:r>
          </w:p>
        </w:tc>
        <w:tc>
          <w:tcPr>
            <w:tcW w:type="dxa" w:w="5040"/>
          </w:tcPr>
          <w:p>
            <w:r>
              <w:rPr>
                <w:rFonts w:ascii="Calibri" w:hAnsi="Calibri"/>
                <w:color w:val="333333"/>
                <w:sz w:val="18"/>
              </w:rPr>
              <w:t>MODERATE (2)</w:t>
            </w:r>
          </w:p>
        </w:tc>
      </w:tr>
    </w:tbl>
    <w:p>
      <w:pPr>
        <w:pStyle w:val="DOHeading3"/>
      </w:pPr>
      <w:r>
        <w:t>Peer Group Comparison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Ticker</w:t>
            </w:r>
          </w:p>
        </w:tc>
        <w:tc>
          <w:tcPr>
            <w:tcW w:type="dxa" w:w="2016"/>
            <w:shd w:fill="1A1446" w:val="clear"/>
          </w:tcPr>
          <w:p>
            <w:r>
              <w:rPr>
                <w:rFonts w:ascii="Calibri" w:hAnsi="Calibri"/>
                <w:b/>
                <w:color w:val="FFFFFF"/>
                <w:sz w:val="18"/>
              </w:rPr>
              <w:t>Name</w:t>
            </w:r>
          </w:p>
        </w:tc>
        <w:tc>
          <w:tcPr>
            <w:tcW w:type="dxa" w:w="2016"/>
            <w:shd w:fill="1A1446" w:val="clear"/>
          </w:tcPr>
          <w:p>
            <w:r>
              <w:rPr>
                <w:rFonts w:ascii="Calibri" w:hAnsi="Calibri"/>
                <w:b/>
                <w:color w:val="FFFFFF"/>
                <w:sz w:val="18"/>
              </w:rPr>
              <w:t>Market Cap</w:t>
            </w:r>
          </w:p>
        </w:tc>
        <w:tc>
          <w:tcPr>
            <w:tcW w:type="dxa" w:w="2016"/>
            <w:shd w:fill="1A1446" w:val="clear"/>
          </w:tcPr>
          <w:p>
            <w:r>
              <w:rPr>
                <w:rFonts w:ascii="Calibri" w:hAnsi="Calibri"/>
                <w:b/>
                <w:color w:val="FFFFFF"/>
                <w:sz w:val="18"/>
              </w:rPr>
              <w:t>Quality Score</w:t>
            </w:r>
          </w:p>
        </w:tc>
        <w:tc>
          <w:tcPr>
            <w:tcW w:type="dxa" w:w="2016"/>
            <w:shd w:fill="1A1446" w:val="clear"/>
          </w:tcPr>
          <w:p>
            <w:r>
              <w:rPr>
                <w:rFonts w:ascii="Calibri" w:hAnsi="Calibri"/>
                <w:b/>
                <w:color w:val="FFFFFF"/>
                <w:sz w:val="18"/>
              </w:rPr>
              <w:t>Similarity</w:t>
            </w:r>
          </w:p>
        </w:tc>
      </w:tr>
      <w:tr>
        <w:tc>
          <w:tcPr>
            <w:tcW w:type="dxa" w:w="2016"/>
          </w:tcPr>
          <w:p>
            <w:r>
              <w:rPr>
                <w:rFonts w:ascii="Calibri" w:hAnsi="Calibri"/>
                <w:color w:val="333333"/>
                <w:sz w:val="18"/>
              </w:rPr>
              <w:t>JNJ</w:t>
            </w:r>
          </w:p>
        </w:tc>
        <w:tc>
          <w:tcPr>
            <w:tcW w:type="dxa" w:w="2016"/>
          </w:tcPr>
          <w:p>
            <w:r>
              <w:rPr>
                <w:rFonts w:ascii="Calibri" w:hAnsi="Calibri"/>
                <w:color w:val="333333"/>
                <w:sz w:val="18"/>
              </w:rPr>
              <w:t>Johnson &amp; Johnson</w:t>
            </w:r>
          </w:p>
        </w:tc>
        <w:tc>
          <w:tcPr>
            <w:tcW w:type="dxa" w:w="2016"/>
          </w:tcPr>
          <w:p>
            <w:r>
              <w:rPr>
                <w:rFonts w:ascii="Calibri" w:hAnsi="Calibri"/>
                <w:color w:val="333333"/>
                <w:sz w:val="18"/>
              </w:rPr>
              <w:t>$585.7B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14%</w:t>
            </w:r>
          </w:p>
        </w:tc>
      </w:tr>
      <w:tr>
        <w:tc>
          <w:tcPr>
            <w:tcW w:type="dxa" w:w="2016"/>
            <w:shd w:fill="F2F4F8" w:val="clear"/>
          </w:tcPr>
          <w:p>
            <w:r>
              <w:rPr>
                <w:rFonts w:ascii="Calibri" w:hAnsi="Calibri"/>
                <w:color w:val="333333"/>
                <w:sz w:val="18"/>
              </w:rPr>
              <w:t>LLY</w:t>
            </w:r>
          </w:p>
        </w:tc>
        <w:tc>
          <w:tcPr>
            <w:tcW w:type="dxa" w:w="2016"/>
            <w:shd w:fill="F2F4F8" w:val="clear"/>
          </w:tcPr>
          <w:p>
            <w:r>
              <w:rPr>
                <w:rFonts w:ascii="Calibri" w:hAnsi="Calibri"/>
                <w:color w:val="333333"/>
                <w:sz w:val="18"/>
              </w:rPr>
              <w:t>Eli Lilly and Company</w:t>
            </w:r>
          </w:p>
        </w:tc>
        <w:tc>
          <w:tcPr>
            <w:tcW w:type="dxa" w:w="2016"/>
            <w:shd w:fill="F2F4F8" w:val="clear"/>
          </w:tcPr>
          <w:p>
            <w:r>
              <w:rPr>
                <w:rFonts w:ascii="Calibri" w:hAnsi="Calibri"/>
                <w:color w:val="333333"/>
                <w:sz w:val="18"/>
              </w:rPr>
              <w:t>$837.4B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13%</w:t>
            </w:r>
          </w:p>
        </w:tc>
      </w:tr>
      <w:tr>
        <w:tc>
          <w:tcPr>
            <w:tcW w:type="dxa" w:w="2016"/>
          </w:tcPr>
          <w:p>
            <w:r>
              <w:rPr>
                <w:rFonts w:ascii="Calibri" w:hAnsi="Calibri"/>
                <w:color w:val="333333"/>
                <w:sz w:val="18"/>
              </w:rPr>
              <w:t>PFE</w:t>
            </w:r>
          </w:p>
        </w:tc>
        <w:tc>
          <w:tcPr>
            <w:tcW w:type="dxa" w:w="2016"/>
          </w:tcPr>
          <w:p>
            <w:r>
              <w:rPr>
                <w:rFonts w:ascii="Calibri" w:hAnsi="Calibri"/>
                <w:color w:val="333333"/>
                <w:sz w:val="18"/>
              </w:rPr>
              <w:t>Pfizer, Inc.</w:t>
            </w:r>
          </w:p>
        </w:tc>
        <w:tc>
          <w:tcPr>
            <w:tcW w:type="dxa" w:w="2016"/>
          </w:tcPr>
          <w:p>
            <w:r>
              <w:rPr>
                <w:rFonts w:ascii="Calibri" w:hAnsi="Calibri"/>
                <w:color w:val="333333"/>
                <w:sz w:val="18"/>
              </w:rPr>
              <w:t>$161.1B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20%</w:t>
            </w:r>
          </w:p>
        </w:tc>
      </w:tr>
      <w:tr>
        <w:tc>
          <w:tcPr>
            <w:tcW w:type="dxa" w:w="2016"/>
            <w:shd w:fill="F2F4F8" w:val="clear"/>
          </w:tcPr>
          <w:p>
            <w:r>
              <w:rPr>
                <w:rFonts w:ascii="Calibri" w:hAnsi="Calibri"/>
                <w:color w:val="333333"/>
                <w:sz w:val="18"/>
              </w:rPr>
              <w:t>ABBV</w:t>
            </w:r>
          </w:p>
        </w:tc>
        <w:tc>
          <w:tcPr>
            <w:tcW w:type="dxa" w:w="2016"/>
            <w:shd w:fill="F2F4F8" w:val="clear"/>
          </w:tcPr>
          <w:p>
            <w:r>
              <w:rPr>
                <w:rFonts w:ascii="Calibri" w:hAnsi="Calibri"/>
                <w:color w:val="333333"/>
                <w:sz w:val="18"/>
              </w:rPr>
              <w:t>AbbVie Inc.</w:t>
            </w:r>
          </w:p>
        </w:tc>
        <w:tc>
          <w:tcPr>
            <w:tcW w:type="dxa" w:w="2016"/>
            <w:shd w:fill="F2F4F8" w:val="clear"/>
          </w:tcPr>
          <w:p>
            <w:r>
              <w:rPr>
                <w:rFonts w:ascii="Calibri" w:hAnsi="Calibri"/>
                <w:color w:val="333333"/>
                <w:sz w:val="18"/>
              </w:rPr>
              <w:t>$369.4B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26%</w:t>
            </w:r>
          </w:p>
        </w:tc>
      </w:tr>
      <w:tr>
        <w:tc>
          <w:tcPr>
            <w:tcW w:type="dxa" w:w="2016"/>
          </w:tcPr>
          <w:p>
            <w:r>
              <w:rPr>
                <w:rFonts w:ascii="Calibri" w:hAnsi="Calibri"/>
                <w:color w:val="333333"/>
                <w:sz w:val="18"/>
              </w:rPr>
              <w:t>MRK</w:t>
            </w:r>
          </w:p>
        </w:tc>
        <w:tc>
          <w:tcPr>
            <w:tcW w:type="dxa" w:w="2016"/>
          </w:tcPr>
          <w:p>
            <w:r>
              <w:rPr>
                <w:rFonts w:ascii="Calibri" w:hAnsi="Calibri"/>
                <w:color w:val="333333"/>
                <w:sz w:val="18"/>
              </w:rPr>
              <w:t>Merck &amp; Company, Inc.</w:t>
            </w:r>
          </w:p>
        </w:tc>
        <w:tc>
          <w:tcPr>
            <w:tcW w:type="dxa" w:w="2016"/>
          </w:tcPr>
          <w:p>
            <w:r>
              <w:rPr>
                <w:rFonts w:ascii="Calibri" w:hAnsi="Calibri"/>
                <w:color w:val="333333"/>
                <w:sz w:val="18"/>
              </w:rPr>
              <w:t>$298.8B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33%</w:t>
            </w:r>
          </w:p>
        </w:tc>
      </w:tr>
      <w:tr>
        <w:tc>
          <w:tcPr>
            <w:tcW w:type="dxa" w:w="2016"/>
            <w:shd w:fill="F2F4F8" w:val="clear"/>
          </w:tcPr>
          <w:p>
            <w:r>
              <w:rPr>
                <w:rFonts w:ascii="Calibri" w:hAnsi="Calibri"/>
                <w:color w:val="333333"/>
                <w:sz w:val="18"/>
              </w:rPr>
              <w:t>TMO</w:t>
            </w:r>
          </w:p>
        </w:tc>
        <w:tc>
          <w:tcPr>
            <w:tcW w:type="dxa" w:w="2016"/>
            <w:shd w:fill="F2F4F8" w:val="clear"/>
          </w:tcPr>
          <w:p>
            <w:r>
              <w:rPr>
                <w:rFonts w:ascii="Calibri" w:hAnsi="Calibri"/>
                <w:color w:val="333333"/>
                <w:sz w:val="18"/>
              </w:rPr>
              <w:t>Thermo Fisher Scientific Inc</w:t>
            </w:r>
          </w:p>
        </w:tc>
        <w:tc>
          <w:tcPr>
            <w:tcW w:type="dxa" w:w="2016"/>
            <w:shd w:fill="F2F4F8" w:val="clear"/>
          </w:tcPr>
          <w:p>
            <w:r>
              <w:rPr>
                <w:rFonts w:ascii="Calibri" w:hAnsi="Calibri"/>
                <w:color w:val="333333"/>
                <w:sz w:val="18"/>
              </w:rPr>
              <w:t>$182.6B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24%</w:t>
            </w:r>
          </w:p>
        </w:tc>
      </w:tr>
      <w:tr>
        <w:tc>
          <w:tcPr>
            <w:tcW w:type="dxa" w:w="2016"/>
          </w:tcPr>
          <w:p>
            <w:r>
              <w:rPr>
                <w:rFonts w:ascii="Calibri" w:hAnsi="Calibri"/>
                <w:color w:val="333333"/>
                <w:sz w:val="18"/>
              </w:rPr>
              <w:t>ABT</w:t>
            </w:r>
          </w:p>
        </w:tc>
        <w:tc>
          <w:tcPr>
            <w:tcW w:type="dxa" w:w="2016"/>
          </w:tcPr>
          <w:p>
            <w:r>
              <w:rPr>
                <w:rFonts w:ascii="Calibri" w:hAnsi="Calibri"/>
                <w:color w:val="333333"/>
                <w:sz w:val="18"/>
              </w:rPr>
              <w:t>Abbott Laboratories</w:t>
            </w:r>
          </w:p>
        </w:tc>
        <w:tc>
          <w:tcPr>
            <w:tcW w:type="dxa" w:w="2016"/>
          </w:tcPr>
          <w:p>
            <w:r>
              <w:rPr>
                <w:rFonts w:ascii="Calibri" w:hAnsi="Calibri"/>
                <w:color w:val="333333"/>
                <w:sz w:val="18"/>
              </w:rPr>
              <w:t>$178.8B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23%</w:t>
            </w:r>
          </w:p>
        </w:tc>
      </w:tr>
      <w:tr>
        <w:tc>
          <w:tcPr>
            <w:tcW w:type="dxa" w:w="2016"/>
            <w:shd w:fill="F2F4F8" w:val="clear"/>
          </w:tcPr>
          <w:p>
            <w:r>
              <w:rPr>
                <w:rFonts w:ascii="Calibri" w:hAnsi="Calibri"/>
                <w:color w:val="333333"/>
                <w:sz w:val="18"/>
              </w:rPr>
              <w:t>DHR</w:t>
            </w:r>
          </w:p>
        </w:tc>
        <w:tc>
          <w:tcPr>
            <w:tcW w:type="dxa" w:w="2016"/>
            <w:shd w:fill="F2F4F8" w:val="clear"/>
          </w:tcPr>
          <w:p>
            <w:r>
              <w:rPr>
                <w:rFonts w:ascii="Calibri" w:hAnsi="Calibri"/>
                <w:color w:val="333333"/>
                <w:sz w:val="18"/>
              </w:rPr>
              <w:t>Danaher Corporation</w:t>
            </w:r>
          </w:p>
        </w:tc>
        <w:tc>
          <w:tcPr>
            <w:tcW w:type="dxa" w:w="2016"/>
            <w:shd w:fill="F2F4F8" w:val="clear"/>
          </w:tcPr>
          <w:p>
            <w:r>
              <w:rPr>
                <w:rFonts w:ascii="Calibri" w:hAnsi="Calibri"/>
                <w:color w:val="333333"/>
                <w:sz w:val="18"/>
              </w:rPr>
              <w:t>$135.3B</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Sector Etf / 14%</w:t>
            </w:r>
          </w:p>
        </w:tc>
      </w:tr>
      <w:tr>
        <w:tc>
          <w:tcPr>
            <w:tcW w:type="dxa" w:w="2016"/>
          </w:tcPr>
          <w:p>
            <w:r>
              <w:rPr>
                <w:rFonts w:ascii="Calibri" w:hAnsi="Calibri"/>
                <w:color w:val="333333"/>
                <w:sz w:val="18"/>
              </w:rPr>
              <w:t>BMY</w:t>
            </w:r>
          </w:p>
        </w:tc>
        <w:tc>
          <w:tcPr>
            <w:tcW w:type="dxa" w:w="2016"/>
          </w:tcPr>
          <w:p>
            <w:r>
              <w:rPr>
                <w:rFonts w:ascii="Calibri" w:hAnsi="Calibri"/>
                <w:color w:val="333333"/>
                <w:sz w:val="18"/>
              </w:rPr>
              <w:t>Bristol-Myers Squibb Company</w:t>
            </w:r>
          </w:p>
        </w:tc>
        <w:tc>
          <w:tcPr>
            <w:tcW w:type="dxa" w:w="2016"/>
          </w:tcPr>
          <w:p>
            <w:r>
              <w:rPr>
                <w:rFonts w:ascii="Calibri" w:hAnsi="Calibri"/>
                <w:color w:val="333333"/>
                <w:sz w:val="18"/>
              </w:rPr>
              <w:t>$121.7B</w:t>
            </w:r>
          </w:p>
        </w:tc>
        <w:tc>
          <w:tcPr>
            <w:tcW w:type="dxa" w:w="2016"/>
          </w:tcPr>
          <w:p>
            <w:r>
              <w:rPr>
                <w:rFonts w:ascii="Calibri" w:hAnsi="Calibri"/>
                <w:color w:val="333333"/>
                <w:sz w:val="18"/>
              </w:rPr>
              <w:t>N/A</w:t>
            </w:r>
          </w:p>
        </w:tc>
        <w:tc>
          <w:tcPr>
            <w:tcW w:type="dxa" w:w="2016"/>
          </w:tcPr>
          <w:p>
            <w:r>
              <w:rPr>
                <w:rFonts w:ascii="Calibri" w:hAnsi="Calibri"/>
                <w:color w:val="333333"/>
                <w:sz w:val="18"/>
              </w:rPr>
              <w:t>Sector Etf / 12%</w:t>
            </w:r>
          </w:p>
        </w:tc>
      </w:tr>
    </w:tbl>
    <w:p>
      <w:pPr>
        <w:pStyle w:val="DOBody"/>
      </w:pPr>
      <w:r>
        <w:rPr>
          <w:rFonts w:ascii="Calibri" w:hAnsi="Calibri"/>
          <w:color w:val="333333"/>
          <w:sz w:val="20"/>
        </w:rPr>
        <w:t>The peer group of 9 companies shares the same industry classification (SIC 6324). UNITEDHEALTH GROUP INC ranks at the 56th percentile among 9 peers by market capitalization.</w:t>
      </w:r>
    </w:p>
    <w:p>
      <w:pPr>
        <w:pStyle w:val="DOHeading2"/>
      </w:pPr>
      <w:r>
        <w:t>Revenue Segments</w:t>
      </w:r>
    </w:p>
    <w:p>
      <w:pPr>
        <w:pStyle w:val="DOBody"/>
      </w:pPr>
      <w:r>
        <w:t>Revenue segment data not available.</w:t>
      </w:r>
    </w:p>
    <w:p>
      <w:pPr>
        <w:pStyle w:val="DOHeading2"/>
      </w:pPr>
      <w:r>
        <w:t>Geographic Footprint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Jurisdiction</w:t>
            </w:r>
          </w:p>
        </w:tc>
        <w:tc>
          <w:tcPr>
            <w:tcW w:type="dxa" w:w="2520"/>
            <w:shd w:fill="1A1446" w:val="clear"/>
          </w:tcPr>
          <w:p>
            <w:r>
              <w:rPr>
                <w:rFonts w:ascii="Calibri" w:hAnsi="Calibri"/>
                <w:b/>
                <w:color w:val="FFFFFF"/>
                <w:sz w:val="18"/>
              </w:rPr>
              <w:t>Subsidiaries</w:t>
            </w:r>
          </w:p>
        </w:tc>
        <w:tc>
          <w:tcPr>
            <w:tcW w:type="dxa" w:w="2520"/>
            <w:shd w:fill="1A1446" w:val="clear"/>
          </w:tcPr>
          <w:p>
            <w:r>
              <w:rPr>
                <w:rFonts w:ascii="Calibri" w:hAnsi="Calibri"/>
                <w:b/>
                <w:color w:val="FFFFFF"/>
                <w:sz w:val="18"/>
              </w:rPr>
              <w:t>% of Total</w:t>
            </w:r>
          </w:p>
        </w:tc>
        <w:tc>
          <w:tcPr>
            <w:tcW w:type="dxa" w:w="2520"/>
            <w:shd w:fill="1A1446" w:val="clear"/>
          </w:tcPr>
          <w:p>
            <w:r>
              <w:rPr>
                <w:rFonts w:ascii="Calibri" w:hAnsi="Calibri"/>
                <w:b/>
                <w:color w:val="FFFFFF"/>
                <w:sz w:val="18"/>
              </w:rPr>
              <w:t>Region</w:t>
            </w:r>
          </w:p>
        </w:tc>
      </w:tr>
      <w:tr>
        <w:tc>
          <w:tcPr>
            <w:tcW w:type="dxa" w:w="2520"/>
          </w:tcPr>
          <w:p>
            <w:r>
              <w:rPr>
                <w:rFonts w:ascii="Calibri" w:hAnsi="Calibri"/>
                <w:color w:val="333333"/>
                <w:sz w:val="18"/>
              </w:rPr>
              <w:t>Delaware</w:t>
            </w:r>
          </w:p>
        </w:tc>
        <w:tc>
          <w:tcPr>
            <w:tcW w:type="dxa" w:w="2520"/>
          </w:tcPr>
          <w:p>
            <w:r>
              <w:rPr>
                <w:rFonts w:ascii="Calibri" w:hAnsi="Calibri"/>
                <w:color w:val="333333"/>
                <w:sz w:val="18"/>
              </w:rPr>
              <w:t>6</w:t>
            </w:r>
          </w:p>
        </w:tc>
        <w:tc>
          <w:tcPr>
            <w:tcW w:type="dxa" w:w="2520"/>
          </w:tcPr>
          <w:p>
            <w:r>
              <w:rPr>
                <w:rFonts w:ascii="Calibri" w:hAnsi="Calibri"/>
                <w:color w:val="333333"/>
                <w:sz w:val="18"/>
              </w:rPr>
              <w:t>54.5%</w:t>
            </w:r>
          </w:p>
        </w:tc>
        <w:tc>
          <w:tcPr>
            <w:tcW w:type="dxa" w:w="2520"/>
          </w:tcPr>
          <w:p>
            <w:r>
              <w:rPr>
                <w:rFonts w:ascii="Calibri" w:hAnsi="Calibri"/>
                <w:color w:val="333333"/>
                <w:sz w:val="18"/>
              </w:rPr>
              <w:t>US</w:t>
            </w:r>
          </w:p>
        </w:tc>
      </w:tr>
      <w:tr>
        <w:tc>
          <w:tcPr>
            <w:tcW w:type="dxa" w:w="2520"/>
            <w:shd w:fill="F2F4F8" w:val="clear"/>
          </w:tcPr>
          <w:p>
            <w:r>
              <w:rPr>
                <w:rFonts w:ascii="Calibri" w:hAnsi="Calibri"/>
                <w:color w:val="333333"/>
                <w:sz w:val="18"/>
              </w:rPr>
              <w:t>Minnesota</w:t>
            </w:r>
          </w:p>
        </w:tc>
        <w:tc>
          <w:tcPr>
            <w:tcW w:type="dxa" w:w="2520"/>
            <w:shd w:fill="F2F4F8" w:val="clear"/>
          </w:tcPr>
          <w:p>
            <w:r>
              <w:rPr>
                <w:rFonts w:ascii="Calibri" w:hAnsi="Calibri"/>
                <w:color w:val="333333"/>
                <w:sz w:val="18"/>
              </w:rPr>
              <w:t>3</w:t>
            </w:r>
          </w:p>
        </w:tc>
        <w:tc>
          <w:tcPr>
            <w:tcW w:type="dxa" w:w="2520"/>
            <w:shd w:fill="F2F4F8" w:val="clear"/>
          </w:tcPr>
          <w:p>
            <w:r>
              <w:rPr>
                <w:rFonts w:ascii="Calibri" w:hAnsi="Calibri"/>
                <w:color w:val="333333"/>
                <w:sz w:val="18"/>
              </w:rPr>
              <w:t>27.3%</w:t>
            </w:r>
          </w:p>
        </w:tc>
        <w:tc>
          <w:tcPr>
            <w:tcW w:type="dxa" w:w="2520"/>
            <w:shd w:fill="F2F4F8" w:val="clear"/>
          </w:tcPr>
          <w:p>
            <w:r>
              <w:rPr>
                <w:rFonts w:ascii="Calibri" w:hAnsi="Calibri"/>
                <w:color w:val="333333"/>
                <w:sz w:val="18"/>
              </w:rPr>
              <w:t>US</w:t>
            </w:r>
          </w:p>
        </w:tc>
      </w:tr>
      <w:tr>
        <w:tc>
          <w:tcPr>
            <w:tcW w:type="dxa" w:w="2520"/>
          </w:tcPr>
          <w:p>
            <w:r>
              <w:rPr>
                <w:rFonts w:ascii="Calibri" w:hAnsi="Calibri"/>
                <w:color w:val="333333"/>
                <w:sz w:val="18"/>
              </w:rPr>
              <w:t>Texas</w:t>
            </w:r>
          </w:p>
        </w:tc>
        <w:tc>
          <w:tcPr>
            <w:tcW w:type="dxa" w:w="2520"/>
          </w:tcPr>
          <w:p>
            <w:r>
              <w:rPr>
                <w:rFonts w:ascii="Calibri" w:hAnsi="Calibri"/>
                <w:color w:val="333333"/>
                <w:sz w:val="18"/>
              </w:rPr>
              <w:t>1</w:t>
            </w:r>
          </w:p>
        </w:tc>
        <w:tc>
          <w:tcPr>
            <w:tcW w:type="dxa" w:w="2520"/>
          </w:tcPr>
          <w:p>
            <w:r>
              <w:rPr>
                <w:rFonts w:ascii="Calibri" w:hAnsi="Calibri"/>
                <w:color w:val="333333"/>
                <w:sz w:val="18"/>
              </w:rPr>
              <w:t>9.1%</w:t>
            </w:r>
          </w:p>
        </w:tc>
        <w:tc>
          <w:tcPr>
            <w:tcW w:type="dxa" w:w="2520"/>
          </w:tcPr>
          <w:p>
            <w:r>
              <w:rPr>
                <w:rFonts w:ascii="Calibri" w:hAnsi="Calibri"/>
                <w:color w:val="333333"/>
                <w:sz w:val="18"/>
              </w:rPr>
              <w:t>US</w:t>
            </w:r>
          </w:p>
        </w:tc>
      </w:tr>
      <w:tr>
        <w:tc>
          <w:tcPr>
            <w:tcW w:type="dxa" w:w="2520"/>
            <w:shd w:fill="F2F4F8" w:val="clear"/>
          </w:tcPr>
          <w:p>
            <w:r>
              <w:rPr>
                <w:rFonts w:ascii="Calibri" w:hAnsi="Calibri"/>
                <w:color w:val="333333"/>
                <w:sz w:val="18"/>
              </w:rPr>
              <w:t>Connecticut</w:t>
            </w:r>
          </w:p>
        </w:tc>
        <w:tc>
          <w:tcPr>
            <w:tcW w:type="dxa" w:w="2520"/>
            <w:shd w:fill="F2F4F8" w:val="clear"/>
          </w:tcPr>
          <w:p>
            <w:r>
              <w:rPr>
                <w:rFonts w:ascii="Calibri" w:hAnsi="Calibri"/>
                <w:color w:val="333333"/>
                <w:sz w:val="18"/>
              </w:rPr>
              <w:t>1</w:t>
            </w:r>
          </w:p>
        </w:tc>
        <w:tc>
          <w:tcPr>
            <w:tcW w:type="dxa" w:w="2520"/>
            <w:shd w:fill="F2F4F8" w:val="clear"/>
          </w:tcPr>
          <w:p>
            <w:r>
              <w:rPr>
                <w:rFonts w:ascii="Calibri" w:hAnsi="Calibri"/>
                <w:color w:val="333333"/>
                <w:sz w:val="18"/>
              </w:rPr>
              <w:t>9.1%</w:t>
            </w:r>
          </w:p>
        </w:tc>
        <w:tc>
          <w:tcPr>
            <w:tcW w:type="dxa" w:w="2520"/>
            <w:shd w:fill="F2F4F8" w:val="clear"/>
          </w:tcPr>
          <w:p>
            <w:r>
              <w:rPr>
                <w:rFonts w:ascii="Calibri" w:hAnsi="Calibri"/>
                <w:color w:val="333333"/>
                <w:sz w:val="18"/>
              </w:rPr>
              <w:t>US</w:t>
            </w:r>
          </w:p>
        </w:tc>
      </w:tr>
    </w:tbl>
    <w:p>
      <w:pPr>
        <w:pStyle w:val="DOCaption"/>
      </w:pPr>
      <w:r>
        <w:t>Total: 11 subsidiaries across 4 US states and 0 international jurisdictions. International exposure: 0% of entity footprint. Multi-jurisdiction operations increase regulatory, tax, and litigation complexity for D&amp;O exposure.</w:t>
      </w:r>
    </w:p>
    <w:p>
      <w:pPr>
        <w:pStyle w:val="DOHeading2"/>
      </w:pPr>
      <w:r>
        <w:t>Customer &amp; Supplier Concentration</w:t>
      </w:r>
    </w:p>
    <w:p>
      <w:pPr>
        <w:pStyle w:val="DOBody"/>
      </w:pPr>
      <w:r>
        <w:t>Concentration data not available from filings.</w:t>
      </w:r>
    </w:p>
    <w:p>
      <w:pPr>
        <w:pStyle w:val="DOHeading2"/>
      </w:pPr>
      <w:r>
        <w:t>D&amp;O Exposure Factors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Exposure Type</w:t>
            </w:r>
          </w:p>
        </w:tc>
        <w:tc>
          <w:tcPr>
            <w:tcW w:type="dxa" w:w="2520"/>
            <w:shd w:fill="1A1446" w:val="clear"/>
          </w:tcPr>
          <w:p>
            <w:r>
              <w:rPr>
                <w:rFonts w:ascii="Calibri" w:hAnsi="Calibri"/>
                <w:b/>
                <w:color w:val="FFFFFF"/>
                <w:sz w:val="18"/>
              </w:rPr>
              <w:t>Risk Level</w:t>
            </w:r>
          </w:p>
        </w:tc>
        <w:tc>
          <w:tcPr>
            <w:tcW w:type="dxa" w:w="2520"/>
            <w:shd w:fill="1A1446" w:val="clear"/>
          </w:tcPr>
          <w:p>
            <w:r>
              <w:rPr>
                <w:rFonts w:ascii="Calibri" w:hAnsi="Calibri"/>
                <w:b/>
                <w:color w:val="FFFFFF"/>
                <w:sz w:val="18"/>
              </w:rPr>
              <w:t>Description</w:t>
            </w:r>
          </w:p>
        </w:tc>
        <w:tc>
          <w:tcPr>
            <w:tcW w:type="dxa" w:w="2520"/>
            <w:shd w:fill="1A1446" w:val="clear"/>
          </w:tcPr>
          <w:p>
            <w:r>
              <w:rPr>
                <w:rFonts w:ascii="Calibri" w:hAnsi="Calibri"/>
                <w:b/>
                <w:color w:val="FFFFFF"/>
                <w:sz w:val="18"/>
              </w:rPr>
              <w:t>Coverage Part</w:t>
            </w:r>
          </w:p>
        </w:tc>
      </w:tr>
      <w:tr>
        <w:tc>
          <w:tcPr>
            <w:tcW w:type="dxa" w:w="2520"/>
          </w:tcPr>
          <w:p>
            <w:r>
              <w:rPr>
                <w:rFonts w:ascii="Calibri" w:hAnsi="Calibri"/>
                <w:color w:val="333333"/>
                <w:sz w:val="18"/>
              </w:rPr>
              <w:t>Securities Litigation</w:t>
            </w:r>
          </w:p>
        </w:tc>
        <w:tc>
          <w:tcPr>
            <w:tcW w:type="dxa" w:w="2520"/>
          </w:tcPr>
          <w:p>
            <w:r>
              <w:rPr>
                <w:rFonts w:ascii="Calibri" w:hAnsi="Calibri"/>
                <w:color w:val="333333"/>
                <w:sz w:val="18"/>
              </w:rPr>
              <w:t>See analysis sections</w:t>
            </w:r>
          </w:p>
        </w:tc>
        <w:tc>
          <w:tcPr>
            <w:tcW w:type="dxa" w:w="2520"/>
          </w:tcPr>
          <w:p>
            <w:r>
              <w:rPr>
                <w:rFonts w:ascii="Calibri" w:hAnsi="Calibri"/>
                <w:color w:val="333333"/>
                <w:sz w:val="18"/>
              </w:rPr>
              <w:t>Shareholder class actions, SEC enforcement</w:t>
            </w:r>
          </w:p>
        </w:tc>
        <w:tc>
          <w:tcPr>
            <w:tcW w:type="dxa" w:w="2520"/>
          </w:tcPr>
          <w:p>
            <w:r>
              <w:rPr>
                <w:rFonts w:ascii="Calibri" w:hAnsi="Calibri"/>
                <w:color w:val="333333"/>
                <w:sz w:val="18"/>
              </w:rPr>
              <w:t>Side A/B/C</w:t>
            </w:r>
          </w:p>
        </w:tc>
      </w:tr>
      <w:tr>
        <w:tc>
          <w:tcPr>
            <w:tcW w:type="dxa" w:w="2520"/>
            <w:shd w:fill="F2F4F8" w:val="clear"/>
          </w:tcPr>
          <w:p>
            <w:r>
              <w:rPr>
                <w:rFonts w:ascii="Calibri" w:hAnsi="Calibri"/>
                <w:color w:val="333333"/>
                <w:sz w:val="18"/>
              </w:rPr>
              <w:t>Derivative Actions</w:t>
            </w:r>
          </w:p>
        </w:tc>
        <w:tc>
          <w:tcPr>
            <w:tcW w:type="dxa" w:w="2520"/>
            <w:shd w:fill="F2F4F8" w:val="clear"/>
          </w:tcPr>
          <w:p>
            <w:r>
              <w:rPr>
                <w:rFonts w:ascii="Calibri" w:hAnsi="Calibri"/>
                <w:color w:val="333333"/>
                <w:sz w:val="18"/>
              </w:rPr>
              <w:t>See analysis sections</w:t>
            </w:r>
          </w:p>
        </w:tc>
        <w:tc>
          <w:tcPr>
            <w:tcW w:type="dxa" w:w="2520"/>
            <w:shd w:fill="F2F4F8" w:val="clear"/>
          </w:tcPr>
          <w:p>
            <w:r>
              <w:rPr>
                <w:rFonts w:ascii="Calibri" w:hAnsi="Calibri"/>
                <w:color w:val="333333"/>
                <w:sz w:val="18"/>
              </w:rPr>
              <w:t>Breach of fiduciary duty, waste claims</w:t>
            </w:r>
          </w:p>
        </w:tc>
        <w:tc>
          <w:tcPr>
            <w:tcW w:type="dxa" w:w="2520"/>
            <w:shd w:fill="F2F4F8" w:val="clear"/>
          </w:tcPr>
          <w:p>
            <w:r>
              <w:rPr>
                <w:rFonts w:ascii="Calibri" w:hAnsi="Calibri"/>
                <w:color w:val="333333"/>
                <w:sz w:val="18"/>
              </w:rPr>
              <w:t>Side A/B</w:t>
            </w:r>
          </w:p>
        </w:tc>
      </w:tr>
      <w:tr>
        <w:tc>
          <w:tcPr>
            <w:tcW w:type="dxa" w:w="2520"/>
          </w:tcPr>
          <w:p>
            <w:r>
              <w:rPr>
                <w:rFonts w:ascii="Calibri" w:hAnsi="Calibri"/>
                <w:color w:val="333333"/>
                <w:sz w:val="18"/>
              </w:rPr>
              <w:t>Employment Practices</w:t>
            </w:r>
          </w:p>
        </w:tc>
        <w:tc>
          <w:tcPr>
            <w:tcW w:type="dxa" w:w="2520"/>
          </w:tcPr>
          <w:p>
            <w:r>
              <w:rPr>
                <w:rFonts w:ascii="Calibri" w:hAnsi="Calibri"/>
                <w:color w:val="333333"/>
                <w:sz w:val="18"/>
              </w:rPr>
              <w:t>See analysis sections</w:t>
            </w:r>
          </w:p>
        </w:tc>
        <w:tc>
          <w:tcPr>
            <w:tcW w:type="dxa" w:w="2520"/>
          </w:tcPr>
          <w:p>
            <w:r>
              <w:rPr>
                <w:rFonts w:ascii="Calibri" w:hAnsi="Calibri"/>
                <w:color w:val="333333"/>
                <w:sz w:val="18"/>
              </w:rPr>
              <w:t>Discrimination, harassment, wrongful termination</w:t>
            </w:r>
          </w:p>
        </w:tc>
        <w:tc>
          <w:tcPr>
            <w:tcW w:type="dxa" w:w="2520"/>
          </w:tcPr>
          <w:p>
            <w:r>
              <w:rPr>
                <w:rFonts w:ascii="Calibri" w:hAnsi="Calibri"/>
                <w:color w:val="333333"/>
                <w:sz w:val="18"/>
              </w:rPr>
              <w:t>Side B/C (EPLI)</w:t>
            </w:r>
          </w:p>
        </w:tc>
      </w:tr>
      <w:tr>
        <w:tc>
          <w:tcPr>
            <w:tcW w:type="dxa" w:w="2520"/>
            <w:shd w:fill="F2F4F8" w:val="clear"/>
          </w:tcPr>
          <w:p>
            <w:r>
              <w:rPr>
                <w:rFonts w:ascii="Calibri" w:hAnsi="Calibri"/>
                <w:color w:val="333333"/>
                <w:sz w:val="18"/>
              </w:rPr>
              <w:t>Regulatory/Government</w:t>
            </w:r>
          </w:p>
        </w:tc>
        <w:tc>
          <w:tcPr>
            <w:tcW w:type="dxa" w:w="2520"/>
            <w:shd w:fill="F2F4F8" w:val="clear"/>
          </w:tcPr>
          <w:p>
            <w:r>
              <w:rPr>
                <w:rFonts w:ascii="Calibri" w:hAnsi="Calibri"/>
                <w:color w:val="333333"/>
                <w:sz w:val="18"/>
              </w:rPr>
              <w:t>See analysis sections</w:t>
            </w:r>
          </w:p>
        </w:tc>
        <w:tc>
          <w:tcPr>
            <w:tcW w:type="dxa" w:w="2520"/>
            <w:shd w:fill="F2F4F8" w:val="clear"/>
          </w:tcPr>
          <w:p>
            <w:r>
              <w:rPr>
                <w:rFonts w:ascii="Calibri" w:hAnsi="Calibri"/>
                <w:color w:val="333333"/>
                <w:sz w:val="18"/>
              </w:rPr>
              <w:t>DOJ, SEC, FTC, state AG investigations</w:t>
            </w:r>
          </w:p>
        </w:tc>
        <w:tc>
          <w:tcPr>
            <w:tcW w:type="dxa" w:w="2520"/>
            <w:shd w:fill="F2F4F8" w:val="clear"/>
          </w:tcPr>
          <w:p>
            <w:r>
              <w:rPr>
                <w:rFonts w:ascii="Calibri" w:hAnsi="Calibri"/>
                <w:color w:val="333333"/>
                <w:sz w:val="18"/>
              </w:rPr>
              <w:t>Side A (primarily)</w:t>
            </w:r>
          </w:p>
        </w:tc>
      </w:tr>
      <w:tr>
        <w:tc>
          <w:tcPr>
            <w:tcW w:type="dxa" w:w="2520"/>
          </w:tcPr>
          <w:p>
            <w:r>
              <w:rPr>
                <w:rFonts w:ascii="Calibri" w:hAnsi="Calibri"/>
                <w:color w:val="333333"/>
                <w:sz w:val="18"/>
              </w:rPr>
              <w:t>Fiduciary (ERISA)</w:t>
            </w:r>
          </w:p>
        </w:tc>
        <w:tc>
          <w:tcPr>
            <w:tcW w:type="dxa" w:w="2520"/>
          </w:tcPr>
          <w:p>
            <w:r>
              <w:rPr>
                <w:rFonts w:ascii="Calibri" w:hAnsi="Calibri"/>
                <w:color w:val="333333"/>
                <w:sz w:val="18"/>
              </w:rPr>
              <w:t>See analysis sections</w:t>
            </w:r>
          </w:p>
        </w:tc>
        <w:tc>
          <w:tcPr>
            <w:tcW w:type="dxa" w:w="2520"/>
          </w:tcPr>
          <w:p>
            <w:r>
              <w:rPr>
                <w:rFonts w:ascii="Calibri" w:hAnsi="Calibri"/>
                <w:color w:val="333333"/>
                <w:sz w:val="18"/>
              </w:rPr>
              <w:t>401(k) plan mismanagement, fee litigation</w:t>
            </w:r>
          </w:p>
        </w:tc>
        <w:tc>
          <w:tcPr>
            <w:tcW w:type="dxa" w:w="2520"/>
          </w:tcPr>
          <w:p>
            <w:r>
              <w:rPr>
                <w:rFonts w:ascii="Calibri" w:hAnsi="Calibri"/>
                <w:color w:val="333333"/>
                <w:sz w:val="18"/>
              </w:rPr>
              <w:t>Fiduciary Liability</w:t>
            </w:r>
          </w:p>
        </w:tc>
      </w:tr>
    </w:tbl>
    <w:p>
      <w:pPr>
        <w:pStyle w:val="DOCaption"/>
      </w:pPr>
      <w:r>
        <w:t>Standard D&amp;O exposure categories shown. See individual analysis sections for company-specific risk levels.</w:t>
      </w:r>
    </w:p>
    <w:p>
      <w:pPr>
        <w:pStyle w:val="DOHeading2"/>
      </w:pPr>
      <w:r>
        <w:t>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Attribute</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Market Cap Tier</w:t>
            </w:r>
          </w:p>
        </w:tc>
        <w:tc>
          <w:tcPr>
            <w:tcW w:type="dxa" w:w="5040"/>
          </w:tcPr>
          <w:p>
            <w:r>
              <w:rPr>
                <w:rFonts w:ascii="Calibri" w:hAnsi="Calibri"/>
                <w:color w:val="333333"/>
                <w:sz w:val="18"/>
              </w:rPr>
              <w:t>MEGA</w:t>
            </w:r>
          </w:p>
        </w:tc>
      </w:tr>
      <w:tr>
        <w:tc>
          <w:tcPr>
            <w:tcW w:type="dxa" w:w="5040"/>
            <w:shd w:fill="F2F4F8" w:val="clear"/>
          </w:tcPr>
          <w:p>
            <w:r>
              <w:rPr>
                <w:rFonts w:ascii="Calibri" w:hAnsi="Calibri"/>
                <w:color w:val="333333"/>
                <w:sz w:val="18"/>
              </w:rPr>
              <w:t>Sector</w:t>
            </w:r>
          </w:p>
        </w:tc>
        <w:tc>
          <w:tcPr>
            <w:tcW w:type="dxa" w:w="5040"/>
            <w:shd w:fill="F2F4F8" w:val="clear"/>
          </w:tcPr>
          <w:p>
            <w:r>
              <w:rPr>
                <w:rFonts w:ascii="Calibri" w:hAnsi="Calibri"/>
                <w:color w:val="333333"/>
                <w:sz w:val="18"/>
              </w:rPr>
              <w:t>FINS (FINS)</w:t>
            </w:r>
          </w:p>
        </w:tc>
      </w:tr>
      <w:tr>
        <w:tc>
          <w:tcPr>
            <w:tcW w:type="dxa" w:w="5040"/>
          </w:tcPr>
          <w:p>
            <w:r>
              <w:rPr>
                <w:rFonts w:ascii="Calibri" w:hAnsi="Calibri"/>
                <w:color w:val="333333"/>
                <w:sz w:val="18"/>
              </w:rPr>
              <w:t>Years Public</w:t>
            </w:r>
          </w:p>
        </w:tc>
        <w:tc>
          <w:tcPr>
            <w:tcW w:type="dxa" w:w="5040"/>
          </w:tcPr>
          <w:p>
            <w:r>
              <w:rPr>
                <w:rFonts w:ascii="Calibri" w:hAnsi="Calibri"/>
                <w:color w:val="333333"/>
                <w:sz w:val="18"/>
              </w:rPr>
              <w:t>41</w:t>
            </w:r>
          </w:p>
        </w:tc>
      </w:tr>
      <w:tr>
        <w:tc>
          <w:tcPr>
            <w:tcW w:type="dxa" w:w="5040"/>
            <w:shd w:fill="F2F4F8" w:val="clear"/>
          </w:tcPr>
          <w:p>
            <w:r>
              <w:rPr>
                <w:rFonts w:ascii="Calibri" w:hAnsi="Calibri"/>
                <w:color w:val="333333"/>
                <w:sz w:val="18"/>
              </w:rPr>
              <w:t>Base Filing Rate</w:t>
            </w:r>
          </w:p>
        </w:tc>
        <w:tc>
          <w:tcPr>
            <w:tcW w:type="dxa" w:w="5040"/>
            <w:shd w:fill="F2F4F8" w:val="clear"/>
          </w:tcPr>
          <w:p>
            <w:r>
              <w:rPr>
                <w:rFonts w:ascii="Calibri" w:hAnsi="Calibri"/>
                <w:color w:val="333333"/>
                <w:sz w:val="18"/>
              </w:rPr>
              <w:t>7.2%</w:t>
            </w:r>
          </w:p>
        </w:tc>
      </w:tr>
      <w:tr>
        <w:tc>
          <w:tcPr>
            <w:tcW w:type="dxa" w:w="5040"/>
          </w:tcPr>
          <w:p>
            <w:r>
              <w:rPr>
                <w:rFonts w:ascii="Calibri" w:hAnsi="Calibri"/>
                <w:color w:val="333333"/>
                <w:sz w:val="18"/>
              </w:rPr>
              <w:t>Severity Band</w:t>
            </w:r>
          </w:p>
        </w:tc>
        <w:tc>
          <w:tcPr>
            <w:tcW w:type="dxa" w:w="5040"/>
          </w:tcPr>
          <w:p>
            <w:r>
              <w:rPr>
                <w:rFonts w:ascii="Calibri" w:hAnsi="Calibri"/>
                <w:color w:val="333333"/>
                <w:sz w:val="18"/>
              </w:rPr>
              <w:t>$150.0M -- $500.0M</w:t>
            </w:r>
          </w:p>
        </w:tc>
      </w:tr>
      <w:tr>
        <w:tc>
          <w:tcPr>
            <w:tcW w:type="dxa" w:w="5040"/>
            <w:shd w:fill="F2F4F8" w:val="clear"/>
          </w:tcPr>
          <w:p>
            <w:r>
              <w:rPr>
                <w:rFonts w:ascii="Calibri" w:hAnsi="Calibri"/>
                <w:color w:val="333333"/>
                <w:sz w:val="18"/>
              </w:rPr>
              <w:t>DDL Exposure Base</w:t>
            </w:r>
          </w:p>
        </w:tc>
        <w:tc>
          <w:tcPr>
            <w:tcW w:type="dxa" w:w="5040"/>
            <w:shd w:fill="F2F4F8" w:val="clear"/>
          </w:tcPr>
          <w:p>
            <w:r>
              <w:rPr>
                <w:rFonts w:ascii="Calibri" w:hAnsi="Calibri"/>
                <w:color w:val="333333"/>
                <w:sz w:val="18"/>
              </w:rPr>
              <w:t>$37.7B</w:t>
            </w:r>
          </w:p>
        </w:tc>
      </w:tr>
      <w:tr>
        <w:tc>
          <w:tcPr>
            <w:tcW w:type="dxa" w:w="5040"/>
          </w:tcPr>
          <w:p>
            <w:r>
              <w:rPr>
                <w:rFonts w:ascii="Calibri" w:hAnsi="Calibri"/>
                <w:color w:val="333333"/>
                <w:sz w:val="18"/>
              </w:rPr>
              <w:t>IPO Multiplier</w:t>
            </w:r>
          </w:p>
        </w:tc>
        <w:tc>
          <w:tcPr>
            <w:tcW w:type="dxa" w:w="5040"/>
          </w:tcPr>
          <w:p>
            <w:r>
              <w:rPr>
                <w:rFonts w:ascii="Calibri" w:hAnsi="Calibri"/>
                <w:color w:val="333333"/>
                <w:sz w:val="18"/>
              </w:rPr>
              <w:t>1.00x</w:t>
            </w:r>
          </w:p>
        </w:tc>
      </w:tr>
      <w:tr>
        <w:tc>
          <w:tcPr>
            <w:tcW w:type="dxa" w:w="5040"/>
            <w:shd w:fill="F2F4F8" w:val="clear"/>
          </w:tcPr>
          <w:p>
            <w:r>
              <w:rPr>
                <w:rFonts w:ascii="Calibri" w:hAnsi="Calibri"/>
                <w:color w:val="333333"/>
                <w:sz w:val="18"/>
              </w:rPr>
              <w:t>Cap Filing Multiplier</w:t>
            </w:r>
          </w:p>
        </w:tc>
        <w:tc>
          <w:tcPr>
            <w:tcW w:type="dxa" w:w="5040"/>
            <w:shd w:fill="F2F4F8" w:val="clear"/>
          </w:tcPr>
          <w:p>
            <w:r>
              <w:rPr>
                <w:rFonts w:ascii="Calibri" w:hAnsi="Calibri"/>
                <w:color w:val="333333"/>
                <w:sz w:val="18"/>
              </w:rPr>
              <w:t>1.80x</w:t>
            </w:r>
          </w:p>
        </w:tc>
      </w:tr>
    </w:tbl>
    <w:p>
      <w:pPr>
        <w:pStyle w:val="DOHeading2"/>
      </w:pPr>
      <w:r>
        <w:t>Hazard Profile (Inherent Exposure Score)</w:t>
      </w:r>
    </w:p>
    <w:p>
      <w:pPr>
        <w:pStyle w:val="DOBody"/>
      </w:pPr>
      <w:r>
        <w:rPr>
          <w:b/>
        </w:rPr>
        <w:t>IES: 46/100 (MODERATE) | Multiplier: 0.96x | Data Coverage: 78%</w:t>
      </w:r>
      <w:r>
        <w:rPr>
          <w:b/>
          <w:color w:val="2563EB"/>
          <w:sz w:val="18"/>
        </w:rPr>
        <w:t xml:space="preserve"> [MODERATE]</w:t>
      </w:r>
    </w:p>
    <w:p>
      <w:pPr>
        <w:pStyle w:val="DOHeading3"/>
      </w:pPr>
      <w:r>
        <w:t>Top Risk Dimensions (Elevated+)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Dimension</w:t>
            </w:r>
          </w:p>
        </w:tc>
        <w:tc>
          <w:tcPr>
            <w:tcW w:type="dxa" w:w="2520"/>
            <w:shd w:fill="1A1446" w:val="clear"/>
          </w:tcPr>
          <w:p>
            <w:r>
              <w:rPr>
                <w:rFonts w:ascii="Calibri" w:hAnsi="Calibri"/>
                <w:b/>
                <w:color w:val="FFFFFF"/>
                <w:sz w:val="18"/>
              </w:rPr>
              <w:t>Score</w:t>
            </w:r>
          </w:p>
        </w:tc>
        <w:tc>
          <w:tcPr>
            <w:tcW w:type="dxa" w:w="2520"/>
            <w:shd w:fill="1A1446" w:val="clear"/>
          </w:tcPr>
          <w:p>
            <w:r>
              <w:rPr>
                <w:rFonts w:ascii="Calibri" w:hAnsi="Calibri"/>
                <w:b/>
                <w:color w:val="FFFFFF"/>
                <w:sz w:val="18"/>
              </w:rPr>
              <w:t>Exposure</w:t>
            </w:r>
          </w:p>
        </w:tc>
        <w:tc>
          <w:tcPr>
            <w:tcW w:type="dxa" w:w="2520"/>
            <w:shd w:fill="1A1446" w:val="clear"/>
          </w:tcPr>
          <w:p>
            <w:r>
              <w:rPr>
                <w:rFonts w:ascii="Calibri" w:hAnsi="Calibri"/>
                <w:b/>
                <w:color w:val="FFFFFF"/>
                <w:sz w:val="18"/>
              </w:rPr>
              <w:t>Evidence</w:t>
            </w:r>
          </w:p>
        </w:tc>
      </w:tr>
      <w:tr>
        <w:tc>
          <w:tcPr>
            <w:tcW w:type="dxa" w:w="2520"/>
          </w:tcPr>
          <w:p>
            <w:r>
              <w:rPr>
                <w:rFonts w:ascii="Calibri" w:hAnsi="Calibri"/>
                <w:color w:val="333333"/>
                <w:sz w:val="18"/>
              </w:rPr>
              <w:t>Regulatory Intensity</w:t>
            </w:r>
          </w:p>
        </w:tc>
        <w:tc>
          <w:tcPr>
            <w:tcW w:type="dxa" w:w="2520"/>
          </w:tcPr>
          <w:p>
            <w:r>
              <w:rPr>
                <w:rFonts w:ascii="Calibri" w:hAnsi="Calibri"/>
                <w:color w:val="333333"/>
                <w:sz w:val="18"/>
              </w:rPr>
              <w:t>100</w:t>
            </w:r>
          </w:p>
        </w:tc>
        <w:tc>
          <w:tcPr>
            <w:tcW w:type="dxa" w:w="2520"/>
          </w:tcPr>
          <w:p>
            <w:r>
              <w:rPr>
                <w:rFonts w:ascii="Calibri" w:hAnsi="Calibri"/>
                <w:color w:val="333333"/>
                <w:sz w:val="18"/>
              </w:rPr>
              <w:t>CRITICAL</w:t>
            </w:r>
          </w:p>
        </w:tc>
        <w:tc>
          <w:tcPr>
            <w:tcW w:type="dxa" w:w="2520"/>
          </w:tcPr>
          <w:p>
            <w:r>
              <w:rPr>
                <w:rFonts w:ascii="Calibri" w:hAnsi="Calibri"/>
                <w:color w:val="333333"/>
                <w:sz w:val="18"/>
              </w:rPr>
              <w:t>Sector 'FINS' regulatory intensity: 5.0/5.0</w:t>
            </w:r>
          </w:p>
        </w:tc>
      </w:tr>
      <w:tr>
        <w:tc>
          <w:tcPr>
            <w:tcW w:type="dxa" w:w="2520"/>
            <w:shd w:fill="F2F4F8" w:val="clear"/>
          </w:tcPr>
          <w:p>
            <w:r>
              <w:rPr>
                <w:rFonts w:ascii="Calibri" w:hAnsi="Calibri"/>
                <w:color w:val="333333"/>
                <w:sz w:val="18"/>
              </w:rPr>
              <w:t>Goodwill-Heavy Balance Sheet</w:t>
            </w:r>
          </w:p>
        </w:tc>
        <w:tc>
          <w:tcPr>
            <w:tcW w:type="dxa" w:w="2520"/>
            <w:shd w:fill="F2F4F8" w:val="clear"/>
          </w:tcPr>
          <w:p>
            <w:r>
              <w:rPr>
                <w:rFonts w:ascii="Calibri" w:hAnsi="Calibri"/>
                <w:color w:val="333333"/>
                <w:sz w:val="18"/>
              </w:rPr>
              <w:t>100</w:t>
            </w:r>
          </w:p>
        </w:tc>
        <w:tc>
          <w:tcPr>
            <w:tcW w:type="dxa" w:w="2520"/>
            <w:shd w:fill="F2F4F8" w:val="clear"/>
          </w:tcPr>
          <w:p>
            <w:r>
              <w:rPr>
                <w:rFonts w:ascii="Calibri" w:hAnsi="Calibri"/>
                <w:color w:val="333333"/>
                <w:sz w:val="18"/>
              </w:rPr>
              <w:t>CRITICAL</w:t>
            </w:r>
          </w:p>
        </w:tc>
        <w:tc>
          <w:tcPr>
            <w:tcW w:type="dxa" w:w="2520"/>
            <w:shd w:fill="F2F4F8" w:val="clear"/>
          </w:tcPr>
          <w:p>
            <w:r>
              <w:rPr>
                <w:rFonts w:ascii="Calibri" w:hAnsi="Calibri"/>
                <w:color w:val="333333"/>
                <w:sz w:val="18"/>
              </w:rPr>
              <w:t>Goodwill 35.7% of assets (HIGH -- impairment risk)</w:t>
            </w:r>
          </w:p>
        </w:tc>
      </w:tr>
      <w:tr>
        <w:tc>
          <w:tcPr>
            <w:tcW w:type="dxa" w:w="2520"/>
          </w:tcPr>
          <w:p>
            <w:r>
              <w:rPr>
                <w:rFonts w:ascii="Calibri" w:hAnsi="Calibri"/>
                <w:color w:val="333333"/>
                <w:sz w:val="18"/>
              </w:rPr>
              <w:t>Board Independence</w:t>
            </w:r>
          </w:p>
        </w:tc>
        <w:tc>
          <w:tcPr>
            <w:tcW w:type="dxa" w:w="2520"/>
          </w:tcPr>
          <w:p>
            <w:r>
              <w:rPr>
                <w:rFonts w:ascii="Calibri" w:hAnsi="Calibri"/>
                <w:color w:val="333333"/>
                <w:sz w:val="18"/>
              </w:rPr>
              <w:t>100</w:t>
            </w:r>
          </w:p>
        </w:tc>
        <w:tc>
          <w:tcPr>
            <w:tcW w:type="dxa" w:w="2520"/>
          </w:tcPr>
          <w:p>
            <w:r>
              <w:rPr>
                <w:rFonts w:ascii="Calibri" w:hAnsi="Calibri"/>
                <w:color w:val="333333"/>
                <w:sz w:val="18"/>
              </w:rPr>
              <w:t>CRITICAL</w:t>
            </w:r>
          </w:p>
        </w:tc>
        <w:tc>
          <w:tcPr>
            <w:tcW w:type="dxa" w:w="2520"/>
          </w:tcPr>
          <w:p>
            <w:r>
              <w:rPr>
                <w:rFonts w:ascii="Calibri" w:hAnsi="Calibri"/>
                <w:color w:val="333333"/>
                <w:sz w:val="18"/>
              </w:rPr>
              <w:t>Proxy: independence score 0.0; Estimated from related indicators.</w:t>
            </w:r>
          </w:p>
        </w:tc>
      </w:tr>
      <w:tr>
        <w:tc>
          <w:tcPr>
            <w:tcW w:type="dxa" w:w="2520"/>
            <w:shd w:fill="F2F4F8" w:val="clear"/>
          </w:tcPr>
          <w:p>
            <w:r>
              <w:rPr>
                <w:rFonts w:ascii="Calibri" w:hAnsi="Calibri"/>
                <w:color w:val="333333"/>
                <w:sz w:val="18"/>
              </w:rPr>
              <w:t>Off-Balance Sheet Arrangements</w:t>
            </w:r>
          </w:p>
        </w:tc>
        <w:tc>
          <w:tcPr>
            <w:tcW w:type="dxa" w:w="2520"/>
            <w:shd w:fill="F2F4F8" w:val="clear"/>
          </w:tcPr>
          <w:p>
            <w:r>
              <w:rPr>
                <w:rFonts w:ascii="Calibri" w:hAnsi="Calibri"/>
                <w:color w:val="333333"/>
                <w:sz w:val="18"/>
              </w:rPr>
              <w:t>83</w:t>
            </w:r>
          </w:p>
        </w:tc>
        <w:tc>
          <w:tcPr>
            <w:tcW w:type="dxa" w:w="2520"/>
            <w:shd w:fill="F2F4F8" w:val="clear"/>
          </w:tcPr>
          <w:p>
            <w:r>
              <w:rPr>
                <w:rFonts w:ascii="Calibri" w:hAnsi="Calibri"/>
                <w:color w:val="333333"/>
                <w:sz w:val="18"/>
              </w:rPr>
              <w:t>CRITICAL</w:t>
            </w:r>
          </w:p>
        </w:tc>
        <w:tc>
          <w:tcPr>
            <w:tcW w:type="dxa" w:w="2520"/>
            <w:shd w:fill="F2F4F8" w:val="clear"/>
          </w:tcPr>
          <w:p>
            <w:r>
              <w:rPr>
                <w:rFonts w:ascii="Calibri" w:hAnsi="Calibri"/>
                <w:color w:val="333333"/>
                <w:sz w:val="18"/>
              </w:rPr>
              <w:t>Multiple OBS indicators: LITIGATION: Litigation and Government Investigations, REGULATORY: Corporate Practice of Medicine Laws, FINANCIAL: Economic and Market Conditions; Estimated from related indicators.</w:t>
            </w:r>
          </w:p>
        </w:tc>
      </w:tr>
      <w:tr>
        <w:tc>
          <w:tcPr>
            <w:tcW w:type="dxa" w:w="2520"/>
          </w:tcPr>
          <w:p>
            <w:r>
              <w:rPr>
                <w:rFonts w:ascii="Calibri" w:hAnsi="Calibri"/>
                <w:color w:val="333333"/>
                <w:sz w:val="18"/>
              </w:rPr>
              <w:t>Industry Expertise Match</w:t>
            </w:r>
          </w:p>
        </w:tc>
        <w:tc>
          <w:tcPr>
            <w:tcW w:type="dxa" w:w="2520"/>
          </w:tcPr>
          <w:p>
            <w:r>
              <w:rPr>
                <w:rFonts w:ascii="Calibri" w:hAnsi="Calibri"/>
                <w:color w:val="333333"/>
                <w:sz w:val="18"/>
              </w:rPr>
              <w:t>67</w:t>
            </w:r>
          </w:p>
        </w:tc>
        <w:tc>
          <w:tcPr>
            <w:tcW w:type="dxa" w:w="2520"/>
          </w:tcPr>
          <w:p>
            <w:r>
              <w:rPr>
                <w:rFonts w:ascii="Calibri" w:hAnsi="Calibri"/>
                <w:color w:val="333333"/>
                <w:sz w:val="18"/>
              </w:rPr>
              <w:t>HIGH</w:t>
            </w:r>
          </w:p>
        </w:tc>
        <w:tc>
          <w:tcPr>
            <w:tcW w:type="dxa" w:w="2520"/>
          </w:tcPr>
          <w:p>
            <w:r>
              <w:rPr>
                <w:rFonts w:ascii="Calibri" w:hAnsi="Calibri"/>
                <w:color w:val="333333"/>
                <w:sz w:val="18"/>
              </w:rPr>
              <w:t>No executives with explicit FINS background in bios</w:t>
            </w:r>
          </w:p>
        </w:tc>
      </w:tr>
      <w:tr>
        <w:tc>
          <w:tcPr>
            <w:tcW w:type="dxa" w:w="2520"/>
            <w:shd w:fill="F2F4F8" w:val="clear"/>
          </w:tcPr>
          <w:p>
            <w:r>
              <w:rPr>
                <w:rFonts w:ascii="Calibri" w:hAnsi="Calibri"/>
                <w:color w:val="333333"/>
                <w:sz w:val="18"/>
              </w:rPr>
              <w:t>Industry Regulatory Spotlight</w:t>
            </w:r>
          </w:p>
        </w:tc>
        <w:tc>
          <w:tcPr>
            <w:tcW w:type="dxa" w:w="2520"/>
            <w:shd w:fill="F2F4F8" w:val="clear"/>
          </w:tcPr>
          <w:p>
            <w:r>
              <w:rPr>
                <w:rFonts w:ascii="Calibri" w:hAnsi="Calibri"/>
                <w:color w:val="333333"/>
                <w:sz w:val="18"/>
              </w:rPr>
              <w:t>67</w:t>
            </w:r>
          </w:p>
        </w:tc>
        <w:tc>
          <w:tcPr>
            <w:tcW w:type="dxa" w:w="2520"/>
            <w:shd w:fill="F2F4F8" w:val="clear"/>
          </w:tcPr>
          <w:p>
            <w:r>
              <w:rPr>
                <w:rFonts w:ascii="Calibri" w:hAnsi="Calibri"/>
                <w:color w:val="333333"/>
                <w:sz w:val="18"/>
              </w:rPr>
              <w:t>HIGH</w:t>
            </w:r>
          </w:p>
        </w:tc>
        <w:tc>
          <w:tcPr>
            <w:tcW w:type="dxa" w:w="2520"/>
            <w:shd w:fill="F2F4F8" w:val="clear"/>
          </w:tcPr>
          <w:p>
            <w:r>
              <w:rPr>
                <w:rFonts w:ascii="Calibri" w:hAnsi="Calibri"/>
                <w:color w:val="333333"/>
                <w:sz w:val="18"/>
              </w:rPr>
              <w:t>Sector 'FINS' regulatory spotlight level: 2.0/3.0</w:t>
            </w:r>
          </w:p>
        </w:tc>
      </w:tr>
      <w:tr>
        <w:tc>
          <w:tcPr>
            <w:tcW w:type="dxa" w:w="2520"/>
          </w:tcPr>
          <w:p>
            <w:r>
              <w:rPr>
                <w:rFonts w:ascii="Calibri" w:hAnsi="Calibri"/>
                <w:color w:val="333333"/>
                <w:sz w:val="18"/>
              </w:rPr>
              <w:t>M&amp;A Activity</w:t>
            </w:r>
          </w:p>
        </w:tc>
        <w:tc>
          <w:tcPr>
            <w:tcW w:type="dxa" w:w="2520"/>
          </w:tcPr>
          <w:p>
            <w:r>
              <w:rPr>
                <w:rFonts w:ascii="Calibri" w:hAnsi="Calibri"/>
                <w:color w:val="333333"/>
                <w:sz w:val="18"/>
              </w:rPr>
              <w:t>60</w:t>
            </w:r>
          </w:p>
        </w:tc>
        <w:tc>
          <w:tcPr>
            <w:tcW w:type="dxa" w:w="2520"/>
          </w:tcPr>
          <w:p>
            <w:r>
              <w:rPr>
                <w:rFonts w:ascii="Calibri" w:hAnsi="Calibri"/>
                <w:color w:val="333333"/>
                <w:sz w:val="18"/>
              </w:rPr>
              <w:t>ELEVATED</w:t>
            </w:r>
          </w:p>
        </w:tc>
        <w:tc>
          <w:tcPr>
            <w:tcW w:type="dxa" w:w="2520"/>
          </w:tcPr>
          <w:p>
            <w:r>
              <w:rPr>
                <w:rFonts w:ascii="Calibri" w:hAnsi="Calibri"/>
                <w:color w:val="333333"/>
                <w:sz w:val="18"/>
              </w:rPr>
              <w:t>1 acquisition(s) noted; Goodwill 35.7% of assets (HIGH)</w:t>
            </w:r>
          </w:p>
        </w:tc>
      </w:tr>
      <w:tr>
        <w:tc>
          <w:tcPr>
            <w:tcW w:type="dxa" w:w="2520"/>
            <w:shd w:fill="F2F4F8" w:val="clear"/>
          </w:tcPr>
          <w:p>
            <w:r>
              <w:rPr>
                <w:rFonts w:ascii="Calibri" w:hAnsi="Calibri"/>
                <w:color w:val="333333"/>
                <w:sz w:val="18"/>
              </w:rPr>
              <w:t>Industry Sector Risk Tier</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Sector 'FINS' maps to risk score 5.0/10.0</w:t>
            </w:r>
          </w:p>
        </w:tc>
      </w:tr>
      <w:tr>
        <w:tc>
          <w:tcPr>
            <w:tcW w:type="dxa" w:w="2520"/>
          </w:tcPr>
          <w:p>
            <w:r>
              <w:rPr>
                <w:rFonts w:ascii="Calibri" w:hAnsi="Calibri"/>
                <w:color w:val="333333"/>
                <w:sz w:val="18"/>
              </w:rPr>
              <w:t>Customer &amp; Supplier Concentration</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Technology Platform Dependency</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IP Dependency</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Scale Experience Mismatch</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Key Person Dependency</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Management Turnover</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Related Party Transactions</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Capital Markets Activity</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Audit Committee Quality</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Committee quality score 0.0/10 (weak); Estimated from related indicators.</w:t>
            </w:r>
          </w:p>
        </w:tc>
      </w:tr>
      <w:tr>
        <w:tc>
          <w:tcPr>
            <w:tcW w:type="dxa" w:w="2520"/>
            <w:shd w:fill="F2F4F8" w:val="clear"/>
          </w:tcPr>
          <w:p>
            <w:r>
              <w:rPr>
                <w:rFonts w:ascii="Calibri" w:hAnsi="Calibri"/>
                <w:color w:val="333333"/>
                <w:sz w:val="18"/>
              </w:rPr>
              <w:t>Shareholder Rights</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r>
        <w:tc>
          <w:tcPr>
            <w:tcW w:type="dxa" w:w="2520"/>
          </w:tcPr>
          <w:p>
            <w:r>
              <w:rPr>
                <w:rFonts w:ascii="Calibri" w:hAnsi="Calibri"/>
                <w:color w:val="333333"/>
                <w:sz w:val="18"/>
              </w:rPr>
              <w:t>Method of Going Public</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Market Cycle Position</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Market cycle scored at config default (moderate -- apply system-wide); Estimated from related indicators.</w:t>
            </w:r>
          </w:p>
        </w:tc>
      </w:tr>
      <w:tr>
        <w:tc>
          <w:tcPr>
            <w:tcW w:type="dxa" w:w="2520"/>
          </w:tcPr>
          <w:p>
            <w:r>
              <w:rPr>
                <w:rFonts w:ascii="Calibri" w:hAnsi="Calibri"/>
                <w:color w:val="333333"/>
                <w:sz w:val="18"/>
              </w:rPr>
              <w:t>Industry Litigation Wave</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Sector 'FINS' litigation wave level: 1.5/3.0</w:t>
            </w:r>
          </w:p>
        </w:tc>
      </w:tr>
      <w:tr>
        <w:tc>
          <w:tcPr>
            <w:tcW w:type="dxa" w:w="2520"/>
            <w:shd w:fill="F2F4F8" w:val="clear"/>
          </w:tcPr>
          <w:p>
            <w:r>
              <w:rPr>
                <w:rFonts w:ascii="Calibri" w:hAnsi="Calibri"/>
                <w:color w:val="333333"/>
                <w:sz w:val="18"/>
              </w:rPr>
              <w:t>Political &amp; Policy Environment</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Political/policy environment at config default (moderate); Estimated from related indicators.</w:t>
            </w:r>
          </w:p>
        </w:tc>
      </w:tr>
      <w:tr>
        <w:tc>
          <w:tcPr>
            <w:tcW w:type="dxa" w:w="2520"/>
          </w:tcPr>
          <w:p>
            <w:r>
              <w:rPr>
                <w:rFonts w:ascii="Calibri" w:hAnsi="Calibri"/>
                <w:color w:val="333333"/>
                <w:sz w:val="18"/>
              </w:rPr>
              <w:t>Interest Rate Environment</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Interest rate environment at config default; Estimated from related indicators.</w:t>
            </w:r>
          </w:p>
        </w:tc>
      </w:tr>
      <w:tr>
        <w:tc>
          <w:tcPr>
            <w:tcW w:type="dxa" w:w="2520"/>
            <w:shd w:fill="F2F4F8" w:val="clear"/>
          </w:tcPr>
          <w:p>
            <w:r>
              <w:rPr>
                <w:rFonts w:ascii="Calibri" w:hAnsi="Calibri"/>
                <w:color w:val="333333"/>
                <w:sz w:val="18"/>
              </w:rPr>
              <w:t>Plaintiff Attorney Activity</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Plaintiff attorney activity at moderate baseline (no specific data); Estimated from related indicators.</w:t>
            </w:r>
          </w:p>
        </w:tc>
      </w:tr>
      <w:tr>
        <w:tc>
          <w:tcPr>
            <w:tcW w:type="dxa" w:w="2520"/>
          </w:tcPr>
          <w:p>
            <w:r>
              <w:rPr>
                <w:rFonts w:ascii="Calibri" w:hAnsi="Calibri"/>
                <w:color w:val="333333"/>
                <w:sz w:val="18"/>
              </w:rPr>
              <w:t>Geopolitical Risk</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4 geographic regions (moderate international exposure)</w:t>
            </w:r>
          </w:p>
        </w:tc>
      </w:tr>
      <w:tr>
        <w:tc>
          <w:tcPr>
            <w:tcW w:type="dxa" w:w="2520"/>
            <w:shd w:fill="F2F4F8" w:val="clear"/>
          </w:tcPr>
          <w:p>
            <w:r>
              <w:rPr>
                <w:rFonts w:ascii="Calibri" w:hAnsi="Calibri"/>
                <w:color w:val="333333"/>
                <w:sz w:val="18"/>
              </w:rPr>
              <w:t>Cybersecurity Governance</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Moderate cybersecurity disclosure (2 mentions); Estimated from related indicators.</w:t>
            </w:r>
          </w:p>
        </w:tc>
      </w:tr>
      <w:tr>
        <w:tc>
          <w:tcPr>
            <w:tcW w:type="dxa" w:w="2520"/>
          </w:tcPr>
          <w:p>
            <w:r>
              <w:rPr>
                <w:rFonts w:ascii="Calibri" w:hAnsi="Calibri"/>
                <w:color w:val="333333"/>
                <w:sz w:val="18"/>
              </w:rPr>
              <w:t>Crypto / Digital Asset Exposure</w:t>
            </w:r>
          </w:p>
        </w:tc>
        <w:tc>
          <w:tcPr>
            <w:tcW w:type="dxa" w:w="2520"/>
          </w:tcPr>
          <w:p>
            <w:r>
              <w:rPr>
                <w:rFonts w:ascii="Calibri" w:hAnsi="Calibri"/>
                <w:color w:val="333333"/>
                <w:sz w:val="18"/>
              </w:rPr>
              <w:t>50</w:t>
            </w:r>
          </w:p>
        </w:tc>
        <w:tc>
          <w:tcPr>
            <w:tcW w:type="dxa" w:w="2520"/>
          </w:tcPr>
          <w:p>
            <w:r>
              <w:rPr>
                <w:rFonts w:ascii="Calibri" w:hAnsi="Calibri"/>
                <w:color w:val="333333"/>
                <w:sz w:val="18"/>
              </w:rPr>
              <w:t>ELEVATED</w:t>
            </w:r>
          </w:p>
        </w:tc>
        <w:tc>
          <w:tcPr>
            <w:tcW w:type="dxa" w:w="2520"/>
          </w:tcPr>
          <w:p>
            <w:r>
              <w:rPr>
                <w:rFonts w:ascii="Calibri" w:hAnsi="Calibri"/>
                <w:color w:val="333333"/>
                <w:sz w:val="18"/>
              </w:rPr>
              <w:t>No data available — scored at baseline (MODERATE)</w:t>
            </w:r>
          </w:p>
        </w:tc>
      </w:tr>
      <w:tr>
        <w:tc>
          <w:tcPr>
            <w:tcW w:type="dxa" w:w="2520"/>
            <w:shd w:fill="F2F4F8" w:val="clear"/>
          </w:tcPr>
          <w:p>
            <w:r>
              <w:rPr>
                <w:rFonts w:ascii="Calibri" w:hAnsi="Calibri"/>
                <w:color w:val="333333"/>
                <w:sz w:val="18"/>
              </w:rPr>
              <w:t>Social Media / Public Persona Risk</w:t>
            </w:r>
          </w:p>
        </w:tc>
        <w:tc>
          <w:tcPr>
            <w:tcW w:type="dxa" w:w="2520"/>
            <w:shd w:fill="F2F4F8" w:val="clear"/>
          </w:tcPr>
          <w:p>
            <w:r>
              <w:rPr>
                <w:rFonts w:ascii="Calibri" w:hAnsi="Calibri"/>
                <w:color w:val="333333"/>
                <w:sz w:val="18"/>
              </w:rPr>
              <w:t>50</w:t>
            </w:r>
          </w:p>
        </w:tc>
        <w:tc>
          <w:tcPr>
            <w:tcW w:type="dxa" w:w="2520"/>
            <w:shd w:fill="F2F4F8" w:val="clear"/>
          </w:tcPr>
          <w:p>
            <w:r>
              <w:rPr>
                <w:rFonts w:ascii="Calibri" w:hAnsi="Calibri"/>
                <w:color w:val="333333"/>
                <w:sz w:val="18"/>
              </w:rPr>
              <w:t>ELEVATED</w:t>
            </w:r>
          </w:p>
        </w:tc>
        <w:tc>
          <w:tcPr>
            <w:tcW w:type="dxa" w:w="2520"/>
            <w:shd w:fill="F2F4F8" w:val="clear"/>
          </w:tcPr>
          <w:p>
            <w:r>
              <w:rPr>
                <w:rFonts w:ascii="Calibri" w:hAnsi="Calibri"/>
                <w:color w:val="333333"/>
                <w:sz w:val="18"/>
              </w:rPr>
              <w:t>No data available — scored at baseline (MODERATE)</w:t>
            </w:r>
          </w:p>
        </w:tc>
      </w:tr>
    </w:tbl>
    <w:p>
      <w:pPr>
        <w:pStyle w:val="DOHeading3"/>
      </w:pPr>
      <w:r>
        <w:t>Interaction Effects</w:t>
      </w:r>
    </w:p>
    <w:p>
      <w:pPr>
        <w:pStyle w:val="DOBody"/>
      </w:pPr>
      <w:r>
        <w:rPr>
          <w:b/>
        </w:rPr>
        <w:t>Acquisition Machine (1.27x): Serial acquirer with goodwill-heavy balance sheet and integration risk</w:t>
      </w:r>
    </w:p>
    <w:p>
      <w:pPr>
        <w:pStyle w:val="DOBody"/>
      </w:pPr>
      <w:r>
        <w:rPr>
          <w:b/>
        </w:rPr>
        <w:t>Elevated Co-occurrence (1.09x): 7 dimensions scoring above 60% threshold</w:t>
      </w:r>
    </w:p>
    <w:p>
      <w:pPr>
        <w:pStyle w:val="DOHeading3"/>
      </w:pPr>
      <w:r>
        <w:t>All Hazard Dimensions (55 dimensions)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Dimension</w:t>
            </w:r>
          </w:p>
        </w:tc>
        <w:tc>
          <w:tcPr>
            <w:tcW w:type="dxa" w:w="2016"/>
            <w:shd w:fill="1A1446" w:val="clear"/>
          </w:tcPr>
          <w:p>
            <w:r>
              <w:rPr>
                <w:rFonts w:ascii="Calibri" w:hAnsi="Calibri"/>
                <w:b/>
                <w:color w:val="FFFFFF"/>
                <w:sz w:val="18"/>
              </w:rPr>
              <w:t>Score</w:t>
            </w:r>
          </w:p>
        </w:tc>
        <w:tc>
          <w:tcPr>
            <w:tcW w:type="dxa" w:w="2016"/>
            <w:shd w:fill="1A1446" w:val="clear"/>
          </w:tcPr>
          <w:p>
            <w:r>
              <w:rPr>
                <w:rFonts w:ascii="Calibri" w:hAnsi="Calibri"/>
                <w:b/>
                <w:color w:val="FFFFFF"/>
                <w:sz w:val="18"/>
              </w:rPr>
              <w:t>Exposure</w:t>
            </w:r>
          </w:p>
        </w:tc>
        <w:tc>
          <w:tcPr>
            <w:tcW w:type="dxa" w:w="2016"/>
            <w:shd w:fill="1A1446" w:val="clear"/>
          </w:tcPr>
          <w:p>
            <w:r>
              <w:rPr>
                <w:rFonts w:ascii="Calibri" w:hAnsi="Calibri"/>
                <w:b/>
                <w:color w:val="FFFFFF"/>
                <w:sz w:val="18"/>
              </w:rPr>
              <w:t>Category</w:t>
            </w:r>
          </w:p>
        </w:tc>
        <w:tc>
          <w:tcPr>
            <w:tcW w:type="dxa" w:w="2016"/>
            <w:shd w:fill="1A1446" w:val="clear"/>
          </w:tcPr>
          <w:p>
            <w:r>
              <w:rPr>
                <w:rFonts w:ascii="Calibri" w:hAnsi="Calibri"/>
                <w:b/>
                <w:color w:val="FFFFFF"/>
                <w:sz w:val="18"/>
              </w:rPr>
              <w:t>Evidence</w:t>
            </w:r>
          </w:p>
        </w:tc>
      </w:tr>
      <w:tr>
        <w:tc>
          <w:tcPr>
            <w:tcW w:type="dxa" w:w="2016"/>
          </w:tcPr>
          <w:p>
            <w:r>
              <w:rPr>
                <w:rFonts w:ascii="Calibri" w:hAnsi="Calibri"/>
                <w:color w:val="333333"/>
                <w:sz w:val="18"/>
              </w:rPr>
              <w:t>Regulatory Intensity</w:t>
            </w:r>
          </w:p>
        </w:tc>
        <w:tc>
          <w:tcPr>
            <w:tcW w:type="dxa" w:w="2016"/>
          </w:tcPr>
          <w:p>
            <w:r>
              <w:rPr>
                <w:rFonts w:ascii="Calibri" w:hAnsi="Calibri"/>
                <w:color w:val="333333"/>
                <w:sz w:val="18"/>
              </w:rPr>
              <w:t>100</w:t>
            </w:r>
          </w:p>
        </w:tc>
        <w:tc>
          <w:tcPr>
            <w:tcW w:type="dxa" w:w="2016"/>
          </w:tcPr>
          <w:p>
            <w:r>
              <w:rPr>
                <w:rFonts w:ascii="Calibri" w:hAnsi="Calibri"/>
                <w:color w:val="333333"/>
                <w:sz w:val="18"/>
              </w:rPr>
              <w:t>CRITICAL</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Sector 'FINS' regulatory intensity: 5.0/5.0</w:t>
            </w:r>
          </w:p>
        </w:tc>
      </w:tr>
      <w:tr>
        <w:tc>
          <w:tcPr>
            <w:tcW w:type="dxa" w:w="2016"/>
            <w:shd w:fill="F2F4F8" w:val="clear"/>
          </w:tcPr>
          <w:p>
            <w:r>
              <w:rPr>
                <w:rFonts w:ascii="Calibri" w:hAnsi="Calibri"/>
                <w:color w:val="333333"/>
                <w:sz w:val="18"/>
              </w:rPr>
              <w:t>Goodwill-Heavy Balance Sheet</w:t>
            </w:r>
          </w:p>
        </w:tc>
        <w:tc>
          <w:tcPr>
            <w:tcW w:type="dxa" w:w="2016"/>
            <w:shd w:fill="F2F4F8" w:val="clear"/>
          </w:tcPr>
          <w:p>
            <w:r>
              <w:rPr>
                <w:rFonts w:ascii="Calibri" w:hAnsi="Calibri"/>
                <w:color w:val="333333"/>
                <w:sz w:val="18"/>
              </w:rPr>
              <w:t>100</w:t>
            </w:r>
          </w:p>
        </w:tc>
        <w:tc>
          <w:tcPr>
            <w:tcW w:type="dxa" w:w="2016"/>
            <w:shd w:fill="F2F4F8" w:val="clear"/>
          </w:tcPr>
          <w:p>
            <w:r>
              <w:rPr>
                <w:rFonts w:ascii="Calibri" w:hAnsi="Calibri"/>
                <w:color w:val="333333"/>
                <w:sz w:val="18"/>
              </w:rPr>
              <w:t>CRITICAL</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Goodwill 35.7% of assets (HIGH -- impairment risk)</w:t>
            </w:r>
          </w:p>
        </w:tc>
      </w:tr>
      <w:tr>
        <w:tc>
          <w:tcPr>
            <w:tcW w:type="dxa" w:w="2016"/>
          </w:tcPr>
          <w:p>
            <w:r>
              <w:rPr>
                <w:rFonts w:ascii="Calibri" w:hAnsi="Calibri"/>
                <w:color w:val="333333"/>
                <w:sz w:val="18"/>
              </w:rPr>
              <w:t>Board Independence</w:t>
            </w:r>
          </w:p>
        </w:tc>
        <w:tc>
          <w:tcPr>
            <w:tcW w:type="dxa" w:w="2016"/>
          </w:tcPr>
          <w:p>
            <w:r>
              <w:rPr>
                <w:rFonts w:ascii="Calibri" w:hAnsi="Calibri"/>
                <w:color w:val="333333"/>
                <w:sz w:val="18"/>
              </w:rPr>
              <w:t>100</w:t>
            </w:r>
          </w:p>
        </w:tc>
        <w:tc>
          <w:tcPr>
            <w:tcW w:type="dxa" w:w="2016"/>
          </w:tcPr>
          <w:p>
            <w:r>
              <w:rPr>
                <w:rFonts w:ascii="Calibri" w:hAnsi="Calibri"/>
                <w:color w:val="333333"/>
                <w:sz w:val="18"/>
              </w:rPr>
              <w:t>CRITICAL</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Proxy: independence score 0.0</w:t>
            </w:r>
          </w:p>
        </w:tc>
      </w:tr>
      <w:tr>
        <w:tc>
          <w:tcPr>
            <w:tcW w:type="dxa" w:w="2016"/>
            <w:shd w:fill="F2F4F8" w:val="clear"/>
          </w:tcPr>
          <w:p>
            <w:r>
              <w:rPr>
                <w:rFonts w:ascii="Calibri" w:hAnsi="Calibri"/>
                <w:color w:val="333333"/>
                <w:sz w:val="18"/>
              </w:rPr>
              <w:t>Off-Balance Sheet Arrangements</w:t>
            </w:r>
          </w:p>
        </w:tc>
        <w:tc>
          <w:tcPr>
            <w:tcW w:type="dxa" w:w="2016"/>
            <w:shd w:fill="F2F4F8" w:val="clear"/>
          </w:tcPr>
          <w:p>
            <w:r>
              <w:rPr>
                <w:rFonts w:ascii="Calibri" w:hAnsi="Calibri"/>
                <w:color w:val="333333"/>
                <w:sz w:val="18"/>
              </w:rPr>
              <w:t>83</w:t>
            </w:r>
          </w:p>
        </w:tc>
        <w:tc>
          <w:tcPr>
            <w:tcW w:type="dxa" w:w="2016"/>
            <w:shd w:fill="F2F4F8" w:val="clear"/>
          </w:tcPr>
          <w:p>
            <w:r>
              <w:rPr>
                <w:rFonts w:ascii="Calibri" w:hAnsi="Calibri"/>
                <w:color w:val="333333"/>
                <w:sz w:val="18"/>
              </w:rPr>
              <w:t>CRITICAL</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Multiple OBS indicators: LITIGATION: Litigation and Government Investigations, REGULATORY: Corporate Practice of Medicine Laws, FINANCIAL: Economic and Market Conditions</w:t>
            </w:r>
          </w:p>
        </w:tc>
      </w:tr>
      <w:tr>
        <w:tc>
          <w:tcPr>
            <w:tcW w:type="dxa" w:w="2016"/>
          </w:tcPr>
          <w:p>
            <w:r>
              <w:rPr>
                <w:rFonts w:ascii="Calibri" w:hAnsi="Calibri"/>
                <w:color w:val="333333"/>
                <w:sz w:val="18"/>
              </w:rPr>
              <w:t>Industry Expertise Match</w:t>
            </w:r>
          </w:p>
        </w:tc>
        <w:tc>
          <w:tcPr>
            <w:tcW w:type="dxa" w:w="2016"/>
          </w:tcPr>
          <w:p>
            <w:r>
              <w:rPr>
                <w:rFonts w:ascii="Calibri" w:hAnsi="Calibri"/>
                <w:color w:val="333333"/>
                <w:sz w:val="18"/>
              </w:rPr>
              <w:t>67</w:t>
            </w:r>
          </w:p>
        </w:tc>
        <w:tc>
          <w:tcPr>
            <w:tcW w:type="dxa" w:w="2016"/>
          </w:tcPr>
          <w:p>
            <w:r>
              <w:rPr>
                <w:rFonts w:ascii="Calibri" w:hAnsi="Calibri"/>
                <w:color w:val="333333"/>
                <w:sz w:val="18"/>
              </w:rPr>
              <w:t>HIGH</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t>No executives with explicit FINS background in bios</w:t>
            </w:r>
          </w:p>
        </w:tc>
      </w:tr>
      <w:tr>
        <w:tc>
          <w:tcPr>
            <w:tcW w:type="dxa" w:w="2016"/>
            <w:shd w:fill="F2F4F8" w:val="clear"/>
          </w:tcPr>
          <w:p>
            <w:r>
              <w:rPr>
                <w:rFonts w:ascii="Calibri" w:hAnsi="Calibri"/>
                <w:color w:val="333333"/>
                <w:sz w:val="18"/>
              </w:rPr>
              <w:t>Industry Regulatory Spotlight</w:t>
            </w:r>
          </w:p>
        </w:tc>
        <w:tc>
          <w:tcPr>
            <w:tcW w:type="dxa" w:w="2016"/>
            <w:shd w:fill="F2F4F8" w:val="clear"/>
          </w:tcPr>
          <w:p>
            <w:r>
              <w:rPr>
                <w:rFonts w:ascii="Calibri" w:hAnsi="Calibri"/>
                <w:color w:val="333333"/>
                <w:sz w:val="18"/>
              </w:rPr>
              <w:t>67</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Sector 'FINS' regulatory spotlight level: 2.0/3.0</w:t>
            </w:r>
          </w:p>
        </w:tc>
      </w:tr>
      <w:tr>
        <w:tc>
          <w:tcPr>
            <w:tcW w:type="dxa" w:w="2016"/>
          </w:tcPr>
          <w:p>
            <w:r>
              <w:rPr>
                <w:rFonts w:ascii="Calibri" w:hAnsi="Calibri"/>
                <w:color w:val="333333"/>
                <w:sz w:val="18"/>
              </w:rPr>
              <w:t>M&amp;A Activity</w:t>
            </w:r>
          </w:p>
        </w:tc>
        <w:tc>
          <w:tcPr>
            <w:tcW w:type="dxa" w:w="2016"/>
          </w:tcPr>
          <w:p>
            <w:r>
              <w:rPr>
                <w:rFonts w:ascii="Calibri" w:hAnsi="Calibri"/>
                <w:color w:val="333333"/>
                <w:sz w:val="18"/>
              </w:rPr>
              <w:t>60</w:t>
            </w:r>
          </w:p>
        </w:tc>
        <w:tc>
          <w:tcPr>
            <w:tcW w:type="dxa" w:w="2016"/>
          </w:tcPr>
          <w:p>
            <w:r>
              <w:rPr>
                <w:rFonts w:ascii="Calibri" w:hAnsi="Calibri"/>
                <w:color w:val="333333"/>
                <w:sz w:val="18"/>
              </w:rPr>
              <w:t>ELEVATED</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1 acquisition(s) noted</w:t>
            </w:r>
          </w:p>
        </w:tc>
      </w:tr>
      <w:tr>
        <w:tc>
          <w:tcPr>
            <w:tcW w:type="dxa" w:w="2016"/>
            <w:shd w:fill="F2F4F8" w:val="clear"/>
          </w:tcPr>
          <w:p>
            <w:r>
              <w:rPr>
                <w:rFonts w:ascii="Calibri" w:hAnsi="Calibri"/>
                <w:color w:val="333333"/>
                <w:sz w:val="18"/>
              </w:rPr>
              <w:t>Industry Sector Risk Tier</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Sector 'FINS' maps to risk score 5.0/10.0</w:t>
            </w:r>
          </w:p>
        </w:tc>
      </w:tr>
      <w:tr>
        <w:tc>
          <w:tcPr>
            <w:tcW w:type="dxa" w:w="2016"/>
          </w:tcPr>
          <w:p>
            <w:r>
              <w:rPr>
                <w:rFonts w:ascii="Calibri" w:hAnsi="Calibri"/>
                <w:color w:val="333333"/>
                <w:sz w:val="18"/>
              </w:rPr>
              <w:t>Customer &amp; Supplier Concentration</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Technology Platform Dependency</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IP Dependency</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Scale Experience Mismatch</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Key Person Dependency</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Management Turnover</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Related Party Transactions</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Capital Markets Activity</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Audit Committee Quality</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Committee quality score 0.0/10 (weak)</w:t>
            </w:r>
          </w:p>
        </w:tc>
      </w:tr>
      <w:tr>
        <w:tc>
          <w:tcPr>
            <w:tcW w:type="dxa" w:w="2016"/>
            <w:shd w:fill="F2F4F8" w:val="clear"/>
          </w:tcPr>
          <w:p>
            <w:r>
              <w:rPr>
                <w:rFonts w:ascii="Calibri" w:hAnsi="Calibri"/>
                <w:color w:val="333333"/>
                <w:sz w:val="18"/>
              </w:rPr>
              <w:t>Shareholder Rights</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Method of Going Public</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Public Company Maturity</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Market Cycle Position</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Market cycle scored at config default (moderate -- apply system-wide)</w:t>
            </w:r>
          </w:p>
        </w:tc>
      </w:tr>
      <w:tr>
        <w:tc>
          <w:tcPr>
            <w:tcW w:type="dxa" w:w="2016"/>
          </w:tcPr>
          <w:p>
            <w:r>
              <w:rPr>
                <w:rFonts w:ascii="Calibri" w:hAnsi="Calibri"/>
                <w:color w:val="333333"/>
                <w:sz w:val="18"/>
              </w:rPr>
              <w:t>Industry Litigation Wave</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Sector 'FINS' litigation wave level: 1.5/3.0</w:t>
            </w:r>
          </w:p>
        </w:tc>
      </w:tr>
      <w:tr>
        <w:tc>
          <w:tcPr>
            <w:tcW w:type="dxa" w:w="2016"/>
            <w:shd w:fill="F2F4F8" w:val="clear"/>
          </w:tcPr>
          <w:p>
            <w:r>
              <w:rPr>
                <w:rFonts w:ascii="Calibri" w:hAnsi="Calibri"/>
                <w:color w:val="333333"/>
                <w:sz w:val="18"/>
              </w:rPr>
              <w:t>Political &amp; Policy Environment</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Political/policy environment at config default (moderate)</w:t>
            </w:r>
          </w:p>
        </w:tc>
      </w:tr>
      <w:tr>
        <w:tc>
          <w:tcPr>
            <w:tcW w:type="dxa" w:w="2016"/>
          </w:tcPr>
          <w:p>
            <w:r>
              <w:rPr>
                <w:rFonts w:ascii="Calibri" w:hAnsi="Calibri"/>
                <w:color w:val="333333"/>
                <w:sz w:val="18"/>
              </w:rPr>
              <w:t>Interest Rate Environment</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Interest rate environment at config default</w:t>
            </w:r>
          </w:p>
        </w:tc>
      </w:tr>
      <w:tr>
        <w:tc>
          <w:tcPr>
            <w:tcW w:type="dxa" w:w="2016"/>
            <w:shd w:fill="F2F4F8" w:val="clear"/>
          </w:tcPr>
          <w:p>
            <w:r>
              <w:rPr>
                <w:rFonts w:ascii="Calibri" w:hAnsi="Calibri"/>
                <w:color w:val="333333"/>
                <w:sz w:val="18"/>
              </w:rPr>
              <w:t>Plaintiff Attorney Activity</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External Environment</w:t>
            </w:r>
          </w:p>
        </w:tc>
        <w:tc>
          <w:tcPr>
            <w:tcW w:type="dxa" w:w="2016"/>
            <w:shd w:fill="F2F4F8" w:val="clear"/>
          </w:tcPr>
          <w:p>
            <w:r>
              <w:rPr>
                <w:rFonts w:ascii="Calibri" w:hAnsi="Calibri"/>
                <w:color w:val="333333"/>
                <w:sz w:val="18"/>
              </w:rPr>
              <w:t>Plaintiff attorney activity at moderate baseline (no specific data)</w:t>
            </w:r>
          </w:p>
        </w:tc>
      </w:tr>
      <w:tr>
        <w:tc>
          <w:tcPr>
            <w:tcW w:type="dxa" w:w="2016"/>
          </w:tcPr>
          <w:p>
            <w:r>
              <w:rPr>
                <w:rFonts w:ascii="Calibri" w:hAnsi="Calibri"/>
                <w:color w:val="333333"/>
                <w:sz w:val="18"/>
              </w:rPr>
              <w:t>Geopolitical Risk</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External Environment</w:t>
            </w:r>
          </w:p>
        </w:tc>
        <w:tc>
          <w:tcPr>
            <w:tcW w:type="dxa" w:w="2016"/>
          </w:tcPr>
          <w:p>
            <w:r>
              <w:rPr>
                <w:rFonts w:ascii="Calibri" w:hAnsi="Calibri"/>
                <w:color w:val="333333"/>
                <w:sz w:val="18"/>
              </w:rPr>
              <w:t>4 geographic regions (moderate international exposure)</w:t>
            </w:r>
          </w:p>
        </w:tc>
      </w:tr>
      <w:tr>
        <w:tc>
          <w:tcPr>
            <w:tcW w:type="dxa" w:w="2016"/>
            <w:shd w:fill="F2F4F8" w:val="clear"/>
          </w:tcPr>
          <w:p>
            <w:r>
              <w:rPr>
                <w:rFonts w:ascii="Calibri" w:hAnsi="Calibri"/>
                <w:color w:val="333333"/>
                <w:sz w:val="18"/>
              </w:rPr>
              <w:t>Cybersecurity Governance</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Emerging / Modern Hazards</w:t>
            </w:r>
          </w:p>
        </w:tc>
        <w:tc>
          <w:tcPr>
            <w:tcW w:type="dxa" w:w="2016"/>
            <w:shd w:fill="F2F4F8" w:val="clear"/>
          </w:tcPr>
          <w:p>
            <w:r>
              <w:rPr>
                <w:rFonts w:ascii="Calibri" w:hAnsi="Calibri"/>
                <w:color w:val="333333"/>
                <w:sz w:val="18"/>
              </w:rPr>
              <w:t>Moderate cybersecurity disclosure (2 mentions)</w:t>
            </w:r>
          </w:p>
        </w:tc>
      </w:tr>
      <w:tr>
        <w:tc>
          <w:tcPr>
            <w:tcW w:type="dxa" w:w="2016"/>
          </w:tcPr>
          <w:p>
            <w:r>
              <w:rPr>
                <w:rFonts w:ascii="Calibri" w:hAnsi="Calibri"/>
                <w:color w:val="333333"/>
                <w:sz w:val="18"/>
              </w:rPr>
              <w:t>Crypto / Digital Asset Exposure</w:t>
            </w:r>
          </w:p>
        </w:tc>
        <w:tc>
          <w:tcPr>
            <w:tcW w:type="dxa" w:w="2016"/>
          </w:tcPr>
          <w:p>
            <w:r>
              <w:rPr>
                <w:rFonts w:ascii="Calibri" w:hAnsi="Calibri"/>
                <w:color w:val="333333"/>
                <w:sz w:val="18"/>
              </w:rPr>
              <w:t>50</w:t>
            </w:r>
          </w:p>
        </w:tc>
        <w:tc>
          <w:tcPr>
            <w:tcW w:type="dxa" w:w="2016"/>
          </w:tcPr>
          <w:p>
            <w:r>
              <w:rPr>
                <w:rFonts w:ascii="Calibri" w:hAnsi="Calibri"/>
                <w:color w:val="333333"/>
                <w:sz w:val="18"/>
              </w:rPr>
              <w:t>ELEVATED</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No data available — scored at baseline (MODERATE)</w:t>
            </w:r>
          </w:p>
        </w:tc>
      </w:tr>
      <w:tr>
        <w:tc>
          <w:tcPr>
            <w:tcW w:type="dxa" w:w="2016"/>
            <w:shd w:fill="F2F4F8" w:val="clear"/>
          </w:tcPr>
          <w:p>
            <w:r>
              <w:rPr>
                <w:rFonts w:ascii="Calibri" w:hAnsi="Calibri"/>
                <w:color w:val="333333"/>
                <w:sz w:val="18"/>
              </w:rPr>
              <w:t>Social Media / Public Persona Risk</w:t>
            </w:r>
          </w:p>
        </w:tc>
        <w:tc>
          <w:tcPr>
            <w:tcW w:type="dxa" w:w="2016"/>
            <w:shd w:fill="F2F4F8" w:val="clear"/>
          </w:tcPr>
          <w:p>
            <w:r>
              <w:rPr>
                <w:rFonts w:ascii="Calibri" w:hAnsi="Calibri"/>
                <w:color w:val="333333"/>
                <w:sz w:val="18"/>
              </w:rPr>
              <w:t>50</w:t>
            </w:r>
          </w:p>
        </w:tc>
        <w:tc>
          <w:tcPr>
            <w:tcW w:type="dxa" w:w="2016"/>
            <w:shd w:fill="F2F4F8" w:val="clear"/>
          </w:tcPr>
          <w:p>
            <w:r>
              <w:rPr>
                <w:rFonts w:ascii="Calibri" w:hAnsi="Calibri"/>
                <w:color w:val="333333"/>
                <w:sz w:val="18"/>
              </w:rPr>
              <w:t>ELEVATED</w:t>
            </w:r>
          </w:p>
        </w:tc>
        <w:tc>
          <w:tcPr>
            <w:tcW w:type="dxa" w:w="2016"/>
            <w:shd w:fill="F2F4F8" w:val="clear"/>
          </w:tcPr>
          <w:p>
            <w:r>
              <w:rPr>
                <w:rFonts w:ascii="Calibri" w:hAnsi="Calibri"/>
                <w:color w:val="333333"/>
                <w:sz w:val="18"/>
              </w:rPr>
              <w:t>Emerging / Modern Hazards</w:t>
            </w:r>
          </w:p>
        </w:tc>
        <w:tc>
          <w:tcPr>
            <w:tcW w:type="dxa" w:w="2016"/>
            <w:shd w:fill="F2F4F8" w:val="clear"/>
          </w:tcPr>
          <w:p>
            <w:r>
              <w:rPr>
                <w:rFonts w:ascii="Calibri" w:hAnsi="Calibri"/>
                <w:color w:val="333333"/>
                <w:sz w:val="18"/>
              </w:rPr>
              <w:t>No data available — scored at baseline (MODERATE)</w:t>
            </w:r>
          </w:p>
        </w:tc>
      </w:tr>
      <w:tr>
        <w:tc>
          <w:tcPr>
            <w:tcW w:type="dxa" w:w="2016"/>
          </w:tcPr>
          <w:p>
            <w:r>
              <w:rPr>
                <w:rFonts w:ascii="Calibri" w:hAnsi="Calibri"/>
                <w:color w:val="333333"/>
                <w:sz w:val="18"/>
              </w:rPr>
              <w:t>Geographic Complexity</w:t>
            </w:r>
          </w:p>
        </w:tc>
        <w:tc>
          <w:tcPr>
            <w:tcW w:type="dxa" w:w="2016"/>
          </w:tcPr>
          <w:p>
            <w:r>
              <w:rPr>
                <w:rFonts w:ascii="Calibri" w:hAnsi="Calibri"/>
                <w:color w:val="333333"/>
                <w:sz w:val="18"/>
              </w:rPr>
              <w:t>40</w:t>
            </w:r>
          </w:p>
        </w:tc>
        <w:tc>
          <w:tcPr>
            <w:tcW w:type="dxa" w:w="2016"/>
          </w:tcPr>
          <w:p>
            <w:r>
              <w:rPr>
                <w:rFonts w:ascii="Calibri" w:hAnsi="Calibri"/>
                <w:color w:val="333333"/>
                <w:sz w:val="18"/>
              </w:rPr>
              <w:t>MODERATE</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4 regions, 11 subsidiaries (MODERATE)</w:t>
            </w:r>
          </w:p>
        </w:tc>
      </w:tr>
      <w:tr>
        <w:tc>
          <w:tcPr>
            <w:tcW w:type="dxa" w:w="2016"/>
            <w:shd w:fill="F2F4F8" w:val="clear"/>
          </w:tcPr>
          <w:p>
            <w:r>
              <w:rPr>
                <w:rFonts w:ascii="Calibri" w:hAnsi="Calibri"/>
                <w:color w:val="333333"/>
                <w:sz w:val="18"/>
              </w:rPr>
              <w:t>Leverage &amp; Capital Structure</w:t>
            </w:r>
          </w:p>
        </w:tc>
        <w:tc>
          <w:tcPr>
            <w:tcW w:type="dxa" w:w="2016"/>
            <w:shd w:fill="F2F4F8" w:val="clear"/>
          </w:tcPr>
          <w:p>
            <w:r>
              <w:rPr>
                <w:rFonts w:ascii="Calibri" w:hAnsi="Calibri"/>
                <w:color w:val="333333"/>
                <w:sz w:val="18"/>
              </w:rPr>
              <w:t>40</w:t>
            </w:r>
          </w:p>
        </w:tc>
        <w:tc>
          <w:tcPr>
            <w:tcW w:type="dxa" w:w="2016"/>
            <w:shd w:fill="F2F4F8" w:val="clear"/>
          </w:tcPr>
          <w:p>
            <w:r>
              <w:rPr>
                <w:rFonts w:ascii="Calibri" w:hAnsi="Calibri"/>
                <w:color w:val="333333"/>
                <w:sz w:val="18"/>
              </w:rPr>
              <w:t>MODERATE</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Debt/Equity 0.78 (LOW-MODERATE)</w:t>
            </w:r>
          </w:p>
        </w:tc>
      </w:tr>
      <w:tr>
        <w:tc>
          <w:tcPr>
            <w:tcW w:type="dxa" w:w="2016"/>
          </w:tcPr>
          <w:p>
            <w:r>
              <w:rPr>
                <w:rFonts w:ascii="Calibri" w:hAnsi="Calibri"/>
                <w:color w:val="333333"/>
                <w:sz w:val="18"/>
              </w:rPr>
              <w:t>Compensation Structure</w:t>
            </w:r>
          </w:p>
        </w:tc>
        <w:tc>
          <w:tcPr>
            <w:tcW w:type="dxa" w:w="2016"/>
          </w:tcPr>
          <w:p>
            <w:r>
              <w:rPr>
                <w:rFonts w:ascii="Calibri" w:hAnsi="Calibri"/>
                <w:color w:val="333333"/>
                <w:sz w:val="18"/>
              </w:rPr>
              <w:t>33</w:t>
            </w:r>
          </w:p>
        </w:tc>
        <w:tc>
          <w:tcPr>
            <w:tcW w:type="dxa" w:w="2016"/>
          </w:tcPr>
          <w:p>
            <w:r>
              <w:rPr>
                <w:rFonts w:ascii="Calibri" w:hAnsi="Calibri"/>
                <w:color w:val="333333"/>
                <w:sz w:val="18"/>
              </w:rPr>
              <w:t>LOW</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Clawback policy in place</w:t>
            </w:r>
          </w:p>
        </w:tc>
      </w:tr>
      <w:tr>
        <w:tc>
          <w:tcPr>
            <w:tcW w:type="dxa" w:w="2016"/>
            <w:shd w:fill="F2F4F8" w:val="clear"/>
          </w:tcPr>
          <w:p>
            <w:r>
              <w:rPr>
                <w:rFonts w:ascii="Calibri" w:hAnsi="Calibri"/>
                <w:color w:val="333333"/>
                <w:sz w:val="18"/>
              </w:rPr>
              <w:t>State of Incorporation</w:t>
            </w:r>
          </w:p>
        </w:tc>
        <w:tc>
          <w:tcPr>
            <w:tcW w:type="dxa" w:w="2016"/>
            <w:shd w:fill="F2F4F8" w:val="clear"/>
          </w:tcPr>
          <w:p>
            <w:r>
              <w:rPr>
                <w:rFonts w:ascii="Calibri" w:hAnsi="Calibri"/>
                <w:color w:val="333333"/>
                <w:sz w:val="18"/>
              </w:rPr>
              <w:t>25</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Incorporated in DE (standard D&amp;O protections)</w:t>
            </w:r>
          </w:p>
        </w:tc>
      </w:tr>
      <w:tr>
        <w:tc>
          <w:tcPr>
            <w:tcW w:type="dxa" w:w="2016"/>
          </w:tcPr>
          <w:p>
            <w:r>
              <w:rPr>
                <w:rFonts w:ascii="Calibri" w:hAnsi="Calibri"/>
                <w:color w:val="333333"/>
                <w:sz w:val="18"/>
              </w:rPr>
              <w:t>Workforce &amp; Labor Model</w:t>
            </w:r>
          </w:p>
        </w:tc>
        <w:tc>
          <w:tcPr>
            <w:tcW w:type="dxa" w:w="2016"/>
          </w:tcPr>
          <w:p>
            <w:r>
              <w:rPr>
                <w:rFonts w:ascii="Calibri" w:hAnsi="Calibri"/>
                <w:color w:val="333333"/>
                <w:sz w:val="18"/>
              </w:rPr>
              <w:t>25</w:t>
            </w:r>
          </w:p>
        </w:tc>
        <w:tc>
          <w:tcPr>
            <w:tcW w:type="dxa" w:w="2016"/>
          </w:tcPr>
          <w:p>
            <w:r>
              <w:rPr>
                <w:rFonts w:ascii="Calibri" w:hAnsi="Calibri"/>
                <w:color w:val="333333"/>
                <w:sz w:val="18"/>
              </w:rPr>
              <w:t>LOW</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Large workforce (390,000 employees) -- labor risk surface</w:t>
            </w:r>
          </w:p>
        </w:tc>
      </w:tr>
      <w:tr>
        <w:tc>
          <w:tcPr>
            <w:tcW w:type="dxa" w:w="2016"/>
            <w:shd w:fill="F2F4F8" w:val="clear"/>
          </w:tcPr>
          <w:p>
            <w:r>
              <w:rPr>
                <w:rFonts w:ascii="Calibri" w:hAnsi="Calibri"/>
                <w:color w:val="333333"/>
                <w:sz w:val="18"/>
              </w:rPr>
              <w:t>Speed of Growth</w:t>
            </w:r>
          </w:p>
        </w:tc>
        <w:tc>
          <w:tcPr>
            <w:tcW w:type="dxa" w:w="2016"/>
            <w:shd w:fill="F2F4F8" w:val="clear"/>
          </w:tcPr>
          <w:p>
            <w:r>
              <w:rPr>
                <w:rFonts w:ascii="Calibri" w:hAnsi="Calibri"/>
                <w:color w:val="333333"/>
                <w:sz w:val="18"/>
              </w:rPr>
              <w:t>20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t>Revenue growth 11.8% (LOW)</w:t>
            </w:r>
          </w:p>
        </w:tc>
      </w:tr>
      <w:tr>
        <w:tc>
          <w:tcPr>
            <w:tcW w:type="dxa" w:w="2016"/>
          </w:tcPr>
          <w:p>
            <w:r>
              <w:rPr>
                <w:rFonts w:ascii="Calibri" w:hAnsi="Calibri"/>
                <w:color w:val="333333"/>
                <w:sz w:val="18"/>
              </w:rPr>
              <w:t>Non-GAAP Reliance</w:t>
            </w:r>
          </w:p>
        </w:tc>
        <w:tc>
          <w:tcPr>
            <w:tcW w:type="dxa" w:w="2016"/>
          </w:tcPr>
          <w:p>
            <w:r>
              <w:rPr>
                <w:rFonts w:ascii="Calibri" w:hAnsi="Calibri"/>
                <w:color w:val="333333"/>
                <w:sz w:val="18"/>
              </w:rPr>
              <w:t>17</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No non-GAAP reliance indicators found</w:t>
            </w:r>
          </w:p>
        </w:tc>
      </w:tr>
      <w:tr>
        <w:tc>
          <w:tcPr>
            <w:tcW w:type="dxa" w:w="2016"/>
            <w:shd w:fill="F2F4F8" w:val="clear"/>
          </w:tcPr>
          <w:p>
            <w:r>
              <w:rPr>
                <w:rFonts w:ascii="Calibri" w:hAnsi="Calibri"/>
                <w:color w:val="333333"/>
                <w:sz w:val="18"/>
              </w:rPr>
              <w:t>Founder-Led vs Professional Management</w:t>
            </w:r>
          </w:p>
        </w:tc>
        <w:tc>
          <w:tcPr>
            <w:tcW w:type="dxa" w:w="2016"/>
            <w:shd w:fill="F2F4F8" w:val="clear"/>
          </w:tcPr>
          <w:p>
            <w:r>
              <w:rPr>
                <w:rFonts w:ascii="Calibri" w:hAnsi="Calibri"/>
                <w:color w:val="333333"/>
                <w:sz w:val="18"/>
              </w:rPr>
              <w:t>17</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t>Professional (non-founder) CEO</w:t>
            </w:r>
          </w:p>
        </w:tc>
      </w:tr>
      <w:tr>
        <w:tc>
          <w:tcPr>
            <w:tcW w:type="dxa" w:w="2016"/>
          </w:tcPr>
          <w:p>
            <w:r>
              <w:rPr>
                <w:rFonts w:ascii="Calibri" w:hAnsi="Calibri"/>
                <w:color w:val="333333"/>
                <w:sz w:val="18"/>
              </w:rPr>
              <w:t>Cash Flow vs Earnings Divergence</w:t>
            </w:r>
          </w:p>
        </w:tc>
        <w:tc>
          <w:tcPr>
            <w:tcW w:type="dxa" w:w="2016"/>
          </w:tcPr>
          <w:p>
            <w:r>
              <w:rPr>
                <w:rFonts w:ascii="Calibri" w:hAnsi="Calibri"/>
                <w:color w:val="333333"/>
                <w:sz w:val="18"/>
              </w:rPr>
              <w:t>17</w:t>
            </w:r>
          </w:p>
        </w:tc>
        <w:tc>
          <w:tcPr>
            <w:tcW w:type="dxa" w:w="2016"/>
          </w:tcPr>
          <w:p>
            <w:r>
              <w:rPr>
                <w:rFonts w:ascii="Calibri" w:hAnsi="Calibri"/>
                <w:color w:val="333333"/>
                <w:sz w:val="18"/>
              </w:rPr>
              <w:t>LOW</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OCF/NI ratio 1.63 -- aligned</w:t>
            </w:r>
          </w:p>
        </w:tc>
      </w:tr>
      <w:tr>
        <w:tc>
          <w:tcPr>
            <w:tcW w:type="dxa" w:w="2016"/>
            <w:shd w:fill="F2F4F8" w:val="clear"/>
          </w:tcPr>
          <w:p>
            <w:r>
              <w:rPr>
                <w:rFonts w:ascii="Calibri" w:hAnsi="Calibri"/>
                <w:color w:val="333333"/>
                <w:sz w:val="18"/>
              </w:rPr>
              <w:t>AI Adoption &amp; Governance</w:t>
            </w:r>
          </w:p>
        </w:tc>
        <w:tc>
          <w:tcPr>
            <w:tcW w:type="dxa" w:w="2016"/>
            <w:shd w:fill="F2F4F8" w:val="clear"/>
          </w:tcPr>
          <w:p>
            <w:r>
              <w:rPr>
                <w:rFonts w:ascii="Calibri" w:hAnsi="Calibri"/>
                <w:color w:val="333333"/>
                <w:sz w:val="18"/>
              </w:rPr>
              <w:t>12</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Emerging / Modern Hazards</w:t>
            </w:r>
          </w:p>
        </w:tc>
        <w:tc>
          <w:tcPr>
            <w:tcW w:type="dxa" w:w="2016"/>
            <w:shd w:fill="F2F4F8" w:val="clear"/>
          </w:tcPr>
          <w:p>
            <w:r>
              <w:rPr>
                <w:rFonts w:ascii="Calibri" w:hAnsi="Calibri"/>
                <w:color w:val="333333"/>
                <w:sz w:val="18"/>
              </w:rPr>
              <w:t>AI risk score 0/100 (LOW)</w:t>
            </w:r>
          </w:p>
        </w:tc>
      </w:tr>
      <w:tr>
        <w:tc>
          <w:tcPr>
            <w:tcW w:type="dxa" w:w="2016"/>
          </w:tcPr>
          <w:p>
            <w:r>
              <w:rPr>
                <w:rFonts w:ascii="Calibri" w:hAnsi="Calibri"/>
                <w:color w:val="333333"/>
                <w:sz w:val="18"/>
              </w:rPr>
              <w:t>Business Model Complexity</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r>
          </w:p>
        </w:tc>
      </w:tr>
      <w:tr>
        <w:tc>
          <w:tcPr>
            <w:tcW w:type="dxa" w:w="2016"/>
            <w:shd w:fill="F2F4F8" w:val="clear"/>
          </w:tcPr>
          <w:p>
            <w:r>
              <w:rPr>
                <w:rFonts w:ascii="Calibri" w:hAnsi="Calibri"/>
                <w:color w:val="333333"/>
                <w:sz w:val="18"/>
              </w:rPr>
              <w:t>Revenue Model Manipulation Surface</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r>
          </w:p>
        </w:tc>
      </w:tr>
      <w:tr>
        <w:tc>
          <w:tcPr>
            <w:tcW w:type="dxa" w:w="2016"/>
          </w:tcPr>
          <w:p>
            <w:r>
              <w:rPr>
                <w:rFonts w:ascii="Calibri" w:hAnsi="Calibri"/>
                <w:color w:val="333333"/>
                <w:sz w:val="18"/>
              </w:rPr>
              <w:t>Capital Intensity</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Business &amp; Operating Model</w:t>
            </w:r>
          </w:p>
        </w:tc>
        <w:tc>
          <w:tcPr>
            <w:tcW w:type="dxa" w:w="2016"/>
          </w:tcPr>
          <w:p>
            <w:r>
              <w:rPr>
                <w:rFonts w:ascii="Calibri" w:hAnsi="Calibri"/>
                <w:color w:val="333333"/>
                <w:sz w:val="18"/>
              </w:rPr>
              <w:t>CapEx/Revenue 0.8% (LOW)</w:t>
            </w:r>
          </w:p>
        </w:tc>
      </w:tr>
      <w:tr>
        <w:tc>
          <w:tcPr>
            <w:tcW w:type="dxa" w:w="2016"/>
            <w:shd w:fill="F2F4F8" w:val="clear"/>
          </w:tcPr>
          <w:p>
            <w:r>
              <w:rPr>
                <w:rFonts w:ascii="Calibri" w:hAnsi="Calibri"/>
                <w:color w:val="333333"/>
                <w:sz w:val="18"/>
              </w:rPr>
              <w:t>Dual-Class Structure</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Business &amp; Operating Model</w:t>
            </w:r>
          </w:p>
        </w:tc>
        <w:tc>
          <w:tcPr>
            <w:tcW w:type="dxa" w:w="2016"/>
            <w:shd w:fill="F2F4F8" w:val="clear"/>
          </w:tcPr>
          <w:p>
            <w:r>
              <w:rPr>
                <w:rFonts w:ascii="Calibri" w:hAnsi="Calibri"/>
                <w:color w:val="333333"/>
                <w:sz w:val="18"/>
              </w:rPr>
            </w:r>
          </w:p>
        </w:tc>
      </w:tr>
      <w:tr>
        <w:tc>
          <w:tcPr>
            <w:tcW w:type="dxa" w:w="2016"/>
          </w:tcPr>
          <w:p>
            <w:r>
              <w:rPr>
                <w:rFonts w:ascii="Calibri" w:hAnsi="Calibri"/>
                <w:color w:val="333333"/>
                <w:sz w:val="18"/>
              </w:rPr>
              <w:t>Management Public Company Experience</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r>
          </w:p>
        </w:tc>
      </w:tr>
      <w:tr>
        <w:tc>
          <w:tcPr>
            <w:tcW w:type="dxa" w:w="2016"/>
            <w:shd w:fill="F2F4F8" w:val="clear"/>
          </w:tcPr>
          <w:p>
            <w:r>
              <w:rPr>
                <w:rFonts w:ascii="Calibri" w:hAnsi="Calibri"/>
                <w:color w:val="333333"/>
                <w:sz w:val="18"/>
              </w:rPr>
              <w:t>Board Governance Experience &amp; Quality</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People &amp; Management</w:t>
            </w:r>
          </w:p>
        </w:tc>
        <w:tc>
          <w:tcPr>
            <w:tcW w:type="dxa" w:w="2016"/>
            <w:shd w:fill="F2F4F8" w:val="clear"/>
          </w:tcPr>
          <w:p>
            <w:r>
              <w:rPr>
                <w:rFonts w:ascii="Calibri" w:hAnsi="Calibri"/>
                <w:color w:val="333333"/>
                <w:sz w:val="18"/>
              </w:rPr>
            </w:r>
          </w:p>
        </w:tc>
      </w:tr>
      <w:tr>
        <w:tc>
          <w:tcPr>
            <w:tcW w:type="dxa" w:w="2016"/>
          </w:tcPr>
          <w:p>
            <w:r>
              <w:rPr>
                <w:rFonts w:ascii="Calibri" w:hAnsi="Calibri"/>
                <w:color w:val="333333"/>
                <w:sz w:val="18"/>
              </w:rPr>
              <w:t>Tone at the Top</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People &amp; Management</w:t>
            </w:r>
          </w:p>
        </w:tc>
        <w:tc>
          <w:tcPr>
            <w:tcW w:type="dxa" w:w="2016"/>
          </w:tcPr>
          <w:p>
            <w:r>
              <w:rPr>
                <w:rFonts w:ascii="Calibri" w:hAnsi="Calibri"/>
                <w:color w:val="333333"/>
                <w:sz w:val="18"/>
              </w:rPr>
              <w:t>Estimated from related indicators.</w:t>
            </w:r>
          </w:p>
        </w:tc>
      </w:tr>
      <w:tr>
        <w:tc>
          <w:tcPr>
            <w:tcW w:type="dxa" w:w="2016"/>
            <w:shd w:fill="F2F4F8" w:val="clear"/>
          </w:tcPr>
          <w:p>
            <w:r>
              <w:rPr>
                <w:rFonts w:ascii="Calibri" w:hAnsi="Calibri"/>
                <w:color w:val="333333"/>
                <w:sz w:val="18"/>
              </w:rPr>
              <w:t>Earnings Quality Characteristics</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Financial Structure</w:t>
            </w:r>
          </w:p>
        </w:tc>
        <w:tc>
          <w:tcPr>
            <w:tcW w:type="dxa" w:w="2016"/>
            <w:shd w:fill="F2F4F8" w:val="clear"/>
          </w:tcPr>
          <w:p>
            <w:r>
              <w:rPr>
                <w:rFonts w:ascii="Calibri" w:hAnsi="Calibri"/>
                <w:color w:val="333333"/>
                <w:sz w:val="18"/>
              </w:rPr>
              <w:t>Beneish M-Score -3.11 -- safe zone</w:t>
            </w:r>
          </w:p>
        </w:tc>
      </w:tr>
      <w:tr>
        <w:tc>
          <w:tcPr>
            <w:tcW w:type="dxa" w:w="2016"/>
          </w:tcPr>
          <w:p>
            <w:r>
              <w:rPr>
                <w:rFonts w:ascii="Calibri" w:hAnsi="Calibri"/>
                <w:color w:val="333333"/>
                <w:sz w:val="18"/>
              </w:rPr>
              <w:t>Pre-Revenue / Cash Burn</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Financial Structure</w:t>
            </w:r>
          </w:p>
        </w:tc>
        <w:tc>
          <w:tcPr>
            <w:tcW w:type="dxa" w:w="2016"/>
          </w:tcPr>
          <w:p>
            <w:r>
              <w:rPr>
                <w:rFonts w:ascii="Calibri" w:hAnsi="Calibri"/>
                <w:color w:val="333333"/>
                <w:sz w:val="18"/>
              </w:rPr>
              <w:t>Revenue-generating company with positive cash flow profile</w:t>
            </w:r>
          </w:p>
        </w:tc>
      </w:tr>
      <w:tr>
        <w:tc>
          <w:tcPr>
            <w:tcW w:type="dxa" w:w="2016"/>
            <w:shd w:fill="F2F4F8" w:val="clear"/>
          </w:tcPr>
          <w:p>
            <w:r>
              <w:rPr>
                <w:rFonts w:ascii="Calibri" w:hAnsi="Calibri"/>
                <w:color w:val="333333"/>
                <w:sz w:val="18"/>
              </w:rPr>
              <w:t>Combined CEO / Board Chair</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CEO and Chair roles separated</w:t>
            </w:r>
          </w:p>
        </w:tc>
      </w:tr>
      <w:tr>
        <w:tc>
          <w:tcPr>
            <w:tcW w:type="dxa" w:w="2016"/>
          </w:tcPr>
          <w:p>
            <w:r>
              <w:rPr>
                <w:rFonts w:ascii="Calibri" w:hAnsi="Calibri"/>
                <w:color w:val="333333"/>
                <w:sz w:val="18"/>
              </w:rPr>
              <w:t>Anti-Takeover Provisions</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Governance Structure</w:t>
            </w:r>
          </w:p>
        </w:tc>
        <w:tc>
          <w:tcPr>
            <w:tcW w:type="dxa" w:w="2016"/>
          </w:tcPr>
          <w:p>
            <w:r>
              <w:rPr>
                <w:rFonts w:ascii="Calibri" w:hAnsi="Calibri"/>
                <w:color w:val="333333"/>
                <w:sz w:val="18"/>
              </w:rPr>
              <w:t>Estimated from related indicators.</w:t>
            </w:r>
          </w:p>
        </w:tc>
      </w:tr>
      <w:tr>
        <w:tc>
          <w:tcPr>
            <w:tcW w:type="dxa" w:w="2016"/>
            <w:shd w:fill="F2F4F8" w:val="clear"/>
          </w:tcPr>
          <w:p>
            <w:r>
              <w:rPr>
                <w:rFonts w:ascii="Calibri" w:hAnsi="Calibri"/>
                <w:color w:val="333333"/>
                <w:sz w:val="18"/>
              </w:rPr>
              <w:t>Compliance Infrastructure</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Governance Structure</w:t>
            </w:r>
          </w:p>
        </w:tc>
        <w:tc>
          <w:tcPr>
            <w:tcW w:type="dxa" w:w="2016"/>
            <w:shd w:fill="F2F4F8" w:val="clear"/>
          </w:tcPr>
          <w:p>
            <w:r>
              <w:rPr>
                <w:rFonts w:ascii="Calibri" w:hAnsi="Calibri"/>
                <w:color w:val="333333"/>
                <w:sz w:val="18"/>
              </w:rPr>
              <w:t>No material weaknesses or going concern issues identified</w:t>
            </w:r>
          </w:p>
        </w:tc>
      </w:tr>
      <w:tr>
        <w:tc>
          <w:tcPr>
            <w:tcW w:type="dxa" w:w="2016"/>
          </w:tcPr>
          <w:p>
            <w:r>
              <w:rPr>
                <w:rFonts w:ascii="Calibri" w:hAnsi="Calibri"/>
                <w:color w:val="333333"/>
                <w:sz w:val="18"/>
              </w:rPr>
              <w:t>IPO Recency</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Public Company Maturity</w:t>
            </w:r>
          </w:p>
        </w:tc>
        <w:tc>
          <w:tcPr>
            <w:tcW w:type="dxa" w:w="2016"/>
          </w:tcPr>
          <w:p>
            <w:r>
              <w:rPr>
                <w:rFonts w:ascii="Calibri" w:hAnsi="Calibri"/>
                <w:color w:val="333333"/>
                <w:sz w:val="18"/>
              </w:rPr>
              <w:t>IPO 41 years ago (MINIMAL -- mature public company)</w:t>
            </w:r>
          </w:p>
        </w:tc>
      </w:tr>
      <w:tr>
        <w:tc>
          <w:tcPr>
            <w:tcW w:type="dxa" w:w="2016"/>
            <w:shd w:fill="F2F4F8" w:val="clear"/>
          </w:tcPr>
          <w:p>
            <w:r>
              <w:rPr>
                <w:rFonts w:ascii="Calibri" w:hAnsi="Calibri"/>
                <w:color w:val="333333"/>
                <w:sz w:val="18"/>
              </w:rPr>
              <w:t>Exchange &amp; Index Membership</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Public Company Maturity</w:t>
            </w:r>
          </w:p>
        </w:tc>
        <w:tc>
          <w:tcPr>
            <w:tcW w:type="dxa" w:w="2016"/>
            <w:shd w:fill="F2F4F8" w:val="clear"/>
          </w:tcPr>
          <w:p>
            <w:r>
              <w:rPr>
                <w:rFonts w:ascii="Calibri" w:hAnsi="Calibri"/>
                <w:color w:val="333333"/>
                <w:sz w:val="18"/>
              </w:rPr>
              <w:t>Listed on NYSE (major exchange -- standard oversight)</w:t>
            </w:r>
          </w:p>
        </w:tc>
      </w:tr>
      <w:tr>
        <w:tc>
          <w:tcPr>
            <w:tcW w:type="dxa" w:w="2016"/>
          </w:tcPr>
          <w:p>
            <w:r>
              <w:rPr>
                <w:rFonts w:ascii="Calibri" w:hAnsi="Calibri"/>
                <w:color w:val="333333"/>
                <w:sz w:val="18"/>
              </w:rPr>
              <w:t>FPI / ADR Status</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Public Company Maturity</w:t>
            </w:r>
          </w:p>
        </w:tc>
        <w:tc>
          <w:tcPr>
            <w:tcW w:type="dxa" w:w="2016"/>
          </w:tcPr>
          <w:p>
            <w:r>
              <w:rPr>
                <w:rFonts w:ascii="Calibri" w:hAnsi="Calibri"/>
                <w:color w:val="333333"/>
                <w:sz w:val="18"/>
              </w:rPr>
              <w:t>Domestic issuer (standard SEC reporting)</w:t>
            </w:r>
          </w:p>
        </w:tc>
      </w:tr>
      <w:tr>
        <w:tc>
          <w:tcPr>
            <w:tcW w:type="dxa" w:w="2016"/>
            <w:shd w:fill="F2F4F8" w:val="clear"/>
          </w:tcPr>
          <w:p>
            <w:r>
              <w:rPr>
                <w:rFonts w:ascii="Calibri" w:hAnsi="Calibri"/>
                <w:color w:val="333333"/>
                <w:sz w:val="18"/>
              </w:rPr>
              <w:t>Seasoning &amp; Track Record</w:t>
            </w:r>
          </w:p>
        </w:tc>
        <w:tc>
          <w:tcPr>
            <w:tcW w:type="dxa" w:w="2016"/>
            <w:shd w:fill="F2F4F8" w:val="clear"/>
          </w:tcPr>
          <w:p>
            <w:r>
              <w:rPr>
                <w:rFonts w:ascii="Calibri" w:hAnsi="Calibri"/>
                <w:color w:val="333333"/>
                <w:sz w:val="18"/>
              </w:rPr>
              <w:t>0</w:t>
            </w:r>
          </w:p>
        </w:tc>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Public Company Maturity</w:t>
            </w:r>
          </w:p>
        </w:tc>
        <w:tc>
          <w:tcPr>
            <w:tcW w:type="dxa" w:w="2016"/>
            <w:shd w:fill="F2F4F8" w:val="clear"/>
          </w:tcPr>
          <w:p>
            <w:r>
              <w:rPr>
                <w:rFonts w:ascii="Calibri" w:hAnsi="Calibri"/>
                <w:color w:val="333333"/>
                <w:sz w:val="18"/>
              </w:rPr>
              <w:t>41 years as public company (established)</w:t>
            </w:r>
          </w:p>
        </w:tc>
      </w:tr>
      <w:tr>
        <w:tc>
          <w:tcPr>
            <w:tcW w:type="dxa" w:w="2016"/>
          </w:tcPr>
          <w:p>
            <w:r>
              <w:rPr>
                <w:rFonts w:ascii="Calibri" w:hAnsi="Calibri"/>
                <w:color w:val="333333"/>
                <w:sz w:val="18"/>
              </w:rPr>
              <w:t>ESG / Climate Exposure</w:t>
            </w:r>
          </w:p>
        </w:tc>
        <w:tc>
          <w:tcPr>
            <w:tcW w:type="dxa" w:w="2016"/>
          </w:tcPr>
          <w:p>
            <w:r>
              <w:rPr>
                <w:rFonts w:ascii="Calibri" w:hAnsi="Calibri"/>
                <w:color w:val="333333"/>
                <w:sz w:val="18"/>
              </w:rPr>
              <w:t>0</w:t>
            </w:r>
          </w:p>
        </w:tc>
        <w:tc>
          <w:tcPr>
            <w:tcW w:type="dxa" w:w="2016"/>
          </w:tcPr>
          <w:p>
            <w:r>
              <w:rPr>
                <w:rFonts w:ascii="Calibri" w:hAnsi="Calibri"/>
                <w:color w:val="333333"/>
                <w:sz w:val="18"/>
              </w:rPr>
              <w:t>LOW</w:t>
            </w:r>
          </w:p>
        </w:tc>
        <w:tc>
          <w:tcPr>
            <w:tcW w:type="dxa" w:w="2016"/>
          </w:tcPr>
          <w:p>
            <w:r>
              <w:rPr>
                <w:rFonts w:ascii="Calibri" w:hAnsi="Calibri"/>
                <w:color w:val="333333"/>
                <w:sz w:val="18"/>
              </w:rPr>
              <w:t>Emerging / Modern Hazards</w:t>
            </w:r>
          </w:p>
        </w:tc>
        <w:tc>
          <w:tcPr>
            <w:tcW w:type="dxa" w:w="2016"/>
          </w:tcPr>
          <w:p>
            <w:r>
              <w:rPr>
                <w:rFonts w:ascii="Calibri" w:hAnsi="Calibri"/>
                <w:color w:val="333333"/>
                <w:sz w:val="18"/>
              </w:rPr>
              <w:t>No ESG/climate exposure indicators found</w:t>
            </w:r>
          </w:p>
        </w:tc>
      </w:tr>
    </w:tbl>
    <w:p>
      <w:pPr>
        <w:pStyle w:val="DOHeading3"/>
      </w:pPr>
      <w:r>
        <w:t>Category Summary</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Category</w:t>
            </w:r>
          </w:p>
        </w:tc>
        <w:tc>
          <w:tcPr>
            <w:tcW w:type="dxa" w:w="1680"/>
            <w:shd w:fill="1A1446" w:val="clear"/>
          </w:tcPr>
          <w:p>
            <w:r>
              <w:rPr>
                <w:rFonts w:ascii="Calibri" w:hAnsi="Calibri"/>
                <w:b/>
                <w:color w:val="FFFFFF"/>
                <w:sz w:val="18"/>
              </w:rPr>
              <w:t>Weight</w:t>
            </w:r>
          </w:p>
        </w:tc>
        <w:tc>
          <w:tcPr>
            <w:tcW w:type="dxa" w:w="1680"/>
            <w:shd w:fill="1A1446" w:val="clear"/>
          </w:tcPr>
          <w:p>
            <w:r>
              <w:rPr>
                <w:rFonts w:ascii="Calibri" w:hAnsi="Calibri"/>
                <w:b/>
                <w:color w:val="FFFFFF"/>
                <w:sz w:val="18"/>
              </w:rPr>
              <w:t>Score</w:t>
            </w:r>
          </w:p>
        </w:tc>
        <w:tc>
          <w:tcPr>
            <w:tcW w:type="dxa" w:w="1680"/>
            <w:shd w:fill="1A1446" w:val="clear"/>
          </w:tcPr>
          <w:p>
            <w:r>
              <w:rPr>
                <w:rFonts w:ascii="Calibri" w:hAnsi="Calibri"/>
                <w:b/>
                <w:color w:val="FFFFFF"/>
                <w:sz w:val="18"/>
              </w:rPr>
              <w:t>Weighted</w:t>
            </w:r>
          </w:p>
        </w:tc>
        <w:tc>
          <w:tcPr>
            <w:tcW w:type="dxa" w:w="1680"/>
            <w:shd w:fill="1A1446" w:val="clear"/>
          </w:tcPr>
          <w:p>
            <w:r>
              <w:rPr>
                <w:rFonts w:ascii="Calibri" w:hAnsi="Calibri"/>
                <w:b/>
                <w:color w:val="FFFFFF"/>
                <w:sz w:val="18"/>
              </w:rPr>
              <w:t>Dims Scored</w:t>
            </w:r>
          </w:p>
        </w:tc>
        <w:tc>
          <w:tcPr>
            <w:tcW w:type="dxa" w:w="1680"/>
            <w:shd w:fill="1A1446" w:val="clear"/>
          </w:tcPr>
          <w:p>
            <w:r>
              <w:rPr>
                <w:rFonts w:ascii="Calibri" w:hAnsi="Calibri"/>
                <w:b/>
                <w:color w:val="FFFFFF"/>
                <w:sz w:val="18"/>
              </w:rPr>
              <w:t>Coverage</w:t>
            </w:r>
          </w:p>
        </w:tc>
      </w:tr>
      <w:tr>
        <w:tc>
          <w:tcPr>
            <w:tcW w:type="dxa" w:w="1680"/>
          </w:tcPr>
          <w:p>
            <w:r>
              <w:rPr>
                <w:rFonts w:ascii="Calibri" w:hAnsi="Calibri"/>
                <w:color w:val="333333"/>
                <w:sz w:val="18"/>
              </w:rPr>
              <w:t>Business &amp; Operating Model</w:t>
            </w:r>
          </w:p>
        </w:tc>
        <w:tc>
          <w:tcPr>
            <w:tcW w:type="dxa" w:w="1680"/>
          </w:tcPr>
          <w:p>
            <w:r>
              <w:rPr>
                <w:rFonts w:ascii="Calibri" w:hAnsi="Calibri"/>
                <w:color w:val="333333"/>
                <w:sz w:val="18"/>
              </w:rPr>
              <w:t>32.5%</w:t>
            </w:r>
          </w:p>
        </w:tc>
        <w:tc>
          <w:tcPr>
            <w:tcW w:type="dxa" w:w="1680"/>
          </w:tcPr>
          <w:p>
            <w:r>
              <w:rPr>
                <w:rFonts w:ascii="Calibri" w:hAnsi="Calibri"/>
                <w:color w:val="333333"/>
                <w:sz w:val="18"/>
              </w:rPr>
              <w:t>33.6</w:t>
            </w:r>
          </w:p>
        </w:tc>
        <w:tc>
          <w:tcPr>
            <w:tcW w:type="dxa" w:w="1680"/>
          </w:tcPr>
          <w:p>
            <w:r>
              <w:rPr>
                <w:rFonts w:ascii="Calibri" w:hAnsi="Calibri"/>
                <w:color w:val="333333"/>
                <w:sz w:val="18"/>
              </w:rPr>
              <w:t>10.9</w:t>
            </w:r>
          </w:p>
        </w:tc>
        <w:tc>
          <w:tcPr>
            <w:tcW w:type="dxa" w:w="1680"/>
          </w:tcPr>
          <w:p>
            <w:r>
              <w:rPr>
                <w:rFonts w:ascii="Calibri" w:hAnsi="Calibri"/>
                <w:color w:val="333333"/>
                <w:sz w:val="18"/>
              </w:rPr>
              <w:t>10/13</w:t>
            </w:r>
          </w:p>
        </w:tc>
        <w:tc>
          <w:tcPr>
            <w:tcW w:type="dxa" w:w="1680"/>
          </w:tcPr>
          <w:p>
            <w:r>
              <w:rPr>
                <w:rFonts w:ascii="Calibri" w:hAnsi="Calibri"/>
                <w:color w:val="333333"/>
                <w:sz w:val="18"/>
              </w:rPr>
              <w:t>77%</w:t>
            </w:r>
          </w:p>
        </w:tc>
      </w:tr>
      <w:tr>
        <w:tc>
          <w:tcPr>
            <w:tcW w:type="dxa" w:w="1680"/>
            <w:shd w:fill="F2F4F8" w:val="clear"/>
          </w:tcPr>
          <w:p>
            <w:r>
              <w:rPr>
                <w:rFonts w:ascii="Calibri" w:hAnsi="Calibri"/>
                <w:color w:val="333333"/>
                <w:sz w:val="18"/>
              </w:rPr>
              <w:t>People &amp; Management</w:t>
            </w:r>
          </w:p>
        </w:tc>
        <w:tc>
          <w:tcPr>
            <w:tcW w:type="dxa" w:w="1680"/>
            <w:shd w:fill="F2F4F8" w:val="clear"/>
          </w:tcPr>
          <w:p>
            <w:r>
              <w:rPr>
                <w:rFonts w:ascii="Calibri" w:hAnsi="Calibri"/>
                <w:color w:val="333333"/>
                <w:sz w:val="18"/>
              </w:rPr>
              <w:t>15.0%</w:t>
            </w:r>
          </w:p>
        </w:tc>
        <w:tc>
          <w:tcPr>
            <w:tcW w:type="dxa" w:w="1680"/>
            <w:shd w:fill="F2F4F8" w:val="clear"/>
          </w:tcPr>
          <w:p>
            <w:r>
              <w:rPr>
                <w:rFonts w:ascii="Calibri" w:hAnsi="Calibri"/>
                <w:color w:val="333333"/>
                <w:sz w:val="18"/>
              </w:rPr>
              <w:t>29.2</w:t>
            </w:r>
          </w:p>
        </w:tc>
        <w:tc>
          <w:tcPr>
            <w:tcW w:type="dxa" w:w="1680"/>
            <w:shd w:fill="F2F4F8" w:val="clear"/>
          </w:tcPr>
          <w:p>
            <w:r>
              <w:rPr>
                <w:rFonts w:ascii="Calibri" w:hAnsi="Calibri"/>
                <w:color w:val="333333"/>
                <w:sz w:val="18"/>
              </w:rPr>
              <w:t>4.4</w:t>
            </w:r>
          </w:p>
        </w:tc>
        <w:tc>
          <w:tcPr>
            <w:tcW w:type="dxa" w:w="1680"/>
            <w:shd w:fill="F2F4F8" w:val="clear"/>
          </w:tcPr>
          <w:p>
            <w:r>
              <w:rPr>
                <w:rFonts w:ascii="Calibri" w:hAnsi="Calibri"/>
                <w:color w:val="333333"/>
                <w:sz w:val="18"/>
              </w:rPr>
              <w:t>5/8</w:t>
            </w:r>
          </w:p>
        </w:tc>
        <w:tc>
          <w:tcPr>
            <w:tcW w:type="dxa" w:w="1680"/>
            <w:shd w:fill="F2F4F8" w:val="clear"/>
          </w:tcPr>
          <w:p>
            <w:r>
              <w:rPr>
                <w:rFonts w:ascii="Calibri" w:hAnsi="Calibri"/>
                <w:color w:val="333333"/>
                <w:sz w:val="18"/>
              </w:rPr>
              <w:t>62%</w:t>
            </w:r>
          </w:p>
        </w:tc>
      </w:tr>
      <w:tr>
        <w:tc>
          <w:tcPr>
            <w:tcW w:type="dxa" w:w="1680"/>
          </w:tcPr>
          <w:p>
            <w:r>
              <w:rPr>
                <w:rFonts w:ascii="Calibri" w:hAnsi="Calibri"/>
                <w:color w:val="333333"/>
                <w:sz w:val="18"/>
              </w:rPr>
              <w:t>Financial Structure</w:t>
            </w:r>
          </w:p>
        </w:tc>
        <w:tc>
          <w:tcPr>
            <w:tcW w:type="dxa" w:w="1680"/>
          </w:tcPr>
          <w:p>
            <w:r>
              <w:rPr>
                <w:rFonts w:ascii="Calibri" w:hAnsi="Calibri"/>
                <w:color w:val="333333"/>
                <w:sz w:val="18"/>
              </w:rPr>
              <w:t>15.0%</w:t>
            </w:r>
          </w:p>
        </w:tc>
        <w:tc>
          <w:tcPr>
            <w:tcW w:type="dxa" w:w="1680"/>
          </w:tcPr>
          <w:p>
            <w:r>
              <w:rPr>
                <w:rFonts w:ascii="Calibri" w:hAnsi="Calibri"/>
                <w:color w:val="333333"/>
                <w:sz w:val="18"/>
              </w:rPr>
              <w:t>42.5</w:t>
            </w:r>
          </w:p>
        </w:tc>
        <w:tc>
          <w:tcPr>
            <w:tcW w:type="dxa" w:w="1680"/>
          </w:tcPr>
          <w:p>
            <w:r>
              <w:rPr>
                <w:rFonts w:ascii="Calibri" w:hAnsi="Calibri"/>
                <w:color w:val="333333"/>
                <w:sz w:val="18"/>
              </w:rPr>
              <w:t>6.4</w:t>
            </w:r>
          </w:p>
        </w:tc>
        <w:tc>
          <w:tcPr>
            <w:tcW w:type="dxa" w:w="1680"/>
          </w:tcPr>
          <w:p>
            <w:r>
              <w:rPr>
                <w:rFonts w:ascii="Calibri" w:hAnsi="Calibri"/>
                <w:color w:val="333333"/>
                <w:sz w:val="18"/>
              </w:rPr>
              <w:t>6/8</w:t>
            </w:r>
          </w:p>
        </w:tc>
        <w:tc>
          <w:tcPr>
            <w:tcW w:type="dxa" w:w="1680"/>
          </w:tcPr>
          <w:p>
            <w:r>
              <w:rPr>
                <w:rFonts w:ascii="Calibri" w:hAnsi="Calibri"/>
                <w:color w:val="333333"/>
                <w:sz w:val="18"/>
              </w:rPr>
              <w:t>75%</w:t>
            </w:r>
          </w:p>
        </w:tc>
      </w:tr>
      <w:tr>
        <w:tc>
          <w:tcPr>
            <w:tcW w:type="dxa" w:w="1680"/>
            <w:shd w:fill="F2F4F8" w:val="clear"/>
          </w:tcPr>
          <w:p>
            <w:r>
              <w:rPr>
                <w:rFonts w:ascii="Calibri" w:hAnsi="Calibri"/>
                <w:color w:val="333333"/>
                <w:sz w:val="18"/>
              </w:rPr>
              <w:t>Governance Structure</w:t>
            </w:r>
          </w:p>
        </w:tc>
        <w:tc>
          <w:tcPr>
            <w:tcW w:type="dxa" w:w="1680"/>
            <w:shd w:fill="F2F4F8" w:val="clear"/>
          </w:tcPr>
          <w:p>
            <w:r>
              <w:rPr>
                <w:rFonts w:ascii="Calibri" w:hAnsi="Calibri"/>
                <w:color w:val="333333"/>
                <w:sz w:val="18"/>
              </w:rPr>
              <w:t>7.5%</w:t>
            </w:r>
          </w:p>
        </w:tc>
        <w:tc>
          <w:tcPr>
            <w:tcW w:type="dxa" w:w="1680"/>
            <w:shd w:fill="F2F4F8" w:val="clear"/>
          </w:tcPr>
          <w:p>
            <w:r>
              <w:rPr>
                <w:rFonts w:ascii="Calibri" w:hAnsi="Calibri"/>
                <w:color w:val="333333"/>
                <w:sz w:val="18"/>
              </w:rPr>
              <w:t>32.3</w:t>
            </w:r>
          </w:p>
        </w:tc>
        <w:tc>
          <w:tcPr>
            <w:tcW w:type="dxa" w:w="1680"/>
            <w:shd w:fill="F2F4F8" w:val="clear"/>
          </w:tcPr>
          <w:p>
            <w:r>
              <w:rPr>
                <w:rFonts w:ascii="Calibri" w:hAnsi="Calibri"/>
                <w:color w:val="333333"/>
                <w:sz w:val="18"/>
              </w:rPr>
              <w:t>2.4</w:t>
            </w:r>
          </w:p>
        </w:tc>
        <w:tc>
          <w:tcPr>
            <w:tcW w:type="dxa" w:w="1680"/>
            <w:shd w:fill="F2F4F8" w:val="clear"/>
          </w:tcPr>
          <w:p>
            <w:r>
              <w:rPr>
                <w:rFonts w:ascii="Calibri" w:hAnsi="Calibri"/>
                <w:color w:val="333333"/>
                <w:sz w:val="18"/>
              </w:rPr>
              <w:t>7/8</w:t>
            </w:r>
          </w:p>
        </w:tc>
        <w:tc>
          <w:tcPr>
            <w:tcW w:type="dxa" w:w="1680"/>
            <w:shd w:fill="F2F4F8" w:val="clear"/>
          </w:tcPr>
          <w:p>
            <w:r>
              <w:rPr>
                <w:rFonts w:ascii="Calibri" w:hAnsi="Calibri"/>
                <w:color w:val="333333"/>
                <w:sz w:val="18"/>
              </w:rPr>
              <w:t>88%</w:t>
            </w:r>
          </w:p>
        </w:tc>
      </w:tr>
      <w:tr>
        <w:tc>
          <w:tcPr>
            <w:tcW w:type="dxa" w:w="1680"/>
          </w:tcPr>
          <w:p>
            <w:r>
              <w:rPr>
                <w:rFonts w:ascii="Calibri" w:hAnsi="Calibri"/>
                <w:color w:val="333333"/>
                <w:sz w:val="18"/>
              </w:rPr>
              <w:t>Public Company Maturity</w:t>
            </w:r>
          </w:p>
        </w:tc>
        <w:tc>
          <w:tcPr>
            <w:tcW w:type="dxa" w:w="1680"/>
          </w:tcPr>
          <w:p>
            <w:r>
              <w:rPr>
                <w:rFonts w:ascii="Calibri" w:hAnsi="Calibri"/>
                <w:color w:val="333333"/>
                <w:sz w:val="18"/>
              </w:rPr>
              <w:t>10.0%</w:t>
            </w:r>
          </w:p>
        </w:tc>
        <w:tc>
          <w:tcPr>
            <w:tcW w:type="dxa" w:w="1680"/>
          </w:tcPr>
          <w:p>
            <w:r>
              <w:rPr>
                <w:rFonts w:ascii="Calibri" w:hAnsi="Calibri"/>
                <w:color w:val="333333"/>
                <w:sz w:val="18"/>
              </w:rPr>
              <w:t>10.0</w:t>
            </w:r>
          </w:p>
        </w:tc>
        <w:tc>
          <w:tcPr>
            <w:tcW w:type="dxa" w:w="1680"/>
          </w:tcPr>
          <w:p>
            <w:r>
              <w:rPr>
                <w:rFonts w:ascii="Calibri" w:hAnsi="Calibri"/>
                <w:color w:val="333333"/>
                <w:sz w:val="18"/>
              </w:rPr>
              <w:t>1.0</w:t>
            </w:r>
          </w:p>
        </w:tc>
        <w:tc>
          <w:tcPr>
            <w:tcW w:type="dxa" w:w="1680"/>
          </w:tcPr>
          <w:p>
            <w:r>
              <w:rPr>
                <w:rFonts w:ascii="Calibri" w:hAnsi="Calibri"/>
                <w:color w:val="333333"/>
                <w:sz w:val="18"/>
              </w:rPr>
              <w:t>4/5</w:t>
            </w:r>
          </w:p>
        </w:tc>
        <w:tc>
          <w:tcPr>
            <w:tcW w:type="dxa" w:w="1680"/>
          </w:tcPr>
          <w:p>
            <w:r>
              <w:rPr>
                <w:rFonts w:ascii="Calibri" w:hAnsi="Calibri"/>
                <w:color w:val="333333"/>
                <w:sz w:val="18"/>
              </w:rPr>
              <w:t>80%</w:t>
            </w:r>
          </w:p>
        </w:tc>
      </w:tr>
      <w:tr>
        <w:tc>
          <w:tcPr>
            <w:tcW w:type="dxa" w:w="1680"/>
            <w:shd w:fill="F2F4F8" w:val="clear"/>
          </w:tcPr>
          <w:p>
            <w:r>
              <w:rPr>
                <w:rFonts w:ascii="Calibri" w:hAnsi="Calibri"/>
                <w:color w:val="333333"/>
                <w:sz w:val="18"/>
              </w:rPr>
              <w:t>External Environment</w:t>
            </w:r>
          </w:p>
        </w:tc>
        <w:tc>
          <w:tcPr>
            <w:tcW w:type="dxa" w:w="1680"/>
            <w:shd w:fill="F2F4F8" w:val="clear"/>
          </w:tcPr>
          <w:p>
            <w:r>
              <w:rPr>
                <w:rFonts w:ascii="Calibri" w:hAnsi="Calibri"/>
                <w:color w:val="333333"/>
                <w:sz w:val="18"/>
              </w:rPr>
              <w:t>10.0%</w:t>
            </w:r>
          </w:p>
        </w:tc>
        <w:tc>
          <w:tcPr>
            <w:tcW w:type="dxa" w:w="1680"/>
            <w:shd w:fill="F2F4F8" w:val="clear"/>
          </w:tcPr>
          <w:p>
            <w:r>
              <w:rPr>
                <w:rFonts w:ascii="Calibri" w:hAnsi="Calibri"/>
                <w:color w:val="333333"/>
                <w:sz w:val="18"/>
              </w:rPr>
              <w:t>52.4</w:t>
            </w:r>
          </w:p>
        </w:tc>
        <w:tc>
          <w:tcPr>
            <w:tcW w:type="dxa" w:w="1680"/>
            <w:shd w:fill="F2F4F8" w:val="clear"/>
          </w:tcPr>
          <w:p>
            <w:r>
              <w:rPr>
                <w:rFonts w:ascii="Calibri" w:hAnsi="Calibri"/>
                <w:color w:val="333333"/>
                <w:sz w:val="18"/>
              </w:rPr>
              <w:t>5.2</w:t>
            </w:r>
          </w:p>
        </w:tc>
        <w:tc>
          <w:tcPr>
            <w:tcW w:type="dxa" w:w="1680"/>
            <w:shd w:fill="F2F4F8" w:val="clear"/>
          </w:tcPr>
          <w:p>
            <w:r>
              <w:rPr>
                <w:rFonts w:ascii="Calibri" w:hAnsi="Calibri"/>
                <w:color w:val="333333"/>
                <w:sz w:val="18"/>
              </w:rPr>
              <w:t>7/7</w:t>
            </w:r>
          </w:p>
        </w:tc>
        <w:tc>
          <w:tcPr>
            <w:tcW w:type="dxa" w:w="1680"/>
            <w:shd w:fill="F2F4F8" w:val="clear"/>
          </w:tcPr>
          <w:p>
            <w:r>
              <w:rPr>
                <w:rFonts w:ascii="Calibri" w:hAnsi="Calibri"/>
                <w:color w:val="333333"/>
                <w:sz w:val="18"/>
              </w:rPr>
              <w:t>100%</w:t>
            </w:r>
          </w:p>
        </w:tc>
      </w:tr>
      <w:tr>
        <w:tc>
          <w:tcPr>
            <w:tcW w:type="dxa" w:w="1680"/>
          </w:tcPr>
          <w:p>
            <w:r>
              <w:rPr>
                <w:rFonts w:ascii="Calibri" w:hAnsi="Calibri"/>
                <w:color w:val="333333"/>
                <w:sz w:val="18"/>
              </w:rPr>
              <w:t>Emerging / Modern Hazards</w:t>
            </w:r>
          </w:p>
        </w:tc>
        <w:tc>
          <w:tcPr>
            <w:tcW w:type="dxa" w:w="1680"/>
          </w:tcPr>
          <w:p>
            <w:r>
              <w:rPr>
                <w:rFonts w:ascii="Calibri" w:hAnsi="Calibri"/>
                <w:color w:val="333333"/>
                <w:sz w:val="18"/>
              </w:rPr>
              <w:t>10.0%</w:t>
            </w:r>
          </w:p>
        </w:tc>
        <w:tc>
          <w:tcPr>
            <w:tcW w:type="dxa" w:w="1680"/>
          </w:tcPr>
          <w:p>
            <w:r>
              <w:rPr>
                <w:rFonts w:ascii="Calibri" w:hAnsi="Calibri"/>
                <w:color w:val="333333"/>
                <w:sz w:val="18"/>
              </w:rPr>
              <w:t>31.2</w:t>
            </w:r>
          </w:p>
        </w:tc>
        <w:tc>
          <w:tcPr>
            <w:tcW w:type="dxa" w:w="1680"/>
          </w:tcPr>
          <w:p>
            <w:r>
              <w:rPr>
                <w:rFonts w:ascii="Calibri" w:hAnsi="Calibri"/>
                <w:color w:val="333333"/>
                <w:sz w:val="18"/>
              </w:rPr>
              <w:t>3.1</w:t>
            </w:r>
          </w:p>
        </w:tc>
        <w:tc>
          <w:tcPr>
            <w:tcW w:type="dxa" w:w="1680"/>
          </w:tcPr>
          <w:p>
            <w:r>
              <w:rPr>
                <w:rFonts w:ascii="Calibri" w:hAnsi="Calibri"/>
                <w:color w:val="333333"/>
                <w:sz w:val="18"/>
              </w:rPr>
              <w:t>4/6</w:t>
            </w:r>
          </w:p>
        </w:tc>
        <w:tc>
          <w:tcPr>
            <w:tcW w:type="dxa" w:w="1680"/>
          </w:tcPr>
          <w:p>
            <w:r>
              <w:rPr>
                <w:rFonts w:ascii="Calibri" w:hAnsi="Calibri"/>
                <w:color w:val="333333"/>
                <w:sz w:val="18"/>
              </w:rPr>
              <w:t>67%</w:t>
            </w:r>
          </w:p>
        </w:tc>
      </w:tr>
    </w:tbl>
    <w:p>
      <w:pPr>
        <w:pStyle w:val="DOHeading2"/>
      </w:pPr>
      <w:r>
        <w:t>Risk Factors (D&amp;O-Relevant)</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Risk Factor</w:t>
            </w:r>
          </w:p>
        </w:tc>
        <w:tc>
          <w:tcPr>
            <w:tcW w:type="dxa" w:w="2016"/>
            <w:shd w:fill="1A1446" w:val="clear"/>
          </w:tcPr>
          <w:p>
            <w:r>
              <w:rPr>
                <w:rFonts w:ascii="Calibri" w:hAnsi="Calibri"/>
                <w:b/>
                <w:color w:val="FFFFFF"/>
                <w:sz w:val="18"/>
              </w:rPr>
              <w:t>Category</w:t>
            </w:r>
          </w:p>
        </w:tc>
        <w:tc>
          <w:tcPr>
            <w:tcW w:type="dxa" w:w="2016"/>
            <w:shd w:fill="1A1446" w:val="clear"/>
          </w:tcPr>
          <w:p>
            <w:r>
              <w:rPr>
                <w:rFonts w:ascii="Calibri" w:hAnsi="Calibri"/>
                <w:b/>
                <w:color w:val="FFFFFF"/>
                <w:sz w:val="18"/>
              </w:rPr>
              <w:t>Severity</w:t>
            </w:r>
          </w:p>
        </w:tc>
        <w:tc>
          <w:tcPr>
            <w:tcW w:type="dxa" w:w="2016"/>
            <w:shd w:fill="1A1446" w:val="clear"/>
          </w:tcPr>
          <w:p>
            <w:r>
              <w:rPr>
                <w:rFonts w:ascii="Calibri" w:hAnsi="Calibri"/>
                <w:b/>
                <w:color w:val="FFFFFF"/>
                <w:sz w:val="18"/>
              </w:rPr>
              <w:t>D&amp;O Relevance</w:t>
            </w:r>
          </w:p>
        </w:tc>
        <w:tc>
          <w:tcPr>
            <w:tcW w:type="dxa" w:w="2016"/>
            <w:shd w:fill="1A1446" w:val="clear"/>
          </w:tcPr>
          <w:p>
            <w:r>
              <w:rPr>
                <w:rFonts w:ascii="Calibri" w:hAnsi="Calibri"/>
                <w:b/>
                <w:color w:val="FFFFFF"/>
                <w:sz w:val="18"/>
              </w:rPr>
              <w:t>Source Passage</w:t>
            </w:r>
          </w:p>
        </w:tc>
      </w:tr>
      <w:tr>
        <w:tc>
          <w:tcPr>
            <w:tcW w:type="dxa" w:w="2016"/>
          </w:tcPr>
          <w:p>
            <w:r>
              <w:rPr>
                <w:rFonts w:ascii="Calibri" w:hAnsi="Calibri"/>
                <w:color w:val="333333"/>
                <w:sz w:val="18"/>
              </w:rPr>
              <w:t>[NEW] Medical Cost Trends</w:t>
            </w:r>
          </w:p>
        </w:tc>
        <w:tc>
          <w:tcPr>
            <w:tcW w:type="dxa" w:w="2016"/>
          </w:tcPr>
          <w:p>
            <w:r>
              <w:rPr>
                <w:rFonts w:ascii="Calibri" w:hAnsi="Calibri"/>
                <w:color w:val="333333"/>
                <w:sz w:val="18"/>
              </w:rPr>
              <w:t>FINANCIAL</w:t>
            </w:r>
          </w:p>
        </w:tc>
        <w:tc>
          <w:tcPr>
            <w:tcW w:type="dxa" w:w="2016"/>
          </w:tcPr>
          <w:p>
            <w:r>
              <w:rPr>
                <w:rFonts w:ascii="Calibri" w:hAnsi="Calibri"/>
                <w:color w:val="333333"/>
                <w:sz w:val="18"/>
              </w:rPr>
              <w:t>HIGH</w:t>
            </w:r>
          </w:p>
        </w:tc>
        <w:tc>
          <w:tcPr>
            <w:tcW w:type="dxa" w:w="2016"/>
          </w:tcPr>
          <w:p>
            <w:r>
              <w:rPr>
                <w:rFonts w:ascii="Calibri" w:hAnsi="Calibri"/>
                <w:color w:val="333333"/>
                <w:sz w:val="18"/>
              </w:rPr>
              <w:t>MEDIUM</w:t>
            </w:r>
          </w:p>
        </w:tc>
        <w:tc>
          <w:tcPr>
            <w:tcW w:type="dxa" w:w="2016"/>
          </w:tcPr>
          <w:p>
            <w:r>
              <w:rPr>
                <w:rFonts w:ascii="Calibri" w:hAnsi="Calibri"/>
                <w:color w:val="333333"/>
                <w:sz w:val="18"/>
              </w:rPr>
              <w:t>Increased medical costs in 2025, which are expected to continue in future periods, have added to the compounding impact of previous multi-year rate shortfalls.</w:t>
            </w:r>
          </w:p>
        </w:tc>
      </w:tr>
      <w:tr>
        <w:tc>
          <w:tcPr>
            <w:tcW w:type="dxa" w:w="2016"/>
            <w:shd w:fill="F2F4F8" w:val="clear"/>
          </w:tcPr>
          <w:p>
            <w:r>
              <w:rPr>
                <w:rFonts w:ascii="Calibri" w:hAnsi="Calibri"/>
                <w:color w:val="333333"/>
                <w:sz w:val="18"/>
              </w:rPr>
              <w:t>[NEW] Medicare Advantage Funding Pressures</w:t>
            </w:r>
          </w:p>
        </w:tc>
        <w:tc>
          <w:tcPr>
            <w:tcW w:type="dxa" w:w="2016"/>
            <w:shd w:fill="F2F4F8" w:val="clear"/>
          </w:tcPr>
          <w:p>
            <w:r>
              <w:rPr>
                <w:rFonts w:ascii="Calibri" w:hAnsi="Calibri"/>
                <w:color w:val="333333"/>
                <w:sz w:val="18"/>
              </w:rPr>
              <w:t>REGULATORY</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Medicare Advantage rate notices for numerous years have resulted in industry base rates well below the industry forward medical cost trend. The Advanced Notice for 2027 is far below, creating sustained pressure on the Medicare Advantage program.</w:t>
            </w:r>
          </w:p>
        </w:tc>
      </w:tr>
      <w:tr>
        <w:tc>
          <w:tcPr>
            <w:tcW w:type="dxa" w:w="2016"/>
          </w:tcPr>
          <w:p>
            <w:r>
              <w:rPr>
                <w:rFonts w:ascii="Calibri" w:hAnsi="Calibri"/>
                <w:color w:val="333333"/>
                <w:sz w:val="18"/>
              </w:rPr>
              <w:t>Cybersecurity and Data Privacy Risks</w:t>
            </w:r>
          </w:p>
        </w:tc>
        <w:tc>
          <w:tcPr>
            <w:tcW w:type="dxa" w:w="2016"/>
          </w:tcPr>
          <w:p>
            <w:r>
              <w:rPr>
                <w:rFonts w:ascii="Calibri" w:hAnsi="Calibri"/>
                <w:color w:val="333333"/>
                <w:sz w:val="18"/>
              </w:rPr>
              <w:t>CYBER</w:t>
            </w:r>
          </w:p>
        </w:tc>
        <w:tc>
          <w:tcPr>
            <w:tcW w:type="dxa" w:w="2016"/>
          </w:tcPr>
          <w:p>
            <w:r>
              <w:rPr>
                <w:rFonts w:ascii="Calibri" w:hAnsi="Calibri"/>
                <w:color w:val="333333"/>
                <w:sz w:val="18"/>
              </w:rPr>
              <w:t>HIGH</w:t>
            </w:r>
          </w:p>
        </w:tc>
        <w:tc>
          <w:tcPr>
            <w:tcW w:type="dxa" w:w="2016"/>
          </w:tcPr>
          <w:p>
            <w:r>
              <w:rPr>
                <w:rFonts w:ascii="Calibri" w:hAnsi="Calibri"/>
                <w:color w:val="333333"/>
                <w:sz w:val="18"/>
              </w:rPr>
              <w:t>MEDIUM</w:t>
            </w:r>
          </w:p>
        </w:tc>
        <w:tc>
          <w:tcPr>
            <w:tcW w:type="dxa" w:w="2016"/>
          </w:tcPr>
          <w:p>
            <w:r>
              <w:rPr>
                <w:rFonts w:ascii="Calibri" w:hAnsi="Calibri"/>
                <w:color w:val="333333"/>
                <w:sz w:val="18"/>
              </w:rPr>
              <w:t>The Company faces risks related to cybersecurity incidents, data breaches, and compliance with evolving data privacy regulations such as GDPR and CCPA, which could result in financial losses, reputational damage, and regulatory penalties.</w:t>
            </w:r>
          </w:p>
        </w:tc>
      </w:tr>
      <w:tr>
        <w:tc>
          <w:tcPr>
            <w:tcW w:type="dxa" w:w="2016"/>
            <w:shd w:fill="F2F4F8" w:val="clear"/>
          </w:tcPr>
          <w:p>
            <w:r>
              <w:rPr>
                <w:rFonts w:ascii="Calibri" w:hAnsi="Calibri"/>
                <w:color w:val="333333"/>
                <w:sz w:val="18"/>
              </w:rPr>
              <w:t>Litigation and Government Investigations</w:t>
            </w:r>
          </w:p>
        </w:tc>
        <w:tc>
          <w:tcPr>
            <w:tcW w:type="dxa" w:w="2016"/>
            <w:shd w:fill="F2F4F8" w:val="clear"/>
          </w:tcPr>
          <w:p>
            <w:r>
              <w:rPr>
                <w:rFonts w:ascii="Calibri" w:hAnsi="Calibri"/>
                <w:color w:val="333333"/>
                <w:sz w:val="18"/>
              </w:rPr>
              <w:t>LITIGATION</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The Company is subject to various legal proceedings, government investigations, audits, and reviews arising from its operations, which could result in significant financial liabilities and reputational harm.</w:t>
            </w:r>
          </w:p>
        </w:tc>
      </w:tr>
      <w:tr>
        <w:tc>
          <w:tcPr>
            <w:tcW w:type="dxa" w:w="2016"/>
          </w:tcPr>
          <w:p>
            <w:r>
              <w:rPr>
                <w:rFonts w:ascii="Calibri" w:hAnsi="Calibri"/>
                <w:color w:val="333333"/>
                <w:sz w:val="18"/>
              </w:rPr>
              <w:t>Extensive Government Regulation</w:t>
            </w:r>
          </w:p>
        </w:tc>
        <w:tc>
          <w:tcPr>
            <w:tcW w:type="dxa" w:w="2016"/>
          </w:tcPr>
          <w:p>
            <w:r>
              <w:rPr>
                <w:rFonts w:ascii="Calibri" w:hAnsi="Calibri"/>
                <w:color w:val="333333"/>
                <w:sz w:val="18"/>
              </w:rPr>
              <w:t>REGULATORY</w:t>
            </w:r>
          </w:p>
        </w:tc>
        <w:tc>
          <w:tcPr>
            <w:tcW w:type="dxa" w:w="2016"/>
          </w:tcPr>
          <w:p>
            <w:r>
              <w:rPr>
                <w:rFonts w:ascii="Calibri" w:hAnsi="Calibri"/>
                <w:color w:val="333333"/>
                <w:sz w:val="18"/>
              </w:rPr>
              <w:t>HIGH</w:t>
            </w:r>
          </w:p>
        </w:tc>
        <w:tc>
          <w:tcPr>
            <w:tcW w:type="dxa" w:w="2016"/>
          </w:tcPr>
          <w:p>
            <w:r>
              <w:rPr>
                <w:rFonts w:ascii="Calibri" w:hAnsi="Calibri"/>
                <w:color w:val="333333"/>
                <w:sz w:val="18"/>
              </w:rPr>
              <w:t>HIGH</w:t>
            </w:r>
          </w:p>
        </w:tc>
        <w:tc>
          <w:tcPr>
            <w:tcW w:type="dxa" w:w="2016"/>
          </w:tcPr>
          <w:p>
            <w:r>
              <w:rPr>
                <w:rFonts w:ascii="Calibri" w:hAnsi="Calibri"/>
                <w:color w:val="333333"/>
                <w:sz w:val="18"/>
              </w:rPr>
              <w:t>The Company is subject to extensive federal, state and international laws and regulations, including the Affordable Care Act, ERISA, HIPAA, Medicare and Medicaid rules, state insurance laws, corporate practice of medicine laws, pharmacy and PBM regulations, and data privacy laws.</w:t>
            </w:r>
          </w:p>
        </w:tc>
      </w:tr>
      <w:tr>
        <w:tc>
          <w:tcPr>
            <w:tcW w:type="dxa" w:w="2016"/>
            <w:shd w:fill="F2F4F8" w:val="clear"/>
          </w:tcPr>
          <w:p>
            <w:r>
              <w:rPr>
                <w:rFonts w:ascii="Calibri" w:hAnsi="Calibri"/>
                <w:color w:val="333333"/>
                <w:sz w:val="18"/>
              </w:rPr>
              <w:t>Economic and Market Conditions</w:t>
            </w:r>
          </w:p>
        </w:tc>
        <w:tc>
          <w:tcPr>
            <w:tcW w:type="dxa" w:w="2016"/>
            <w:shd w:fill="F2F4F8" w:val="clear"/>
          </w:tcPr>
          <w:p>
            <w:r>
              <w:rPr>
                <w:rFonts w:ascii="Calibri" w:hAnsi="Calibri"/>
                <w:color w:val="333333"/>
                <w:sz w:val="18"/>
              </w:rPr>
              <w:t>FINANCIAL</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The Company's results may be affected by general economic conditions, interest rate fluctuations, and changes in health care spending patterns.</w:t>
            </w:r>
          </w:p>
        </w:tc>
      </w:tr>
      <w:tr>
        <w:tc>
          <w:tcPr>
            <w:tcW w:type="dxa" w:w="2016"/>
          </w:tcPr>
          <w:p>
            <w:r>
              <w:rPr>
                <w:rFonts w:ascii="Calibri" w:hAnsi="Calibri"/>
                <w:color w:val="333333"/>
                <w:sz w:val="18"/>
              </w:rPr>
              <w:t>Pharmacy and PBM Regulatory Changes</w:t>
            </w:r>
          </w:p>
        </w:tc>
        <w:tc>
          <w:tcPr>
            <w:tcW w:type="dxa" w:w="2016"/>
          </w:tcPr>
          <w:p>
            <w:r>
              <w:rPr>
                <w:rFonts w:ascii="Calibri" w:hAnsi="Calibri"/>
                <w:color w:val="333333"/>
                <w:sz w:val="18"/>
              </w:rPr>
              <w:t>REGULATORY</w:t>
            </w:r>
          </w:p>
        </w:tc>
        <w:tc>
          <w:tcPr>
            <w:tcW w:type="dxa" w:w="2016"/>
          </w:tcPr>
          <w:p>
            <w:r>
              <w:rPr>
                <w:rFonts w:ascii="Calibri" w:hAnsi="Calibri"/>
                <w:color w:val="333333"/>
                <w:sz w:val="18"/>
              </w:rPr>
              <w:t>MEDIUM</w:t>
            </w:r>
          </w:p>
        </w:tc>
        <w:tc>
          <w:tcPr>
            <w:tcW w:type="dxa" w:w="2016"/>
          </w:tcPr>
          <w:p>
            <w:r>
              <w:rPr>
                <w:rFonts w:ascii="Calibri" w:hAnsi="Calibri"/>
                <w:color w:val="333333"/>
                <w:sz w:val="18"/>
              </w:rPr>
              <w:t>HIGH</w:t>
            </w:r>
          </w:p>
        </w:tc>
        <w:tc>
          <w:tcPr>
            <w:tcW w:type="dxa" w:w="2016"/>
          </w:tcPr>
          <w:p>
            <w:r>
              <w:rPr>
                <w:rFonts w:ascii="Calibri" w:hAnsi="Calibri"/>
                <w:color w:val="333333"/>
                <w:sz w:val="18"/>
              </w:rPr>
              <w:t>Federal and state legislation regulating PBM activities affects the Company's ability to manage pharmacy networks and formularies, and could increase operational costs.</w:t>
            </w:r>
          </w:p>
        </w:tc>
      </w:tr>
      <w:tr>
        <w:tc>
          <w:tcPr>
            <w:tcW w:type="dxa" w:w="2016"/>
            <w:shd w:fill="F2F4F8" w:val="clear"/>
          </w:tcPr>
          <w:p>
            <w:r>
              <w:rPr>
                <w:rFonts w:ascii="Calibri" w:hAnsi="Calibri"/>
                <w:color w:val="333333"/>
                <w:sz w:val="18"/>
              </w:rPr>
              <w:t>Corporate Practice of Medicine Laws</w:t>
            </w:r>
          </w:p>
        </w:tc>
        <w:tc>
          <w:tcPr>
            <w:tcW w:type="dxa" w:w="2016"/>
            <w:shd w:fill="F2F4F8" w:val="clear"/>
          </w:tcPr>
          <w:p>
            <w:r>
              <w:rPr>
                <w:rFonts w:ascii="Calibri" w:hAnsi="Calibri"/>
                <w:color w:val="333333"/>
                <w:sz w:val="18"/>
              </w:rPr>
              <w:t>REGULATORY</w:t>
            </w:r>
          </w:p>
        </w:tc>
        <w:tc>
          <w:tcPr>
            <w:tcW w:type="dxa" w:w="2016"/>
            <w:shd w:fill="F2F4F8" w:val="clear"/>
          </w:tcPr>
          <w:p>
            <w:r>
              <w:rPr>
                <w:rFonts w:ascii="Calibri" w:hAnsi="Calibri"/>
                <w:color w:val="333333"/>
                <w:sz w:val="18"/>
              </w:rPr>
              <w:t>MEDIUM</w:t>
            </w:r>
          </w:p>
        </w:tc>
        <w:tc>
          <w:tcPr>
            <w:tcW w:type="dxa" w:w="2016"/>
            <w:shd w:fill="F2F4F8" w:val="clear"/>
          </w:tcPr>
          <w:p>
            <w:r>
              <w:rPr>
                <w:rFonts w:ascii="Calibri" w:hAnsi="Calibri"/>
                <w:color w:val="333333"/>
                <w:sz w:val="18"/>
              </w:rPr>
              <w:t>HIGH</w:t>
            </w:r>
          </w:p>
        </w:tc>
        <w:tc>
          <w:tcPr>
            <w:tcW w:type="dxa" w:w="2016"/>
            <w:shd w:fill="F2F4F8" w:val="clear"/>
          </w:tcPr>
          <w:p>
            <w:r>
              <w:rPr>
                <w:rFonts w:ascii="Calibri" w:hAnsi="Calibri"/>
                <w:color w:val="333333"/>
                <w:sz w:val="18"/>
              </w:rPr>
              <w:t>Some states have corporate practice of medicine laws prohibiting specific entities from practicing medicine or employing physicians, which could impact how the Company structures transactions and contracts with physicians.</w:t>
            </w:r>
          </w:p>
        </w:tc>
      </w:tr>
    </w:tbl>
    <w:p>
      <w:pPr>
        <w:pStyle w:val="DOCaption"/>
      </w:pPr>
      <w:r>
        <w:t>8 D&amp;O-relevant risk factors (2 new this year, 5 high severity).</w:t>
      </w:r>
    </w:p>
    <w:p>
      <w:pPr>
        <w:spacing w:before="120" w:after="40"/>
        <w:pBdr>
          <w:bottom w:val="single" w:sz="6" w:space="1" w:color="FFD000"/>
        </w:pBdr>
      </w:pPr>
    </w:p>
    <w:p>
      <w:pPr>
        <w:pStyle w:val="DOBody"/>
        <w:spacing w:before="40" w:after="80"/>
      </w:pPr>
      <w:r>
        <w:rPr>
          <w:b/>
          <w:color w:val="CC0000"/>
          <w:sz w:val="20"/>
        </w:rPr>
        <w:t>CRITICAL RISK</w:t>
      </w:r>
    </w:p>
    <w:p>
      <w:pPr>
        <w:pStyle w:val="DOBody"/>
        <w:spacing w:before="40" w:after="120"/>
      </w:pPr>
      <w:r>
        <w:rPr>
          <w:color w:val="333333"/>
          <w:sz w:val="20"/>
        </w:rPr>
        <w:t>UnitedHealth’s stock has collapsed 54.27% from its 52-week high of $606.36 to a current price of $277.26, a decline that far exceeds typical sector volatility and firmly crosses the threshold for stock-drop litigation under *Dura Pharmaceuticals*. The most severe single-day event was a -22.38% drop on April 17, 2025, triggered directly by an earnings release, providing a clear, identifiable event for plaintiffs to allege material misrepresentation and establish loss causation. While insider selling is currently neutral with 0.0% of activity under 10b5-1 plans, the six-month rising short interest trend to 1.97% of float indicates building market skepticism that could bolster scienter arguments under *Tellabs*. The absence of any recent analyst downgrades against this 54.27% price destruction creates a stark dissonance that plaintiffs will exploit to allege the market was misled, despite a prevailing BUY consensus. My primary concern is that the earnings-driven -22.38% drop provides a perfect loss causation anchor, and the sheer magnitude of the peak-to-trough decline creates a broad plaintiff class with immense damages to claim.</w:t>
      </w:r>
    </w:p>
    <w:p>
      <w:pPr>
        <w:pStyle w:val="DOHeading1"/>
      </w:pPr>
      <w:r>
        <w:t>Section 4: Market &amp; Trading Analysis</w:t>
      </w:r>
    </w:p>
    <w:p>
      <w:pPr>
        <w:pStyle w:val="DOBody"/>
      </w:pPr>
      <w:r>
        <w:rPr>
          <w:rFonts w:ascii="Calibri" w:hAnsi="Calibri"/>
          <w:color w:val="333333"/>
          <w:sz w:val="20"/>
        </w:rPr>
        <w:t>The stock has suffered a severe 54.3% decline from its 52-week high ($606 to $277). Declines of this magnitude almost invariably attract securities litigation. Worst single-day decline: 22.4% on 2025-04-17 triggered by earnings_release. Short interest of 2.0% of float is low (6-month trend: RISING). Analyst consensus: BUY. Stock-drop litigation risk is severe.</w:t>
      </w:r>
    </w:p>
    <w:p>
      <w:pPr>
        <w:pStyle w:val="DOHeading2"/>
      </w:pPr>
      <w:r>
        <w:t>Stock Performance</w:t>
      </w:r>
    </w:p>
    <w:p>
      <w:r>
        <w:drawing>
          <wp:inline xmlns:a="http://schemas.openxmlformats.org/drawingml/2006/main" xmlns:pic="http://schemas.openxmlformats.org/drawingml/2006/picture">
            <wp:extent cx="5943600" cy="3878747"/>
            <wp:docPr id="2" name="Picture 2"/>
            <wp:cNvGraphicFramePr>
              <a:graphicFrameLocks noChangeAspect="1"/>
            </wp:cNvGraphicFramePr>
            <a:graphic>
              <a:graphicData uri="http://schemas.openxmlformats.org/drawingml/2006/picture">
                <pic:pic>
                  <pic:nvPicPr>
                    <pic:cNvPr id="0" name="stock_1y.png"/>
                    <pic:cNvPicPr/>
                  </pic:nvPicPr>
                  <pic:blipFill>
                    <a:blip r:embed="rId12"/>
                    <a:stretch>
                      <a:fillRect/>
                    </a:stretch>
                  </pic:blipFill>
                  <pic:spPr>
                    <a:xfrm>
                      <a:off x="0" y="0"/>
                      <a:ext cx="5943600" cy="3878747"/>
                    </a:xfrm>
                    <a:prstGeom prst="rect"/>
                  </pic:spPr>
                </pic:pic>
              </a:graphicData>
            </a:graphic>
          </wp:inline>
        </w:drawing>
      </w:r>
    </w:p>
    <w:p>
      <w:pPr>
        <w:pStyle w:val="DOCaption"/>
      </w:pPr>
      <w:r>
        <w:t>1-Year Performance (Indexed to 100). Red triangles mark single-day drops &gt;= 8%. Orange bands mark multi-day declines &gt;= 15%.</w:t>
      </w:r>
    </w:p>
    <w:p>
      <w:r>
        <w:drawing>
          <wp:inline xmlns:a="http://schemas.openxmlformats.org/drawingml/2006/main" xmlns:pic="http://schemas.openxmlformats.org/drawingml/2006/picture">
            <wp:extent cx="5943600" cy="3878747"/>
            <wp:docPr id="3" name="Picture 3"/>
            <wp:cNvGraphicFramePr>
              <a:graphicFrameLocks noChangeAspect="1"/>
            </wp:cNvGraphicFramePr>
            <a:graphic>
              <a:graphicData uri="http://schemas.openxmlformats.org/drawingml/2006/picture">
                <pic:pic>
                  <pic:nvPicPr>
                    <pic:cNvPr id="0" name="stock_5y.png"/>
                    <pic:cNvPicPr/>
                  </pic:nvPicPr>
                  <pic:blipFill>
                    <a:blip r:embed="rId13"/>
                    <a:stretch>
                      <a:fillRect/>
                    </a:stretch>
                  </pic:blipFill>
                  <pic:spPr>
                    <a:xfrm>
                      <a:off x="0" y="0"/>
                      <a:ext cx="5943600" cy="3878747"/>
                    </a:xfrm>
                    <a:prstGeom prst="rect"/>
                  </pic:spPr>
                </pic:pic>
              </a:graphicData>
            </a:graphic>
          </wp:inline>
        </w:drawing>
      </w:r>
    </w:p>
    <w:p>
      <w:pPr>
        <w:pStyle w:val="DOCaption"/>
      </w:pPr>
      <w:r>
        <w:t>5-Year Performance (Indexed to 100)</w:t>
      </w:r>
    </w:p>
    <w:p>
      <w:r>
        <w:drawing>
          <wp:inline xmlns:a="http://schemas.openxmlformats.org/drawingml/2006/main" xmlns:pic="http://schemas.openxmlformats.org/drawingml/2006/picture">
            <wp:extent cx="5943600" cy="3613303"/>
            <wp:docPr id="4" name="Picture 4"/>
            <wp:cNvGraphicFramePr>
              <a:graphicFrameLocks noChangeAspect="1"/>
            </wp:cNvGraphicFramePr>
            <a:graphic>
              <a:graphicData uri="http://schemas.openxmlformats.org/drawingml/2006/picture">
                <pic:pic>
                  <pic:nvPicPr>
                    <pic:cNvPr id="0" name="drop_analysis_1y.png"/>
                    <pic:cNvPicPr/>
                  </pic:nvPicPr>
                  <pic:blipFill>
                    <a:blip r:embed="rId14"/>
                    <a:stretch>
                      <a:fillRect/>
                    </a:stretch>
                  </pic:blipFill>
                  <pic:spPr>
                    <a:xfrm>
                      <a:off x="0" y="0"/>
                      <a:ext cx="5943600" cy="3613303"/>
                    </a:xfrm>
                    <a:prstGeom prst="rect"/>
                  </pic:spPr>
                </pic:pic>
              </a:graphicData>
            </a:graphic>
          </wp:inline>
        </w:drawing>
      </w:r>
    </w:p>
    <w:p>
      <w:pPr>
        <w:pStyle w:val="DOCaption"/>
      </w:pPr>
      <w:r>
        <w:t>Drop Event Analysis (12 Months)</w:t>
      </w:r>
    </w:p>
    <w:p>
      <w:r>
        <w:drawing>
          <wp:inline xmlns:a="http://schemas.openxmlformats.org/drawingml/2006/main" xmlns:pic="http://schemas.openxmlformats.org/drawingml/2006/picture">
            <wp:extent cx="5943600" cy="3467100"/>
            <wp:docPr id="5" name="Picture 5"/>
            <wp:cNvGraphicFramePr>
              <a:graphicFrameLocks noChangeAspect="1"/>
            </wp:cNvGraphicFramePr>
            <a:graphic>
              <a:graphicData uri="http://schemas.openxmlformats.org/drawingml/2006/picture">
                <pic:pic>
                  <pic:nvPicPr>
                    <pic:cNvPr id="0" name="drop_analysis_5y.png"/>
                    <pic:cNvPicPr/>
                  </pic:nvPicPr>
                  <pic:blipFill>
                    <a:blip r:embed="rId15"/>
                    <a:stretch>
                      <a:fillRect/>
                    </a:stretch>
                  </pic:blipFill>
                  <pic:spPr>
                    <a:xfrm>
                      <a:off x="0" y="0"/>
                      <a:ext cx="5943600" cy="3467100"/>
                    </a:xfrm>
                    <a:prstGeom prst="rect"/>
                  </pic:spPr>
                </pic:pic>
              </a:graphicData>
            </a:graphic>
          </wp:inline>
        </w:drawing>
      </w:r>
    </w:p>
    <w:p>
      <w:pPr>
        <w:pStyle w:val="DOCaption"/>
      </w:pPr>
      <w:r>
        <w:t>Drop Event Analysis (5 Years)</w:t>
      </w:r>
    </w:p>
    <w:p>
      <w:r>
        <w:drawing>
          <wp:inline xmlns:a="http://schemas.openxmlformats.org/drawingml/2006/main" xmlns:pic="http://schemas.openxmlformats.org/drawingml/2006/picture">
            <wp:extent cx="5943600" cy="3194685"/>
            <wp:docPr id="6" name="Picture 6"/>
            <wp:cNvGraphicFramePr>
              <a:graphicFrameLocks noChangeAspect="1"/>
            </wp:cNvGraphicFramePr>
            <a:graphic>
              <a:graphicData uri="http://schemas.openxmlformats.org/drawingml/2006/picture">
                <pic:pic>
                  <pic:nvPicPr>
                    <pic:cNvPr id="0" name="drop_scatter_1y.png"/>
                    <pic:cNvPicPr/>
                  </pic:nvPicPr>
                  <pic:blipFill>
                    <a:blip r:embed="rId16"/>
                    <a:stretch>
                      <a:fillRect/>
                    </a:stretch>
                  </pic:blipFill>
                  <pic:spPr>
                    <a:xfrm>
                      <a:off x="0" y="0"/>
                      <a:ext cx="5943600" cy="3194685"/>
                    </a:xfrm>
                    <a:prstGeom prst="rect"/>
                  </pic:spPr>
                </pic:pic>
              </a:graphicData>
            </a:graphic>
          </wp:inline>
        </w:drawing>
      </w:r>
    </w:p>
    <w:p>
      <w:pPr>
        <w:pStyle w:val="DOCaption"/>
      </w:pPr>
      <w:r>
        <w:t>Drop Events: Company vs Sector (12 Months)</w:t>
      </w:r>
    </w:p>
    <w:p>
      <w:r>
        <w:drawing>
          <wp:inline xmlns:a="http://schemas.openxmlformats.org/drawingml/2006/main" xmlns:pic="http://schemas.openxmlformats.org/drawingml/2006/picture">
            <wp:extent cx="5943600" cy="2428159"/>
            <wp:docPr id="7" name="Picture 7"/>
            <wp:cNvGraphicFramePr>
              <a:graphicFrameLocks noChangeAspect="1"/>
            </wp:cNvGraphicFramePr>
            <a:graphic>
              <a:graphicData uri="http://schemas.openxmlformats.org/drawingml/2006/picture">
                <pic:pic>
                  <pic:nvPicPr>
                    <pic:cNvPr id="0" name="drawdown_1y.png"/>
                    <pic:cNvPicPr/>
                  </pic:nvPicPr>
                  <pic:blipFill>
                    <a:blip r:embed="rId17"/>
                    <a:stretch>
                      <a:fillRect/>
                    </a:stretch>
                  </pic:blipFill>
                  <pic:spPr>
                    <a:xfrm>
                      <a:off x="0" y="0"/>
                      <a:ext cx="5943600" cy="2428159"/>
                    </a:xfrm>
                    <a:prstGeom prst="rect"/>
                  </pic:spPr>
                </pic:pic>
              </a:graphicData>
            </a:graphic>
          </wp:inline>
        </w:drawing>
      </w:r>
    </w:p>
    <w:p>
      <w:pPr>
        <w:pStyle w:val="DOCaption"/>
      </w:pPr>
      <w:r>
        <w:t>Drawdown Analysis (12 Months)</w:t>
      </w:r>
    </w:p>
    <w:p>
      <w:r>
        <w:drawing>
          <wp:inline xmlns:a="http://schemas.openxmlformats.org/drawingml/2006/main" xmlns:pic="http://schemas.openxmlformats.org/drawingml/2006/picture">
            <wp:extent cx="5943600" cy="2428159"/>
            <wp:docPr id="8" name="Picture 8"/>
            <wp:cNvGraphicFramePr>
              <a:graphicFrameLocks noChangeAspect="1"/>
            </wp:cNvGraphicFramePr>
            <a:graphic>
              <a:graphicData uri="http://schemas.openxmlformats.org/drawingml/2006/picture">
                <pic:pic>
                  <pic:nvPicPr>
                    <pic:cNvPr id="0" name="drawdown_5y.png"/>
                    <pic:cNvPicPr/>
                  </pic:nvPicPr>
                  <pic:blipFill>
                    <a:blip r:embed="rId18"/>
                    <a:stretch>
                      <a:fillRect/>
                    </a:stretch>
                  </pic:blipFill>
                  <pic:spPr>
                    <a:xfrm>
                      <a:off x="0" y="0"/>
                      <a:ext cx="5943600" cy="2428159"/>
                    </a:xfrm>
                    <a:prstGeom prst="rect"/>
                  </pic:spPr>
                </pic:pic>
              </a:graphicData>
            </a:graphic>
          </wp:inline>
        </w:drawing>
      </w:r>
    </w:p>
    <w:p>
      <w:pPr>
        <w:pStyle w:val="DOCaption"/>
      </w:pPr>
      <w:r>
        <w:t>Drawdown Analysis (5 Years)</w:t>
      </w:r>
    </w:p>
    <w:p>
      <w:r>
        <w:drawing>
          <wp:inline xmlns:a="http://schemas.openxmlformats.org/drawingml/2006/main" xmlns:pic="http://schemas.openxmlformats.org/drawingml/2006/picture">
            <wp:extent cx="5943600" cy="4367502"/>
            <wp:docPr id="9" name="Picture 9"/>
            <wp:cNvGraphicFramePr>
              <a:graphicFrameLocks noChangeAspect="1"/>
            </wp:cNvGraphicFramePr>
            <a:graphic>
              <a:graphicData uri="http://schemas.openxmlformats.org/drawingml/2006/picture">
                <pic:pic>
                  <pic:nvPicPr>
                    <pic:cNvPr id="0" name="volatility_1y.png"/>
                    <pic:cNvPicPr/>
                  </pic:nvPicPr>
                  <pic:blipFill>
                    <a:blip r:embed="rId19"/>
                    <a:stretch>
                      <a:fillRect/>
                    </a:stretch>
                  </pic:blipFill>
                  <pic:spPr>
                    <a:xfrm>
                      <a:off x="0" y="0"/>
                      <a:ext cx="5943600" cy="4367502"/>
                    </a:xfrm>
                    <a:prstGeom prst="rect"/>
                  </pic:spPr>
                </pic:pic>
              </a:graphicData>
            </a:graphic>
          </wp:inline>
        </w:drawing>
      </w:r>
    </w:p>
    <w:p>
      <w:pPr>
        <w:pStyle w:val="DOCaption"/>
      </w:pPr>
      <w:r>
        <w:t>Volatility &amp; Beta Analysis (12 Months)</w:t>
      </w:r>
    </w:p>
    <w:p>
      <w:r>
        <w:drawing>
          <wp:inline xmlns:a="http://schemas.openxmlformats.org/drawingml/2006/main" xmlns:pic="http://schemas.openxmlformats.org/drawingml/2006/picture">
            <wp:extent cx="5943600" cy="3043276"/>
            <wp:docPr id="10" name="Picture 10"/>
            <wp:cNvGraphicFramePr>
              <a:graphicFrameLocks noChangeAspect="1"/>
            </wp:cNvGraphicFramePr>
            <a:graphic>
              <a:graphicData uri="http://schemas.openxmlformats.org/drawingml/2006/picture">
                <pic:pic>
                  <pic:nvPicPr>
                    <pic:cNvPr id="0" name="relative_1y.png"/>
                    <pic:cNvPicPr/>
                  </pic:nvPicPr>
                  <pic:blipFill>
                    <a:blip r:embed="rId20"/>
                    <a:stretch>
                      <a:fillRect/>
                    </a:stretch>
                  </pic:blipFill>
                  <pic:spPr>
                    <a:xfrm>
                      <a:off x="0" y="0"/>
                      <a:ext cx="5943600" cy="3043276"/>
                    </a:xfrm>
                    <a:prstGeom prst="rect"/>
                  </pic:spPr>
                </pic:pic>
              </a:graphicData>
            </a:graphic>
          </wp:inline>
        </w:drawing>
      </w:r>
    </w:p>
    <w:p>
      <w:pPr>
        <w:pStyle w:val="DOCaption"/>
      </w:pPr>
      <w:r>
        <w:t>Relative Performance (12 Months)</w:t>
      </w:r>
    </w:p>
    <w:p>
      <w:r>
        <w:drawing>
          <wp:inline xmlns:a="http://schemas.openxmlformats.org/drawingml/2006/main" xmlns:pic="http://schemas.openxmlformats.org/drawingml/2006/picture">
            <wp:extent cx="5943600" cy="3043276"/>
            <wp:docPr id="11" name="Picture 11"/>
            <wp:cNvGraphicFramePr>
              <a:graphicFrameLocks noChangeAspect="1"/>
            </wp:cNvGraphicFramePr>
            <a:graphic>
              <a:graphicData uri="http://schemas.openxmlformats.org/drawingml/2006/picture">
                <pic:pic>
                  <pic:nvPicPr>
                    <pic:cNvPr id="0" name="relative_5y.png"/>
                    <pic:cNvPicPr/>
                  </pic:nvPicPr>
                  <pic:blipFill>
                    <a:blip r:embed="rId21"/>
                    <a:stretch>
                      <a:fillRect/>
                    </a:stretch>
                  </pic:blipFill>
                  <pic:spPr>
                    <a:xfrm>
                      <a:off x="0" y="0"/>
                      <a:ext cx="5943600" cy="3043276"/>
                    </a:xfrm>
                    <a:prstGeom prst="rect"/>
                  </pic:spPr>
                </pic:pic>
              </a:graphicData>
            </a:graphic>
          </wp:inline>
        </w:drawing>
      </w:r>
    </w:p>
    <w:p>
      <w:pPr>
        <w:pStyle w:val="DOCaption"/>
      </w:pPr>
      <w:r>
        <w:t>Relative Performance (5 Years)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Current Price</w:t>
            </w:r>
          </w:p>
        </w:tc>
        <w:tc>
          <w:tcPr>
            <w:tcW w:type="dxa" w:w="5040"/>
          </w:tcPr>
          <w:p>
            <w:r>
              <w:rPr>
                <w:rFonts w:ascii="Calibri" w:hAnsi="Calibri"/>
                <w:color w:val="333333"/>
                <w:sz w:val="18"/>
              </w:rPr>
              <w:t>$277.26</w:t>
            </w:r>
          </w:p>
        </w:tc>
      </w:tr>
      <w:tr>
        <w:tc>
          <w:tcPr>
            <w:tcW w:type="dxa" w:w="5040"/>
            <w:shd w:fill="F2F4F8" w:val="clear"/>
          </w:tcPr>
          <w:p>
            <w:r>
              <w:rPr>
                <w:rFonts w:ascii="Calibri" w:hAnsi="Calibri"/>
                <w:color w:val="333333"/>
                <w:sz w:val="18"/>
              </w:rPr>
              <w:t>52-Week High</w:t>
            </w:r>
          </w:p>
        </w:tc>
        <w:tc>
          <w:tcPr>
            <w:tcW w:type="dxa" w:w="5040"/>
            <w:shd w:fill="F2F4F8" w:val="clear"/>
          </w:tcPr>
          <w:p>
            <w:r>
              <w:rPr>
                <w:rFonts w:ascii="Calibri" w:hAnsi="Calibri"/>
                <w:color w:val="333333"/>
                <w:sz w:val="18"/>
              </w:rPr>
              <w:t>$606.36</w:t>
            </w:r>
          </w:p>
        </w:tc>
      </w:tr>
      <w:tr>
        <w:tc>
          <w:tcPr>
            <w:tcW w:type="dxa" w:w="5040"/>
          </w:tcPr>
          <w:p>
            <w:r>
              <w:rPr>
                <w:rFonts w:ascii="Calibri" w:hAnsi="Calibri"/>
                <w:color w:val="333333"/>
                <w:sz w:val="18"/>
              </w:rPr>
              <w:t>52-Week Low</w:t>
            </w:r>
          </w:p>
        </w:tc>
        <w:tc>
          <w:tcPr>
            <w:tcW w:type="dxa" w:w="5040"/>
          </w:tcPr>
          <w:p>
            <w:r>
              <w:rPr>
                <w:rFonts w:ascii="Calibri" w:hAnsi="Calibri"/>
                <w:color w:val="333333"/>
                <w:sz w:val="18"/>
              </w:rPr>
              <w:t>$234.60</w:t>
            </w:r>
          </w:p>
        </w:tc>
      </w:tr>
      <w:tr>
        <w:tc>
          <w:tcPr>
            <w:tcW w:type="dxa" w:w="5040"/>
            <w:shd w:fill="F2F4F8" w:val="clear"/>
          </w:tcPr>
          <w:p>
            <w:r>
              <w:rPr>
                <w:rFonts w:ascii="Calibri" w:hAnsi="Calibri"/>
                <w:color w:val="333333"/>
                <w:sz w:val="18"/>
              </w:rPr>
              <w:t>1-Year Return</w:t>
            </w:r>
          </w:p>
        </w:tc>
        <w:tc>
          <w:tcPr>
            <w:tcW w:type="dxa" w:w="5040"/>
            <w:shd w:fill="F2F4F8" w:val="clear"/>
          </w:tcPr>
          <w:p>
            <w:r>
              <w:rPr>
                <w:rFonts w:ascii="Calibri" w:hAnsi="Calibri"/>
                <w:color w:val="333333"/>
                <w:sz w:val="18"/>
              </w:rPr>
              <w:t>-47.2%</w:t>
            </w:r>
          </w:p>
        </w:tc>
      </w:tr>
      <w:tr>
        <w:tc>
          <w:tcPr>
            <w:tcW w:type="dxa" w:w="5040"/>
          </w:tcPr>
          <w:p>
            <w:r>
              <w:rPr>
                <w:rFonts w:ascii="Calibri" w:hAnsi="Calibri"/>
                <w:color w:val="333333"/>
                <w:sz w:val="18"/>
              </w:rPr>
              <w:t>Max Drawdown (1Y)</w:t>
            </w:r>
          </w:p>
        </w:tc>
        <w:tc>
          <w:tcPr>
            <w:tcW w:type="dxa" w:w="5040"/>
          </w:tcPr>
          <w:p>
            <w:r>
              <w:rPr>
                <w:rFonts w:ascii="Calibri" w:hAnsi="Calibri"/>
                <w:color w:val="333333"/>
                <w:sz w:val="18"/>
              </w:rPr>
              <w:t>-60.1%</w:t>
            </w:r>
          </w:p>
        </w:tc>
      </w:tr>
      <w:tr>
        <w:tc>
          <w:tcPr>
            <w:tcW w:type="dxa" w:w="5040"/>
            <w:shd w:fill="F2F4F8" w:val="clear"/>
          </w:tcPr>
          <w:p>
            <w:r>
              <w:rPr>
                <w:rFonts w:ascii="Calibri" w:hAnsi="Calibri"/>
                <w:color w:val="333333"/>
                <w:sz w:val="18"/>
              </w:rPr>
              <w:t>90-Day Volatility</w:t>
            </w:r>
          </w:p>
        </w:tc>
        <w:tc>
          <w:tcPr>
            <w:tcW w:type="dxa" w:w="5040"/>
            <w:shd w:fill="F2F4F8" w:val="clear"/>
          </w:tcPr>
          <w:p>
            <w:r>
              <w:rPr>
                <w:rFonts w:ascii="Calibri" w:hAnsi="Calibri"/>
                <w:color w:val="333333"/>
                <w:sz w:val="18"/>
              </w:rPr>
              <w:t>43.3% (Ranks at the 0th percentile among 0 peers (peer median: 2.0%))</w:t>
            </w:r>
          </w:p>
        </w:tc>
      </w:tr>
      <w:tr>
        <w:tc>
          <w:tcPr>
            <w:tcW w:type="dxa" w:w="5040"/>
          </w:tcPr>
          <w:p>
            <w:r>
              <w:rPr>
                <w:rFonts w:ascii="Calibri" w:hAnsi="Calibri"/>
                <w:color w:val="333333"/>
                <w:sz w:val="18"/>
              </w:rPr>
              <w:t>Beta (vs S&amp;P 500)</w:t>
            </w:r>
          </w:p>
        </w:tc>
        <w:tc>
          <w:tcPr>
            <w:tcW w:type="dxa" w:w="5040"/>
          </w:tcPr>
          <w:p>
            <w:r>
              <w:rPr>
                <w:rFonts w:ascii="Calibri" w:hAnsi="Calibri"/>
                <w:color w:val="333333"/>
                <w:sz w:val="18"/>
              </w:rPr>
              <w:t>0.38</w:t>
            </w:r>
          </w:p>
        </w:tc>
      </w:tr>
    </w:tbl>
    <w:p>
      <w:pPr>
        <w:pStyle w:val="DOBody"/>
      </w:pPr>
      <w:r>
        <w:t>40 significant stock decline events detected in the 1Y period: 33 critical (&gt;10%), 7 notable (5-10%). 40 were company-specific.</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A1446" w:val="clear"/>
          </w:tcPr>
          <w:p>
            <w:r>
              <w:rPr>
                <w:rFonts w:ascii="Calibri" w:hAnsi="Calibri"/>
                <w:b/>
                <w:color w:val="FFFFFF"/>
                <w:sz w:val="18"/>
              </w:rPr>
              <w:t>Date</w:t>
            </w:r>
          </w:p>
        </w:tc>
        <w:tc>
          <w:tcPr>
            <w:tcW w:type="dxa" w:w="1440"/>
            <w:shd w:fill="1A1446" w:val="clear"/>
          </w:tcPr>
          <w:p>
            <w:r>
              <w:rPr>
                <w:rFonts w:ascii="Calibri" w:hAnsi="Calibri"/>
                <w:b/>
                <w:color w:val="FFFFFF"/>
                <w:sz w:val="18"/>
              </w:rPr>
              <w:t>Drop %</w:t>
            </w:r>
          </w:p>
        </w:tc>
        <w:tc>
          <w:tcPr>
            <w:tcW w:type="dxa" w:w="1440"/>
            <w:shd w:fill="1A1446" w:val="clear"/>
          </w:tcPr>
          <w:p>
            <w:r>
              <w:rPr>
                <w:rFonts w:ascii="Calibri" w:hAnsi="Calibri"/>
                <w:b/>
                <w:color w:val="FFFFFF"/>
                <w:sz w:val="18"/>
              </w:rPr>
              <w:t>Recency</w:t>
            </w:r>
          </w:p>
        </w:tc>
        <w:tc>
          <w:tcPr>
            <w:tcW w:type="dxa" w:w="1440"/>
            <w:shd w:fill="1A1446" w:val="clear"/>
          </w:tcPr>
          <w:p>
            <w:r>
              <w:rPr>
                <w:rFonts w:ascii="Calibri" w:hAnsi="Calibri"/>
                <w:b/>
                <w:color w:val="FFFFFF"/>
                <w:sz w:val="18"/>
              </w:rPr>
              <w:t>Recovery</w:t>
            </w:r>
          </w:p>
        </w:tc>
        <w:tc>
          <w:tcPr>
            <w:tcW w:type="dxa" w:w="1440"/>
            <w:shd w:fill="1A1446" w:val="clear"/>
          </w:tcPr>
          <w:p>
            <w:r>
              <w:rPr>
                <w:rFonts w:ascii="Calibri" w:hAnsi="Calibri"/>
                <w:b/>
                <w:color w:val="FFFFFF"/>
                <w:sz w:val="18"/>
              </w:rPr>
              <w:t>Trigger Event</w:t>
            </w:r>
          </w:p>
        </w:tc>
        <w:tc>
          <w:tcPr>
            <w:tcW w:type="dxa" w:w="1440"/>
            <w:shd w:fill="1A1446" w:val="clear"/>
          </w:tcPr>
          <w:p>
            <w:r>
              <w:rPr>
                <w:rFonts w:ascii="Calibri" w:hAnsi="Calibri"/>
                <w:b/>
                <w:color w:val="FFFFFF"/>
                <w:sz w:val="18"/>
              </w:rPr>
              <w:t>Type</w:t>
            </w:r>
          </w:p>
        </w:tc>
        <w:tc>
          <w:tcPr>
            <w:tcW w:type="dxa" w:w="1440"/>
            <w:shd w:fill="1A1446" w:val="clear"/>
          </w:tcPr>
          <w:p>
            <w:r>
              <w:rPr>
                <w:rFonts w:ascii="Calibri" w:hAnsi="Calibri"/>
                <w:b/>
                <w:color w:val="FFFFFF"/>
                <w:sz w:val="18"/>
              </w:rPr>
              <w:t>Source</w:t>
            </w:r>
          </w:p>
        </w:tc>
      </w:tr>
      <w:tr>
        <w:tc>
          <w:tcPr>
            <w:tcW w:type="dxa" w:w="1440"/>
            <w:shd w:fill="FCE8E6" w:val="clear"/>
          </w:tcPr>
          <w:p>
            <w:r>
              <w:rPr>
                <w:rFonts w:ascii="Calibri" w:hAnsi="Calibri"/>
                <w:color w:val="333333"/>
                <w:sz w:val="18"/>
              </w:rPr>
              <w:t>2026-01-27 to 2026-02-02 (7d)</w:t>
            </w:r>
          </w:p>
        </w:tc>
        <w:tc>
          <w:tcPr>
            <w:tcW w:type="dxa" w:w="1440"/>
            <w:shd w:fill="FCE8E6" w:val="clear"/>
          </w:tcPr>
          <w:p>
            <w:r>
              <w:rPr>
                <w:rFonts w:ascii="Calibri" w:hAnsi="Calibri"/>
                <w:color w:val="333333"/>
                <w:sz w:val="18"/>
              </w:rPr>
              <w:t>-20.6%</w:t>
            </w:r>
          </w:p>
        </w:tc>
        <w:tc>
          <w:tcPr>
            <w:tcW w:type="dxa" w:w="1440"/>
            <w:shd w:fill="FCE8E6" w:val="clear"/>
          </w:tcPr>
          <w:p>
            <w:r>
              <w:rPr>
                <w:rFonts w:ascii="Calibri" w:hAnsi="Calibri"/>
                <w:color w:val="333333"/>
                <w:sz w:val="18"/>
              </w:rPr>
              <w:t>78%</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2025-05-02 to 2025-06-03 (33d)</w:t>
            </w:r>
          </w:p>
        </w:tc>
        <w:tc>
          <w:tcPr>
            <w:tcW w:type="dxa" w:w="1440"/>
            <w:shd w:fill="F2F4F8" w:val="clear"/>
            <w:shd w:fill="FCE8E6" w:val="clear"/>
          </w:tcPr>
          <w:p>
            <w:r>
              <w:rPr>
                <w:rFonts w:ascii="Calibri" w:hAnsi="Calibri"/>
                <w:color w:val="333333"/>
                <w:sz w:val="18"/>
              </w:rPr>
              <w:t>-54.2%</w:t>
            </w:r>
          </w:p>
        </w:tc>
        <w:tc>
          <w:tcPr>
            <w:tcW w:type="dxa" w:w="1440"/>
            <w:shd w:fill="F2F4F8" w:val="clear"/>
            <w:shd w:fill="FCE8E6" w:val="clear"/>
          </w:tcPr>
          <w:p>
            <w:r>
              <w:rPr>
                <w:rFonts w:ascii="Calibri" w:hAnsi="Calibri"/>
                <w:color w:val="333333"/>
                <w:sz w:val="18"/>
              </w:rPr>
              <w:t>29%</w:t>
            </w:r>
          </w:p>
        </w:tc>
        <w:tc>
          <w:tcPr>
            <w:tcW w:type="dxa" w:w="1440"/>
            <w:shd w:fill="F2F4F8" w:val="clear"/>
            <w:shd w:fill="FCE8E6" w:val="clear"/>
          </w:tcPr>
          <w:p>
            <w:r>
              <w:rPr>
                <w:rFonts w:ascii="Calibri" w:hAnsi="Calibri"/>
                <w:color w:val="333333"/>
                <w:sz w:val="18"/>
              </w:rPr>
              <w:t>27 days</w:t>
            </w:r>
          </w:p>
        </w:tc>
        <w:tc>
          <w:tcPr>
            <w:tcW w:type="dxa" w:w="1440"/>
            <w:shd w:fill="F2F4F8" w:val="clear"/>
            <w:shd w:fill="FCE8E6" w:val="clear"/>
          </w:tcPr>
          <w:p>
            <w:r>
              <w:rPr>
                <w:rFonts w:ascii="Calibri" w:hAnsi="Calibri"/>
                <w:color w:val="333333"/>
                <w:sz w:val="18"/>
              </w:rPr>
              <w:t>8-K Filing</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2026-01-30 (5d)</w:t>
            </w:r>
          </w:p>
        </w:tc>
        <w:tc>
          <w:tcPr>
            <w:tcW w:type="dxa" w:w="1440"/>
            <w:shd w:fill="FCE8E6" w:val="clear"/>
          </w:tcPr>
          <w:p>
            <w:r>
              <w:rPr>
                <w:rFonts w:ascii="Calibri" w:hAnsi="Calibri"/>
                <w:color w:val="333333"/>
                <w:sz w:val="18"/>
              </w:rPr>
              <w:t>-19.5%</w:t>
            </w:r>
          </w:p>
        </w:tc>
        <w:tc>
          <w:tcPr>
            <w:tcW w:type="dxa" w:w="1440"/>
            <w:shd w:fill="FCE8E6" w:val="clear"/>
          </w:tcPr>
          <w:p>
            <w:r>
              <w:rPr>
                <w:rFonts w:ascii="Calibri" w:hAnsi="Calibri"/>
                <w:color w:val="333333"/>
                <w:sz w:val="18"/>
              </w:rPr>
              <w:t>79%</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2026-01-27</w:t>
            </w:r>
          </w:p>
        </w:tc>
        <w:tc>
          <w:tcPr>
            <w:tcW w:type="dxa" w:w="1440"/>
            <w:shd w:fill="F2F4F8" w:val="clear"/>
            <w:shd w:fill="FCE8E6" w:val="clear"/>
          </w:tcPr>
          <w:p>
            <w:r>
              <w:rPr>
                <w:rFonts w:ascii="Calibri" w:hAnsi="Calibri"/>
                <w:color w:val="333333"/>
                <w:sz w:val="18"/>
              </w:rPr>
              <w:t>-19.6%</w:t>
            </w:r>
          </w:p>
        </w:tc>
        <w:tc>
          <w:tcPr>
            <w:tcW w:type="dxa" w:w="1440"/>
            <w:shd w:fill="F2F4F8" w:val="clear"/>
            <w:shd w:fill="FCE8E6" w:val="clear"/>
          </w:tcPr>
          <w:p>
            <w:r>
              <w:rPr>
                <w:rFonts w:ascii="Calibri" w:hAnsi="Calibri"/>
                <w:color w:val="333333"/>
                <w:sz w:val="18"/>
              </w:rPr>
              <w:t>78%</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2026-02-02 (5d)</w:t>
            </w:r>
          </w:p>
        </w:tc>
        <w:tc>
          <w:tcPr>
            <w:tcW w:type="dxa" w:w="1440"/>
            <w:shd w:fill="FCE8E6" w:val="clear"/>
          </w:tcPr>
          <w:p>
            <w:r>
              <w:rPr>
                <w:rFonts w:ascii="Calibri" w:hAnsi="Calibri"/>
                <w:color w:val="333333"/>
                <w:sz w:val="18"/>
              </w:rPr>
              <w:t>-18.8%</w:t>
            </w:r>
          </w:p>
        </w:tc>
        <w:tc>
          <w:tcPr>
            <w:tcW w:type="dxa" w:w="1440"/>
            <w:shd w:fill="FCE8E6" w:val="clear"/>
          </w:tcPr>
          <w:p>
            <w:r>
              <w:rPr>
                <w:rFonts w:ascii="Calibri" w:hAnsi="Calibri"/>
                <w:color w:val="333333"/>
                <w:sz w:val="18"/>
              </w:rPr>
              <w:t>80%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https://www.cnbc.com/quotes/UNH</w:t>
            </w:r>
          </w:p>
        </w:tc>
      </w:tr>
      <w:tr>
        <w:tc>
          <w:tcPr>
            <w:tcW w:type="dxa" w:w="1440"/>
            <w:shd w:fill="F2F4F8" w:val="clear"/>
            <w:shd w:fill="FCE8E6" w:val="clear"/>
          </w:tcPr>
          <w:p>
            <w:r>
              <w:rPr>
                <w:rFonts w:ascii="Calibri" w:hAnsi="Calibri"/>
                <w:color w:val="333333"/>
                <w:sz w:val="18"/>
              </w:rPr>
              <w:t>2026-01-29 (5d)</w:t>
            </w:r>
          </w:p>
        </w:tc>
        <w:tc>
          <w:tcPr>
            <w:tcW w:type="dxa" w:w="1440"/>
            <w:shd w:fill="F2F4F8" w:val="clear"/>
            <w:shd w:fill="FCE8E6" w:val="clear"/>
          </w:tcPr>
          <w:p>
            <w:r>
              <w:rPr>
                <w:rFonts w:ascii="Calibri" w:hAnsi="Calibri"/>
                <w:color w:val="333333"/>
                <w:sz w:val="18"/>
              </w:rPr>
              <w:t>-17.5%</w:t>
            </w:r>
          </w:p>
        </w:tc>
        <w:tc>
          <w:tcPr>
            <w:tcW w:type="dxa" w:w="1440"/>
            <w:shd w:fill="F2F4F8" w:val="clear"/>
            <w:shd w:fill="FCE8E6" w:val="clear"/>
          </w:tcPr>
          <w:p>
            <w:r>
              <w:rPr>
                <w:rFonts w:ascii="Calibri" w:hAnsi="Calibri"/>
                <w:color w:val="333333"/>
                <w:sz w:val="18"/>
              </w:rPr>
              <w:t>78%</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2025-05-14 (20d)</w:t>
            </w:r>
          </w:p>
        </w:tc>
        <w:tc>
          <w:tcPr>
            <w:tcW w:type="dxa" w:w="1440"/>
            <w:shd w:fill="FCE8E6" w:val="clear"/>
          </w:tcPr>
          <w:p>
            <w:r>
              <w:rPr>
                <w:rFonts w:ascii="Calibri" w:hAnsi="Calibri"/>
                <w:color w:val="333333"/>
                <w:sz w:val="18"/>
              </w:rPr>
              <w:t>-47.2%</w:t>
            </w:r>
          </w:p>
        </w:tc>
        <w:tc>
          <w:tcPr>
            <w:tcW w:type="dxa" w:w="1440"/>
            <w:shd w:fill="FCE8E6" w:val="clear"/>
          </w:tcPr>
          <w:p>
            <w:r>
              <w:rPr>
                <w:rFonts w:ascii="Calibri" w:hAnsi="Calibri"/>
                <w:color w:val="333333"/>
                <w:sz w:val="18"/>
              </w:rPr>
              <w:t>29%</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8-K Filing</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2025-05-13 (20d)</w:t>
            </w:r>
          </w:p>
        </w:tc>
        <w:tc>
          <w:tcPr>
            <w:tcW w:type="dxa" w:w="1440"/>
            <w:shd w:fill="F2F4F8" w:val="clear"/>
            <w:shd w:fill="FCE8E6" w:val="clear"/>
          </w:tcPr>
          <w:p>
            <w:r>
              <w:rPr>
                <w:rFonts w:ascii="Calibri" w:hAnsi="Calibri"/>
                <w:color w:val="333333"/>
                <w:sz w:val="18"/>
              </w:rPr>
              <w:t>-47.0%</w:t>
            </w:r>
          </w:p>
        </w:tc>
        <w:tc>
          <w:tcPr>
            <w:tcW w:type="dxa" w:w="1440"/>
            <w:shd w:fill="F2F4F8" w:val="clear"/>
            <w:shd w:fill="FCE8E6" w:val="clear"/>
          </w:tcPr>
          <w:p>
            <w:r>
              <w:rPr>
                <w:rFonts w:ascii="Calibri" w:hAnsi="Calibri"/>
                <w:color w:val="333333"/>
                <w:sz w:val="18"/>
              </w:rPr>
              <w:t>29%</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8-K Filing</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2026-01-28 (2d)</w:t>
            </w:r>
          </w:p>
        </w:tc>
        <w:tc>
          <w:tcPr>
            <w:tcW w:type="dxa" w:w="1440"/>
            <w:shd w:fill="FCE8E6" w:val="clear"/>
          </w:tcPr>
          <w:p>
            <w:r>
              <w:rPr>
                <w:rFonts w:ascii="Calibri" w:hAnsi="Calibri"/>
                <w:color w:val="333333"/>
                <w:sz w:val="18"/>
              </w:rPr>
              <w:t>-16.4%</w:t>
            </w:r>
          </w:p>
        </w:tc>
        <w:tc>
          <w:tcPr>
            <w:tcW w:type="dxa" w:w="1440"/>
            <w:shd w:fill="FCE8E6" w:val="clear"/>
          </w:tcPr>
          <w:p>
            <w:r>
              <w:rPr>
                <w:rFonts w:ascii="Calibri" w:hAnsi="Calibri"/>
                <w:color w:val="333333"/>
                <w:sz w:val="18"/>
              </w:rPr>
              <w:t>78%</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2025-05-12 (20d)</w:t>
            </w:r>
          </w:p>
        </w:tc>
        <w:tc>
          <w:tcPr>
            <w:tcW w:type="dxa" w:w="1440"/>
            <w:shd w:fill="F2F4F8" w:val="clear"/>
            <w:shd w:fill="FCE8E6" w:val="clear"/>
          </w:tcPr>
          <w:p>
            <w:r>
              <w:rPr>
                <w:rFonts w:ascii="Calibri" w:hAnsi="Calibri"/>
                <w:color w:val="333333"/>
                <w:sz w:val="18"/>
              </w:rPr>
              <w:t>-36.8%</w:t>
            </w:r>
          </w:p>
        </w:tc>
        <w:tc>
          <w:tcPr>
            <w:tcW w:type="dxa" w:w="1440"/>
            <w:shd w:fill="F2F4F8" w:val="clear"/>
            <w:shd w:fill="FCE8E6" w:val="clear"/>
          </w:tcPr>
          <w:p>
            <w:r>
              <w:rPr>
                <w:rFonts w:ascii="Calibri" w:hAnsi="Calibri"/>
                <w:color w:val="333333"/>
                <w:sz w:val="18"/>
              </w:rPr>
              <w:t>29%</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8-K Filing</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2025-05-16 (20d)</w:t>
            </w:r>
          </w:p>
        </w:tc>
        <w:tc>
          <w:tcPr>
            <w:tcW w:type="dxa" w:w="1440"/>
            <w:shd w:fill="FCE8E6" w:val="clear"/>
          </w:tcPr>
          <w:p>
            <w:r>
              <w:rPr>
                <w:rFonts w:ascii="Calibri" w:hAnsi="Calibri"/>
                <w:color w:val="333333"/>
                <w:sz w:val="18"/>
              </w:rPr>
              <w:t>-35.7%</w:t>
            </w:r>
          </w:p>
        </w:tc>
        <w:tc>
          <w:tcPr>
            <w:tcW w:type="dxa" w:w="1440"/>
            <w:shd w:fill="FCE8E6" w:val="clear"/>
          </w:tcPr>
          <w:p>
            <w:r>
              <w:rPr>
                <w:rFonts w:ascii="Calibri" w:hAnsi="Calibri"/>
                <w:color w:val="333333"/>
                <w:sz w:val="18"/>
              </w:rPr>
              <w:t>29%</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8-K Filing</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2025-05-09 (20d)</w:t>
            </w:r>
          </w:p>
        </w:tc>
        <w:tc>
          <w:tcPr>
            <w:tcW w:type="dxa" w:w="1440"/>
            <w:shd w:fill="F2F4F8" w:val="clear"/>
            <w:shd w:fill="FCE8E6" w:val="clear"/>
          </w:tcPr>
          <w:p>
            <w:r>
              <w:rPr>
                <w:rFonts w:ascii="Calibri" w:hAnsi="Calibri"/>
                <w:color w:val="333333"/>
                <w:sz w:val="18"/>
              </w:rPr>
              <w:t>-36.0%</w:t>
            </w:r>
          </w:p>
        </w:tc>
        <w:tc>
          <w:tcPr>
            <w:tcW w:type="dxa" w:w="1440"/>
            <w:shd w:fill="F2F4F8" w:val="clear"/>
            <w:shd w:fill="FCE8E6" w:val="clear"/>
          </w:tcPr>
          <w:p>
            <w:r>
              <w:rPr>
                <w:rFonts w:ascii="Calibri" w:hAnsi="Calibri"/>
                <w:color w:val="333333"/>
                <w:sz w:val="18"/>
              </w:rPr>
              <w:t>28%</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8-K Filing</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2025-05-08 (20d)</w:t>
            </w:r>
          </w:p>
        </w:tc>
        <w:tc>
          <w:tcPr>
            <w:tcW w:type="dxa" w:w="1440"/>
            <w:shd w:fill="FCE8E6" w:val="clear"/>
          </w:tcPr>
          <w:p>
            <w:r>
              <w:rPr>
                <w:rFonts w:ascii="Calibri" w:hAnsi="Calibri"/>
                <w:color w:val="333333"/>
                <w:sz w:val="18"/>
              </w:rPr>
              <w:t>-33.4%</w:t>
            </w:r>
          </w:p>
        </w:tc>
        <w:tc>
          <w:tcPr>
            <w:tcW w:type="dxa" w:w="1440"/>
            <w:shd w:fill="FCE8E6" w:val="clear"/>
          </w:tcPr>
          <w:p>
            <w:r>
              <w:rPr>
                <w:rFonts w:ascii="Calibri" w:hAnsi="Calibri"/>
                <w:color w:val="333333"/>
                <w:sz w:val="18"/>
              </w:rPr>
              <w:t>28%</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https://www.cnbc.com/quotes/UNH</w:t>
            </w:r>
          </w:p>
        </w:tc>
      </w:tr>
      <w:tr>
        <w:tc>
          <w:tcPr>
            <w:tcW w:type="dxa" w:w="1440"/>
            <w:shd w:fill="F2F4F8" w:val="clear"/>
            <w:shd w:fill="FCE8E6" w:val="clear"/>
          </w:tcPr>
          <w:p>
            <w:r>
              <w:rPr>
                <w:rFonts w:ascii="Calibri" w:hAnsi="Calibri"/>
                <w:color w:val="333333"/>
                <w:sz w:val="18"/>
              </w:rPr>
              <w:t>2025-05-27 (20d)</w:t>
            </w:r>
          </w:p>
        </w:tc>
        <w:tc>
          <w:tcPr>
            <w:tcW w:type="dxa" w:w="1440"/>
            <w:shd w:fill="F2F4F8" w:val="clear"/>
            <w:shd w:fill="FCE8E6" w:val="clear"/>
          </w:tcPr>
          <w:p>
            <w:r>
              <w:rPr>
                <w:rFonts w:ascii="Calibri" w:hAnsi="Calibri"/>
                <w:color w:val="333333"/>
                <w:sz w:val="18"/>
              </w:rPr>
              <w:t>-29.8%</w:t>
            </w:r>
          </w:p>
        </w:tc>
        <w:tc>
          <w:tcPr>
            <w:tcW w:type="dxa" w:w="1440"/>
            <w:shd w:fill="F2F4F8" w:val="clear"/>
            <w:shd w:fill="FCE8E6" w:val="clear"/>
          </w:tcPr>
          <w:p>
            <w:r>
              <w:rPr>
                <w:rFonts w:ascii="Calibri" w:hAnsi="Calibri"/>
                <w:color w:val="333333"/>
                <w:sz w:val="18"/>
              </w:rPr>
              <w:t>30%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https://www.cnbc.com/quotes/UNH</w:t>
            </w:r>
          </w:p>
        </w:tc>
      </w:tr>
      <w:tr>
        <w:tc>
          <w:tcPr>
            <w:tcW w:type="dxa" w:w="1440"/>
            <w:shd w:fill="FCE8E6" w:val="clear"/>
          </w:tcPr>
          <w:p>
            <w:r>
              <w:rPr>
                <w:rFonts w:ascii="Calibri" w:hAnsi="Calibri"/>
                <w:color w:val="333333"/>
                <w:sz w:val="18"/>
              </w:rPr>
              <w:t>2025-05-22 (20d)</w:t>
            </w:r>
          </w:p>
        </w:tc>
        <w:tc>
          <w:tcPr>
            <w:tcW w:type="dxa" w:w="1440"/>
            <w:shd w:fill="FCE8E6" w:val="clear"/>
          </w:tcPr>
          <w:p>
            <w:r>
              <w:rPr>
                <w:rFonts w:ascii="Calibri" w:hAnsi="Calibri"/>
                <w:color w:val="333333"/>
                <w:sz w:val="18"/>
              </w:rPr>
              <w:t>-30.1%</w:t>
            </w:r>
          </w:p>
        </w:tc>
        <w:tc>
          <w:tcPr>
            <w:tcW w:type="dxa" w:w="1440"/>
            <w:shd w:fill="FCE8E6" w:val="clear"/>
          </w:tcPr>
          <w:p>
            <w:r>
              <w:rPr>
                <w:rFonts w:ascii="Calibri" w:hAnsi="Calibri"/>
                <w:color w:val="333333"/>
                <w:sz w:val="18"/>
              </w:rPr>
              <w:t>30%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8-K Filing</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2025-05-23 (20d)</w:t>
            </w:r>
          </w:p>
        </w:tc>
        <w:tc>
          <w:tcPr>
            <w:tcW w:type="dxa" w:w="1440"/>
            <w:shd w:fill="F2F4F8" w:val="clear"/>
            <w:shd w:fill="FCE8E6" w:val="clear"/>
          </w:tcPr>
          <w:p>
            <w:r>
              <w:rPr>
                <w:rFonts w:ascii="Calibri" w:hAnsi="Calibri"/>
                <w:color w:val="333333"/>
                <w:sz w:val="18"/>
              </w:rPr>
              <w:t>-29.4%</w:t>
            </w:r>
          </w:p>
        </w:tc>
        <w:tc>
          <w:tcPr>
            <w:tcW w:type="dxa" w:w="1440"/>
            <w:shd w:fill="F2F4F8" w:val="clear"/>
            <w:shd w:fill="FCE8E6" w:val="clear"/>
          </w:tcPr>
          <w:p>
            <w:r>
              <w:rPr>
                <w:rFonts w:ascii="Calibri" w:hAnsi="Calibri"/>
                <w:color w:val="333333"/>
                <w:sz w:val="18"/>
              </w:rPr>
              <w:t>30%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8-K Filing</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2025-05-21 (20d)</w:t>
            </w:r>
          </w:p>
        </w:tc>
        <w:tc>
          <w:tcPr>
            <w:tcW w:type="dxa" w:w="1440"/>
            <w:shd w:fill="FCE8E6" w:val="clear"/>
          </w:tcPr>
          <w:p>
            <w:r>
              <w:rPr>
                <w:rFonts w:ascii="Calibri" w:hAnsi="Calibri"/>
                <w:color w:val="333333"/>
                <w:sz w:val="18"/>
              </w:rPr>
              <w:t>-29.2%</w:t>
            </w:r>
          </w:p>
        </w:tc>
        <w:tc>
          <w:tcPr>
            <w:tcW w:type="dxa" w:w="1440"/>
            <w:shd w:fill="FCE8E6" w:val="clear"/>
          </w:tcPr>
          <w:p>
            <w:r>
              <w:rPr>
                <w:rFonts w:ascii="Calibri" w:hAnsi="Calibri"/>
                <w:color w:val="333333"/>
                <w:sz w:val="18"/>
              </w:rPr>
              <w:t>30%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8-K Filing</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2025-05-29 (20d)</w:t>
            </w:r>
          </w:p>
        </w:tc>
        <w:tc>
          <w:tcPr>
            <w:tcW w:type="dxa" w:w="1440"/>
            <w:shd w:fill="F2F4F8" w:val="clear"/>
            <w:shd w:fill="FCE8E6" w:val="clear"/>
          </w:tcPr>
          <w:p>
            <w:r>
              <w:rPr>
                <w:rFonts w:ascii="Calibri" w:hAnsi="Calibri"/>
                <w:color w:val="333333"/>
                <w:sz w:val="18"/>
              </w:rPr>
              <w:t>-27.5%</w:t>
            </w:r>
          </w:p>
        </w:tc>
        <w:tc>
          <w:tcPr>
            <w:tcW w:type="dxa" w:w="1440"/>
            <w:shd w:fill="F2F4F8" w:val="clear"/>
            <w:shd w:fill="FCE8E6" w:val="clear"/>
          </w:tcPr>
          <w:p>
            <w:r>
              <w:rPr>
                <w:rFonts w:ascii="Calibri" w:hAnsi="Calibri"/>
                <w:color w:val="333333"/>
                <w:sz w:val="18"/>
              </w:rPr>
              <w:t>31%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https://www.cnbc.com/quotes/UNH</w:t>
            </w:r>
          </w:p>
        </w:tc>
      </w:tr>
      <w:tr>
        <w:tc>
          <w:tcPr>
            <w:tcW w:type="dxa" w:w="1440"/>
            <w:shd w:fill="FCE8E6" w:val="clear"/>
          </w:tcPr>
          <w:p>
            <w:r>
              <w:rPr>
                <w:rFonts w:ascii="Calibri" w:hAnsi="Calibri"/>
                <w:color w:val="333333"/>
                <w:sz w:val="18"/>
              </w:rPr>
              <w:t>2025-05-28 (20d)</w:t>
            </w:r>
          </w:p>
        </w:tc>
        <w:tc>
          <w:tcPr>
            <w:tcW w:type="dxa" w:w="1440"/>
            <w:shd w:fill="FCE8E6" w:val="clear"/>
          </w:tcPr>
          <w:p>
            <w:r>
              <w:rPr>
                <w:rFonts w:ascii="Calibri" w:hAnsi="Calibri"/>
                <w:color w:val="333333"/>
                <w:sz w:val="18"/>
              </w:rPr>
              <w:t>-27.1%</w:t>
            </w:r>
          </w:p>
        </w:tc>
        <w:tc>
          <w:tcPr>
            <w:tcW w:type="dxa" w:w="1440"/>
            <w:shd w:fill="FCE8E6" w:val="clear"/>
          </w:tcPr>
          <w:p>
            <w:r>
              <w:rPr>
                <w:rFonts w:ascii="Calibri" w:hAnsi="Calibri"/>
                <w:color w:val="333333"/>
                <w:sz w:val="18"/>
              </w:rPr>
              <w:t>30%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https://www.cnbc.com/quotes/UNH</w:t>
            </w:r>
          </w:p>
        </w:tc>
      </w:tr>
      <w:tr>
        <w:tc>
          <w:tcPr>
            <w:tcW w:type="dxa" w:w="1440"/>
            <w:shd w:fill="F2F4F8" w:val="clear"/>
            <w:shd w:fill="FCE8E6" w:val="clear"/>
          </w:tcPr>
          <w:p>
            <w:r>
              <w:rPr>
                <w:rFonts w:ascii="Calibri" w:hAnsi="Calibri"/>
                <w:color w:val="333333"/>
                <w:sz w:val="18"/>
              </w:rPr>
              <w:t>2025-05-07 (20d)</w:t>
            </w:r>
          </w:p>
        </w:tc>
        <w:tc>
          <w:tcPr>
            <w:tcW w:type="dxa" w:w="1440"/>
            <w:shd w:fill="F2F4F8" w:val="clear"/>
            <w:shd w:fill="FCE8E6" w:val="clear"/>
          </w:tcPr>
          <w:p>
            <w:r>
              <w:rPr>
                <w:rFonts w:ascii="Calibri" w:hAnsi="Calibri"/>
                <w:color w:val="333333"/>
                <w:sz w:val="18"/>
              </w:rPr>
              <w:t>-29.3%</w:t>
            </w:r>
          </w:p>
        </w:tc>
        <w:tc>
          <w:tcPr>
            <w:tcW w:type="dxa" w:w="1440"/>
            <w:shd w:fill="F2F4F8" w:val="clear"/>
            <w:shd w:fill="FCE8E6" w:val="clear"/>
          </w:tcPr>
          <w:p>
            <w:r>
              <w:rPr>
                <w:rFonts w:ascii="Calibri" w:hAnsi="Calibri"/>
                <w:color w:val="333333"/>
                <w:sz w:val="18"/>
              </w:rPr>
              <w:t>28%</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https://www.cnbc.com/quotes/UNH</w:t>
            </w:r>
          </w:p>
        </w:tc>
      </w:tr>
      <w:tr>
        <w:tc>
          <w:tcPr>
            <w:tcW w:type="dxa" w:w="1440"/>
            <w:shd w:fill="FCE8E6" w:val="clear"/>
          </w:tcPr>
          <w:p>
            <w:r>
              <w:rPr>
                <w:rFonts w:ascii="Calibri" w:hAnsi="Calibri"/>
                <w:color w:val="333333"/>
                <w:sz w:val="18"/>
              </w:rPr>
              <w:t>2025-06-03 (20d)</w:t>
            </w:r>
          </w:p>
        </w:tc>
        <w:tc>
          <w:tcPr>
            <w:tcW w:type="dxa" w:w="1440"/>
            <w:shd w:fill="FCE8E6" w:val="clear"/>
          </w:tcPr>
          <w:p>
            <w:r>
              <w:rPr>
                <w:rFonts w:ascii="Calibri" w:hAnsi="Calibri"/>
                <w:color w:val="333333"/>
                <w:sz w:val="18"/>
              </w:rPr>
              <w:t>-25.6%</w:t>
            </w:r>
          </w:p>
        </w:tc>
        <w:tc>
          <w:tcPr>
            <w:tcW w:type="dxa" w:w="1440"/>
            <w:shd w:fill="FCE8E6" w:val="clear"/>
          </w:tcPr>
          <w:p>
            <w:r>
              <w:rPr>
                <w:rFonts w:ascii="Calibri" w:hAnsi="Calibri"/>
                <w:color w:val="333333"/>
                <w:sz w:val="18"/>
              </w:rPr>
              <w:t>31%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8-K Filing</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2025-04-17 to 2025-04-24 (8d)</w:t>
            </w:r>
          </w:p>
        </w:tc>
        <w:tc>
          <w:tcPr>
            <w:tcW w:type="dxa" w:w="1440"/>
            <w:shd w:fill="F2F4F8" w:val="clear"/>
            <w:shd w:fill="FCE8E6" w:val="clear"/>
          </w:tcPr>
          <w:p>
            <w:r>
              <w:rPr>
                <w:rFonts w:ascii="Calibri" w:hAnsi="Calibri"/>
                <w:color w:val="333333"/>
                <w:sz w:val="18"/>
              </w:rPr>
              <w:t>-29.2%</w:t>
            </w:r>
          </w:p>
        </w:tc>
        <w:tc>
          <w:tcPr>
            <w:tcW w:type="dxa" w:w="1440"/>
            <w:shd w:fill="F2F4F8" w:val="clear"/>
            <w:shd w:fill="FCE8E6" w:val="clear"/>
          </w:tcPr>
          <w:p>
            <w:r>
              <w:rPr>
                <w:rFonts w:ascii="Calibri" w:hAnsi="Calibri"/>
                <w:color w:val="333333"/>
                <w:sz w:val="18"/>
              </w:rPr>
              <w:t>26%</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https://www.cnbc.com/quotes/UNH</w:t>
            </w:r>
          </w:p>
        </w:tc>
      </w:tr>
      <w:tr>
        <w:tc>
          <w:tcPr>
            <w:tcW w:type="dxa" w:w="1440"/>
            <w:shd w:fill="FCE8E6" w:val="clear"/>
          </w:tcPr>
          <w:p>
            <w:r>
              <w:rPr>
                <w:rFonts w:ascii="Calibri" w:hAnsi="Calibri"/>
                <w:color w:val="333333"/>
                <w:sz w:val="18"/>
              </w:rPr>
              <w:t>2025-05-19 (20d)</w:t>
            </w:r>
          </w:p>
        </w:tc>
        <w:tc>
          <w:tcPr>
            <w:tcW w:type="dxa" w:w="1440"/>
            <w:shd w:fill="FCE8E6" w:val="clear"/>
          </w:tcPr>
          <w:p>
            <w:r>
              <w:rPr>
                <w:rFonts w:ascii="Calibri" w:hAnsi="Calibri"/>
                <w:color w:val="333333"/>
                <w:sz w:val="18"/>
              </w:rPr>
              <w:t>-25.7%</w:t>
            </w:r>
          </w:p>
        </w:tc>
        <w:tc>
          <w:tcPr>
            <w:tcW w:type="dxa" w:w="1440"/>
            <w:shd w:fill="FCE8E6" w:val="clear"/>
          </w:tcPr>
          <w:p>
            <w:r>
              <w:rPr>
                <w:rFonts w:ascii="Calibri" w:hAnsi="Calibri"/>
                <w:color w:val="333333"/>
                <w:sz w:val="18"/>
              </w:rPr>
              <w:t>29%</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8-K Filing</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2025-04-24 (5d)</w:t>
            </w:r>
          </w:p>
        </w:tc>
        <w:tc>
          <w:tcPr>
            <w:tcW w:type="dxa" w:w="1440"/>
            <w:shd w:fill="F2F4F8" w:val="clear"/>
            <w:shd w:fill="FCE8E6" w:val="clear"/>
          </w:tcPr>
          <w:p>
            <w:r>
              <w:rPr>
                <w:rFonts w:ascii="Calibri" w:hAnsi="Calibri"/>
                <w:color w:val="333333"/>
                <w:sz w:val="18"/>
              </w:rPr>
              <w:t>-27.5%</w:t>
            </w:r>
          </w:p>
        </w:tc>
        <w:tc>
          <w:tcPr>
            <w:tcW w:type="dxa" w:w="1440"/>
            <w:shd w:fill="F2F4F8" w:val="clear"/>
            <w:shd w:fill="FCE8E6" w:val="clear"/>
          </w:tcPr>
          <w:p>
            <w:r>
              <w:rPr>
                <w:rFonts w:ascii="Calibri" w:hAnsi="Calibri"/>
                <w:color w:val="333333"/>
                <w:sz w:val="18"/>
              </w:rPr>
              <w:t>27%</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8-K Filing</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2025-04-22 (5d)</w:t>
            </w:r>
          </w:p>
        </w:tc>
        <w:tc>
          <w:tcPr>
            <w:tcW w:type="dxa" w:w="1440"/>
            <w:shd w:fill="FCE8E6" w:val="clear"/>
          </w:tcPr>
          <w:p>
            <w:r>
              <w:rPr>
                <w:rFonts w:ascii="Calibri" w:hAnsi="Calibri"/>
                <w:color w:val="333333"/>
                <w:sz w:val="18"/>
              </w:rPr>
              <w:t>-27.2%</w:t>
            </w:r>
          </w:p>
        </w:tc>
        <w:tc>
          <w:tcPr>
            <w:tcW w:type="dxa" w:w="1440"/>
            <w:shd w:fill="FCE8E6" w:val="clear"/>
          </w:tcPr>
          <w:p>
            <w:r>
              <w:rPr>
                <w:rFonts w:ascii="Calibri" w:hAnsi="Calibri"/>
                <w:color w:val="333333"/>
                <w:sz w:val="18"/>
              </w:rPr>
              <w:t>26%</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https://www.cnbc.com/quotes/UNH</w:t>
            </w:r>
          </w:p>
        </w:tc>
      </w:tr>
      <w:tr>
        <w:tc>
          <w:tcPr>
            <w:tcW w:type="dxa" w:w="1440"/>
            <w:shd w:fill="F2F4F8" w:val="clear"/>
            <w:shd w:fill="FCE8E6" w:val="clear"/>
          </w:tcPr>
          <w:p>
            <w:r>
              <w:rPr>
                <w:rFonts w:ascii="Calibri" w:hAnsi="Calibri"/>
                <w:color w:val="333333"/>
                <w:sz w:val="18"/>
              </w:rPr>
              <w:t>2025-05-02 (20d)</w:t>
            </w:r>
          </w:p>
        </w:tc>
        <w:tc>
          <w:tcPr>
            <w:tcW w:type="dxa" w:w="1440"/>
            <w:shd w:fill="F2F4F8" w:val="clear"/>
            <w:shd w:fill="FCE8E6" w:val="clear"/>
          </w:tcPr>
          <w:p>
            <w:r>
              <w:rPr>
                <w:rFonts w:ascii="Calibri" w:hAnsi="Calibri"/>
                <w:color w:val="333333"/>
                <w:sz w:val="18"/>
              </w:rPr>
              <w:t>-26.0%</w:t>
            </w:r>
          </w:p>
        </w:tc>
        <w:tc>
          <w:tcPr>
            <w:tcW w:type="dxa" w:w="1440"/>
            <w:shd w:fill="F2F4F8" w:val="clear"/>
            <w:shd w:fill="FCE8E6" w:val="clear"/>
          </w:tcPr>
          <w:p>
            <w:r>
              <w:rPr>
                <w:rFonts w:ascii="Calibri" w:hAnsi="Calibri"/>
                <w:color w:val="333333"/>
                <w:sz w:val="18"/>
              </w:rPr>
              <w:t>28%</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8-K Filing</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2025-04-23 (5d)</w:t>
            </w:r>
          </w:p>
        </w:tc>
        <w:tc>
          <w:tcPr>
            <w:tcW w:type="dxa" w:w="1440"/>
            <w:shd w:fill="FCE8E6" w:val="clear"/>
          </w:tcPr>
          <w:p>
            <w:r>
              <w:rPr>
                <w:rFonts w:ascii="Calibri" w:hAnsi="Calibri"/>
                <w:color w:val="333333"/>
                <w:sz w:val="18"/>
              </w:rPr>
              <w:t>-26.7%</w:t>
            </w:r>
          </w:p>
        </w:tc>
        <w:tc>
          <w:tcPr>
            <w:tcW w:type="dxa" w:w="1440"/>
            <w:shd w:fill="FCE8E6" w:val="clear"/>
          </w:tcPr>
          <w:p>
            <w:r>
              <w:rPr>
                <w:rFonts w:ascii="Calibri" w:hAnsi="Calibri"/>
                <w:color w:val="333333"/>
                <w:sz w:val="18"/>
              </w:rPr>
              <w:t>27%</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https://www.cnbc.com/quotes/UNH</w:t>
            </w:r>
          </w:p>
        </w:tc>
      </w:tr>
      <w:tr>
        <w:tc>
          <w:tcPr>
            <w:tcW w:type="dxa" w:w="1440"/>
            <w:shd w:fill="F2F4F8" w:val="clear"/>
            <w:shd w:fill="FCE8E6" w:val="clear"/>
          </w:tcPr>
          <w:p>
            <w:r>
              <w:rPr>
                <w:rFonts w:ascii="Calibri" w:hAnsi="Calibri"/>
                <w:color w:val="333333"/>
                <w:sz w:val="18"/>
              </w:rPr>
              <w:t>2025-04-17 (5d)</w:t>
            </w:r>
          </w:p>
        </w:tc>
        <w:tc>
          <w:tcPr>
            <w:tcW w:type="dxa" w:w="1440"/>
            <w:shd w:fill="F2F4F8" w:val="clear"/>
            <w:shd w:fill="FCE8E6" w:val="clear"/>
          </w:tcPr>
          <w:p>
            <w:r>
              <w:rPr>
                <w:rFonts w:ascii="Calibri" w:hAnsi="Calibri"/>
                <w:color w:val="333333"/>
                <w:sz w:val="18"/>
              </w:rPr>
              <w:t>-23.6%</w:t>
            </w:r>
          </w:p>
        </w:tc>
        <w:tc>
          <w:tcPr>
            <w:tcW w:type="dxa" w:w="1440"/>
            <w:shd w:fill="F2F4F8" w:val="clear"/>
            <w:shd w:fill="FCE8E6" w:val="clear"/>
          </w:tcPr>
          <w:p>
            <w:r>
              <w:rPr>
                <w:rFonts w:ascii="Calibri" w:hAnsi="Calibri"/>
                <w:color w:val="333333"/>
                <w:sz w:val="18"/>
              </w:rPr>
              <w:t>26%</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2025-07-29 to 2025-08-01 (4d)</w:t>
            </w:r>
          </w:p>
        </w:tc>
        <w:tc>
          <w:tcPr>
            <w:tcW w:type="dxa" w:w="1440"/>
            <w:shd w:fill="FCE8E6" w:val="clear"/>
          </w:tcPr>
          <w:p>
            <w:r>
              <w:rPr>
                <w:rFonts w:ascii="Calibri" w:hAnsi="Calibri"/>
                <w:color w:val="333333"/>
                <w:sz w:val="18"/>
              </w:rPr>
              <w:t>-15.4%</w:t>
            </w:r>
          </w:p>
        </w:tc>
        <w:tc>
          <w:tcPr>
            <w:tcW w:type="dxa" w:w="1440"/>
            <w:shd w:fill="FCE8E6" w:val="clear"/>
          </w:tcPr>
          <w:p>
            <w:r>
              <w:rPr>
                <w:rFonts w:ascii="Calibri" w:hAnsi="Calibri"/>
                <w:color w:val="333333"/>
                <w:sz w:val="18"/>
              </w:rPr>
              <w:t>39%</w:t>
            </w:r>
          </w:p>
        </w:tc>
        <w:tc>
          <w:tcPr>
            <w:tcW w:type="dxa" w:w="1440"/>
            <w:shd w:fill="FCE8E6" w:val="clear"/>
          </w:tcPr>
          <w:p>
            <w:r>
              <w:rPr>
                <w:rFonts w:ascii="Calibri" w:hAnsi="Calibri"/>
                <w:color w:val="333333"/>
                <w:sz w:val="18"/>
              </w:rPr>
              <w:t>10 days</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2025-04-17 (2d)</w:t>
            </w:r>
          </w:p>
        </w:tc>
        <w:tc>
          <w:tcPr>
            <w:tcW w:type="dxa" w:w="1440"/>
            <w:shd w:fill="F2F4F8" w:val="clear"/>
            <w:shd w:fill="FCE8E6" w:val="clear"/>
          </w:tcPr>
          <w:p>
            <w:r>
              <w:rPr>
                <w:rFonts w:ascii="Calibri" w:hAnsi="Calibri"/>
                <w:color w:val="333333"/>
                <w:sz w:val="18"/>
              </w:rPr>
              <w:t>-27.3%</w:t>
            </w:r>
          </w:p>
        </w:tc>
        <w:tc>
          <w:tcPr>
            <w:tcW w:type="dxa" w:w="1440"/>
            <w:shd w:fill="F2F4F8" w:val="clear"/>
            <w:shd w:fill="FCE8E6" w:val="clear"/>
          </w:tcPr>
          <w:p>
            <w:r>
              <w:rPr>
                <w:rFonts w:ascii="Calibri" w:hAnsi="Calibri"/>
                <w:color w:val="333333"/>
                <w:sz w:val="18"/>
              </w:rPr>
              <w:t>26%</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2025-05-13 (2d)</w:t>
            </w:r>
          </w:p>
        </w:tc>
        <w:tc>
          <w:tcPr>
            <w:tcW w:type="dxa" w:w="1440"/>
            <w:shd w:fill="FCE8E6" w:val="clear"/>
          </w:tcPr>
          <w:p>
            <w:r>
              <w:rPr>
                <w:rFonts w:ascii="Calibri" w:hAnsi="Calibri"/>
                <w:color w:val="333333"/>
                <w:sz w:val="18"/>
              </w:rPr>
              <w:t>-27.6%</w:t>
            </w:r>
          </w:p>
        </w:tc>
        <w:tc>
          <w:tcPr>
            <w:tcW w:type="dxa" w:w="1440"/>
            <w:shd w:fill="FCE8E6" w:val="clear"/>
          </w:tcPr>
          <w:p>
            <w:r>
              <w:rPr>
                <w:rFonts w:ascii="Calibri" w:hAnsi="Calibri"/>
                <w:color w:val="333333"/>
                <w:sz w:val="18"/>
              </w:rPr>
              <w:t>29%</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8-K Filing</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2025-07-29 (2d)</w:t>
            </w:r>
          </w:p>
        </w:tc>
        <w:tc>
          <w:tcPr>
            <w:tcW w:type="dxa" w:w="1440"/>
            <w:shd w:fill="F2F4F8" w:val="clear"/>
            <w:shd w:fill="FCE8E6" w:val="clear"/>
          </w:tcPr>
          <w:p>
            <w:r>
              <w:rPr>
                <w:rFonts w:ascii="Calibri" w:hAnsi="Calibri"/>
                <w:color w:val="333333"/>
                <w:sz w:val="18"/>
              </w:rPr>
              <w:t>-11.5%</w:t>
            </w:r>
          </w:p>
        </w:tc>
        <w:tc>
          <w:tcPr>
            <w:tcW w:type="dxa" w:w="1440"/>
            <w:shd w:fill="F2F4F8" w:val="clear"/>
            <w:shd w:fill="FCE8E6" w:val="clear"/>
          </w:tcPr>
          <w:p>
            <w:r>
              <w:rPr>
                <w:rFonts w:ascii="Calibri" w:hAnsi="Calibri"/>
                <w:color w:val="333333"/>
                <w:sz w:val="18"/>
              </w:rPr>
              <w:t>39%</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FF3CD" w:val="clear"/>
          </w:tcPr>
          <w:p>
            <w:r>
              <w:rPr>
                <w:rFonts w:ascii="Calibri" w:hAnsi="Calibri"/>
                <w:color w:val="333333"/>
                <w:sz w:val="18"/>
              </w:rPr>
              <w:t>2025-07-02</w:t>
            </w:r>
          </w:p>
        </w:tc>
        <w:tc>
          <w:tcPr>
            <w:tcW w:type="dxa" w:w="1440"/>
            <w:shd w:fill="FFF3CD" w:val="clear"/>
          </w:tcPr>
          <w:p>
            <w:r>
              <w:rPr>
                <w:rFonts w:ascii="Calibri" w:hAnsi="Calibri"/>
                <w:color w:val="333333"/>
                <w:sz w:val="18"/>
              </w:rPr>
              <w:t>-5.7%</w:t>
            </w:r>
          </w:p>
        </w:tc>
        <w:tc>
          <w:tcPr>
            <w:tcW w:type="dxa" w:w="1440"/>
            <w:shd w:fill="FFF3CD" w:val="clear"/>
          </w:tcPr>
          <w:p>
            <w:r>
              <w:rPr>
                <w:rFonts w:ascii="Calibri" w:hAnsi="Calibri"/>
                <w:color w:val="333333"/>
                <w:sz w:val="18"/>
              </w:rPr>
              <w:t>35%</w:t>
            </w:r>
          </w:p>
        </w:tc>
        <w:tc>
          <w:tcPr>
            <w:tcW w:type="dxa" w:w="1440"/>
            <w:shd w:fill="FFF3CD" w:val="clear"/>
          </w:tcPr>
          <w:p>
            <w:r>
              <w:rPr>
                <w:rFonts w:ascii="Calibri" w:hAnsi="Calibri"/>
                <w:color w:val="333333"/>
                <w:sz w:val="18"/>
              </w:rPr>
              <w:t>47 days</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https://www.cnbc.com/quotes/UNH</w:t>
            </w:r>
          </w:p>
        </w:tc>
      </w:tr>
      <w:tr>
        <w:tc>
          <w:tcPr>
            <w:tcW w:type="dxa" w:w="1440"/>
            <w:shd w:fill="F2F4F8" w:val="clear"/>
            <w:shd w:fill="FFF3CD" w:val="clear"/>
          </w:tcPr>
          <w:p>
            <w:r>
              <w:rPr>
                <w:rFonts w:ascii="Calibri" w:hAnsi="Calibri"/>
                <w:color w:val="333333"/>
                <w:sz w:val="18"/>
              </w:rPr>
              <w:t>2025-05-21</w:t>
            </w:r>
          </w:p>
        </w:tc>
        <w:tc>
          <w:tcPr>
            <w:tcW w:type="dxa" w:w="1440"/>
            <w:shd w:fill="F2F4F8" w:val="clear"/>
            <w:shd w:fill="FFF3CD" w:val="clear"/>
          </w:tcPr>
          <w:p>
            <w:r>
              <w:rPr>
                <w:rFonts w:ascii="Calibri" w:hAnsi="Calibri"/>
                <w:color w:val="333333"/>
                <w:sz w:val="18"/>
              </w:rPr>
              <w:t>-5.8%</w:t>
            </w:r>
          </w:p>
        </w:tc>
        <w:tc>
          <w:tcPr>
            <w:tcW w:type="dxa" w:w="1440"/>
            <w:shd w:fill="F2F4F8" w:val="clear"/>
            <w:shd w:fill="FFF3CD" w:val="clear"/>
          </w:tcPr>
          <w:p>
            <w:r>
              <w:rPr>
                <w:rFonts w:ascii="Calibri" w:hAnsi="Calibri"/>
                <w:color w:val="333333"/>
                <w:sz w:val="18"/>
              </w:rPr>
              <w:t>30%</w:t>
            </w:r>
          </w:p>
        </w:tc>
        <w:tc>
          <w:tcPr>
            <w:tcW w:type="dxa" w:w="1440"/>
            <w:shd w:fill="F2F4F8" w:val="clear"/>
            <w:shd w:fill="FFF3CD" w:val="clear"/>
          </w:tcPr>
          <w:p>
            <w:r>
              <w:rPr>
                <w:rFonts w:ascii="Calibri" w:hAnsi="Calibri"/>
                <w:color w:val="333333"/>
                <w:sz w:val="18"/>
              </w:rPr>
              <w:t>27 days</w:t>
            </w:r>
          </w:p>
        </w:tc>
        <w:tc>
          <w:tcPr>
            <w:tcW w:type="dxa" w:w="1440"/>
            <w:shd w:fill="F2F4F8" w:val="clear"/>
            <w:shd w:fill="FFF3CD" w:val="clear"/>
          </w:tcPr>
          <w:p>
            <w:r>
              <w:rPr>
                <w:rFonts w:ascii="Calibri" w:hAnsi="Calibri"/>
                <w:color w:val="333333"/>
                <w:sz w:val="18"/>
              </w:rPr>
              <w:t>8-K Filing</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2024-12-05 to 2024-12-11 (7d)</w:t>
            </w:r>
          </w:p>
        </w:tc>
        <w:tc>
          <w:tcPr>
            <w:tcW w:type="dxa" w:w="1440"/>
            <w:shd w:fill="FCE8E6" w:val="clear"/>
          </w:tcPr>
          <w:p>
            <w:r>
              <w:rPr>
                <w:rFonts w:ascii="Calibri" w:hAnsi="Calibri"/>
                <w:color w:val="333333"/>
                <w:sz w:val="18"/>
              </w:rPr>
              <w:t>-12.3%</w:t>
            </w:r>
          </w:p>
        </w:tc>
        <w:tc>
          <w:tcPr>
            <w:tcW w:type="dxa" w:w="1440"/>
            <w:shd w:fill="FCE8E6" w:val="clear"/>
          </w:tcPr>
          <w:p>
            <w:r>
              <w:rPr>
                <w:rFonts w:ascii="Calibri" w:hAnsi="Calibri"/>
                <w:color w:val="333333"/>
                <w:sz w:val="18"/>
              </w:rPr>
              <w:t>16%</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https://www.cnbc.com/quotes/UNH</w:t>
            </w:r>
          </w:p>
        </w:tc>
      </w:tr>
      <w:tr>
        <w:tc>
          <w:tcPr>
            <w:tcW w:type="dxa" w:w="1440"/>
            <w:shd w:fill="F2F4F8" w:val="clear"/>
            <w:shd w:fill="FFF3CD" w:val="clear"/>
          </w:tcPr>
          <w:p>
            <w:r>
              <w:rPr>
                <w:rFonts w:ascii="Calibri" w:hAnsi="Calibri"/>
                <w:color w:val="333333"/>
                <w:sz w:val="18"/>
              </w:rPr>
              <w:t>2025-02-21</w:t>
            </w:r>
          </w:p>
        </w:tc>
        <w:tc>
          <w:tcPr>
            <w:tcW w:type="dxa" w:w="1440"/>
            <w:shd w:fill="F2F4F8" w:val="clear"/>
            <w:shd w:fill="FFF3CD" w:val="clear"/>
          </w:tcPr>
          <w:p>
            <w:r>
              <w:rPr>
                <w:rFonts w:ascii="Calibri" w:hAnsi="Calibri"/>
                <w:color w:val="333333"/>
                <w:sz w:val="18"/>
              </w:rPr>
              <w:t>-7.2%</w:t>
            </w:r>
          </w:p>
        </w:tc>
        <w:tc>
          <w:tcPr>
            <w:tcW w:type="dxa" w:w="1440"/>
            <w:shd w:fill="F2F4F8" w:val="clear"/>
            <w:shd w:fill="FFF3CD" w:val="clear"/>
          </w:tcPr>
          <w:p>
            <w:r>
              <w:rPr>
                <w:rFonts w:ascii="Calibri" w:hAnsi="Calibri"/>
                <w:color w:val="333333"/>
                <w:sz w:val="18"/>
              </w:rPr>
              <w:t>21%</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https://www.cnbc.com/quotes/UNH</w:t>
            </w:r>
          </w:p>
        </w:tc>
      </w:tr>
      <w:tr>
        <w:tc>
          <w:tcPr>
            <w:tcW w:type="dxa" w:w="1440"/>
            <w:shd w:fill="FFF3CD" w:val="clear"/>
          </w:tcPr>
          <w:p>
            <w:r>
              <w:rPr>
                <w:rFonts w:ascii="Calibri" w:hAnsi="Calibri"/>
                <w:color w:val="333333"/>
                <w:sz w:val="18"/>
              </w:rPr>
              <w:t>2025-01-16</w:t>
            </w:r>
          </w:p>
        </w:tc>
        <w:tc>
          <w:tcPr>
            <w:tcW w:type="dxa" w:w="1440"/>
            <w:shd w:fill="FFF3CD" w:val="clear"/>
          </w:tcPr>
          <w:p>
            <w:r>
              <w:rPr>
                <w:rFonts w:ascii="Calibri" w:hAnsi="Calibri"/>
                <w:color w:val="333333"/>
                <w:sz w:val="18"/>
              </w:rPr>
              <w:t>-6.0%</w:t>
            </w:r>
          </w:p>
        </w:tc>
        <w:tc>
          <w:tcPr>
            <w:tcW w:type="dxa" w:w="1440"/>
            <w:shd w:fill="FFF3CD" w:val="clear"/>
          </w:tcPr>
          <w:p>
            <w:r>
              <w:rPr>
                <w:rFonts w:ascii="Calibri" w:hAnsi="Calibri"/>
                <w:color w:val="333333"/>
                <w:sz w:val="18"/>
              </w:rPr>
              <w:t>18%</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Earnings release</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https://www.cnbc.com/quotes/UNH</w:t>
            </w:r>
          </w:p>
        </w:tc>
      </w:tr>
      <w:tr>
        <w:tc>
          <w:tcPr>
            <w:tcW w:type="dxa" w:w="1440"/>
            <w:shd w:fill="F2F4F8" w:val="clear"/>
            <w:shd w:fill="FFF3CD" w:val="clear"/>
          </w:tcPr>
          <w:p>
            <w:r>
              <w:rPr>
                <w:rFonts w:ascii="Calibri" w:hAnsi="Calibri"/>
                <w:color w:val="333333"/>
                <w:sz w:val="18"/>
              </w:rPr>
              <w:t>2024-10-15</w:t>
            </w:r>
          </w:p>
        </w:tc>
        <w:tc>
          <w:tcPr>
            <w:tcW w:type="dxa" w:w="1440"/>
            <w:shd w:fill="F2F4F8" w:val="clear"/>
            <w:shd w:fill="FFF3CD" w:val="clear"/>
          </w:tcPr>
          <w:p>
            <w:r>
              <w:rPr>
                <w:rFonts w:ascii="Calibri" w:hAnsi="Calibri"/>
                <w:color w:val="333333"/>
                <w:sz w:val="18"/>
              </w:rPr>
              <w:t>-8.1%</w:t>
            </w:r>
          </w:p>
        </w:tc>
        <w:tc>
          <w:tcPr>
            <w:tcW w:type="dxa" w:w="1440"/>
            <w:shd w:fill="F2F4F8" w:val="clear"/>
            <w:shd w:fill="FFF3CD" w:val="clear"/>
          </w:tcPr>
          <w:p>
            <w:r>
              <w:rPr>
                <w:rFonts w:ascii="Calibri" w:hAnsi="Calibri"/>
                <w:color w:val="333333"/>
                <w:sz w:val="18"/>
              </w:rPr>
              <w:t>13%</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Earnings release</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https://www.cnbc.com/quotes/UNH</w:t>
            </w:r>
          </w:p>
        </w:tc>
      </w:tr>
      <w:tr>
        <w:tc>
          <w:tcPr>
            <w:tcW w:type="dxa" w:w="1440"/>
            <w:shd w:fill="FFF3CD" w:val="clear"/>
          </w:tcPr>
          <w:p>
            <w:r>
              <w:rPr>
                <w:rFonts w:ascii="Calibri" w:hAnsi="Calibri"/>
                <w:color w:val="333333"/>
                <w:sz w:val="18"/>
              </w:rPr>
              <w:t>2024-12-11</w:t>
            </w:r>
          </w:p>
        </w:tc>
        <w:tc>
          <w:tcPr>
            <w:tcW w:type="dxa" w:w="1440"/>
            <w:shd w:fill="FFF3CD" w:val="clear"/>
          </w:tcPr>
          <w:p>
            <w:r>
              <w:rPr>
                <w:rFonts w:ascii="Calibri" w:hAnsi="Calibri"/>
                <w:color w:val="333333"/>
                <w:sz w:val="18"/>
              </w:rPr>
              <w:t>-5.6%</w:t>
            </w:r>
          </w:p>
        </w:tc>
        <w:tc>
          <w:tcPr>
            <w:tcW w:type="dxa" w:w="1440"/>
            <w:shd w:fill="FFF3CD" w:val="clear"/>
          </w:tcPr>
          <w:p>
            <w:r>
              <w:rPr>
                <w:rFonts w:ascii="Calibri" w:hAnsi="Calibri"/>
                <w:color w:val="333333"/>
                <w:sz w:val="18"/>
              </w:rPr>
              <w:t>16%</w:t>
            </w:r>
          </w:p>
        </w:tc>
        <w:tc>
          <w:tcPr>
            <w:tcW w:type="dxa" w:w="1440"/>
            <w:shd w:fill="FFF3CD" w:val="clear"/>
          </w:tcPr>
          <w:p>
            <w:r>
              <w:rPr>
                <w:rFonts w:ascii="Calibri" w:hAnsi="Calibri"/>
                <w:color w:val="333333"/>
                <w:sz w:val="18"/>
              </w:rPr>
              <w:t>Not recovered</w:t>
            </w:r>
          </w:p>
        </w:tc>
        <w:tc>
          <w:tcPr>
            <w:tcW w:type="dxa" w:w="1440"/>
            <w:shd w:fill="FFF3CD" w:val="clear"/>
          </w:tcPr>
          <w:p>
            <w:r>
              <w:rPr>
                <w:rFonts w:ascii="Calibri" w:hAnsi="Calibri"/>
                <w:color w:val="333333"/>
                <w:sz w:val="18"/>
              </w:rPr>
              <w:t>Unconfirmed -- Requires Investigation</w:t>
            </w:r>
          </w:p>
        </w:tc>
        <w:tc>
          <w:tcPr>
            <w:tcW w:type="dxa" w:w="1440"/>
            <w:shd w:fill="FFF3CD" w:val="clear"/>
          </w:tcPr>
          <w:p>
            <w:r>
              <w:rPr>
                <w:rFonts w:ascii="Calibri" w:hAnsi="Calibri"/>
                <w:color w:val="333333"/>
                <w:sz w:val="18"/>
              </w:rPr>
              <w:t>Company-Specific</w:t>
            </w:r>
          </w:p>
        </w:tc>
        <w:tc>
          <w:tcPr>
            <w:tcW w:type="dxa" w:w="1440"/>
            <w:shd w:fill="FFF3CD" w:val="clear"/>
          </w:tcPr>
          <w:p>
            <w:r>
              <w:rPr>
                <w:rFonts w:ascii="Calibri" w:hAnsi="Calibri"/>
                <w:color w:val="333333"/>
                <w:sz w:val="18"/>
              </w:rPr>
              <w:t>https://www.cnbc.com/quotes/UNH</w:t>
            </w:r>
          </w:p>
        </w:tc>
      </w:tr>
      <w:tr>
        <w:tc>
          <w:tcPr>
            <w:tcW w:type="dxa" w:w="1440"/>
            <w:shd w:fill="F2F4F8" w:val="clear"/>
            <w:shd w:fill="FFF3CD" w:val="clear"/>
          </w:tcPr>
          <w:p>
            <w:r>
              <w:rPr>
                <w:rFonts w:ascii="Calibri" w:hAnsi="Calibri"/>
                <w:color w:val="333333"/>
                <w:sz w:val="18"/>
              </w:rPr>
              <w:t>2024-12-05 (2d)</w:t>
            </w:r>
          </w:p>
        </w:tc>
        <w:tc>
          <w:tcPr>
            <w:tcW w:type="dxa" w:w="1440"/>
            <w:shd w:fill="F2F4F8" w:val="clear"/>
            <w:shd w:fill="FFF3CD" w:val="clear"/>
          </w:tcPr>
          <w:p>
            <w:r>
              <w:rPr>
                <w:rFonts w:ascii="Calibri" w:hAnsi="Calibri"/>
                <w:color w:val="333333"/>
                <w:sz w:val="18"/>
              </w:rPr>
              <w:t>-5.2%</w:t>
            </w:r>
          </w:p>
        </w:tc>
        <w:tc>
          <w:tcPr>
            <w:tcW w:type="dxa" w:w="1440"/>
            <w:shd w:fill="F2F4F8" w:val="clear"/>
            <w:shd w:fill="FFF3CD" w:val="clear"/>
          </w:tcPr>
          <w:p>
            <w:r>
              <w:rPr>
                <w:rFonts w:ascii="Calibri" w:hAnsi="Calibri"/>
                <w:color w:val="333333"/>
                <w:sz w:val="18"/>
              </w:rPr>
              <w:t>16%</w:t>
            </w:r>
          </w:p>
        </w:tc>
        <w:tc>
          <w:tcPr>
            <w:tcW w:type="dxa" w:w="1440"/>
            <w:shd w:fill="F2F4F8" w:val="clear"/>
            <w:shd w:fill="FFF3CD" w:val="clear"/>
          </w:tcPr>
          <w:p>
            <w:r>
              <w:rPr>
                <w:rFonts w:ascii="Calibri" w:hAnsi="Calibri"/>
                <w:color w:val="333333"/>
                <w:sz w:val="18"/>
              </w:rPr>
              <w:t>Not recovered</w:t>
            </w:r>
          </w:p>
        </w:tc>
        <w:tc>
          <w:tcPr>
            <w:tcW w:type="dxa" w:w="1440"/>
            <w:shd w:fill="F2F4F8" w:val="clear"/>
            <w:shd w:fill="FFF3CD" w:val="clear"/>
          </w:tcPr>
          <w:p>
            <w:r>
              <w:rPr>
                <w:rFonts w:ascii="Calibri" w:hAnsi="Calibri"/>
                <w:color w:val="333333"/>
                <w:sz w:val="18"/>
              </w:rPr>
              <w:t>Unconfirmed -- Requires Investigation</w:t>
            </w:r>
          </w:p>
        </w:tc>
        <w:tc>
          <w:tcPr>
            <w:tcW w:type="dxa" w:w="1440"/>
            <w:shd w:fill="F2F4F8" w:val="clear"/>
            <w:shd w:fill="FFF3CD" w:val="clear"/>
          </w:tcPr>
          <w:p>
            <w:r>
              <w:rPr>
                <w:rFonts w:ascii="Calibri" w:hAnsi="Calibri"/>
                <w:color w:val="333333"/>
                <w:sz w:val="18"/>
              </w:rPr>
              <w:t>Company-Specific</w:t>
            </w:r>
          </w:p>
        </w:tc>
        <w:tc>
          <w:tcPr>
            <w:tcW w:type="dxa" w:w="1440"/>
            <w:shd w:fill="F2F4F8" w:val="clear"/>
            <w:shd w:fill="FFF3CD" w:val="clear"/>
          </w:tcPr>
          <w:p>
            <w:r>
              <w:rPr>
                <w:rFonts w:ascii="Calibri" w:hAnsi="Calibri"/>
                <w:color w:val="333333"/>
                <w:sz w:val="18"/>
              </w:rPr>
              <w:t>https://www.cnbc.com/quotes/UNH</w:t>
            </w:r>
          </w:p>
        </w:tc>
      </w:tr>
    </w:tbl>
    <w:p>
      <w:pPr>
        <w:pStyle w:val="DOBody"/>
      </w:pPr>
      <w:r>
        <w:t>32 significant stock decline events detected in the 5Y period: 32 critical (&gt;10%). 32 were company-specific.</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A1446" w:val="clear"/>
          </w:tcPr>
          <w:p>
            <w:r>
              <w:rPr>
                <w:rFonts w:ascii="Calibri" w:hAnsi="Calibri"/>
                <w:b/>
                <w:color w:val="FFFFFF"/>
                <w:sz w:val="18"/>
              </w:rPr>
              <w:t>Date</w:t>
            </w:r>
          </w:p>
        </w:tc>
        <w:tc>
          <w:tcPr>
            <w:tcW w:type="dxa" w:w="1440"/>
            <w:shd w:fill="1A1446" w:val="clear"/>
          </w:tcPr>
          <w:p>
            <w:r>
              <w:rPr>
                <w:rFonts w:ascii="Calibri" w:hAnsi="Calibri"/>
                <w:b/>
                <w:color w:val="FFFFFF"/>
                <w:sz w:val="18"/>
              </w:rPr>
              <w:t>Drop %</w:t>
            </w:r>
          </w:p>
        </w:tc>
        <w:tc>
          <w:tcPr>
            <w:tcW w:type="dxa" w:w="1440"/>
            <w:shd w:fill="1A1446" w:val="clear"/>
          </w:tcPr>
          <w:p>
            <w:r>
              <w:rPr>
                <w:rFonts w:ascii="Calibri" w:hAnsi="Calibri"/>
                <w:b/>
                <w:color w:val="FFFFFF"/>
                <w:sz w:val="18"/>
              </w:rPr>
              <w:t>Recency</w:t>
            </w:r>
          </w:p>
        </w:tc>
        <w:tc>
          <w:tcPr>
            <w:tcW w:type="dxa" w:w="1440"/>
            <w:shd w:fill="1A1446" w:val="clear"/>
          </w:tcPr>
          <w:p>
            <w:r>
              <w:rPr>
                <w:rFonts w:ascii="Calibri" w:hAnsi="Calibri"/>
                <w:b/>
                <w:color w:val="FFFFFF"/>
                <w:sz w:val="18"/>
              </w:rPr>
              <w:t>Recovery</w:t>
            </w:r>
          </w:p>
        </w:tc>
        <w:tc>
          <w:tcPr>
            <w:tcW w:type="dxa" w:w="1440"/>
            <w:shd w:fill="1A1446" w:val="clear"/>
          </w:tcPr>
          <w:p>
            <w:r>
              <w:rPr>
                <w:rFonts w:ascii="Calibri" w:hAnsi="Calibri"/>
                <w:b/>
                <w:color w:val="FFFFFF"/>
                <w:sz w:val="18"/>
              </w:rPr>
              <w:t>Trigger Event</w:t>
            </w:r>
          </w:p>
        </w:tc>
        <w:tc>
          <w:tcPr>
            <w:tcW w:type="dxa" w:w="1440"/>
            <w:shd w:fill="1A1446" w:val="clear"/>
          </w:tcPr>
          <w:p>
            <w:r>
              <w:rPr>
                <w:rFonts w:ascii="Calibri" w:hAnsi="Calibri"/>
                <w:b/>
                <w:color w:val="FFFFFF"/>
                <w:sz w:val="18"/>
              </w:rPr>
              <w:t>Type</w:t>
            </w:r>
          </w:p>
        </w:tc>
        <w:tc>
          <w:tcPr>
            <w:tcW w:type="dxa" w:w="1440"/>
            <w:shd w:fill="1A1446" w:val="clear"/>
          </w:tcPr>
          <w:p>
            <w:r>
              <w:rPr>
                <w:rFonts w:ascii="Calibri" w:hAnsi="Calibri"/>
                <w:b/>
                <w:color w:val="FFFFFF"/>
                <w:sz w:val="18"/>
              </w:rPr>
              <w:t>Source</w:t>
            </w:r>
          </w:p>
        </w:tc>
      </w:tr>
      <w:tr>
        <w:tc>
          <w:tcPr>
            <w:tcW w:type="dxa" w:w="1440"/>
            <w:shd w:fill="FCE8E6" w:val="clear"/>
          </w:tcPr>
          <w:p>
            <w:r>
              <w:rPr>
                <w:rFonts w:ascii="Calibri" w:hAnsi="Calibri"/>
                <w:color w:val="333333"/>
                <w:sz w:val="18"/>
              </w:rPr>
              <w:t>2026-01-27 to 2026-02-02 (7d)</w:t>
            </w:r>
          </w:p>
        </w:tc>
        <w:tc>
          <w:tcPr>
            <w:tcW w:type="dxa" w:w="1440"/>
            <w:shd w:fill="FCE8E6" w:val="clear"/>
          </w:tcPr>
          <w:p>
            <w:r>
              <w:rPr>
                <w:rFonts w:ascii="Calibri" w:hAnsi="Calibri"/>
                <w:color w:val="333333"/>
                <w:sz w:val="18"/>
              </w:rPr>
              <w:t>-20.6%</w:t>
            </w:r>
          </w:p>
        </w:tc>
        <w:tc>
          <w:tcPr>
            <w:tcW w:type="dxa" w:w="1440"/>
            <w:shd w:fill="FCE8E6" w:val="clear"/>
          </w:tcPr>
          <w:p>
            <w:r>
              <w:rPr>
                <w:rFonts w:ascii="Calibri" w:hAnsi="Calibri"/>
                <w:color w:val="333333"/>
                <w:sz w:val="18"/>
              </w:rPr>
              <w:t>78%</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2025-05-02 to 2025-06-03 (33d)</w:t>
            </w:r>
          </w:p>
        </w:tc>
        <w:tc>
          <w:tcPr>
            <w:tcW w:type="dxa" w:w="1440"/>
            <w:shd w:fill="F2F4F8" w:val="clear"/>
            <w:shd w:fill="FCE8E6" w:val="clear"/>
          </w:tcPr>
          <w:p>
            <w:r>
              <w:rPr>
                <w:rFonts w:ascii="Calibri" w:hAnsi="Calibri"/>
                <w:color w:val="333333"/>
                <w:sz w:val="18"/>
              </w:rPr>
              <w:t>-54.2%</w:t>
            </w:r>
          </w:p>
        </w:tc>
        <w:tc>
          <w:tcPr>
            <w:tcW w:type="dxa" w:w="1440"/>
            <w:shd w:fill="F2F4F8" w:val="clear"/>
            <w:shd w:fill="FCE8E6" w:val="clear"/>
          </w:tcPr>
          <w:p>
            <w:r>
              <w:rPr>
                <w:rFonts w:ascii="Calibri" w:hAnsi="Calibri"/>
                <w:color w:val="333333"/>
                <w:sz w:val="18"/>
              </w:rPr>
              <w:t>29%</w:t>
            </w:r>
          </w:p>
        </w:tc>
        <w:tc>
          <w:tcPr>
            <w:tcW w:type="dxa" w:w="1440"/>
            <w:shd w:fill="F2F4F8" w:val="clear"/>
            <w:shd w:fill="FCE8E6" w:val="clear"/>
          </w:tcPr>
          <w:p>
            <w:r>
              <w:rPr>
                <w:rFonts w:ascii="Calibri" w:hAnsi="Calibri"/>
                <w:color w:val="333333"/>
                <w:sz w:val="18"/>
              </w:rPr>
              <w:t>27 days</w:t>
            </w:r>
          </w:p>
        </w:tc>
        <w:tc>
          <w:tcPr>
            <w:tcW w:type="dxa" w:w="1440"/>
            <w:shd w:fill="F2F4F8" w:val="clear"/>
            <w:shd w:fill="FCE8E6" w:val="clear"/>
          </w:tcPr>
          <w:p>
            <w:r>
              <w:rPr>
                <w:rFonts w:ascii="Calibri" w:hAnsi="Calibri"/>
                <w:color w:val="333333"/>
                <w:sz w:val="18"/>
              </w:rPr>
              <w:t>8-K Filing</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2026-01-30 (5d)</w:t>
            </w:r>
          </w:p>
        </w:tc>
        <w:tc>
          <w:tcPr>
            <w:tcW w:type="dxa" w:w="1440"/>
            <w:shd w:fill="FCE8E6" w:val="clear"/>
          </w:tcPr>
          <w:p>
            <w:r>
              <w:rPr>
                <w:rFonts w:ascii="Calibri" w:hAnsi="Calibri"/>
                <w:color w:val="333333"/>
                <w:sz w:val="18"/>
              </w:rPr>
              <w:t>-19.5%</w:t>
            </w:r>
          </w:p>
        </w:tc>
        <w:tc>
          <w:tcPr>
            <w:tcW w:type="dxa" w:w="1440"/>
            <w:shd w:fill="FCE8E6" w:val="clear"/>
          </w:tcPr>
          <w:p>
            <w:r>
              <w:rPr>
                <w:rFonts w:ascii="Calibri" w:hAnsi="Calibri"/>
                <w:color w:val="333333"/>
                <w:sz w:val="18"/>
              </w:rPr>
              <w:t>79%</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2026-01-27</w:t>
            </w:r>
          </w:p>
        </w:tc>
        <w:tc>
          <w:tcPr>
            <w:tcW w:type="dxa" w:w="1440"/>
            <w:shd w:fill="F2F4F8" w:val="clear"/>
            <w:shd w:fill="FCE8E6" w:val="clear"/>
          </w:tcPr>
          <w:p>
            <w:r>
              <w:rPr>
                <w:rFonts w:ascii="Calibri" w:hAnsi="Calibri"/>
                <w:color w:val="333333"/>
                <w:sz w:val="18"/>
              </w:rPr>
              <w:t>-19.6%</w:t>
            </w:r>
          </w:p>
        </w:tc>
        <w:tc>
          <w:tcPr>
            <w:tcW w:type="dxa" w:w="1440"/>
            <w:shd w:fill="F2F4F8" w:val="clear"/>
            <w:shd w:fill="FCE8E6" w:val="clear"/>
          </w:tcPr>
          <w:p>
            <w:r>
              <w:rPr>
                <w:rFonts w:ascii="Calibri" w:hAnsi="Calibri"/>
                <w:color w:val="333333"/>
                <w:sz w:val="18"/>
              </w:rPr>
              <w:t>78%</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2026-02-02 (5d)</w:t>
            </w:r>
          </w:p>
        </w:tc>
        <w:tc>
          <w:tcPr>
            <w:tcW w:type="dxa" w:w="1440"/>
            <w:shd w:fill="FCE8E6" w:val="clear"/>
          </w:tcPr>
          <w:p>
            <w:r>
              <w:rPr>
                <w:rFonts w:ascii="Calibri" w:hAnsi="Calibri"/>
                <w:color w:val="333333"/>
                <w:sz w:val="18"/>
              </w:rPr>
              <w:t>-18.8%</w:t>
            </w:r>
          </w:p>
        </w:tc>
        <w:tc>
          <w:tcPr>
            <w:tcW w:type="dxa" w:w="1440"/>
            <w:shd w:fill="FCE8E6" w:val="clear"/>
          </w:tcPr>
          <w:p>
            <w:r>
              <w:rPr>
                <w:rFonts w:ascii="Calibri" w:hAnsi="Calibri"/>
                <w:color w:val="333333"/>
                <w:sz w:val="18"/>
              </w:rPr>
              <w:t>80%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https://www.cnbc.com/quotes/UNH</w:t>
            </w:r>
          </w:p>
        </w:tc>
      </w:tr>
      <w:tr>
        <w:tc>
          <w:tcPr>
            <w:tcW w:type="dxa" w:w="1440"/>
            <w:shd w:fill="F2F4F8" w:val="clear"/>
            <w:shd w:fill="FCE8E6" w:val="clear"/>
          </w:tcPr>
          <w:p>
            <w:r>
              <w:rPr>
                <w:rFonts w:ascii="Calibri" w:hAnsi="Calibri"/>
                <w:color w:val="333333"/>
                <w:sz w:val="18"/>
              </w:rPr>
              <w:t>2026-01-29 (5d)</w:t>
            </w:r>
          </w:p>
        </w:tc>
        <w:tc>
          <w:tcPr>
            <w:tcW w:type="dxa" w:w="1440"/>
            <w:shd w:fill="F2F4F8" w:val="clear"/>
            <w:shd w:fill="FCE8E6" w:val="clear"/>
          </w:tcPr>
          <w:p>
            <w:r>
              <w:rPr>
                <w:rFonts w:ascii="Calibri" w:hAnsi="Calibri"/>
                <w:color w:val="333333"/>
                <w:sz w:val="18"/>
              </w:rPr>
              <w:t>-17.5%</w:t>
            </w:r>
          </w:p>
        </w:tc>
        <w:tc>
          <w:tcPr>
            <w:tcW w:type="dxa" w:w="1440"/>
            <w:shd w:fill="F2F4F8" w:val="clear"/>
            <w:shd w:fill="FCE8E6" w:val="clear"/>
          </w:tcPr>
          <w:p>
            <w:r>
              <w:rPr>
                <w:rFonts w:ascii="Calibri" w:hAnsi="Calibri"/>
                <w:color w:val="333333"/>
                <w:sz w:val="18"/>
              </w:rPr>
              <w:t>78%</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2025-05-14 (20d)</w:t>
            </w:r>
          </w:p>
        </w:tc>
        <w:tc>
          <w:tcPr>
            <w:tcW w:type="dxa" w:w="1440"/>
            <w:shd w:fill="FCE8E6" w:val="clear"/>
          </w:tcPr>
          <w:p>
            <w:r>
              <w:rPr>
                <w:rFonts w:ascii="Calibri" w:hAnsi="Calibri"/>
                <w:color w:val="333333"/>
                <w:sz w:val="18"/>
              </w:rPr>
              <w:t>-47.2%</w:t>
            </w:r>
          </w:p>
        </w:tc>
        <w:tc>
          <w:tcPr>
            <w:tcW w:type="dxa" w:w="1440"/>
            <w:shd w:fill="FCE8E6" w:val="clear"/>
          </w:tcPr>
          <w:p>
            <w:r>
              <w:rPr>
                <w:rFonts w:ascii="Calibri" w:hAnsi="Calibri"/>
                <w:color w:val="333333"/>
                <w:sz w:val="18"/>
              </w:rPr>
              <w:t>29%</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8-K Filing</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2025-05-13 (20d)</w:t>
            </w:r>
          </w:p>
        </w:tc>
        <w:tc>
          <w:tcPr>
            <w:tcW w:type="dxa" w:w="1440"/>
            <w:shd w:fill="F2F4F8" w:val="clear"/>
            <w:shd w:fill="FCE8E6" w:val="clear"/>
          </w:tcPr>
          <w:p>
            <w:r>
              <w:rPr>
                <w:rFonts w:ascii="Calibri" w:hAnsi="Calibri"/>
                <w:color w:val="333333"/>
                <w:sz w:val="18"/>
              </w:rPr>
              <w:t>-47.0%</w:t>
            </w:r>
          </w:p>
        </w:tc>
        <w:tc>
          <w:tcPr>
            <w:tcW w:type="dxa" w:w="1440"/>
            <w:shd w:fill="F2F4F8" w:val="clear"/>
            <w:shd w:fill="FCE8E6" w:val="clear"/>
          </w:tcPr>
          <w:p>
            <w:r>
              <w:rPr>
                <w:rFonts w:ascii="Calibri" w:hAnsi="Calibri"/>
                <w:color w:val="333333"/>
                <w:sz w:val="18"/>
              </w:rPr>
              <w:t>29%</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8-K Filing</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2026-01-28 (2d)</w:t>
            </w:r>
          </w:p>
        </w:tc>
        <w:tc>
          <w:tcPr>
            <w:tcW w:type="dxa" w:w="1440"/>
            <w:shd w:fill="FCE8E6" w:val="clear"/>
          </w:tcPr>
          <w:p>
            <w:r>
              <w:rPr>
                <w:rFonts w:ascii="Calibri" w:hAnsi="Calibri"/>
                <w:color w:val="333333"/>
                <w:sz w:val="18"/>
              </w:rPr>
              <w:t>-16.4%</w:t>
            </w:r>
          </w:p>
        </w:tc>
        <w:tc>
          <w:tcPr>
            <w:tcW w:type="dxa" w:w="1440"/>
            <w:shd w:fill="FCE8E6" w:val="clear"/>
          </w:tcPr>
          <w:p>
            <w:r>
              <w:rPr>
                <w:rFonts w:ascii="Calibri" w:hAnsi="Calibri"/>
                <w:color w:val="333333"/>
                <w:sz w:val="18"/>
              </w:rPr>
              <w:t>78%</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2025-05-12 (20d)</w:t>
            </w:r>
          </w:p>
        </w:tc>
        <w:tc>
          <w:tcPr>
            <w:tcW w:type="dxa" w:w="1440"/>
            <w:shd w:fill="F2F4F8" w:val="clear"/>
            <w:shd w:fill="FCE8E6" w:val="clear"/>
          </w:tcPr>
          <w:p>
            <w:r>
              <w:rPr>
                <w:rFonts w:ascii="Calibri" w:hAnsi="Calibri"/>
                <w:color w:val="333333"/>
                <w:sz w:val="18"/>
              </w:rPr>
              <w:t>-36.8%</w:t>
            </w:r>
          </w:p>
        </w:tc>
        <w:tc>
          <w:tcPr>
            <w:tcW w:type="dxa" w:w="1440"/>
            <w:shd w:fill="F2F4F8" w:val="clear"/>
            <w:shd w:fill="FCE8E6" w:val="clear"/>
          </w:tcPr>
          <w:p>
            <w:r>
              <w:rPr>
                <w:rFonts w:ascii="Calibri" w:hAnsi="Calibri"/>
                <w:color w:val="333333"/>
                <w:sz w:val="18"/>
              </w:rPr>
              <w:t>29%</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8-K Filing</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2025-05-16 (20d)</w:t>
            </w:r>
          </w:p>
        </w:tc>
        <w:tc>
          <w:tcPr>
            <w:tcW w:type="dxa" w:w="1440"/>
            <w:shd w:fill="FCE8E6" w:val="clear"/>
          </w:tcPr>
          <w:p>
            <w:r>
              <w:rPr>
                <w:rFonts w:ascii="Calibri" w:hAnsi="Calibri"/>
                <w:color w:val="333333"/>
                <w:sz w:val="18"/>
              </w:rPr>
              <w:t>-35.7%</w:t>
            </w:r>
          </w:p>
        </w:tc>
        <w:tc>
          <w:tcPr>
            <w:tcW w:type="dxa" w:w="1440"/>
            <w:shd w:fill="FCE8E6" w:val="clear"/>
          </w:tcPr>
          <w:p>
            <w:r>
              <w:rPr>
                <w:rFonts w:ascii="Calibri" w:hAnsi="Calibri"/>
                <w:color w:val="333333"/>
                <w:sz w:val="18"/>
              </w:rPr>
              <w:t>29%</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8-K Filing</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2025-05-09 (20d)</w:t>
            </w:r>
          </w:p>
        </w:tc>
        <w:tc>
          <w:tcPr>
            <w:tcW w:type="dxa" w:w="1440"/>
            <w:shd w:fill="F2F4F8" w:val="clear"/>
            <w:shd w:fill="FCE8E6" w:val="clear"/>
          </w:tcPr>
          <w:p>
            <w:r>
              <w:rPr>
                <w:rFonts w:ascii="Calibri" w:hAnsi="Calibri"/>
                <w:color w:val="333333"/>
                <w:sz w:val="18"/>
              </w:rPr>
              <w:t>-36.0%</w:t>
            </w:r>
          </w:p>
        </w:tc>
        <w:tc>
          <w:tcPr>
            <w:tcW w:type="dxa" w:w="1440"/>
            <w:shd w:fill="F2F4F8" w:val="clear"/>
            <w:shd w:fill="FCE8E6" w:val="clear"/>
          </w:tcPr>
          <w:p>
            <w:r>
              <w:rPr>
                <w:rFonts w:ascii="Calibri" w:hAnsi="Calibri"/>
                <w:color w:val="333333"/>
                <w:sz w:val="18"/>
              </w:rPr>
              <w:t>28%</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8-K Filing</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2025-05-08 (20d)</w:t>
            </w:r>
          </w:p>
        </w:tc>
        <w:tc>
          <w:tcPr>
            <w:tcW w:type="dxa" w:w="1440"/>
            <w:shd w:fill="FCE8E6" w:val="clear"/>
          </w:tcPr>
          <w:p>
            <w:r>
              <w:rPr>
                <w:rFonts w:ascii="Calibri" w:hAnsi="Calibri"/>
                <w:color w:val="333333"/>
                <w:sz w:val="18"/>
              </w:rPr>
              <w:t>-33.4%</w:t>
            </w:r>
          </w:p>
        </w:tc>
        <w:tc>
          <w:tcPr>
            <w:tcW w:type="dxa" w:w="1440"/>
            <w:shd w:fill="FCE8E6" w:val="clear"/>
          </w:tcPr>
          <w:p>
            <w:r>
              <w:rPr>
                <w:rFonts w:ascii="Calibri" w:hAnsi="Calibri"/>
                <w:color w:val="333333"/>
                <w:sz w:val="18"/>
              </w:rPr>
              <w:t>28%</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https://www.cnbc.com/quotes/UNH</w:t>
            </w:r>
          </w:p>
        </w:tc>
      </w:tr>
      <w:tr>
        <w:tc>
          <w:tcPr>
            <w:tcW w:type="dxa" w:w="1440"/>
            <w:shd w:fill="F2F4F8" w:val="clear"/>
            <w:shd w:fill="FCE8E6" w:val="clear"/>
          </w:tcPr>
          <w:p>
            <w:r>
              <w:rPr>
                <w:rFonts w:ascii="Calibri" w:hAnsi="Calibri"/>
                <w:color w:val="333333"/>
                <w:sz w:val="18"/>
              </w:rPr>
              <w:t>2025-05-27 (20d)</w:t>
            </w:r>
          </w:p>
        </w:tc>
        <w:tc>
          <w:tcPr>
            <w:tcW w:type="dxa" w:w="1440"/>
            <w:shd w:fill="F2F4F8" w:val="clear"/>
            <w:shd w:fill="FCE8E6" w:val="clear"/>
          </w:tcPr>
          <w:p>
            <w:r>
              <w:rPr>
                <w:rFonts w:ascii="Calibri" w:hAnsi="Calibri"/>
                <w:color w:val="333333"/>
                <w:sz w:val="18"/>
              </w:rPr>
              <w:t>-29.8%</w:t>
            </w:r>
          </w:p>
        </w:tc>
        <w:tc>
          <w:tcPr>
            <w:tcW w:type="dxa" w:w="1440"/>
            <w:shd w:fill="F2F4F8" w:val="clear"/>
            <w:shd w:fill="FCE8E6" w:val="clear"/>
          </w:tcPr>
          <w:p>
            <w:r>
              <w:rPr>
                <w:rFonts w:ascii="Calibri" w:hAnsi="Calibri"/>
                <w:color w:val="333333"/>
                <w:sz w:val="18"/>
              </w:rPr>
              <w:t>30%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https://www.cnbc.com/quotes/UNH</w:t>
            </w:r>
          </w:p>
        </w:tc>
      </w:tr>
      <w:tr>
        <w:tc>
          <w:tcPr>
            <w:tcW w:type="dxa" w:w="1440"/>
            <w:shd w:fill="FCE8E6" w:val="clear"/>
          </w:tcPr>
          <w:p>
            <w:r>
              <w:rPr>
                <w:rFonts w:ascii="Calibri" w:hAnsi="Calibri"/>
                <w:color w:val="333333"/>
                <w:sz w:val="18"/>
              </w:rPr>
              <w:t>2025-05-22 (20d)</w:t>
            </w:r>
          </w:p>
        </w:tc>
        <w:tc>
          <w:tcPr>
            <w:tcW w:type="dxa" w:w="1440"/>
            <w:shd w:fill="FCE8E6" w:val="clear"/>
          </w:tcPr>
          <w:p>
            <w:r>
              <w:rPr>
                <w:rFonts w:ascii="Calibri" w:hAnsi="Calibri"/>
                <w:color w:val="333333"/>
                <w:sz w:val="18"/>
              </w:rPr>
              <w:t>-30.1%</w:t>
            </w:r>
          </w:p>
        </w:tc>
        <w:tc>
          <w:tcPr>
            <w:tcW w:type="dxa" w:w="1440"/>
            <w:shd w:fill="FCE8E6" w:val="clear"/>
          </w:tcPr>
          <w:p>
            <w:r>
              <w:rPr>
                <w:rFonts w:ascii="Calibri" w:hAnsi="Calibri"/>
                <w:color w:val="333333"/>
                <w:sz w:val="18"/>
              </w:rPr>
              <w:t>30%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8-K Filing</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2025-05-23 (20d)</w:t>
            </w:r>
          </w:p>
        </w:tc>
        <w:tc>
          <w:tcPr>
            <w:tcW w:type="dxa" w:w="1440"/>
            <w:shd w:fill="F2F4F8" w:val="clear"/>
            <w:shd w:fill="FCE8E6" w:val="clear"/>
          </w:tcPr>
          <w:p>
            <w:r>
              <w:rPr>
                <w:rFonts w:ascii="Calibri" w:hAnsi="Calibri"/>
                <w:color w:val="333333"/>
                <w:sz w:val="18"/>
              </w:rPr>
              <w:t>-29.4%</w:t>
            </w:r>
          </w:p>
        </w:tc>
        <w:tc>
          <w:tcPr>
            <w:tcW w:type="dxa" w:w="1440"/>
            <w:shd w:fill="F2F4F8" w:val="clear"/>
            <w:shd w:fill="FCE8E6" w:val="clear"/>
          </w:tcPr>
          <w:p>
            <w:r>
              <w:rPr>
                <w:rFonts w:ascii="Calibri" w:hAnsi="Calibri"/>
                <w:color w:val="333333"/>
                <w:sz w:val="18"/>
              </w:rPr>
              <w:t>30%</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8-K Filing</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2025-05-21 (20d)</w:t>
            </w:r>
          </w:p>
        </w:tc>
        <w:tc>
          <w:tcPr>
            <w:tcW w:type="dxa" w:w="1440"/>
            <w:shd w:fill="FCE8E6" w:val="clear"/>
          </w:tcPr>
          <w:p>
            <w:r>
              <w:rPr>
                <w:rFonts w:ascii="Calibri" w:hAnsi="Calibri"/>
                <w:color w:val="333333"/>
                <w:sz w:val="18"/>
              </w:rPr>
              <w:t>-29.2%</w:t>
            </w:r>
          </w:p>
        </w:tc>
        <w:tc>
          <w:tcPr>
            <w:tcW w:type="dxa" w:w="1440"/>
            <w:shd w:fill="FCE8E6" w:val="clear"/>
          </w:tcPr>
          <w:p>
            <w:r>
              <w:rPr>
                <w:rFonts w:ascii="Calibri" w:hAnsi="Calibri"/>
                <w:color w:val="333333"/>
                <w:sz w:val="18"/>
              </w:rPr>
              <w:t>30%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8-K Filing</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2025-05-29 (20d)</w:t>
            </w:r>
          </w:p>
        </w:tc>
        <w:tc>
          <w:tcPr>
            <w:tcW w:type="dxa" w:w="1440"/>
            <w:shd w:fill="F2F4F8" w:val="clear"/>
            <w:shd w:fill="FCE8E6" w:val="clear"/>
          </w:tcPr>
          <w:p>
            <w:r>
              <w:rPr>
                <w:rFonts w:ascii="Calibri" w:hAnsi="Calibri"/>
                <w:color w:val="333333"/>
                <w:sz w:val="18"/>
              </w:rPr>
              <w:t>-27.5%</w:t>
            </w:r>
          </w:p>
        </w:tc>
        <w:tc>
          <w:tcPr>
            <w:tcW w:type="dxa" w:w="1440"/>
            <w:shd w:fill="F2F4F8" w:val="clear"/>
            <w:shd w:fill="FCE8E6" w:val="clear"/>
          </w:tcPr>
          <w:p>
            <w:r>
              <w:rPr>
                <w:rFonts w:ascii="Calibri" w:hAnsi="Calibri"/>
                <w:color w:val="333333"/>
                <w:sz w:val="18"/>
              </w:rPr>
              <w:t>31%</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https://www.cnbc.com/quotes/UNH</w:t>
            </w:r>
          </w:p>
        </w:tc>
      </w:tr>
      <w:tr>
        <w:tc>
          <w:tcPr>
            <w:tcW w:type="dxa" w:w="1440"/>
            <w:shd w:fill="FCE8E6" w:val="clear"/>
          </w:tcPr>
          <w:p>
            <w:r>
              <w:rPr>
                <w:rFonts w:ascii="Calibri" w:hAnsi="Calibri"/>
                <w:color w:val="333333"/>
                <w:sz w:val="18"/>
              </w:rPr>
              <w:t>2025-05-28 (20d)</w:t>
            </w:r>
          </w:p>
        </w:tc>
        <w:tc>
          <w:tcPr>
            <w:tcW w:type="dxa" w:w="1440"/>
            <w:shd w:fill="FCE8E6" w:val="clear"/>
          </w:tcPr>
          <w:p>
            <w:r>
              <w:rPr>
                <w:rFonts w:ascii="Calibri" w:hAnsi="Calibri"/>
                <w:color w:val="333333"/>
                <w:sz w:val="18"/>
              </w:rPr>
              <w:t>-27.1%</w:t>
            </w:r>
          </w:p>
        </w:tc>
        <w:tc>
          <w:tcPr>
            <w:tcW w:type="dxa" w:w="1440"/>
            <w:shd w:fill="FCE8E6" w:val="clear"/>
          </w:tcPr>
          <w:p>
            <w:r>
              <w:rPr>
                <w:rFonts w:ascii="Calibri" w:hAnsi="Calibri"/>
                <w:color w:val="333333"/>
                <w:sz w:val="18"/>
              </w:rPr>
              <w:t>30%</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https://www.cnbc.com/quotes/UNH</w:t>
            </w:r>
          </w:p>
        </w:tc>
      </w:tr>
      <w:tr>
        <w:tc>
          <w:tcPr>
            <w:tcW w:type="dxa" w:w="1440"/>
            <w:shd w:fill="F2F4F8" w:val="clear"/>
            <w:shd w:fill="FCE8E6" w:val="clear"/>
          </w:tcPr>
          <w:p>
            <w:r>
              <w:rPr>
                <w:rFonts w:ascii="Calibri" w:hAnsi="Calibri"/>
                <w:color w:val="333333"/>
                <w:sz w:val="18"/>
              </w:rPr>
              <w:t>2025-05-07 (20d)</w:t>
            </w:r>
          </w:p>
        </w:tc>
        <w:tc>
          <w:tcPr>
            <w:tcW w:type="dxa" w:w="1440"/>
            <w:shd w:fill="F2F4F8" w:val="clear"/>
            <w:shd w:fill="FCE8E6" w:val="clear"/>
          </w:tcPr>
          <w:p>
            <w:r>
              <w:rPr>
                <w:rFonts w:ascii="Calibri" w:hAnsi="Calibri"/>
                <w:color w:val="333333"/>
                <w:sz w:val="18"/>
              </w:rPr>
              <w:t>-29.3%</w:t>
            </w:r>
          </w:p>
        </w:tc>
        <w:tc>
          <w:tcPr>
            <w:tcW w:type="dxa" w:w="1440"/>
            <w:shd w:fill="F2F4F8" w:val="clear"/>
            <w:shd w:fill="FCE8E6" w:val="clear"/>
          </w:tcPr>
          <w:p>
            <w:r>
              <w:rPr>
                <w:rFonts w:ascii="Calibri" w:hAnsi="Calibri"/>
                <w:color w:val="333333"/>
                <w:sz w:val="18"/>
              </w:rPr>
              <w:t>28%</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https://www.cnbc.com/quotes/UNH</w:t>
            </w:r>
          </w:p>
        </w:tc>
      </w:tr>
      <w:tr>
        <w:tc>
          <w:tcPr>
            <w:tcW w:type="dxa" w:w="1440"/>
            <w:shd w:fill="FCE8E6" w:val="clear"/>
          </w:tcPr>
          <w:p>
            <w:r>
              <w:rPr>
                <w:rFonts w:ascii="Calibri" w:hAnsi="Calibri"/>
                <w:color w:val="333333"/>
                <w:sz w:val="18"/>
              </w:rPr>
              <w:t>2025-06-03 (20d)</w:t>
            </w:r>
          </w:p>
        </w:tc>
        <w:tc>
          <w:tcPr>
            <w:tcW w:type="dxa" w:w="1440"/>
            <w:shd w:fill="FCE8E6" w:val="clear"/>
          </w:tcPr>
          <w:p>
            <w:r>
              <w:rPr>
                <w:rFonts w:ascii="Calibri" w:hAnsi="Calibri"/>
                <w:color w:val="333333"/>
                <w:sz w:val="18"/>
              </w:rPr>
              <w:t>-25.6%</w:t>
            </w:r>
          </w:p>
        </w:tc>
        <w:tc>
          <w:tcPr>
            <w:tcW w:type="dxa" w:w="1440"/>
            <w:shd w:fill="FCE8E6" w:val="clear"/>
          </w:tcPr>
          <w:p>
            <w:r>
              <w:rPr>
                <w:rFonts w:ascii="Calibri" w:hAnsi="Calibri"/>
                <w:color w:val="333333"/>
                <w:sz w:val="18"/>
              </w:rPr>
              <w:t>31%</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8-K Filing</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2025-04-17 to 2025-04-24 (8d)</w:t>
            </w:r>
          </w:p>
        </w:tc>
        <w:tc>
          <w:tcPr>
            <w:tcW w:type="dxa" w:w="1440"/>
            <w:shd w:fill="F2F4F8" w:val="clear"/>
            <w:shd w:fill="FCE8E6" w:val="clear"/>
          </w:tcPr>
          <w:p>
            <w:r>
              <w:rPr>
                <w:rFonts w:ascii="Calibri" w:hAnsi="Calibri"/>
                <w:color w:val="333333"/>
                <w:sz w:val="18"/>
              </w:rPr>
              <w:t>-29.2%</w:t>
            </w:r>
          </w:p>
        </w:tc>
        <w:tc>
          <w:tcPr>
            <w:tcW w:type="dxa" w:w="1440"/>
            <w:shd w:fill="F2F4F8" w:val="clear"/>
            <w:shd w:fill="FCE8E6" w:val="clear"/>
          </w:tcPr>
          <w:p>
            <w:r>
              <w:rPr>
                <w:rFonts w:ascii="Calibri" w:hAnsi="Calibri"/>
                <w:color w:val="333333"/>
                <w:sz w:val="18"/>
              </w:rPr>
              <w:t>26%</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https://www.cnbc.com/quotes/UNH</w:t>
            </w:r>
          </w:p>
        </w:tc>
      </w:tr>
      <w:tr>
        <w:tc>
          <w:tcPr>
            <w:tcW w:type="dxa" w:w="1440"/>
            <w:shd w:fill="FCE8E6" w:val="clear"/>
          </w:tcPr>
          <w:p>
            <w:r>
              <w:rPr>
                <w:rFonts w:ascii="Calibri" w:hAnsi="Calibri"/>
                <w:color w:val="333333"/>
                <w:sz w:val="18"/>
              </w:rPr>
              <w:t>2025-05-19 (20d)</w:t>
            </w:r>
          </w:p>
        </w:tc>
        <w:tc>
          <w:tcPr>
            <w:tcW w:type="dxa" w:w="1440"/>
            <w:shd w:fill="FCE8E6" w:val="clear"/>
          </w:tcPr>
          <w:p>
            <w:r>
              <w:rPr>
                <w:rFonts w:ascii="Calibri" w:hAnsi="Calibri"/>
                <w:color w:val="333333"/>
                <w:sz w:val="18"/>
              </w:rPr>
              <w:t>-25.7%</w:t>
            </w:r>
          </w:p>
        </w:tc>
        <w:tc>
          <w:tcPr>
            <w:tcW w:type="dxa" w:w="1440"/>
            <w:shd w:fill="FCE8E6" w:val="clear"/>
          </w:tcPr>
          <w:p>
            <w:r>
              <w:rPr>
                <w:rFonts w:ascii="Calibri" w:hAnsi="Calibri"/>
                <w:color w:val="333333"/>
                <w:sz w:val="18"/>
              </w:rPr>
              <w:t>29%</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8-K Filing</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2025-04-24 (5d)</w:t>
            </w:r>
          </w:p>
        </w:tc>
        <w:tc>
          <w:tcPr>
            <w:tcW w:type="dxa" w:w="1440"/>
            <w:shd w:fill="F2F4F8" w:val="clear"/>
            <w:shd w:fill="FCE8E6" w:val="clear"/>
          </w:tcPr>
          <w:p>
            <w:r>
              <w:rPr>
                <w:rFonts w:ascii="Calibri" w:hAnsi="Calibri"/>
                <w:color w:val="333333"/>
                <w:sz w:val="18"/>
              </w:rPr>
              <w:t>-27.5%</w:t>
            </w:r>
          </w:p>
        </w:tc>
        <w:tc>
          <w:tcPr>
            <w:tcW w:type="dxa" w:w="1440"/>
            <w:shd w:fill="F2F4F8" w:val="clear"/>
            <w:shd w:fill="FCE8E6" w:val="clear"/>
          </w:tcPr>
          <w:p>
            <w:r>
              <w:rPr>
                <w:rFonts w:ascii="Calibri" w:hAnsi="Calibri"/>
                <w:color w:val="333333"/>
                <w:sz w:val="18"/>
              </w:rPr>
              <w:t>27%</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8-K Filing</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2025-04-22 (5d)</w:t>
            </w:r>
          </w:p>
        </w:tc>
        <w:tc>
          <w:tcPr>
            <w:tcW w:type="dxa" w:w="1440"/>
            <w:shd w:fill="FCE8E6" w:val="clear"/>
          </w:tcPr>
          <w:p>
            <w:r>
              <w:rPr>
                <w:rFonts w:ascii="Calibri" w:hAnsi="Calibri"/>
                <w:color w:val="333333"/>
                <w:sz w:val="18"/>
              </w:rPr>
              <w:t>-27.2%</w:t>
            </w:r>
          </w:p>
        </w:tc>
        <w:tc>
          <w:tcPr>
            <w:tcW w:type="dxa" w:w="1440"/>
            <w:shd w:fill="FCE8E6" w:val="clear"/>
          </w:tcPr>
          <w:p>
            <w:r>
              <w:rPr>
                <w:rFonts w:ascii="Calibri" w:hAnsi="Calibri"/>
                <w:color w:val="333333"/>
                <w:sz w:val="18"/>
              </w:rPr>
              <w:t>26%</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https://www.cnbc.com/quotes/UNH</w:t>
            </w:r>
          </w:p>
        </w:tc>
      </w:tr>
      <w:tr>
        <w:tc>
          <w:tcPr>
            <w:tcW w:type="dxa" w:w="1440"/>
            <w:shd w:fill="F2F4F8" w:val="clear"/>
            <w:shd w:fill="FCE8E6" w:val="clear"/>
          </w:tcPr>
          <w:p>
            <w:r>
              <w:rPr>
                <w:rFonts w:ascii="Calibri" w:hAnsi="Calibri"/>
                <w:color w:val="333333"/>
                <w:sz w:val="18"/>
              </w:rPr>
              <w:t>2025-05-02 (20d)</w:t>
            </w:r>
          </w:p>
        </w:tc>
        <w:tc>
          <w:tcPr>
            <w:tcW w:type="dxa" w:w="1440"/>
            <w:shd w:fill="F2F4F8" w:val="clear"/>
            <w:shd w:fill="FCE8E6" w:val="clear"/>
          </w:tcPr>
          <w:p>
            <w:r>
              <w:rPr>
                <w:rFonts w:ascii="Calibri" w:hAnsi="Calibri"/>
                <w:color w:val="333333"/>
                <w:sz w:val="18"/>
              </w:rPr>
              <w:t>-26.0%</w:t>
            </w:r>
          </w:p>
        </w:tc>
        <w:tc>
          <w:tcPr>
            <w:tcW w:type="dxa" w:w="1440"/>
            <w:shd w:fill="F2F4F8" w:val="clear"/>
            <w:shd w:fill="FCE8E6" w:val="clear"/>
          </w:tcPr>
          <w:p>
            <w:r>
              <w:rPr>
                <w:rFonts w:ascii="Calibri" w:hAnsi="Calibri"/>
                <w:color w:val="333333"/>
                <w:sz w:val="18"/>
              </w:rPr>
              <w:t>28%</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8-K Filing</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2025-04-23 (5d)</w:t>
            </w:r>
          </w:p>
        </w:tc>
        <w:tc>
          <w:tcPr>
            <w:tcW w:type="dxa" w:w="1440"/>
            <w:shd w:fill="FCE8E6" w:val="clear"/>
          </w:tcPr>
          <w:p>
            <w:r>
              <w:rPr>
                <w:rFonts w:ascii="Calibri" w:hAnsi="Calibri"/>
                <w:color w:val="333333"/>
                <w:sz w:val="18"/>
              </w:rPr>
              <w:t>-26.7%</w:t>
            </w:r>
          </w:p>
        </w:tc>
        <w:tc>
          <w:tcPr>
            <w:tcW w:type="dxa" w:w="1440"/>
            <w:shd w:fill="FCE8E6" w:val="clear"/>
          </w:tcPr>
          <w:p>
            <w:r>
              <w:rPr>
                <w:rFonts w:ascii="Calibri" w:hAnsi="Calibri"/>
                <w:color w:val="333333"/>
                <w:sz w:val="18"/>
              </w:rPr>
              <w:t>27%</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Unconfirmed -- Requires Investigation</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https://www.cnbc.com/quotes/UNH</w:t>
            </w:r>
          </w:p>
        </w:tc>
      </w:tr>
      <w:tr>
        <w:tc>
          <w:tcPr>
            <w:tcW w:type="dxa" w:w="1440"/>
            <w:shd w:fill="F2F4F8" w:val="clear"/>
            <w:shd w:fill="FCE8E6" w:val="clear"/>
          </w:tcPr>
          <w:p>
            <w:r>
              <w:rPr>
                <w:rFonts w:ascii="Calibri" w:hAnsi="Calibri"/>
                <w:color w:val="333333"/>
                <w:sz w:val="18"/>
              </w:rPr>
              <w:t>2025-04-17 (5d)</w:t>
            </w:r>
          </w:p>
        </w:tc>
        <w:tc>
          <w:tcPr>
            <w:tcW w:type="dxa" w:w="1440"/>
            <w:shd w:fill="F2F4F8" w:val="clear"/>
            <w:shd w:fill="FCE8E6" w:val="clear"/>
          </w:tcPr>
          <w:p>
            <w:r>
              <w:rPr>
                <w:rFonts w:ascii="Calibri" w:hAnsi="Calibri"/>
                <w:color w:val="333333"/>
                <w:sz w:val="18"/>
              </w:rPr>
              <w:t>-23.6%</w:t>
            </w:r>
          </w:p>
        </w:tc>
        <w:tc>
          <w:tcPr>
            <w:tcW w:type="dxa" w:w="1440"/>
            <w:shd w:fill="F2F4F8" w:val="clear"/>
            <w:shd w:fill="FCE8E6" w:val="clear"/>
          </w:tcPr>
          <w:p>
            <w:r>
              <w:rPr>
                <w:rFonts w:ascii="Calibri" w:hAnsi="Calibri"/>
                <w:color w:val="333333"/>
                <w:sz w:val="18"/>
              </w:rPr>
              <w:t>26%</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2025-07-29 to 2025-08-01 (4d)</w:t>
            </w:r>
          </w:p>
        </w:tc>
        <w:tc>
          <w:tcPr>
            <w:tcW w:type="dxa" w:w="1440"/>
            <w:shd w:fill="FCE8E6" w:val="clear"/>
          </w:tcPr>
          <w:p>
            <w:r>
              <w:rPr>
                <w:rFonts w:ascii="Calibri" w:hAnsi="Calibri"/>
                <w:color w:val="333333"/>
                <w:sz w:val="18"/>
              </w:rPr>
              <w:t>-15.4%</w:t>
            </w:r>
          </w:p>
        </w:tc>
        <w:tc>
          <w:tcPr>
            <w:tcW w:type="dxa" w:w="1440"/>
            <w:shd w:fill="FCE8E6" w:val="clear"/>
          </w:tcPr>
          <w:p>
            <w:r>
              <w:rPr>
                <w:rFonts w:ascii="Calibri" w:hAnsi="Calibri"/>
                <w:color w:val="333333"/>
                <w:sz w:val="18"/>
              </w:rPr>
              <w:t>39%</w:t>
            </w:r>
          </w:p>
        </w:tc>
        <w:tc>
          <w:tcPr>
            <w:tcW w:type="dxa" w:w="1440"/>
            <w:shd w:fill="FCE8E6" w:val="clear"/>
          </w:tcPr>
          <w:p>
            <w:r>
              <w:rPr>
                <w:rFonts w:ascii="Calibri" w:hAnsi="Calibri"/>
                <w:color w:val="333333"/>
                <w:sz w:val="18"/>
              </w:rPr>
              <w:t>10 days</w:t>
            </w:r>
          </w:p>
        </w:tc>
        <w:tc>
          <w:tcPr>
            <w:tcW w:type="dxa" w:w="1440"/>
            <w:shd w:fill="FCE8E6" w:val="clear"/>
          </w:tcPr>
          <w:p>
            <w:r>
              <w:rPr>
                <w:rFonts w:ascii="Calibri" w:hAnsi="Calibri"/>
                <w:color w:val="333333"/>
                <w:sz w:val="18"/>
              </w:rPr>
              <w:t>Earnings release</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2025-04-17 (2d)</w:t>
            </w:r>
          </w:p>
        </w:tc>
        <w:tc>
          <w:tcPr>
            <w:tcW w:type="dxa" w:w="1440"/>
            <w:shd w:fill="F2F4F8" w:val="clear"/>
            <w:shd w:fill="FCE8E6" w:val="clear"/>
          </w:tcPr>
          <w:p>
            <w:r>
              <w:rPr>
                <w:rFonts w:ascii="Calibri" w:hAnsi="Calibri"/>
                <w:color w:val="333333"/>
                <w:sz w:val="18"/>
              </w:rPr>
              <w:t>-27.3%</w:t>
            </w:r>
          </w:p>
        </w:tc>
        <w:tc>
          <w:tcPr>
            <w:tcW w:type="dxa" w:w="1440"/>
            <w:shd w:fill="F2F4F8" w:val="clear"/>
            <w:shd w:fill="FCE8E6" w:val="clear"/>
          </w:tcPr>
          <w:p>
            <w:r>
              <w:rPr>
                <w:rFonts w:ascii="Calibri" w:hAnsi="Calibri"/>
                <w:color w:val="333333"/>
                <w:sz w:val="18"/>
              </w:rPr>
              <w:t>26%</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Earnings release</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https://www.sec.gov/cgi-bin/browse-edgar?action...</w:t>
            </w:r>
          </w:p>
        </w:tc>
      </w:tr>
      <w:tr>
        <w:tc>
          <w:tcPr>
            <w:tcW w:type="dxa" w:w="1440"/>
            <w:shd w:fill="FCE8E6" w:val="clear"/>
          </w:tcPr>
          <w:p>
            <w:r>
              <w:rPr>
                <w:rFonts w:ascii="Calibri" w:hAnsi="Calibri"/>
                <w:color w:val="333333"/>
                <w:sz w:val="18"/>
              </w:rPr>
              <w:t>2025-05-13 (2d)</w:t>
            </w:r>
          </w:p>
        </w:tc>
        <w:tc>
          <w:tcPr>
            <w:tcW w:type="dxa" w:w="1440"/>
            <w:shd w:fill="FCE8E6" w:val="clear"/>
          </w:tcPr>
          <w:p>
            <w:r>
              <w:rPr>
                <w:rFonts w:ascii="Calibri" w:hAnsi="Calibri"/>
                <w:color w:val="333333"/>
                <w:sz w:val="18"/>
              </w:rPr>
              <w:t>-27.6%</w:t>
            </w:r>
          </w:p>
        </w:tc>
        <w:tc>
          <w:tcPr>
            <w:tcW w:type="dxa" w:w="1440"/>
            <w:shd w:fill="FCE8E6" w:val="clear"/>
          </w:tcPr>
          <w:p>
            <w:r>
              <w:rPr>
                <w:rFonts w:ascii="Calibri" w:hAnsi="Calibri"/>
                <w:color w:val="333333"/>
                <w:sz w:val="18"/>
              </w:rPr>
              <w:t>29%</w:t>
            </w:r>
          </w:p>
        </w:tc>
        <w:tc>
          <w:tcPr>
            <w:tcW w:type="dxa" w:w="1440"/>
            <w:shd w:fill="FCE8E6" w:val="clear"/>
          </w:tcPr>
          <w:p>
            <w:r>
              <w:rPr>
                <w:rFonts w:ascii="Calibri" w:hAnsi="Calibri"/>
                <w:color w:val="333333"/>
                <w:sz w:val="18"/>
              </w:rPr>
              <w:t>Not recovered</w:t>
            </w:r>
          </w:p>
        </w:tc>
        <w:tc>
          <w:tcPr>
            <w:tcW w:type="dxa" w:w="1440"/>
            <w:shd w:fill="FCE8E6" w:val="clear"/>
          </w:tcPr>
          <w:p>
            <w:r>
              <w:rPr>
                <w:rFonts w:ascii="Calibri" w:hAnsi="Calibri"/>
                <w:color w:val="333333"/>
                <w:sz w:val="18"/>
              </w:rPr>
              <w:t>8-K Filing</w:t>
            </w:r>
          </w:p>
        </w:tc>
        <w:tc>
          <w:tcPr>
            <w:tcW w:type="dxa" w:w="1440"/>
            <w:shd w:fill="FCE8E6" w:val="clear"/>
          </w:tcPr>
          <w:p>
            <w:r>
              <w:rPr>
                <w:rFonts w:ascii="Calibri" w:hAnsi="Calibri"/>
                <w:color w:val="333333"/>
                <w:sz w:val="18"/>
              </w:rPr>
              <w:t>Company-Specific</w:t>
            </w:r>
          </w:p>
        </w:tc>
        <w:tc>
          <w:tcPr>
            <w:tcW w:type="dxa" w:w="1440"/>
            <w:shd w:fill="FCE8E6" w:val="clear"/>
          </w:tcPr>
          <w:p>
            <w:r>
              <w:rPr>
                <w:rFonts w:ascii="Calibri" w:hAnsi="Calibri"/>
                <w:color w:val="333333"/>
                <w:sz w:val="18"/>
              </w:rPr>
              <w:t>https://www.sec.gov/cgi-bin/browse-edgar?action...</w:t>
            </w:r>
          </w:p>
        </w:tc>
      </w:tr>
      <w:tr>
        <w:tc>
          <w:tcPr>
            <w:tcW w:type="dxa" w:w="1440"/>
            <w:shd w:fill="F2F4F8" w:val="clear"/>
            <w:shd w:fill="FCE8E6" w:val="clear"/>
          </w:tcPr>
          <w:p>
            <w:r>
              <w:rPr>
                <w:rFonts w:ascii="Calibri" w:hAnsi="Calibri"/>
                <w:color w:val="333333"/>
                <w:sz w:val="18"/>
              </w:rPr>
              <w:t>2024-12-05 to 2024-12-11 (7d)</w:t>
            </w:r>
          </w:p>
        </w:tc>
        <w:tc>
          <w:tcPr>
            <w:tcW w:type="dxa" w:w="1440"/>
            <w:shd w:fill="F2F4F8" w:val="clear"/>
            <w:shd w:fill="FCE8E6" w:val="clear"/>
          </w:tcPr>
          <w:p>
            <w:r>
              <w:rPr>
                <w:rFonts w:ascii="Calibri" w:hAnsi="Calibri"/>
                <w:color w:val="333333"/>
                <w:sz w:val="18"/>
              </w:rPr>
              <w:t>-12.3%</w:t>
            </w:r>
          </w:p>
        </w:tc>
        <w:tc>
          <w:tcPr>
            <w:tcW w:type="dxa" w:w="1440"/>
            <w:shd w:fill="F2F4F8" w:val="clear"/>
            <w:shd w:fill="FCE8E6" w:val="clear"/>
          </w:tcPr>
          <w:p>
            <w:r>
              <w:rPr>
                <w:rFonts w:ascii="Calibri" w:hAnsi="Calibri"/>
                <w:color w:val="333333"/>
                <w:sz w:val="18"/>
              </w:rPr>
              <w:t>16%</w:t>
            </w:r>
          </w:p>
        </w:tc>
        <w:tc>
          <w:tcPr>
            <w:tcW w:type="dxa" w:w="1440"/>
            <w:shd w:fill="F2F4F8" w:val="clear"/>
            <w:shd w:fill="FCE8E6" w:val="clear"/>
          </w:tcPr>
          <w:p>
            <w:r>
              <w:rPr>
                <w:rFonts w:ascii="Calibri" w:hAnsi="Calibri"/>
                <w:color w:val="333333"/>
                <w:sz w:val="18"/>
              </w:rPr>
              <w:t>Not recovered</w:t>
            </w:r>
          </w:p>
        </w:tc>
        <w:tc>
          <w:tcPr>
            <w:tcW w:type="dxa" w:w="1440"/>
            <w:shd w:fill="F2F4F8" w:val="clear"/>
            <w:shd w:fill="FCE8E6" w:val="clear"/>
          </w:tcPr>
          <w:p>
            <w:r>
              <w:rPr>
                <w:rFonts w:ascii="Calibri" w:hAnsi="Calibri"/>
                <w:color w:val="333333"/>
                <w:sz w:val="18"/>
              </w:rPr>
              <w:t>Unconfirmed -- Requires Investigation</w:t>
            </w:r>
          </w:p>
        </w:tc>
        <w:tc>
          <w:tcPr>
            <w:tcW w:type="dxa" w:w="1440"/>
            <w:shd w:fill="F2F4F8" w:val="clear"/>
            <w:shd w:fill="FCE8E6" w:val="clear"/>
          </w:tcPr>
          <w:p>
            <w:r>
              <w:rPr>
                <w:rFonts w:ascii="Calibri" w:hAnsi="Calibri"/>
                <w:color w:val="333333"/>
                <w:sz w:val="18"/>
              </w:rPr>
              <w:t>Company-Specific</w:t>
            </w:r>
          </w:p>
        </w:tc>
        <w:tc>
          <w:tcPr>
            <w:tcW w:type="dxa" w:w="1440"/>
            <w:shd w:fill="F2F4F8" w:val="clear"/>
            <w:shd w:fill="FCE8E6" w:val="clear"/>
          </w:tcPr>
          <w:p>
            <w:r>
              <w:rPr>
                <w:rFonts w:ascii="Calibri" w:hAnsi="Calibri"/>
                <w:color w:val="333333"/>
                <w:sz w:val="18"/>
              </w:rPr>
              <w:t>https://www.cnbc.com/quotes/UNH</w:t>
            </w:r>
          </w:p>
        </w:tc>
      </w:tr>
    </w:tbl>
    <w:p>
      <w:pPr>
        <w:pStyle w:val="DOHeading2"/>
      </w:pPr>
      <w:r>
        <w:t>Short Interest</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Short % of Float</w:t>
            </w:r>
          </w:p>
        </w:tc>
        <w:tc>
          <w:tcPr>
            <w:tcW w:type="dxa" w:w="5040"/>
          </w:tcPr>
          <w:p>
            <w:r>
              <w:rPr>
                <w:rFonts w:ascii="Calibri" w:hAnsi="Calibri"/>
                <w:color w:val="333333"/>
                <w:sz w:val="18"/>
              </w:rPr>
              <w:t>2.0% (Ranks at the 67th percentile among 0 peers (peer median: 3.0%))</w:t>
            </w:r>
          </w:p>
        </w:tc>
      </w:tr>
      <w:tr>
        <w:tc>
          <w:tcPr>
            <w:tcW w:type="dxa" w:w="5040"/>
            <w:shd w:fill="F2F4F8" w:val="clear"/>
          </w:tcPr>
          <w:p>
            <w:r>
              <w:rPr>
                <w:rFonts w:ascii="Calibri" w:hAnsi="Calibri"/>
                <w:color w:val="333333"/>
                <w:sz w:val="18"/>
              </w:rPr>
              <w:t>Days to Cover</w:t>
            </w:r>
          </w:p>
        </w:tc>
        <w:tc>
          <w:tcPr>
            <w:tcW w:type="dxa" w:w="5040"/>
            <w:shd w:fill="F2F4F8" w:val="clear"/>
          </w:tcPr>
          <w:p>
            <w:r>
              <w:rPr>
                <w:rFonts w:ascii="Calibri" w:hAnsi="Calibri"/>
                <w:color w:val="333333"/>
                <w:sz w:val="18"/>
              </w:rPr>
              <w:t>2.29</w:t>
            </w:r>
          </w:p>
        </w:tc>
      </w:tr>
      <w:tr>
        <w:tc>
          <w:tcPr>
            <w:tcW w:type="dxa" w:w="5040"/>
          </w:tcPr>
          <w:p>
            <w:r>
              <w:rPr>
                <w:rFonts w:ascii="Calibri" w:hAnsi="Calibri"/>
                <w:color w:val="333333"/>
                <w:sz w:val="18"/>
              </w:rPr>
              <w:t>6-Month Trend</w:t>
            </w:r>
          </w:p>
        </w:tc>
        <w:tc>
          <w:tcPr>
            <w:tcW w:type="dxa" w:w="5040"/>
          </w:tcPr>
          <w:p>
            <w:r>
              <w:rPr>
                <w:rFonts w:ascii="Calibri" w:hAnsi="Calibri"/>
                <w:color w:val="333333"/>
                <w:sz w:val="18"/>
              </w:rPr>
              <w:t>RISING</w:t>
            </w:r>
          </w:p>
        </w:tc>
      </w:tr>
      <w:tr>
        <w:tc>
          <w:tcPr>
            <w:tcW w:type="dxa" w:w="5040"/>
            <w:shd w:fill="F2F4F8" w:val="clear"/>
          </w:tcPr>
          <w:p>
            <w:r>
              <w:rPr>
                <w:rFonts w:ascii="Calibri" w:hAnsi="Calibri"/>
                <w:color w:val="333333"/>
                <w:sz w:val="18"/>
              </w:rPr>
              <w:t>vs Sector Ratio</w:t>
            </w:r>
          </w:p>
        </w:tc>
        <w:tc>
          <w:tcPr>
            <w:tcW w:type="dxa" w:w="5040"/>
            <w:shd w:fill="F2F4F8" w:val="clear"/>
          </w:tcPr>
          <w:p>
            <w:r>
              <w:rPr>
                <w:rFonts w:ascii="Calibri" w:hAnsi="Calibri"/>
                <w:color w:val="333333"/>
                <w:sz w:val="18"/>
              </w:rPr>
              <w:t>N/A</w:t>
            </w:r>
          </w:p>
        </w:tc>
      </w:tr>
    </w:tbl>
    <w:p>
      <w:pPr>
        <w:pStyle w:val="DOHeading2"/>
      </w:pPr>
      <w:r>
        <w:t>Earnings Guidance Track Record</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Beat Rate</w:t>
            </w:r>
          </w:p>
        </w:tc>
        <w:tc>
          <w:tcPr>
            <w:tcW w:type="dxa" w:w="5040"/>
          </w:tcPr>
          <w:p>
            <w:r>
              <w:rPr>
                <w:rFonts w:ascii="Calibri" w:hAnsi="Calibri"/>
                <w:color w:val="333333"/>
                <w:sz w:val="18"/>
              </w:rPr>
              <w:t>0.9%</w:t>
            </w:r>
          </w:p>
        </w:tc>
      </w:tr>
      <w:tr>
        <w:tc>
          <w:tcPr>
            <w:tcW w:type="dxa" w:w="5040"/>
            <w:shd w:fill="F2F4F8" w:val="clear"/>
          </w:tcPr>
          <w:p>
            <w:r>
              <w:rPr>
                <w:rFonts w:ascii="Calibri" w:hAnsi="Calibri"/>
                <w:color w:val="333333"/>
                <w:sz w:val="18"/>
              </w:rPr>
              <w:t>Consecutive Misses</w:t>
            </w:r>
          </w:p>
        </w:tc>
        <w:tc>
          <w:tcPr>
            <w:tcW w:type="dxa" w:w="5040"/>
            <w:shd w:fill="F2F4F8" w:val="clear"/>
          </w:tcPr>
          <w:p>
            <w:r>
              <w:rPr>
                <w:rFonts w:ascii="Calibri" w:hAnsi="Calibri"/>
                <w:color w:val="333333"/>
                <w:sz w:val="18"/>
              </w:rPr>
              <w:t>0</w:t>
            </w:r>
          </w:p>
        </w:tc>
      </w:tr>
      <w:tr>
        <w:tc>
          <w:tcPr>
            <w:tcW w:type="dxa" w:w="5040"/>
          </w:tcPr>
          <w:p>
            <w:r>
              <w:rPr>
                <w:rFonts w:ascii="Calibri" w:hAnsi="Calibri"/>
                <w:color w:val="333333"/>
                <w:sz w:val="18"/>
              </w:rPr>
              <w:t>Guidance Withdrawals</w:t>
            </w:r>
          </w:p>
        </w:tc>
        <w:tc>
          <w:tcPr>
            <w:tcW w:type="dxa" w:w="5040"/>
          </w:tcPr>
          <w:p>
            <w:r>
              <w:rPr>
                <w:rFonts w:ascii="Calibri" w:hAnsi="Calibri"/>
                <w:color w:val="333333"/>
                <w:sz w:val="18"/>
              </w:rPr>
              <w:t>0</w:t>
            </w:r>
          </w:p>
        </w:tc>
      </w:tr>
      <w:tr>
        <w:tc>
          <w:tcPr>
            <w:tcW w:type="dxa" w:w="5040"/>
            <w:shd w:fill="F2F4F8" w:val="clear"/>
          </w:tcPr>
          <w:p>
            <w:r>
              <w:rPr>
                <w:rFonts w:ascii="Calibri" w:hAnsi="Calibri"/>
                <w:color w:val="333333"/>
                <w:sz w:val="18"/>
              </w:rPr>
              <w:t>Philosophy</w:t>
            </w:r>
          </w:p>
        </w:tc>
        <w:tc>
          <w:tcPr>
            <w:tcW w:type="dxa" w:w="5040"/>
            <w:shd w:fill="F2F4F8" w:val="clear"/>
          </w:tcPr>
          <w:p>
            <w:r>
              <w:rPr>
                <w:rFonts w:ascii="Calibri" w:hAnsi="Calibri"/>
                <w:color w:val="333333"/>
                <w:sz w:val="18"/>
              </w:rPr>
              <w:t>CONSERVATIVE</w:t>
            </w:r>
          </w:p>
        </w:tc>
      </w:tr>
    </w:tbl>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Quarter</w:t>
            </w:r>
          </w:p>
        </w:tc>
        <w:tc>
          <w:tcPr>
            <w:tcW w:type="dxa" w:w="1680"/>
            <w:shd w:fill="1A1446" w:val="clear"/>
          </w:tcPr>
          <w:p>
            <w:r>
              <w:rPr>
                <w:rFonts w:ascii="Calibri" w:hAnsi="Calibri"/>
                <w:b/>
                <w:color w:val="FFFFFF"/>
                <w:sz w:val="18"/>
              </w:rPr>
              <w:t>Est. EPS</w:t>
            </w:r>
          </w:p>
        </w:tc>
        <w:tc>
          <w:tcPr>
            <w:tcW w:type="dxa" w:w="1680"/>
            <w:shd w:fill="1A1446" w:val="clear"/>
          </w:tcPr>
          <w:p>
            <w:r>
              <w:rPr>
                <w:rFonts w:ascii="Calibri" w:hAnsi="Calibri"/>
                <w:b/>
                <w:color w:val="FFFFFF"/>
                <w:sz w:val="18"/>
              </w:rPr>
              <w:t>Actual EPS</w:t>
            </w:r>
          </w:p>
        </w:tc>
        <w:tc>
          <w:tcPr>
            <w:tcW w:type="dxa" w:w="1680"/>
            <w:shd w:fill="1A1446" w:val="clear"/>
          </w:tcPr>
          <w:p>
            <w:r>
              <w:rPr>
                <w:rFonts w:ascii="Calibri" w:hAnsi="Calibri"/>
                <w:b/>
                <w:color w:val="FFFFFF"/>
                <w:sz w:val="18"/>
              </w:rPr>
              <w:t>Result</w:t>
            </w:r>
          </w:p>
        </w:tc>
        <w:tc>
          <w:tcPr>
            <w:tcW w:type="dxa" w:w="1680"/>
            <w:shd w:fill="1A1446" w:val="clear"/>
          </w:tcPr>
          <w:p>
            <w:r>
              <w:rPr>
                <w:rFonts w:ascii="Calibri" w:hAnsi="Calibri"/>
                <w:b/>
                <w:color w:val="FFFFFF"/>
                <w:sz w:val="18"/>
              </w:rPr>
              <w:t>Miss Magnitude</w:t>
            </w:r>
          </w:p>
        </w:tc>
        <w:tc>
          <w:tcPr>
            <w:tcW w:type="dxa" w:w="1680"/>
            <w:shd w:fill="1A1446" w:val="clear"/>
          </w:tcPr>
          <w:p>
            <w:r>
              <w:rPr>
                <w:rFonts w:ascii="Calibri" w:hAnsi="Calibri"/>
                <w:b/>
                <w:color w:val="FFFFFF"/>
                <w:sz w:val="18"/>
              </w:rPr>
              <w:t>Stock Reaction</w:t>
            </w:r>
          </w:p>
        </w:tc>
      </w:tr>
      <w:tr>
        <w:tc>
          <w:tcPr>
            <w:tcW w:type="dxa" w:w="1680"/>
          </w:tcPr>
          <w:p>
            <w:r>
              <w:rPr>
                <w:rFonts w:ascii="Calibri" w:hAnsi="Calibri"/>
                <w:color w:val="333333"/>
                <w:sz w:val="18"/>
              </w:rPr>
              <w:t>Q1 2026</w:t>
            </w:r>
          </w:p>
        </w:tc>
        <w:tc>
          <w:tcPr>
            <w:tcW w:type="dxa" w:w="1680"/>
          </w:tcPr>
          <w:p>
            <w:r>
              <w:rPr>
                <w:rFonts w:ascii="Calibri" w:hAnsi="Calibri"/>
                <w:color w:val="333333"/>
                <w:sz w:val="18"/>
              </w:rPr>
              <w:t>$2.11</w:t>
            </w:r>
          </w:p>
        </w:tc>
        <w:tc>
          <w:tcPr>
            <w:tcW w:type="dxa" w:w="1680"/>
          </w:tcPr>
          <w:p>
            <w:r>
              <w:rPr>
                <w:rFonts w:ascii="Calibri" w:hAnsi="Calibri"/>
                <w:color w:val="333333"/>
                <w:sz w:val="18"/>
              </w:rPr>
              <w:t>$2.11</w:t>
            </w:r>
          </w:p>
        </w:tc>
        <w:tc>
          <w:tcPr>
            <w:tcW w:type="dxa" w:w="1680"/>
          </w:tcPr>
          <w:p>
            <w:r>
              <w:rPr>
                <w:rFonts w:ascii="Calibri" w:hAnsi="Calibri"/>
                <w:color w:val="333333"/>
                <w:sz w:val="18"/>
              </w:rPr>
              <w:t>MEET</w:t>
            </w:r>
          </w:p>
        </w:tc>
        <w:tc>
          <w:tcPr>
            <w:tcW w:type="dxa" w:w="1680"/>
          </w:tcPr>
          <w:p>
            <w:r>
              <w:rPr>
                <w:rFonts w:ascii="Calibri" w:hAnsi="Calibri"/>
                <w:color w:val="333333"/>
                <w:sz w:val="18"/>
              </w:rPr>
              <w:t>N/A</w:t>
            </w:r>
          </w:p>
        </w:tc>
        <w:tc>
          <w:tcPr>
            <w:tcW w:type="dxa" w:w="1680"/>
          </w:tcPr>
          <w:p>
            <w:r>
              <w:rPr>
                <w:rFonts w:ascii="Calibri" w:hAnsi="Calibri"/>
                <w:color w:val="333333"/>
                <w:sz w:val="18"/>
              </w:rPr>
              <w:t>+0.2%</w:t>
            </w:r>
          </w:p>
        </w:tc>
      </w:tr>
      <w:tr>
        <w:tc>
          <w:tcPr>
            <w:tcW w:type="dxa" w:w="1680"/>
            <w:shd w:fill="F2F4F8" w:val="clear"/>
          </w:tcPr>
          <w:p>
            <w:r>
              <w:rPr>
                <w:rFonts w:ascii="Calibri" w:hAnsi="Calibri"/>
                <w:color w:val="333333"/>
                <w:sz w:val="18"/>
              </w:rPr>
              <w:t>Q4 2025</w:t>
            </w:r>
          </w:p>
        </w:tc>
        <w:tc>
          <w:tcPr>
            <w:tcW w:type="dxa" w:w="1680"/>
            <w:shd w:fill="F2F4F8" w:val="clear"/>
          </w:tcPr>
          <w:p>
            <w:r>
              <w:rPr>
                <w:rFonts w:ascii="Calibri" w:hAnsi="Calibri"/>
                <w:color w:val="333333"/>
                <w:sz w:val="18"/>
              </w:rPr>
              <w:t>$2.81</w:t>
            </w:r>
          </w:p>
        </w:tc>
        <w:tc>
          <w:tcPr>
            <w:tcW w:type="dxa" w:w="1680"/>
            <w:shd w:fill="F2F4F8" w:val="clear"/>
          </w:tcPr>
          <w:p>
            <w:r>
              <w:rPr>
                <w:rFonts w:ascii="Calibri" w:hAnsi="Calibri"/>
                <w:color w:val="333333"/>
                <w:sz w:val="18"/>
              </w:rPr>
              <w:t>$2.92</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+4.0%</w:t>
            </w:r>
          </w:p>
        </w:tc>
      </w:tr>
      <w:tr>
        <w:tc>
          <w:tcPr>
            <w:tcW w:type="dxa" w:w="1680"/>
          </w:tcPr>
          <w:p>
            <w:r>
              <w:rPr>
                <w:rFonts w:ascii="Calibri" w:hAnsi="Calibri"/>
                <w:color w:val="333333"/>
                <w:sz w:val="18"/>
              </w:rPr>
              <w:t>Q3 2025</w:t>
            </w:r>
          </w:p>
        </w:tc>
        <w:tc>
          <w:tcPr>
            <w:tcW w:type="dxa" w:w="1680"/>
          </w:tcPr>
          <w:p>
            <w:r>
              <w:rPr>
                <w:rFonts w:ascii="Calibri" w:hAnsi="Calibri"/>
                <w:color w:val="333333"/>
                <w:sz w:val="18"/>
              </w:rPr>
              <w:t>$4.45</w:t>
            </w:r>
          </w:p>
        </w:tc>
        <w:tc>
          <w:tcPr>
            <w:tcW w:type="dxa" w:w="1680"/>
          </w:tcPr>
          <w:p>
            <w:r>
              <w:rPr>
                <w:rFonts w:ascii="Calibri" w:hAnsi="Calibri"/>
                <w:color w:val="333333"/>
                <w:sz w:val="18"/>
              </w:rPr>
              <w:t>$4.08</w:t>
            </w:r>
          </w:p>
        </w:tc>
        <w:tc>
          <w:tcPr>
            <w:tcW w:type="dxa" w:w="1680"/>
            <w:shd w:fill="FCE8E6" w:val="clear"/>
          </w:tcPr>
          <w:p>
            <w:r>
              <w:rPr>
                <w:rFonts w:ascii="Calibri" w:hAnsi="Calibri"/>
                <w:color w:val="333333"/>
                <w:sz w:val="18"/>
              </w:rPr>
              <w:t>MISS</w:t>
            </w:r>
          </w:p>
        </w:tc>
        <w:tc>
          <w:tcPr>
            <w:tcW w:type="dxa" w:w="1680"/>
          </w:tcPr>
          <w:p>
            <w:r>
              <w:rPr>
                <w:rFonts w:ascii="Calibri" w:hAnsi="Calibri"/>
                <w:color w:val="333333"/>
                <w:sz w:val="18"/>
              </w:rPr>
              <w:t>+8.3%</w:t>
            </w:r>
          </w:p>
        </w:tc>
        <w:tc>
          <w:tcPr>
            <w:tcW w:type="dxa" w:w="1680"/>
          </w:tcPr>
          <w:p>
            <w:r>
              <w:rPr>
                <w:rFonts w:ascii="Calibri" w:hAnsi="Calibri"/>
                <w:color w:val="333333"/>
                <w:sz w:val="18"/>
              </w:rPr>
              <w:t>-8.2%</w:t>
            </w:r>
          </w:p>
        </w:tc>
      </w:tr>
      <w:tr>
        <w:tc>
          <w:tcPr>
            <w:tcW w:type="dxa" w:w="1680"/>
            <w:shd w:fill="F2F4F8" w:val="clear"/>
          </w:tcPr>
          <w:p>
            <w:r>
              <w:rPr>
                <w:rFonts w:ascii="Calibri" w:hAnsi="Calibri"/>
                <w:color w:val="333333"/>
                <w:sz w:val="18"/>
              </w:rPr>
              <w:t>Q2 2025</w:t>
            </w:r>
          </w:p>
        </w:tc>
        <w:tc>
          <w:tcPr>
            <w:tcW w:type="dxa" w:w="1680"/>
            <w:shd w:fill="F2F4F8" w:val="clear"/>
          </w:tcPr>
          <w:p>
            <w:r>
              <w:rPr>
                <w:rFonts w:ascii="Calibri" w:hAnsi="Calibri"/>
                <w:color w:val="333333"/>
                <w:sz w:val="18"/>
              </w:rPr>
              <w:t>$6.93</w:t>
            </w:r>
          </w:p>
        </w:tc>
        <w:tc>
          <w:tcPr>
            <w:tcW w:type="dxa" w:w="1680"/>
            <w:shd w:fill="F2F4F8" w:val="clear"/>
          </w:tcPr>
          <w:p>
            <w:r>
              <w:rPr>
                <w:rFonts w:ascii="Calibri" w:hAnsi="Calibri"/>
                <w:color w:val="333333"/>
                <w:sz w:val="18"/>
              </w:rPr>
              <w:t>$6.85</w:t>
            </w:r>
          </w:p>
        </w:tc>
        <w:tc>
          <w:tcPr>
            <w:tcW w:type="dxa" w:w="1680"/>
            <w:shd w:fill="F2F4F8" w:val="clear"/>
            <w:shd w:fill="FCE8E6" w:val="clear"/>
          </w:tcPr>
          <w:p>
            <w:r>
              <w:rPr>
                <w:rFonts w:ascii="Calibri" w:hAnsi="Calibri"/>
                <w:color w:val="333333"/>
                <w:sz w:val="18"/>
              </w:rPr>
              <w:t>MISS</w:t>
            </w:r>
          </w:p>
        </w:tc>
        <w:tc>
          <w:tcPr>
            <w:tcW w:type="dxa" w:w="1680"/>
            <w:shd w:fill="F2F4F8" w:val="clear"/>
          </w:tcPr>
          <w:p>
            <w:r>
              <w:rPr>
                <w:rFonts w:ascii="Calibri" w:hAnsi="Calibri"/>
                <w:color w:val="333333"/>
                <w:sz w:val="18"/>
              </w:rPr>
              <w:t>+1.1%</w:t>
            </w:r>
          </w:p>
        </w:tc>
        <w:tc>
          <w:tcPr>
            <w:tcW w:type="dxa" w:w="1680"/>
            <w:shd w:fill="F2F4F8" w:val="clear"/>
          </w:tcPr>
          <w:p>
            <w:r>
              <w:rPr>
                <w:rFonts w:ascii="Calibri" w:hAnsi="Calibri"/>
                <w:color w:val="333333"/>
                <w:sz w:val="18"/>
              </w:rPr>
              <w:t>-1.2%</w:t>
            </w:r>
          </w:p>
        </w:tc>
      </w:tr>
      <w:tr>
        <w:tc>
          <w:tcPr>
            <w:tcW w:type="dxa" w:w="1680"/>
          </w:tcPr>
          <w:p>
            <w:r>
              <w:rPr>
                <w:rFonts w:ascii="Calibri" w:hAnsi="Calibri"/>
                <w:color w:val="333333"/>
                <w:sz w:val="18"/>
              </w:rPr>
              <w:t>Q1 2025</w:t>
            </w:r>
          </w:p>
        </w:tc>
        <w:tc>
          <w:tcPr>
            <w:tcW w:type="dxa" w:w="1680"/>
          </w:tcPr>
          <w:p>
            <w:r>
              <w:rPr>
                <w:rFonts w:ascii="Calibri" w:hAnsi="Calibri"/>
                <w:color w:val="333333"/>
                <w:sz w:val="18"/>
              </w:rPr>
              <w:t>$6.74</w:t>
            </w:r>
          </w:p>
        </w:tc>
        <w:tc>
          <w:tcPr>
            <w:tcW w:type="dxa" w:w="1680"/>
          </w:tcPr>
          <w:p>
            <w:r>
              <w:rPr>
                <w:rFonts w:ascii="Calibri" w:hAnsi="Calibri"/>
                <w:color w:val="333333"/>
                <w:sz w:val="18"/>
              </w:rPr>
              <w:t>$6.81</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+1.1%</w:t>
            </w:r>
          </w:p>
        </w:tc>
      </w:tr>
      <w:tr>
        <w:tc>
          <w:tcPr>
            <w:tcW w:type="dxa" w:w="1680"/>
            <w:shd w:fill="F2F4F8" w:val="clear"/>
          </w:tcPr>
          <w:p>
            <w:r>
              <w:rPr>
                <w:rFonts w:ascii="Calibri" w:hAnsi="Calibri"/>
                <w:color w:val="333333"/>
                <w:sz w:val="18"/>
              </w:rPr>
              <w:t>Q4 2024</w:t>
            </w:r>
          </w:p>
        </w:tc>
        <w:tc>
          <w:tcPr>
            <w:tcW w:type="dxa" w:w="1680"/>
            <w:shd w:fill="F2F4F8" w:val="clear"/>
          </w:tcPr>
          <w:p>
            <w:r>
              <w:rPr>
                <w:rFonts w:ascii="Calibri" w:hAnsi="Calibri"/>
                <w:color w:val="333333"/>
                <w:sz w:val="18"/>
              </w:rPr>
              <w:t>$7.03</w:t>
            </w:r>
          </w:p>
        </w:tc>
        <w:tc>
          <w:tcPr>
            <w:tcW w:type="dxa" w:w="1680"/>
            <w:shd w:fill="F2F4F8" w:val="clear"/>
          </w:tcPr>
          <w:p>
            <w:r>
              <w:rPr>
                <w:rFonts w:ascii="Calibri" w:hAnsi="Calibri"/>
                <w:color w:val="333333"/>
                <w:sz w:val="18"/>
              </w:rPr>
              <w:t>$7.15</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+1.7%</w:t>
            </w:r>
          </w:p>
        </w:tc>
      </w:tr>
      <w:tr>
        <w:tc>
          <w:tcPr>
            <w:tcW w:type="dxa" w:w="1680"/>
          </w:tcPr>
          <w:p>
            <w:r>
              <w:rPr>
                <w:rFonts w:ascii="Calibri" w:hAnsi="Calibri"/>
                <w:color w:val="333333"/>
                <w:sz w:val="18"/>
              </w:rPr>
              <w:t>Q3 2024</w:t>
            </w:r>
          </w:p>
        </w:tc>
        <w:tc>
          <w:tcPr>
            <w:tcW w:type="dxa" w:w="1680"/>
          </w:tcPr>
          <w:p>
            <w:r>
              <w:rPr>
                <w:rFonts w:ascii="Calibri" w:hAnsi="Calibri"/>
                <w:color w:val="333333"/>
                <w:sz w:val="18"/>
              </w:rPr>
              <w:t>$6.63</w:t>
            </w:r>
          </w:p>
        </w:tc>
        <w:tc>
          <w:tcPr>
            <w:tcW w:type="dxa" w:w="1680"/>
          </w:tcPr>
          <w:p>
            <w:r>
              <w:rPr>
                <w:rFonts w:ascii="Calibri" w:hAnsi="Calibri"/>
                <w:color w:val="333333"/>
                <w:sz w:val="18"/>
              </w:rPr>
              <w:t>$6.80</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+2.5%</w:t>
            </w:r>
          </w:p>
        </w:tc>
      </w:tr>
      <w:tr>
        <w:tc>
          <w:tcPr>
            <w:tcW w:type="dxa" w:w="1680"/>
            <w:shd w:fill="F2F4F8" w:val="clear"/>
          </w:tcPr>
          <w:p>
            <w:r>
              <w:rPr>
                <w:rFonts w:ascii="Calibri" w:hAnsi="Calibri"/>
                <w:color w:val="333333"/>
                <w:sz w:val="18"/>
              </w:rPr>
              <w:t>Q2 2024</w:t>
            </w:r>
          </w:p>
        </w:tc>
        <w:tc>
          <w:tcPr>
            <w:tcW w:type="dxa" w:w="1680"/>
            <w:shd w:fill="F2F4F8" w:val="clear"/>
          </w:tcPr>
          <w:p>
            <w:r>
              <w:rPr>
                <w:rFonts w:ascii="Calibri" w:hAnsi="Calibri"/>
                <w:color w:val="333333"/>
                <w:sz w:val="18"/>
              </w:rPr>
              <w:t>$6.62</w:t>
            </w:r>
          </w:p>
        </w:tc>
        <w:tc>
          <w:tcPr>
            <w:tcW w:type="dxa" w:w="1680"/>
            <w:shd w:fill="F2F4F8" w:val="clear"/>
          </w:tcPr>
          <w:p>
            <w:r>
              <w:rPr>
                <w:rFonts w:ascii="Calibri" w:hAnsi="Calibri"/>
                <w:color w:val="333333"/>
                <w:sz w:val="18"/>
              </w:rPr>
              <w:t>$6.91</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+4.4%</w:t>
            </w:r>
          </w:p>
        </w:tc>
      </w:tr>
      <w:tr>
        <w:tc>
          <w:tcPr>
            <w:tcW w:type="dxa" w:w="1680"/>
          </w:tcPr>
          <w:p>
            <w:r>
              <w:rPr>
                <w:rFonts w:ascii="Calibri" w:hAnsi="Calibri"/>
                <w:color w:val="333333"/>
                <w:sz w:val="18"/>
              </w:rPr>
              <w:t>Q1 2024</w:t>
            </w:r>
          </w:p>
        </w:tc>
        <w:tc>
          <w:tcPr>
            <w:tcW w:type="dxa" w:w="1680"/>
          </w:tcPr>
          <w:p>
            <w:r>
              <w:rPr>
                <w:rFonts w:ascii="Calibri" w:hAnsi="Calibri"/>
                <w:color w:val="333333"/>
                <w:sz w:val="18"/>
              </w:rPr>
              <w:t>$5.99</w:t>
            </w:r>
          </w:p>
        </w:tc>
        <w:tc>
          <w:tcPr>
            <w:tcW w:type="dxa" w:w="1680"/>
          </w:tcPr>
          <w:p>
            <w:r>
              <w:rPr>
                <w:rFonts w:ascii="Calibri" w:hAnsi="Calibri"/>
                <w:color w:val="333333"/>
                <w:sz w:val="18"/>
              </w:rPr>
              <w:t>$6.16</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+2.9%</w:t>
            </w:r>
          </w:p>
        </w:tc>
      </w:tr>
      <w:tr>
        <w:tc>
          <w:tcPr>
            <w:tcW w:type="dxa" w:w="1680"/>
            <w:shd w:fill="F2F4F8" w:val="clear"/>
          </w:tcPr>
          <w:p>
            <w:r>
              <w:rPr>
                <w:rFonts w:ascii="Calibri" w:hAnsi="Calibri"/>
                <w:color w:val="333333"/>
                <w:sz w:val="18"/>
              </w:rPr>
              <w:t>Q4 2023</w:t>
            </w:r>
          </w:p>
        </w:tc>
        <w:tc>
          <w:tcPr>
            <w:tcW w:type="dxa" w:w="1680"/>
            <w:shd w:fill="F2F4F8" w:val="clear"/>
          </w:tcPr>
          <w:p>
            <w:r>
              <w:rPr>
                <w:rFonts w:ascii="Calibri" w:hAnsi="Calibri"/>
                <w:color w:val="333333"/>
                <w:sz w:val="18"/>
              </w:rPr>
              <w:t>$6.35</w:t>
            </w:r>
          </w:p>
        </w:tc>
        <w:tc>
          <w:tcPr>
            <w:tcW w:type="dxa" w:w="1680"/>
            <w:shd w:fill="F2F4F8" w:val="clear"/>
          </w:tcPr>
          <w:p>
            <w:r>
              <w:rPr>
                <w:rFonts w:ascii="Calibri" w:hAnsi="Calibri"/>
                <w:color w:val="333333"/>
                <w:sz w:val="18"/>
              </w:rPr>
              <w:t>$6.56</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+3.3%</w:t>
            </w:r>
          </w:p>
        </w:tc>
      </w:tr>
      <w:tr>
        <w:tc>
          <w:tcPr>
            <w:tcW w:type="dxa" w:w="1680"/>
          </w:tcPr>
          <w:p>
            <w:r>
              <w:rPr>
                <w:rFonts w:ascii="Calibri" w:hAnsi="Calibri"/>
                <w:color w:val="333333"/>
                <w:sz w:val="18"/>
              </w:rPr>
              <w:t>Q3 2023</w:t>
            </w:r>
          </w:p>
        </w:tc>
        <w:tc>
          <w:tcPr>
            <w:tcW w:type="dxa" w:w="1680"/>
          </w:tcPr>
          <w:p>
            <w:r>
              <w:rPr>
                <w:rFonts w:ascii="Calibri" w:hAnsi="Calibri"/>
                <w:color w:val="333333"/>
                <w:sz w:val="18"/>
              </w:rPr>
              <w:t>$5.98</w:t>
            </w:r>
          </w:p>
        </w:tc>
        <w:tc>
          <w:tcPr>
            <w:tcW w:type="dxa" w:w="1680"/>
          </w:tcPr>
          <w:p>
            <w:r>
              <w:rPr>
                <w:rFonts w:ascii="Calibri" w:hAnsi="Calibri"/>
                <w:color w:val="333333"/>
                <w:sz w:val="18"/>
              </w:rPr>
              <w:t>$6.14</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+2.7%</w:t>
            </w:r>
          </w:p>
        </w:tc>
      </w:tr>
      <w:tr>
        <w:tc>
          <w:tcPr>
            <w:tcW w:type="dxa" w:w="1680"/>
            <w:shd w:fill="F2F4F8" w:val="clear"/>
          </w:tcPr>
          <w:p>
            <w:r>
              <w:rPr>
                <w:rFonts w:ascii="Calibri" w:hAnsi="Calibri"/>
                <w:color w:val="333333"/>
                <w:sz w:val="18"/>
              </w:rPr>
              <w:t>Q2 2023</w:t>
            </w:r>
          </w:p>
        </w:tc>
        <w:tc>
          <w:tcPr>
            <w:tcW w:type="dxa" w:w="1680"/>
            <w:shd w:fill="F2F4F8" w:val="clear"/>
          </w:tcPr>
          <w:p>
            <w:r>
              <w:rPr>
                <w:rFonts w:ascii="Calibri" w:hAnsi="Calibri"/>
                <w:color w:val="333333"/>
                <w:sz w:val="18"/>
              </w:rPr>
              <w:t>$6.08</w:t>
            </w:r>
          </w:p>
        </w:tc>
        <w:tc>
          <w:tcPr>
            <w:tcW w:type="dxa" w:w="1680"/>
            <w:shd w:fill="F2F4F8" w:val="clear"/>
          </w:tcPr>
          <w:p>
            <w:r>
              <w:rPr>
                <w:rFonts w:ascii="Calibri" w:hAnsi="Calibri"/>
                <w:color w:val="333333"/>
                <w:sz w:val="18"/>
              </w:rPr>
              <w:t>$6.26</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+3.0%</w:t>
            </w:r>
          </w:p>
        </w:tc>
      </w:tr>
      <w:tr>
        <w:tc>
          <w:tcPr>
            <w:tcW w:type="dxa" w:w="1680"/>
          </w:tcPr>
          <w:p>
            <w:r>
              <w:rPr>
                <w:rFonts w:ascii="Calibri" w:hAnsi="Calibri"/>
                <w:color w:val="333333"/>
                <w:sz w:val="18"/>
              </w:rPr>
              <w:t>Q1 2023</w:t>
            </w:r>
          </w:p>
        </w:tc>
        <w:tc>
          <w:tcPr>
            <w:tcW w:type="dxa" w:w="1680"/>
          </w:tcPr>
          <w:p>
            <w:r>
              <w:rPr>
                <w:rFonts w:ascii="Calibri" w:hAnsi="Calibri"/>
                <w:color w:val="333333"/>
                <w:sz w:val="18"/>
              </w:rPr>
              <w:t>$5.17</w:t>
            </w:r>
          </w:p>
        </w:tc>
        <w:tc>
          <w:tcPr>
            <w:tcW w:type="dxa" w:w="1680"/>
          </w:tcPr>
          <w:p>
            <w:r>
              <w:rPr>
                <w:rFonts w:ascii="Calibri" w:hAnsi="Calibri"/>
                <w:color w:val="333333"/>
                <w:sz w:val="18"/>
              </w:rPr>
              <w:t>$5.34</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+3.2%</w:t>
            </w:r>
          </w:p>
        </w:tc>
      </w:tr>
      <w:tr>
        <w:tc>
          <w:tcPr>
            <w:tcW w:type="dxa" w:w="1680"/>
            <w:shd w:fill="F2F4F8" w:val="clear"/>
          </w:tcPr>
          <w:p>
            <w:r>
              <w:rPr>
                <w:rFonts w:ascii="Calibri" w:hAnsi="Calibri"/>
                <w:color w:val="333333"/>
                <w:sz w:val="18"/>
              </w:rPr>
              <w:t>Q4 2022</w:t>
            </w:r>
          </w:p>
        </w:tc>
        <w:tc>
          <w:tcPr>
            <w:tcW w:type="dxa" w:w="1680"/>
            <w:shd w:fill="F2F4F8" w:val="clear"/>
          </w:tcPr>
          <w:p>
            <w:r>
              <w:rPr>
                <w:rFonts w:ascii="Calibri" w:hAnsi="Calibri"/>
                <w:color w:val="333333"/>
                <w:sz w:val="18"/>
              </w:rPr>
              <w:t>$5.44</w:t>
            </w:r>
          </w:p>
        </w:tc>
        <w:tc>
          <w:tcPr>
            <w:tcW w:type="dxa" w:w="1680"/>
            <w:shd w:fill="F2F4F8" w:val="clear"/>
          </w:tcPr>
          <w:p>
            <w:r>
              <w:rPr>
                <w:rFonts w:ascii="Calibri" w:hAnsi="Calibri"/>
                <w:color w:val="333333"/>
                <w:sz w:val="18"/>
              </w:rPr>
              <w:t>$5.79</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+6.5%</w:t>
            </w:r>
          </w:p>
        </w:tc>
      </w:tr>
      <w:tr>
        <w:tc>
          <w:tcPr>
            <w:tcW w:type="dxa" w:w="1680"/>
          </w:tcPr>
          <w:p>
            <w:r>
              <w:rPr>
                <w:rFonts w:ascii="Calibri" w:hAnsi="Calibri"/>
                <w:color w:val="333333"/>
                <w:sz w:val="18"/>
              </w:rPr>
              <w:t>Q3 2022</w:t>
            </w:r>
          </w:p>
        </w:tc>
        <w:tc>
          <w:tcPr>
            <w:tcW w:type="dxa" w:w="1680"/>
          </w:tcPr>
          <w:p>
            <w:r>
              <w:rPr>
                <w:rFonts w:ascii="Calibri" w:hAnsi="Calibri"/>
                <w:color w:val="333333"/>
                <w:sz w:val="18"/>
              </w:rPr>
              <w:t>$5.21</w:t>
            </w:r>
          </w:p>
        </w:tc>
        <w:tc>
          <w:tcPr>
            <w:tcW w:type="dxa" w:w="1680"/>
          </w:tcPr>
          <w:p>
            <w:r>
              <w:rPr>
                <w:rFonts w:ascii="Calibri" w:hAnsi="Calibri"/>
                <w:color w:val="333333"/>
                <w:sz w:val="18"/>
              </w:rPr>
              <w:t>$5.57</w:t>
            </w:r>
          </w:p>
        </w:tc>
        <w:tc>
          <w:tcPr>
            <w:tcW w:type="dxa" w:w="1680"/>
            <w:shd w:fill="DCEEF8" w:val="clear"/>
          </w:tcPr>
          <w:p>
            <w:r>
              <w:rPr>
                <w:rFonts w:ascii="Calibri" w:hAnsi="Calibri"/>
                <w:color w:val="333333"/>
                <w:sz w:val="18"/>
              </w:rPr>
              <w:t>BEAT</w:t>
            </w:r>
          </w:p>
        </w:tc>
        <w:tc>
          <w:tcPr>
            <w:tcW w:type="dxa" w:w="1680"/>
          </w:tcPr>
          <w:p>
            <w:r>
              <w:rPr>
                <w:rFonts w:ascii="Calibri" w:hAnsi="Calibri"/>
                <w:color w:val="333333"/>
                <w:sz w:val="18"/>
              </w:rPr>
              <w:t>N/A</w:t>
            </w:r>
          </w:p>
        </w:tc>
        <w:tc>
          <w:tcPr>
            <w:tcW w:type="dxa" w:w="1680"/>
          </w:tcPr>
          <w:p>
            <w:r>
              <w:rPr>
                <w:rFonts w:ascii="Calibri" w:hAnsi="Calibri"/>
                <w:color w:val="333333"/>
                <w:sz w:val="18"/>
              </w:rPr>
              <w:t>+6.9%</w:t>
            </w:r>
          </w:p>
        </w:tc>
      </w:tr>
      <w:tr>
        <w:tc>
          <w:tcPr>
            <w:tcW w:type="dxa" w:w="1680"/>
            <w:shd w:fill="F2F4F8" w:val="clear"/>
          </w:tcPr>
          <w:p>
            <w:r>
              <w:rPr>
                <w:rFonts w:ascii="Calibri" w:hAnsi="Calibri"/>
                <w:color w:val="333333"/>
                <w:sz w:val="18"/>
              </w:rPr>
              <w:t>Q2 2022</w:t>
            </w:r>
          </w:p>
        </w:tc>
        <w:tc>
          <w:tcPr>
            <w:tcW w:type="dxa" w:w="1680"/>
            <w:shd w:fill="F2F4F8" w:val="clear"/>
          </w:tcPr>
          <w:p>
            <w:r>
              <w:rPr>
                <w:rFonts w:ascii="Calibri" w:hAnsi="Calibri"/>
                <w:color w:val="333333"/>
                <w:sz w:val="18"/>
              </w:rPr>
              <w:t>$5.35</w:t>
            </w:r>
          </w:p>
        </w:tc>
        <w:tc>
          <w:tcPr>
            <w:tcW w:type="dxa" w:w="1680"/>
            <w:shd w:fill="F2F4F8" w:val="clear"/>
          </w:tcPr>
          <w:p>
            <w:r>
              <w:rPr>
                <w:rFonts w:ascii="Calibri" w:hAnsi="Calibri"/>
                <w:color w:val="333333"/>
                <w:sz w:val="18"/>
              </w:rPr>
              <w:t>$5.49</w:t>
            </w:r>
          </w:p>
        </w:tc>
        <w:tc>
          <w:tcPr>
            <w:tcW w:type="dxa" w:w="1680"/>
            <w:shd w:fill="F2F4F8" w:val="clear"/>
            <w:shd w:fill="DCEEF8" w:val="clear"/>
          </w:tcPr>
          <w:p>
            <w:r>
              <w:rPr>
                <w:rFonts w:ascii="Calibri" w:hAnsi="Calibri"/>
                <w:color w:val="333333"/>
                <w:sz w:val="18"/>
              </w:rPr>
              <w:t>BEAT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+2.6%</w:t>
            </w:r>
          </w:p>
        </w:tc>
      </w:tr>
    </w:tbl>
    <w:p>
      <w:pPr>
        <w:pStyle w:val="DOHeading2"/>
      </w:pPr>
      <w:r>
        <w:t>Analyst Consensus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Analyst Coverage</w:t>
            </w:r>
          </w:p>
        </w:tc>
        <w:tc>
          <w:tcPr>
            <w:tcW w:type="dxa" w:w="5040"/>
          </w:tcPr>
          <w:p>
            <w:r>
              <w:rPr>
                <w:rFonts w:ascii="Calibri" w:hAnsi="Calibri"/>
                <w:color w:val="333333"/>
                <w:sz w:val="18"/>
              </w:rPr>
              <w:t>26</w:t>
            </w:r>
          </w:p>
        </w:tc>
      </w:tr>
      <w:tr>
        <w:tc>
          <w:tcPr>
            <w:tcW w:type="dxa" w:w="5040"/>
            <w:shd w:fill="F2F4F8" w:val="clear"/>
          </w:tcPr>
          <w:p>
            <w:r>
              <w:rPr>
                <w:rFonts w:ascii="Calibri" w:hAnsi="Calibri"/>
                <w:color w:val="333333"/>
                <w:sz w:val="18"/>
              </w:rPr>
              <w:t>Consensus Rating</w:t>
            </w:r>
          </w:p>
        </w:tc>
        <w:tc>
          <w:tcPr>
            <w:tcW w:type="dxa" w:w="5040"/>
            <w:shd w:fill="F2F4F8" w:val="clear"/>
          </w:tcPr>
          <w:p>
            <w:r>
              <w:rPr>
                <w:rFonts w:ascii="Calibri" w:hAnsi="Calibri"/>
                <w:color w:val="333333"/>
                <w:sz w:val="18"/>
              </w:rPr>
              <w:t>BUY</w:t>
            </w:r>
          </w:p>
        </w:tc>
      </w:tr>
      <w:tr>
        <w:tc>
          <w:tcPr>
            <w:tcW w:type="dxa" w:w="5040"/>
          </w:tcPr>
          <w:p>
            <w:r>
              <w:rPr>
                <w:rFonts w:ascii="Calibri" w:hAnsi="Calibri"/>
                <w:color w:val="333333"/>
                <w:sz w:val="18"/>
              </w:rPr>
              <w:t>Mean Recommendation</w:t>
            </w:r>
          </w:p>
        </w:tc>
        <w:tc>
          <w:tcPr>
            <w:tcW w:type="dxa" w:w="5040"/>
          </w:tcPr>
          <w:p>
            <w:r>
              <w:rPr>
                <w:rFonts w:ascii="Calibri" w:hAnsi="Calibri"/>
                <w:color w:val="333333"/>
                <w:sz w:val="18"/>
              </w:rPr>
              <w:t>1.83 (1=Strong Buy, 5=Sell)</w:t>
            </w:r>
          </w:p>
        </w:tc>
      </w:tr>
      <w:tr>
        <w:tc>
          <w:tcPr>
            <w:tcW w:type="dxa" w:w="5040"/>
            <w:shd w:fill="F2F4F8" w:val="clear"/>
          </w:tcPr>
          <w:p>
            <w:r>
              <w:rPr>
                <w:rFonts w:ascii="Calibri" w:hAnsi="Calibri"/>
                <w:color w:val="333333"/>
                <w:sz w:val="18"/>
              </w:rPr>
              <w:t>Mean Target Price</w:t>
            </w:r>
          </w:p>
        </w:tc>
        <w:tc>
          <w:tcPr>
            <w:tcW w:type="dxa" w:w="5040"/>
            <w:shd w:fill="F2F4F8" w:val="clear"/>
          </w:tcPr>
          <w:p>
            <w:r>
              <w:rPr>
                <w:rFonts w:ascii="Calibri" w:hAnsi="Calibri"/>
                <w:color w:val="333333"/>
                <w:sz w:val="18"/>
              </w:rPr>
              <w:t>$358</w:t>
            </w:r>
          </w:p>
        </w:tc>
      </w:tr>
      <w:tr>
        <w:tc>
          <w:tcPr>
            <w:tcW w:type="dxa" w:w="5040"/>
          </w:tcPr>
          <w:p>
            <w:r>
              <w:rPr>
                <w:rFonts w:ascii="Calibri" w:hAnsi="Calibri"/>
                <w:color w:val="333333"/>
                <w:sz w:val="18"/>
              </w:rPr>
              <w:t>Target Price High</w:t>
            </w:r>
          </w:p>
        </w:tc>
        <w:tc>
          <w:tcPr>
            <w:tcW w:type="dxa" w:w="5040"/>
          </w:tcPr>
          <w:p>
            <w:r>
              <w:rPr>
                <w:rFonts w:ascii="Calibri" w:hAnsi="Calibri"/>
                <w:color w:val="333333"/>
                <w:sz w:val="18"/>
              </w:rPr>
              <w:t>$440</w:t>
            </w:r>
          </w:p>
        </w:tc>
      </w:tr>
      <w:tr>
        <w:tc>
          <w:tcPr>
            <w:tcW w:type="dxa" w:w="5040"/>
            <w:shd w:fill="F2F4F8" w:val="clear"/>
          </w:tcPr>
          <w:p>
            <w:r>
              <w:rPr>
                <w:rFonts w:ascii="Calibri" w:hAnsi="Calibri"/>
                <w:color w:val="333333"/>
                <w:sz w:val="18"/>
              </w:rPr>
              <w:t>Target Price Low</w:t>
            </w:r>
          </w:p>
        </w:tc>
        <w:tc>
          <w:tcPr>
            <w:tcW w:type="dxa" w:w="5040"/>
            <w:shd w:fill="F2F4F8" w:val="clear"/>
          </w:tcPr>
          <w:p>
            <w:r>
              <w:rPr>
                <w:rFonts w:ascii="Calibri" w:hAnsi="Calibri"/>
                <w:color w:val="333333"/>
                <w:sz w:val="18"/>
              </w:rPr>
              <w:t>$255</w:t>
            </w:r>
          </w:p>
        </w:tc>
      </w:tr>
    </w:tbl>
    <w:p>
      <w:pPr>
        <w:pStyle w:val="DOHeading2"/>
      </w:pPr>
      <w:r>
        <w:t>Stock Drop Analysis</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Date</w:t>
            </w:r>
          </w:p>
        </w:tc>
        <w:tc>
          <w:tcPr>
            <w:tcW w:type="dxa" w:w="1680"/>
            <w:shd w:fill="1A1446" w:val="clear"/>
          </w:tcPr>
          <w:p>
            <w:r>
              <w:rPr>
                <w:rFonts w:ascii="Calibri" w:hAnsi="Calibri"/>
                <w:b/>
                <w:color w:val="FFFFFF"/>
                <w:sz w:val="18"/>
              </w:rPr>
              <w:t>Magnitude</w:t>
            </w:r>
          </w:p>
        </w:tc>
        <w:tc>
          <w:tcPr>
            <w:tcW w:type="dxa" w:w="1680"/>
            <w:shd w:fill="1A1446" w:val="clear"/>
          </w:tcPr>
          <w:p>
            <w:r>
              <w:rPr>
                <w:rFonts w:ascii="Calibri" w:hAnsi="Calibri"/>
                <w:b/>
                <w:color w:val="FFFFFF"/>
                <w:sz w:val="18"/>
              </w:rPr>
              <w:t>Type</w:t>
            </w:r>
          </w:p>
        </w:tc>
        <w:tc>
          <w:tcPr>
            <w:tcW w:type="dxa" w:w="1680"/>
            <w:shd w:fill="1A1446" w:val="clear"/>
          </w:tcPr>
          <w:p>
            <w:r>
              <w:rPr>
                <w:rFonts w:ascii="Calibri" w:hAnsi="Calibri"/>
                <w:b/>
                <w:color w:val="FFFFFF"/>
                <w:sz w:val="18"/>
              </w:rPr>
              <w:t>Trigger / Attribution</w:t>
            </w:r>
          </w:p>
        </w:tc>
        <w:tc>
          <w:tcPr>
            <w:tcW w:type="dxa" w:w="1680"/>
            <w:shd w:fill="1A1446" w:val="clear"/>
          </w:tcPr>
          <w:p>
            <w:r>
              <w:rPr>
                <w:rFonts w:ascii="Calibri" w:hAnsi="Calibri"/>
                <w:b/>
                <w:color w:val="FFFFFF"/>
                <w:sz w:val="18"/>
              </w:rPr>
              <w:t>Sector Return</w:t>
            </w:r>
          </w:p>
        </w:tc>
        <w:tc>
          <w:tcPr>
            <w:tcW w:type="dxa" w:w="1680"/>
            <w:shd w:fill="1A1446" w:val="clear"/>
          </w:tcPr>
          <w:p>
            <w:r>
              <w:rPr>
                <w:rFonts w:ascii="Calibri" w:hAnsi="Calibri"/>
                <w:b/>
                <w:color w:val="FFFFFF"/>
                <w:sz w:val="18"/>
              </w:rPr>
              <w:t>Company-Specific</w:t>
            </w:r>
          </w:p>
        </w:tc>
      </w:tr>
      <w:tr>
        <w:tc>
          <w:tcPr>
            <w:tcW w:type="dxa" w:w="1680"/>
          </w:tcPr>
          <w:p>
            <w:r>
              <w:rPr>
                <w:rFonts w:ascii="Calibri" w:hAnsi="Calibri"/>
                <w:color w:val="333333"/>
                <w:sz w:val="18"/>
              </w:rPr>
              <w:t>2025-05-02 to 2025-06-03</w:t>
            </w:r>
          </w:p>
        </w:tc>
        <w:tc>
          <w:tcPr>
            <w:tcW w:type="dxa" w:w="1680"/>
          </w:tcPr>
          <w:p>
            <w:r>
              <w:rPr>
                <w:rFonts w:ascii="Calibri" w:hAnsi="Calibri"/>
                <w:color w:val="333333"/>
                <w:sz w:val="18"/>
              </w:rPr>
              <w:t>-54.2%</w:t>
            </w:r>
          </w:p>
        </w:tc>
        <w:tc>
          <w:tcPr>
            <w:tcW w:type="dxa" w:w="1680"/>
          </w:tcPr>
          <w:p>
            <w:r>
              <w:rPr>
                <w:rFonts w:ascii="Calibri" w:hAnsi="Calibri"/>
                <w:color w:val="333333"/>
                <w:sz w:val="18"/>
              </w:rPr>
              <w:t>MULTI_DAY (33d)</w:t>
            </w:r>
          </w:p>
        </w:tc>
        <w:tc>
          <w:tcPr>
            <w:tcW w:type="dxa" w:w="1680"/>
          </w:tcPr>
          <w:p>
            <w:r>
              <w:rPr>
                <w:rFonts w:ascii="Calibri" w:hAnsi="Calibri"/>
                <w:color w:val="333333"/>
                <w:sz w:val="18"/>
              </w:rPr>
              <w:t>8-K_filing</w:t>
            </w:r>
          </w:p>
        </w:tc>
        <w:tc>
          <w:tcPr>
            <w:tcW w:type="dxa" w:w="1680"/>
          </w:tcPr>
          <w:p>
            <w:r>
              <w:rPr>
                <w:rFonts w:ascii="Calibri" w:hAnsi="Calibri"/>
                <w:color w:val="333333"/>
                <w:sz w:val="18"/>
              </w:rPr>
              <w:t>-4.3%</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2025-05-14</w:t>
            </w:r>
          </w:p>
        </w:tc>
        <w:tc>
          <w:tcPr>
            <w:tcW w:type="dxa" w:w="1680"/>
            <w:shd w:fill="F2F4F8" w:val="clear"/>
          </w:tcPr>
          <w:p>
            <w:r>
              <w:rPr>
                <w:rFonts w:ascii="Calibri" w:hAnsi="Calibri"/>
                <w:color w:val="333333"/>
                <w:sz w:val="18"/>
              </w:rPr>
              <w:t>-47.2%</w:t>
            </w:r>
          </w:p>
        </w:tc>
        <w:tc>
          <w:tcPr>
            <w:tcW w:type="dxa" w:w="1680"/>
            <w:shd w:fill="F2F4F8" w:val="clear"/>
          </w:tcPr>
          <w:p>
            <w:r>
              <w:rPr>
                <w:rFonts w:ascii="Calibri" w:hAnsi="Calibri"/>
                <w:color w:val="333333"/>
                <w:sz w:val="18"/>
              </w:rPr>
              <w:t>MULTI_DAY (20d)</w:t>
            </w:r>
          </w:p>
        </w:tc>
        <w:tc>
          <w:tcPr>
            <w:tcW w:type="dxa" w:w="1680"/>
            <w:shd w:fill="F2F4F8" w:val="clear"/>
          </w:tcPr>
          <w:p>
            <w:r>
              <w:rPr>
                <w:rFonts w:ascii="Calibri" w:hAnsi="Calibri"/>
                <w:color w:val="333333"/>
                <w:sz w:val="18"/>
              </w:rPr>
              <w:t>8-K_filing</w:t>
            </w:r>
          </w:p>
        </w:tc>
        <w:tc>
          <w:tcPr>
            <w:tcW w:type="dxa" w:w="1680"/>
            <w:shd w:fill="F2F4F8" w:val="clear"/>
          </w:tcPr>
          <w:p>
            <w:r>
              <w:rPr>
                <w:rFonts w:ascii="Calibri" w:hAnsi="Calibri"/>
                <w:color w:val="333333"/>
                <w:sz w:val="18"/>
              </w:rPr>
              <w:t>-6.5%</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2025-05-13</w:t>
            </w:r>
          </w:p>
        </w:tc>
        <w:tc>
          <w:tcPr>
            <w:tcW w:type="dxa" w:w="1680"/>
          </w:tcPr>
          <w:p>
            <w:r>
              <w:rPr>
                <w:rFonts w:ascii="Calibri" w:hAnsi="Calibri"/>
                <w:color w:val="333333"/>
                <w:sz w:val="18"/>
              </w:rPr>
              <w:t>-47.0%</w:t>
            </w:r>
          </w:p>
        </w:tc>
        <w:tc>
          <w:tcPr>
            <w:tcW w:type="dxa" w:w="1680"/>
          </w:tcPr>
          <w:p>
            <w:r>
              <w:rPr>
                <w:rFonts w:ascii="Calibri" w:hAnsi="Calibri"/>
                <w:color w:val="333333"/>
                <w:sz w:val="18"/>
              </w:rPr>
              <w:t>MULTI_DAY (20d)</w:t>
            </w:r>
          </w:p>
        </w:tc>
        <w:tc>
          <w:tcPr>
            <w:tcW w:type="dxa" w:w="1680"/>
          </w:tcPr>
          <w:p>
            <w:r>
              <w:rPr>
                <w:rFonts w:ascii="Calibri" w:hAnsi="Calibri"/>
                <w:color w:val="333333"/>
                <w:sz w:val="18"/>
              </w:rPr>
              <w:t>8-K_filing</w:t>
            </w:r>
          </w:p>
        </w:tc>
        <w:tc>
          <w:tcPr>
            <w:tcW w:type="dxa" w:w="1680"/>
          </w:tcPr>
          <w:p>
            <w:r>
              <w:rPr>
                <w:rFonts w:ascii="Calibri" w:hAnsi="Calibri"/>
                <w:color w:val="333333"/>
                <w:sz w:val="18"/>
              </w:rPr>
              <w:t>-4.8%</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2025-05-12</w:t>
            </w:r>
          </w:p>
        </w:tc>
        <w:tc>
          <w:tcPr>
            <w:tcW w:type="dxa" w:w="1680"/>
            <w:shd w:fill="F2F4F8" w:val="clear"/>
          </w:tcPr>
          <w:p>
            <w:r>
              <w:rPr>
                <w:rFonts w:ascii="Calibri" w:hAnsi="Calibri"/>
                <w:color w:val="333333"/>
                <w:sz w:val="18"/>
              </w:rPr>
              <w:t>-36.8%</w:t>
            </w:r>
          </w:p>
        </w:tc>
        <w:tc>
          <w:tcPr>
            <w:tcW w:type="dxa" w:w="1680"/>
            <w:shd w:fill="F2F4F8" w:val="clear"/>
          </w:tcPr>
          <w:p>
            <w:r>
              <w:rPr>
                <w:rFonts w:ascii="Calibri" w:hAnsi="Calibri"/>
                <w:color w:val="333333"/>
                <w:sz w:val="18"/>
              </w:rPr>
              <w:t>MULTI_DAY (20d)</w:t>
            </w:r>
          </w:p>
        </w:tc>
        <w:tc>
          <w:tcPr>
            <w:tcW w:type="dxa" w:w="1680"/>
            <w:shd w:fill="F2F4F8" w:val="clear"/>
          </w:tcPr>
          <w:p>
            <w:r>
              <w:rPr>
                <w:rFonts w:ascii="Calibri" w:hAnsi="Calibri"/>
                <w:color w:val="333333"/>
                <w:sz w:val="18"/>
              </w:rPr>
              <w:t>8-K_filing</w:t>
            </w:r>
          </w:p>
        </w:tc>
        <w:tc>
          <w:tcPr>
            <w:tcW w:type="dxa" w:w="1680"/>
            <w:shd w:fill="F2F4F8" w:val="clear"/>
          </w:tcPr>
          <w:p>
            <w:r>
              <w:rPr>
                <w:rFonts w:ascii="Calibri" w:hAnsi="Calibri"/>
                <w:color w:val="333333"/>
                <w:sz w:val="18"/>
              </w:rPr>
              <w:t>-0.7%</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2025-05-09</w:t>
            </w:r>
          </w:p>
        </w:tc>
        <w:tc>
          <w:tcPr>
            <w:tcW w:type="dxa" w:w="1680"/>
          </w:tcPr>
          <w:p>
            <w:r>
              <w:rPr>
                <w:rFonts w:ascii="Calibri" w:hAnsi="Calibri"/>
                <w:color w:val="333333"/>
                <w:sz w:val="18"/>
              </w:rPr>
              <w:t>-36.0%</w:t>
            </w:r>
          </w:p>
        </w:tc>
        <w:tc>
          <w:tcPr>
            <w:tcW w:type="dxa" w:w="1680"/>
          </w:tcPr>
          <w:p>
            <w:r>
              <w:rPr>
                <w:rFonts w:ascii="Calibri" w:hAnsi="Calibri"/>
                <w:color w:val="333333"/>
                <w:sz w:val="18"/>
              </w:rPr>
              <w:t>MULTI_DAY (20d)</w:t>
            </w:r>
          </w:p>
        </w:tc>
        <w:tc>
          <w:tcPr>
            <w:tcW w:type="dxa" w:w="1680"/>
          </w:tcPr>
          <w:p>
            <w:r>
              <w:rPr>
                <w:rFonts w:ascii="Calibri" w:hAnsi="Calibri"/>
                <w:color w:val="333333"/>
                <w:sz w:val="18"/>
              </w:rPr>
              <w:t>8-K_filing</w:t>
            </w:r>
          </w:p>
        </w:tc>
        <w:tc>
          <w:tcPr>
            <w:tcW w:type="dxa" w:w="1680"/>
          </w:tcPr>
          <w:p>
            <w:r>
              <w:rPr>
                <w:rFonts w:ascii="Calibri" w:hAnsi="Calibri"/>
                <w:color w:val="333333"/>
                <w:sz w:val="18"/>
              </w:rPr>
              <w:t>-1.6%</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2025-05-16</w:t>
            </w:r>
          </w:p>
        </w:tc>
        <w:tc>
          <w:tcPr>
            <w:tcW w:type="dxa" w:w="1680"/>
            <w:shd w:fill="F2F4F8" w:val="clear"/>
          </w:tcPr>
          <w:p>
            <w:r>
              <w:rPr>
                <w:rFonts w:ascii="Calibri" w:hAnsi="Calibri"/>
                <w:color w:val="333333"/>
                <w:sz w:val="18"/>
              </w:rPr>
              <w:t>-35.7%</w:t>
            </w:r>
          </w:p>
        </w:tc>
        <w:tc>
          <w:tcPr>
            <w:tcW w:type="dxa" w:w="1680"/>
            <w:shd w:fill="F2F4F8" w:val="clear"/>
          </w:tcPr>
          <w:p>
            <w:r>
              <w:rPr>
                <w:rFonts w:ascii="Calibri" w:hAnsi="Calibri"/>
                <w:color w:val="333333"/>
                <w:sz w:val="18"/>
              </w:rPr>
              <w:t>MULTI_DAY (20d)</w:t>
            </w:r>
          </w:p>
        </w:tc>
        <w:tc>
          <w:tcPr>
            <w:tcW w:type="dxa" w:w="1680"/>
            <w:shd w:fill="F2F4F8" w:val="clear"/>
          </w:tcPr>
          <w:p>
            <w:r>
              <w:rPr>
                <w:rFonts w:ascii="Calibri" w:hAnsi="Calibri"/>
                <w:color w:val="333333"/>
                <w:sz w:val="18"/>
              </w:rPr>
              <w:t>8-K_filing</w:t>
            </w:r>
          </w:p>
        </w:tc>
        <w:tc>
          <w:tcPr>
            <w:tcW w:type="dxa" w:w="1680"/>
            <w:shd w:fill="F2F4F8" w:val="clear"/>
          </w:tcPr>
          <w:p>
            <w:r>
              <w:rPr>
                <w:rFonts w:ascii="Calibri" w:hAnsi="Calibri"/>
                <w:color w:val="333333"/>
                <w:sz w:val="18"/>
              </w:rPr>
              <w:t>-1.8%</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2025-05-08</w:t>
            </w:r>
          </w:p>
        </w:tc>
        <w:tc>
          <w:tcPr>
            <w:tcW w:type="dxa" w:w="1680"/>
          </w:tcPr>
          <w:p>
            <w:r>
              <w:rPr>
                <w:rFonts w:ascii="Calibri" w:hAnsi="Calibri"/>
                <w:color w:val="333333"/>
                <w:sz w:val="18"/>
              </w:rPr>
              <w:t>-33.4%</w:t>
            </w:r>
          </w:p>
        </w:tc>
        <w:tc>
          <w:tcPr>
            <w:tcW w:type="dxa" w:w="1680"/>
          </w:tcPr>
          <w:p>
            <w:r>
              <w:rPr>
                <w:rFonts w:ascii="Calibri" w:hAnsi="Calibri"/>
                <w:color w:val="333333"/>
                <w:sz w:val="18"/>
              </w:rPr>
              <w:t>MULTI_DAY (20d)</w:t>
            </w:r>
          </w:p>
        </w:tc>
        <w:tc>
          <w:tcPr>
            <w:tcW w:type="dxa" w:w="1680"/>
          </w:tcPr>
          <w:p>
            <w:r>
              <w:rPr>
                <w:rFonts w:ascii="Calibri" w:hAnsi="Calibri"/>
                <w:color w:val="333333"/>
                <w:sz w:val="18"/>
              </w:rPr>
              <w:t>Unknown</w:t>
            </w:r>
          </w:p>
        </w:tc>
        <w:tc>
          <w:tcPr>
            <w:tcW w:type="dxa" w:w="1680"/>
          </w:tcPr>
          <w:p>
            <w:r>
              <w:rPr>
                <w:rFonts w:ascii="Calibri" w:hAnsi="Calibri"/>
                <w:color w:val="333333"/>
                <w:sz w:val="18"/>
              </w:rPr>
              <w:t>-3.3%</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2025-05-22</w:t>
            </w:r>
          </w:p>
        </w:tc>
        <w:tc>
          <w:tcPr>
            <w:tcW w:type="dxa" w:w="1680"/>
            <w:shd w:fill="F2F4F8" w:val="clear"/>
          </w:tcPr>
          <w:p>
            <w:r>
              <w:rPr>
                <w:rFonts w:ascii="Calibri" w:hAnsi="Calibri"/>
                <w:color w:val="333333"/>
                <w:sz w:val="18"/>
              </w:rPr>
              <w:t>-30.1%</w:t>
            </w:r>
          </w:p>
        </w:tc>
        <w:tc>
          <w:tcPr>
            <w:tcW w:type="dxa" w:w="1680"/>
            <w:shd w:fill="F2F4F8" w:val="clear"/>
          </w:tcPr>
          <w:p>
            <w:r>
              <w:rPr>
                <w:rFonts w:ascii="Calibri" w:hAnsi="Calibri"/>
                <w:color w:val="333333"/>
                <w:sz w:val="18"/>
              </w:rPr>
              <w:t>MULTI_DAY (20d)</w:t>
            </w:r>
          </w:p>
        </w:tc>
        <w:tc>
          <w:tcPr>
            <w:tcW w:type="dxa" w:w="1680"/>
            <w:shd w:fill="F2F4F8" w:val="clear"/>
          </w:tcPr>
          <w:p>
            <w:r>
              <w:rPr>
                <w:rFonts w:ascii="Calibri" w:hAnsi="Calibri"/>
                <w:color w:val="333333"/>
                <w:sz w:val="18"/>
              </w:rPr>
              <w:t>8-K_filing</w:t>
            </w:r>
          </w:p>
        </w:tc>
        <w:tc>
          <w:tcPr>
            <w:tcW w:type="dxa" w:w="1680"/>
            <w:shd w:fill="F2F4F8" w:val="clear"/>
          </w:tcPr>
          <w:p>
            <w:r>
              <w:rPr>
                <w:rFonts w:ascii="Calibri" w:hAnsi="Calibri"/>
                <w:color w:val="333333"/>
                <w:sz w:val="18"/>
              </w:rPr>
              <w:t>-5.0%</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2025-05-27</w:t>
            </w:r>
          </w:p>
        </w:tc>
        <w:tc>
          <w:tcPr>
            <w:tcW w:type="dxa" w:w="1680"/>
          </w:tcPr>
          <w:p>
            <w:r>
              <w:rPr>
                <w:rFonts w:ascii="Calibri" w:hAnsi="Calibri"/>
                <w:color w:val="333333"/>
                <w:sz w:val="18"/>
              </w:rPr>
              <w:t>-29.8%</w:t>
            </w:r>
          </w:p>
        </w:tc>
        <w:tc>
          <w:tcPr>
            <w:tcW w:type="dxa" w:w="1680"/>
          </w:tcPr>
          <w:p>
            <w:r>
              <w:rPr>
                <w:rFonts w:ascii="Calibri" w:hAnsi="Calibri"/>
                <w:color w:val="333333"/>
                <w:sz w:val="18"/>
              </w:rPr>
              <w:t>MULTI_DAY (20d)</w:t>
            </w:r>
          </w:p>
        </w:tc>
        <w:tc>
          <w:tcPr>
            <w:tcW w:type="dxa" w:w="1680"/>
          </w:tcPr>
          <w:p>
            <w:r>
              <w:rPr>
                <w:rFonts w:ascii="Calibri" w:hAnsi="Calibri"/>
                <w:color w:val="333333"/>
                <w:sz w:val="18"/>
              </w:rPr>
              <w:t>Unknown</w:t>
            </w:r>
          </w:p>
        </w:tc>
        <w:tc>
          <w:tcPr>
            <w:tcW w:type="dxa" w:w="1680"/>
          </w:tcPr>
          <w:p>
            <w:r>
              <w:rPr>
                <w:rFonts w:ascii="Calibri" w:hAnsi="Calibri"/>
                <w:color w:val="333333"/>
                <w:sz w:val="18"/>
              </w:rPr>
              <w:t>-4.7%</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2025-05-23</w:t>
            </w:r>
          </w:p>
        </w:tc>
        <w:tc>
          <w:tcPr>
            <w:tcW w:type="dxa" w:w="1680"/>
            <w:shd w:fill="F2F4F8" w:val="clear"/>
          </w:tcPr>
          <w:p>
            <w:r>
              <w:rPr>
                <w:rFonts w:ascii="Calibri" w:hAnsi="Calibri"/>
                <w:color w:val="333333"/>
                <w:sz w:val="18"/>
              </w:rPr>
              <w:t>-29.4%</w:t>
            </w:r>
          </w:p>
        </w:tc>
        <w:tc>
          <w:tcPr>
            <w:tcW w:type="dxa" w:w="1680"/>
            <w:shd w:fill="F2F4F8" w:val="clear"/>
          </w:tcPr>
          <w:p>
            <w:r>
              <w:rPr>
                <w:rFonts w:ascii="Calibri" w:hAnsi="Calibri"/>
                <w:color w:val="333333"/>
                <w:sz w:val="18"/>
              </w:rPr>
              <w:t>MULTI_DAY (20d)</w:t>
            </w:r>
          </w:p>
        </w:tc>
        <w:tc>
          <w:tcPr>
            <w:tcW w:type="dxa" w:w="1680"/>
            <w:shd w:fill="F2F4F8" w:val="clear"/>
          </w:tcPr>
          <w:p>
            <w:r>
              <w:rPr>
                <w:rFonts w:ascii="Calibri" w:hAnsi="Calibri"/>
                <w:color w:val="333333"/>
                <w:sz w:val="18"/>
              </w:rPr>
              <w:t>8-K_filing</w:t>
            </w:r>
          </w:p>
        </w:tc>
        <w:tc>
          <w:tcPr>
            <w:tcW w:type="dxa" w:w="1680"/>
            <w:shd w:fill="F2F4F8" w:val="clear"/>
          </w:tcPr>
          <w:p>
            <w:r>
              <w:rPr>
                <w:rFonts w:ascii="Calibri" w:hAnsi="Calibri"/>
                <w:color w:val="333333"/>
                <w:sz w:val="18"/>
              </w:rPr>
              <w:t>-5.6%</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2025-05-07</w:t>
            </w:r>
          </w:p>
        </w:tc>
        <w:tc>
          <w:tcPr>
            <w:tcW w:type="dxa" w:w="1680"/>
          </w:tcPr>
          <w:p>
            <w:r>
              <w:rPr>
                <w:rFonts w:ascii="Calibri" w:hAnsi="Calibri"/>
                <w:color w:val="333333"/>
                <w:sz w:val="18"/>
              </w:rPr>
              <w:t>-29.3%</w:t>
            </w:r>
          </w:p>
        </w:tc>
        <w:tc>
          <w:tcPr>
            <w:tcW w:type="dxa" w:w="1680"/>
          </w:tcPr>
          <w:p>
            <w:r>
              <w:rPr>
                <w:rFonts w:ascii="Calibri" w:hAnsi="Calibri"/>
                <w:color w:val="333333"/>
                <w:sz w:val="18"/>
              </w:rPr>
              <w:t>MULTI_DAY (20d)</w:t>
            </w:r>
          </w:p>
        </w:tc>
        <w:tc>
          <w:tcPr>
            <w:tcW w:type="dxa" w:w="1680"/>
          </w:tcPr>
          <w:p>
            <w:r>
              <w:rPr>
                <w:rFonts w:ascii="Calibri" w:hAnsi="Calibri"/>
                <w:color w:val="333333"/>
                <w:sz w:val="18"/>
              </w:rPr>
              <w:t>Unknown</w:t>
            </w:r>
          </w:p>
        </w:tc>
        <w:tc>
          <w:tcPr>
            <w:tcW w:type="dxa" w:w="1680"/>
          </w:tcPr>
          <w:p>
            <w:r>
              <w:rPr>
                <w:rFonts w:ascii="Calibri" w:hAnsi="Calibri"/>
                <w:color w:val="333333"/>
                <w:sz w:val="18"/>
              </w:rPr>
              <w:t>+1.8%</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2025-04-17 to 2025-04-24</w:t>
            </w:r>
          </w:p>
        </w:tc>
        <w:tc>
          <w:tcPr>
            <w:tcW w:type="dxa" w:w="1680"/>
            <w:shd w:fill="F2F4F8" w:val="clear"/>
          </w:tcPr>
          <w:p>
            <w:r>
              <w:rPr>
                <w:rFonts w:ascii="Calibri" w:hAnsi="Calibri"/>
                <w:color w:val="333333"/>
                <w:sz w:val="18"/>
              </w:rPr>
              <w:t>-29.2%</w:t>
            </w:r>
          </w:p>
        </w:tc>
        <w:tc>
          <w:tcPr>
            <w:tcW w:type="dxa" w:w="1680"/>
            <w:shd w:fill="F2F4F8" w:val="clear"/>
          </w:tcPr>
          <w:p>
            <w:r>
              <w:rPr>
                <w:rFonts w:ascii="Calibri" w:hAnsi="Calibri"/>
                <w:color w:val="333333"/>
                <w:sz w:val="18"/>
              </w:rPr>
              <w:t>MULTI_DAY (8d)</w:t>
            </w:r>
          </w:p>
        </w:tc>
        <w:tc>
          <w:tcPr>
            <w:tcW w:type="dxa" w:w="1680"/>
            <w:shd w:fill="F2F4F8" w:val="clear"/>
          </w:tcPr>
          <w:p>
            <w:r>
              <w:rPr>
                <w:rFonts w:ascii="Calibri" w:hAnsi="Calibri"/>
                <w:color w:val="333333"/>
                <w:sz w:val="18"/>
              </w:rPr>
              <w:t>earnings_release</w:t>
            </w:r>
          </w:p>
        </w:tc>
        <w:tc>
          <w:tcPr>
            <w:tcW w:type="dxa" w:w="1680"/>
            <w:shd w:fill="F2F4F8" w:val="clear"/>
          </w:tcPr>
          <w:p>
            <w:r>
              <w:rPr>
                <w:rFonts w:ascii="Calibri" w:hAnsi="Calibri"/>
                <w:color w:val="333333"/>
                <w:sz w:val="18"/>
              </w:rPr>
              <w:t>-3.1%</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2025-05-21</w:t>
            </w:r>
          </w:p>
        </w:tc>
        <w:tc>
          <w:tcPr>
            <w:tcW w:type="dxa" w:w="1680"/>
          </w:tcPr>
          <w:p>
            <w:r>
              <w:rPr>
                <w:rFonts w:ascii="Calibri" w:hAnsi="Calibri"/>
                <w:color w:val="333333"/>
                <w:sz w:val="18"/>
              </w:rPr>
              <w:t>-29.2%</w:t>
            </w:r>
          </w:p>
        </w:tc>
        <w:tc>
          <w:tcPr>
            <w:tcW w:type="dxa" w:w="1680"/>
          </w:tcPr>
          <w:p>
            <w:r>
              <w:rPr>
                <w:rFonts w:ascii="Calibri" w:hAnsi="Calibri"/>
                <w:color w:val="333333"/>
                <w:sz w:val="18"/>
              </w:rPr>
              <w:t>MULTI_DAY (20d)</w:t>
            </w:r>
          </w:p>
        </w:tc>
        <w:tc>
          <w:tcPr>
            <w:tcW w:type="dxa" w:w="1680"/>
          </w:tcPr>
          <w:p>
            <w:r>
              <w:rPr>
                <w:rFonts w:ascii="Calibri" w:hAnsi="Calibri"/>
                <w:color w:val="333333"/>
                <w:sz w:val="18"/>
              </w:rPr>
              <w:t>8-K_filing</w:t>
            </w:r>
          </w:p>
        </w:tc>
        <w:tc>
          <w:tcPr>
            <w:tcW w:type="dxa" w:w="1680"/>
          </w:tcPr>
          <w:p>
            <w:r>
              <w:rPr>
                <w:rFonts w:ascii="Calibri" w:hAnsi="Calibri"/>
                <w:color w:val="333333"/>
                <w:sz w:val="18"/>
              </w:rPr>
              <w:t>-3.1%</w:t>
            </w:r>
          </w:p>
        </w:tc>
        <w:tc>
          <w:tcPr>
            <w:tcW w:type="dxa" w:w="1680"/>
            <w:shd w:fill="FFF3CD" w:val="clear"/>
          </w:tcPr>
          <w:p>
            <w:r>
              <w:rPr>
                <w:rFonts w:ascii="Calibri" w:hAnsi="Calibri"/>
                <w:color w:val="333333"/>
                <w:sz w:val="18"/>
              </w:rPr>
              <w:t>Yes</w:t>
            </w:r>
          </w:p>
        </w:tc>
      </w:tr>
      <w:tr>
        <w:tc>
          <w:tcPr>
            <w:tcW w:type="dxa" w:w="1680"/>
            <w:shd w:fill="F2F4F8" w:val="clear"/>
          </w:tcPr>
          <w:p>
            <w:r>
              <w:rPr>
                <w:rFonts w:ascii="Calibri" w:hAnsi="Calibri"/>
                <w:color w:val="333333"/>
                <w:sz w:val="18"/>
              </w:rPr>
              <w:t>2025-05-29</w:t>
            </w:r>
          </w:p>
        </w:tc>
        <w:tc>
          <w:tcPr>
            <w:tcW w:type="dxa" w:w="1680"/>
            <w:shd w:fill="F2F4F8" w:val="clear"/>
          </w:tcPr>
          <w:p>
            <w:r>
              <w:rPr>
                <w:rFonts w:ascii="Calibri" w:hAnsi="Calibri"/>
                <w:color w:val="333333"/>
                <w:sz w:val="18"/>
              </w:rPr>
              <w:t>-27.5%</w:t>
            </w:r>
          </w:p>
        </w:tc>
        <w:tc>
          <w:tcPr>
            <w:tcW w:type="dxa" w:w="1680"/>
            <w:shd w:fill="F2F4F8" w:val="clear"/>
          </w:tcPr>
          <w:p>
            <w:r>
              <w:rPr>
                <w:rFonts w:ascii="Calibri" w:hAnsi="Calibri"/>
                <w:color w:val="333333"/>
                <w:sz w:val="18"/>
              </w:rPr>
              <w:t>MULTI_DAY (20d)</w:t>
            </w:r>
          </w:p>
        </w:tc>
        <w:tc>
          <w:tcPr>
            <w:tcW w:type="dxa" w:w="1680"/>
            <w:shd w:fill="F2F4F8" w:val="clear"/>
          </w:tcPr>
          <w:p>
            <w:r>
              <w:rPr>
                <w:rFonts w:ascii="Calibri" w:hAnsi="Calibri"/>
                <w:color w:val="333333"/>
                <w:sz w:val="18"/>
              </w:rPr>
              <w:t>Unknown</w:t>
            </w:r>
          </w:p>
        </w:tc>
        <w:tc>
          <w:tcPr>
            <w:tcW w:type="dxa" w:w="1680"/>
            <w:shd w:fill="F2F4F8" w:val="clear"/>
          </w:tcPr>
          <w:p>
            <w:r>
              <w:rPr>
                <w:rFonts w:ascii="Calibri" w:hAnsi="Calibri"/>
                <w:color w:val="333333"/>
                <w:sz w:val="18"/>
              </w:rPr>
              <w:t>-5.8%</w:t>
            </w:r>
          </w:p>
        </w:tc>
        <w:tc>
          <w:tcPr>
            <w:tcW w:type="dxa" w:w="1680"/>
            <w:shd w:fill="F2F4F8" w:val="clear"/>
            <w:shd w:fill="FFF3CD" w:val="clear"/>
          </w:tcPr>
          <w:p>
            <w:r>
              <w:rPr>
                <w:rFonts w:ascii="Calibri" w:hAnsi="Calibri"/>
                <w:color w:val="333333"/>
                <w:sz w:val="18"/>
              </w:rPr>
              <w:t>Yes</w:t>
            </w:r>
          </w:p>
        </w:tc>
      </w:tr>
      <w:tr>
        <w:tc>
          <w:tcPr>
            <w:tcW w:type="dxa" w:w="1680"/>
          </w:tcPr>
          <w:p>
            <w:r>
              <w:rPr>
                <w:rFonts w:ascii="Calibri" w:hAnsi="Calibri"/>
                <w:color w:val="333333"/>
                <w:sz w:val="18"/>
              </w:rPr>
              <w:t>2025-04-24</w:t>
            </w:r>
          </w:p>
        </w:tc>
        <w:tc>
          <w:tcPr>
            <w:tcW w:type="dxa" w:w="1680"/>
          </w:tcPr>
          <w:p>
            <w:r>
              <w:rPr>
                <w:rFonts w:ascii="Calibri" w:hAnsi="Calibri"/>
                <w:color w:val="333333"/>
                <w:sz w:val="18"/>
              </w:rPr>
              <w:t>-27.5%</w:t>
            </w:r>
          </w:p>
        </w:tc>
        <w:tc>
          <w:tcPr>
            <w:tcW w:type="dxa" w:w="1680"/>
          </w:tcPr>
          <w:p>
            <w:r>
              <w:rPr>
                <w:rFonts w:ascii="Calibri" w:hAnsi="Calibri"/>
                <w:color w:val="333333"/>
                <w:sz w:val="18"/>
              </w:rPr>
              <w:t>MULTI_DAY (5d)</w:t>
            </w:r>
          </w:p>
        </w:tc>
        <w:tc>
          <w:tcPr>
            <w:tcW w:type="dxa" w:w="1680"/>
          </w:tcPr>
          <w:p>
            <w:r>
              <w:rPr>
                <w:rFonts w:ascii="Calibri" w:hAnsi="Calibri"/>
                <w:color w:val="333333"/>
                <w:sz w:val="18"/>
              </w:rPr>
              <w:t>8-K_filing</w:t>
            </w:r>
          </w:p>
        </w:tc>
        <w:tc>
          <w:tcPr>
            <w:tcW w:type="dxa" w:w="1680"/>
          </w:tcPr>
          <w:p>
            <w:r>
              <w:rPr>
                <w:rFonts w:ascii="Calibri" w:hAnsi="Calibri"/>
                <w:color w:val="333333"/>
                <w:sz w:val="18"/>
              </w:rPr>
              <w:t>+0.8%</w:t>
            </w:r>
          </w:p>
        </w:tc>
        <w:tc>
          <w:tcPr>
            <w:tcW w:type="dxa" w:w="1680"/>
            <w:shd w:fill="FFF3CD" w:val="clear"/>
          </w:tcPr>
          <w:p>
            <w:r>
              <w:rPr>
                <w:rFonts w:ascii="Calibri" w:hAnsi="Calibri"/>
                <w:color w:val="333333"/>
                <w:sz w:val="18"/>
              </w:rPr>
              <w:t>Yes</w:t>
            </w:r>
          </w:p>
        </w:tc>
      </w:tr>
    </w:tbl>
    <w:p>
      <w:pPr>
        <w:pStyle w:val="DOBody"/>
      </w:pPr>
      <w:r>
        <w:t>Class Period Potential: 32 company-specific drop(s) exceeding 10% identified. Severe stock drops that are company-specific (not explained by sector movement) are the primary anchors for SCA class periods. Plaintiffs will allege the drop occurred when the 'truth emerged' following prior misstatements.</w:t>
      </w:r>
      <w:r>
        <w:rPr>
          <w:b/>
          <w:color w:val="EA580C"/>
          <w:sz w:val="18"/>
        </w:rPr>
        <w:t xml:space="preserve"> [HIGH]</w:t>
      </w:r>
    </w:p>
    <w:p>
      <w:pPr>
        <w:pStyle w:val="DOHeading2"/>
      </w:pPr>
      <w:r>
        <w:t>Insider Trading Analysis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Net Direction (12mo)</w:t>
            </w:r>
          </w:p>
        </w:tc>
        <w:tc>
          <w:tcPr>
            <w:tcW w:type="dxa" w:w="5040"/>
          </w:tcPr>
          <w:p>
            <w:r>
              <w:rPr>
                <w:rFonts w:ascii="Calibri" w:hAnsi="Calibri"/>
                <w:color w:val="333333"/>
                <w:sz w:val="18"/>
              </w:rPr>
              <w:t>NEUTRAL</w:t>
            </w:r>
          </w:p>
        </w:tc>
      </w:tr>
      <w:tr>
        <w:tc>
          <w:tcPr>
            <w:tcW w:type="dxa" w:w="5040"/>
            <w:shd w:fill="F2F4F8" w:val="clear"/>
          </w:tcPr>
          <w:p>
            <w:r>
              <w:rPr>
                <w:rFonts w:ascii="Calibri" w:hAnsi="Calibri"/>
                <w:color w:val="333333"/>
                <w:sz w:val="18"/>
              </w:rPr>
              <w:t>10b5-1 Plan %</w:t>
            </w:r>
          </w:p>
        </w:tc>
        <w:tc>
          <w:tcPr>
            <w:tcW w:type="dxa" w:w="5040"/>
            <w:shd w:fill="F2F4F8" w:val="clear"/>
          </w:tcPr>
          <w:p>
            <w:r>
              <w:rPr>
                <w:rFonts w:ascii="Calibri" w:hAnsi="Calibri"/>
                <w:color w:val="333333"/>
                <w:sz w:val="18"/>
              </w:rPr>
              <w:t>0.0%</w:t>
            </w:r>
          </w:p>
        </w:tc>
      </w:tr>
      <w:tr>
        <w:tc>
          <w:tcPr>
            <w:tcW w:type="dxa" w:w="5040"/>
          </w:tcPr>
          <w:p>
            <w:r>
              <w:rPr>
                <w:rFonts w:ascii="Calibri" w:hAnsi="Calibri"/>
                <w:color w:val="333333"/>
                <w:sz w:val="18"/>
              </w:rPr>
              <w:t>Buy Transactions</w:t>
            </w:r>
          </w:p>
        </w:tc>
        <w:tc>
          <w:tcPr>
            <w:tcW w:type="dxa" w:w="5040"/>
          </w:tcPr>
          <w:p>
            <w:r>
              <w:rPr>
                <w:rFonts w:ascii="Calibri" w:hAnsi="Calibri"/>
                <w:color w:val="333333"/>
                <w:sz w:val="18"/>
              </w:rPr>
              <w:t>0</w:t>
            </w:r>
          </w:p>
        </w:tc>
      </w:tr>
      <w:tr>
        <w:tc>
          <w:tcPr>
            <w:tcW w:type="dxa" w:w="5040"/>
            <w:shd w:fill="F2F4F8" w:val="clear"/>
          </w:tcPr>
          <w:p>
            <w:r>
              <w:rPr>
                <w:rFonts w:ascii="Calibri" w:hAnsi="Calibri"/>
                <w:color w:val="333333"/>
                <w:sz w:val="18"/>
              </w:rPr>
              <w:t>Sell Transactions</w:t>
            </w:r>
          </w:p>
        </w:tc>
        <w:tc>
          <w:tcPr>
            <w:tcW w:type="dxa" w:w="5040"/>
            <w:shd w:fill="F2F4F8" w:val="clear"/>
          </w:tcPr>
          <w:p>
            <w:r>
              <w:rPr>
                <w:rFonts w:ascii="Calibri" w:hAnsi="Calibri"/>
                <w:color w:val="333333"/>
                <w:sz w:val="18"/>
              </w:rPr>
              <w:t>0</w:t>
            </w:r>
          </w:p>
        </w:tc>
      </w:tr>
      <w:tr>
        <w:tc>
          <w:tcPr>
            <w:tcW w:type="dxa" w:w="5040"/>
          </w:tcPr>
          <w:p>
            <w:r>
              <w:rPr>
                <w:rFonts w:ascii="Calibri" w:hAnsi="Calibri"/>
                <w:color w:val="333333"/>
                <w:sz w:val="18"/>
              </w:rPr>
              <w:t>Cluster Events</w:t>
            </w:r>
          </w:p>
        </w:tc>
        <w:tc>
          <w:tcPr>
            <w:tcW w:type="dxa" w:w="5040"/>
          </w:tcPr>
          <w:p>
            <w:r>
              <w:rPr>
                <w:rFonts w:ascii="Calibri" w:hAnsi="Calibri"/>
                <w:color w:val="333333"/>
                <w:sz w:val="18"/>
              </w:rPr>
              <w:t>0</w:t>
            </w:r>
          </w:p>
        </w:tc>
      </w:tr>
    </w:tbl>
    <w:p>
      <w:pPr>
        <w:pStyle w:val="DOHeading3"/>
      </w:pPr>
      <w:r>
        <w:t>Transaction Detail</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shd w:fill="1A1446" w:val="clear"/>
          </w:tcPr>
          <w:p>
            <w:r>
              <w:rPr>
                <w:rFonts w:ascii="Calibri" w:hAnsi="Calibri"/>
                <w:b/>
                <w:color w:val="FFFFFF"/>
                <w:sz w:val="18"/>
              </w:rPr>
              <w:t>Date</w:t>
            </w:r>
          </w:p>
        </w:tc>
        <w:tc>
          <w:tcPr>
            <w:tcW w:type="dxa" w:w="1440"/>
            <w:shd w:fill="1A1446" w:val="clear"/>
          </w:tcPr>
          <w:p>
            <w:r>
              <w:rPr>
                <w:rFonts w:ascii="Calibri" w:hAnsi="Calibri"/>
                <w:b/>
                <w:color w:val="FFFFFF"/>
                <w:sz w:val="18"/>
              </w:rPr>
              <w:t>Insider</w:t>
            </w:r>
          </w:p>
        </w:tc>
        <w:tc>
          <w:tcPr>
            <w:tcW w:type="dxa" w:w="1440"/>
            <w:shd w:fill="1A1446" w:val="clear"/>
          </w:tcPr>
          <w:p>
            <w:r>
              <w:rPr>
                <w:rFonts w:ascii="Calibri" w:hAnsi="Calibri"/>
                <w:b/>
                <w:color w:val="FFFFFF"/>
                <w:sz w:val="18"/>
              </w:rPr>
              <w:t>Title</w:t>
            </w:r>
          </w:p>
        </w:tc>
        <w:tc>
          <w:tcPr>
            <w:tcW w:type="dxa" w:w="1440"/>
            <w:shd w:fill="1A1446" w:val="clear"/>
          </w:tcPr>
          <w:p>
            <w:r>
              <w:rPr>
                <w:rFonts w:ascii="Calibri" w:hAnsi="Calibri"/>
                <w:b/>
                <w:color w:val="FFFFFF"/>
                <w:sz w:val="18"/>
              </w:rPr>
              <w:t>Type</w:t>
            </w:r>
          </w:p>
        </w:tc>
        <w:tc>
          <w:tcPr>
            <w:tcW w:type="dxa" w:w="1440"/>
            <w:shd w:fill="1A1446" w:val="clear"/>
          </w:tcPr>
          <w:p>
            <w:r>
              <w:rPr>
                <w:rFonts w:ascii="Calibri" w:hAnsi="Calibri"/>
                <w:b/>
                <w:color w:val="FFFFFF"/>
                <w:sz w:val="18"/>
              </w:rPr>
              <w:t>Shares</w:t>
            </w:r>
          </w:p>
        </w:tc>
        <w:tc>
          <w:tcPr>
            <w:tcW w:type="dxa" w:w="1440"/>
            <w:shd w:fill="1A1446" w:val="clear"/>
          </w:tcPr>
          <w:p>
            <w:r>
              <w:rPr>
                <w:rFonts w:ascii="Calibri" w:hAnsi="Calibri"/>
                <w:b/>
                <w:color w:val="FFFFFF"/>
                <w:sz w:val="18"/>
              </w:rPr>
              <w:t>Value</w:t>
            </w:r>
          </w:p>
        </w:tc>
        <w:tc>
          <w:tcPr>
            <w:tcW w:type="dxa" w:w="1440"/>
            <w:shd w:fill="1A1446" w:val="clear"/>
          </w:tcPr>
          <w:p>
            <w:r>
              <w:rPr>
                <w:rFonts w:ascii="Calibri" w:hAnsi="Calibri"/>
                <w:b/>
                <w:color w:val="FFFFFF"/>
                <w:sz w:val="18"/>
              </w:rPr>
              <w:t>10b5-1</w:t>
            </w:r>
          </w:p>
        </w:tc>
      </w:tr>
      <w:tr>
        <w:tc>
          <w:tcPr>
            <w:tcW w:type="dxa" w:w="1440"/>
          </w:tcPr>
          <w:p>
            <w:r>
              <w:rPr>
                <w:rFonts w:ascii="Calibri" w:hAnsi="Calibri"/>
                <w:color w:val="333333"/>
                <w:sz w:val="18"/>
              </w:rPr>
              <w:t>2026-03-17</w:t>
            </w:r>
          </w:p>
        </w:tc>
        <w:tc>
          <w:tcPr>
            <w:tcW w:type="dxa" w:w="1440"/>
          </w:tcPr>
          <w:p>
            <w:r>
              <w:rPr>
                <w:rFonts w:ascii="Calibri" w:hAnsi="Calibri"/>
                <w:color w:val="333333"/>
                <w:sz w:val="18"/>
              </w:rPr>
              <w:t>MONTGOMERY RICE VALERIE MD</w:t>
            </w:r>
          </w:p>
        </w:tc>
        <w:tc>
          <w:tcPr>
            <w:tcW w:type="dxa" w:w="1440"/>
          </w:tcPr>
          <w:p>
            <w:r>
              <w:rPr>
                <w:rFonts w:ascii="Calibri" w:hAnsi="Calibri"/>
                <w:color w:val="333333"/>
                <w:sz w:val="18"/>
              </w:rPr>
              <w:t>Director</w:t>
            </w:r>
          </w:p>
        </w:tc>
        <w:tc>
          <w:tcPr>
            <w:tcW w:type="dxa" w:w="1440"/>
          </w:tcPr>
          <w:p>
            <w:r>
              <w:rPr>
                <w:rFonts w:ascii="Calibri" w:hAnsi="Calibri"/>
                <w:color w:val="333333"/>
                <w:sz w:val="18"/>
              </w:rPr>
              <w:t>GRANT</w:t>
            </w:r>
          </w:p>
        </w:tc>
        <w:tc>
          <w:tcPr>
            <w:tcW w:type="dxa" w:w="1440"/>
          </w:tcPr>
          <w:p>
            <w:r>
              <w:rPr>
                <w:rFonts w:ascii="Calibri" w:hAnsi="Calibri"/>
                <w:color w:val="333333"/>
                <w:sz w:val="18"/>
              </w:rPr>
              <w:t>53</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2026-03-17</w:t>
            </w:r>
          </w:p>
        </w:tc>
        <w:tc>
          <w:tcPr>
            <w:tcW w:type="dxa" w:w="1440"/>
            <w:shd w:fill="F2F4F8" w:val="clear"/>
          </w:tcPr>
          <w:p>
            <w:r>
              <w:rPr>
                <w:rFonts w:ascii="Calibri" w:hAnsi="Calibri"/>
                <w:color w:val="333333"/>
                <w:sz w:val="18"/>
              </w:rPr>
              <w:t>DeVeydt Wayne S</w:t>
            </w:r>
          </w:p>
        </w:tc>
        <w:tc>
          <w:tcPr>
            <w:tcW w:type="dxa" w:w="1440"/>
            <w:shd w:fill="F2F4F8" w:val="clear"/>
          </w:tcPr>
          <w:p>
            <w:r>
              <w:rPr>
                <w:rFonts w:ascii="Calibri" w:hAnsi="Calibri"/>
                <w:color w:val="333333"/>
                <w:sz w:val="18"/>
              </w:rPr>
              <w:t>Chief Financial Officer</w:t>
            </w:r>
          </w:p>
        </w:tc>
        <w:tc>
          <w:tcPr>
            <w:tcW w:type="dxa" w:w="1440"/>
            <w:shd w:fill="F2F4F8" w:val="clear"/>
          </w:tcPr>
          <w:p>
            <w:r>
              <w:rPr>
                <w:rFonts w:ascii="Calibri" w:hAnsi="Calibri"/>
                <w:color w:val="333333"/>
                <w:sz w:val="18"/>
              </w:rPr>
              <w:t>GRANT</w:t>
            </w:r>
          </w:p>
        </w:tc>
        <w:tc>
          <w:tcPr>
            <w:tcW w:type="dxa" w:w="1440"/>
            <w:shd w:fill="F2F4F8" w:val="clear"/>
          </w:tcPr>
          <w:p>
            <w:r>
              <w:rPr>
                <w:rFonts w:ascii="Calibri" w:hAnsi="Calibri"/>
                <w:color w:val="333333"/>
                <w:sz w:val="18"/>
              </w:rPr>
              <w:t>150</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2026-03-17</w:t>
            </w:r>
          </w:p>
        </w:tc>
        <w:tc>
          <w:tcPr>
            <w:tcW w:type="dxa" w:w="1440"/>
          </w:tcPr>
          <w:p>
            <w:r>
              <w:rPr>
                <w:rFonts w:ascii="Calibri" w:hAnsi="Calibri"/>
                <w:color w:val="333333"/>
                <w:sz w:val="18"/>
              </w:rPr>
              <w:t>Stankiewicz Dennis Andrew</w:t>
            </w:r>
          </w:p>
        </w:tc>
        <w:tc>
          <w:tcPr>
            <w:tcW w:type="dxa" w:w="1440"/>
          </w:tcPr>
          <w:p>
            <w:r>
              <w:rPr>
                <w:rFonts w:ascii="Calibri" w:hAnsi="Calibri"/>
                <w:color w:val="333333"/>
                <w:sz w:val="18"/>
              </w:rPr>
              <w:t>Chief Accounting Officer</w:t>
            </w:r>
          </w:p>
        </w:tc>
        <w:tc>
          <w:tcPr>
            <w:tcW w:type="dxa" w:w="1440"/>
          </w:tcPr>
          <w:p>
            <w:r>
              <w:rPr>
                <w:rFonts w:ascii="Calibri" w:hAnsi="Calibri"/>
                <w:color w:val="333333"/>
                <w:sz w:val="18"/>
              </w:rPr>
              <w:t>GRANT</w:t>
            </w:r>
          </w:p>
        </w:tc>
        <w:tc>
          <w:tcPr>
            <w:tcW w:type="dxa" w:w="1440"/>
          </w:tcPr>
          <w:p>
            <w:r>
              <w:rPr>
                <w:rFonts w:ascii="Calibri" w:hAnsi="Calibri"/>
                <w:color w:val="333333"/>
                <w:sz w:val="18"/>
              </w:rPr>
              <w:t>68</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2026-03-17</w:t>
            </w:r>
          </w:p>
        </w:tc>
        <w:tc>
          <w:tcPr>
            <w:tcW w:type="dxa" w:w="1440"/>
            <w:shd w:fill="F2F4F8" w:val="clear"/>
          </w:tcPr>
          <w:p>
            <w:r>
              <w:rPr>
                <w:rFonts w:ascii="Calibri" w:hAnsi="Calibri"/>
                <w:color w:val="333333"/>
                <w:sz w:val="18"/>
              </w:rPr>
              <w:t>GARCIA PAUL R</w:t>
            </w:r>
          </w:p>
        </w:tc>
        <w:tc>
          <w:tcPr>
            <w:tcW w:type="dxa" w:w="1440"/>
            <w:shd w:fill="F2F4F8" w:val="clear"/>
          </w:tcPr>
          <w:p>
            <w:r>
              <w:rPr>
                <w:rFonts w:ascii="Calibri" w:hAnsi="Calibri"/>
                <w:color w:val="333333"/>
                <w:sz w:val="18"/>
              </w:rPr>
              <w:t>Director</w:t>
            </w:r>
          </w:p>
        </w:tc>
        <w:tc>
          <w:tcPr>
            <w:tcW w:type="dxa" w:w="1440"/>
            <w:shd w:fill="F2F4F8" w:val="clear"/>
          </w:tcPr>
          <w:p>
            <w:r>
              <w:rPr>
                <w:rFonts w:ascii="Calibri" w:hAnsi="Calibri"/>
                <w:color w:val="333333"/>
                <w:sz w:val="18"/>
              </w:rPr>
              <w:t>GRANT</w:t>
            </w:r>
          </w:p>
        </w:tc>
        <w:tc>
          <w:tcPr>
            <w:tcW w:type="dxa" w:w="1440"/>
            <w:shd w:fill="F2F4F8" w:val="clear"/>
          </w:tcPr>
          <w:p>
            <w:r>
              <w:rPr>
                <w:rFonts w:ascii="Calibri" w:hAnsi="Calibri"/>
                <w:color w:val="333333"/>
                <w:sz w:val="18"/>
              </w:rPr>
              <w:t>16</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2026-03-17</w:t>
            </w:r>
          </w:p>
        </w:tc>
        <w:tc>
          <w:tcPr>
            <w:tcW w:type="dxa" w:w="1440"/>
          </w:tcPr>
          <w:p>
            <w:r>
              <w:rPr>
                <w:rFonts w:ascii="Calibri" w:hAnsi="Calibri"/>
                <w:color w:val="333333"/>
                <w:sz w:val="18"/>
              </w:rPr>
              <w:t>Noseworthy John H</w:t>
            </w:r>
          </w:p>
        </w:tc>
        <w:tc>
          <w:tcPr>
            <w:tcW w:type="dxa" w:w="1440"/>
          </w:tcPr>
          <w:p>
            <w:r>
              <w:rPr>
                <w:rFonts w:ascii="Calibri" w:hAnsi="Calibri"/>
                <w:color w:val="333333"/>
                <w:sz w:val="18"/>
              </w:rPr>
              <w:t>Director</w:t>
            </w:r>
          </w:p>
        </w:tc>
        <w:tc>
          <w:tcPr>
            <w:tcW w:type="dxa" w:w="1440"/>
          </w:tcPr>
          <w:p>
            <w:r>
              <w:rPr>
                <w:rFonts w:ascii="Calibri" w:hAnsi="Calibri"/>
                <w:color w:val="333333"/>
                <w:sz w:val="18"/>
              </w:rPr>
              <w:t>GRANT</w:t>
            </w:r>
          </w:p>
        </w:tc>
        <w:tc>
          <w:tcPr>
            <w:tcW w:type="dxa" w:w="1440"/>
          </w:tcPr>
          <w:p>
            <w:r>
              <w:rPr>
                <w:rFonts w:ascii="Calibri" w:hAnsi="Calibri"/>
                <w:color w:val="333333"/>
                <w:sz w:val="18"/>
              </w:rPr>
              <w:t>52</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2026-03-17</w:t>
            </w:r>
          </w:p>
        </w:tc>
        <w:tc>
          <w:tcPr>
            <w:tcW w:type="dxa" w:w="1440"/>
            <w:shd w:fill="F2F4F8" w:val="clear"/>
          </w:tcPr>
          <w:p>
            <w:r>
              <w:rPr>
                <w:rFonts w:ascii="Calibri" w:hAnsi="Calibri"/>
                <w:color w:val="333333"/>
                <w:sz w:val="18"/>
              </w:rPr>
              <w:t>Zaetta Christopher R</w:t>
            </w:r>
          </w:p>
        </w:tc>
        <w:tc>
          <w:tcPr>
            <w:tcW w:type="dxa" w:w="1440"/>
            <w:shd w:fill="F2F4F8" w:val="clear"/>
          </w:tcPr>
          <w:p>
            <w:r>
              <w:rPr>
                <w:rFonts w:ascii="Calibri" w:hAnsi="Calibri"/>
                <w:color w:val="333333"/>
                <w:sz w:val="18"/>
              </w:rPr>
              <w:t>EVP &amp; Chief Legal Officer</w:t>
            </w:r>
          </w:p>
        </w:tc>
        <w:tc>
          <w:tcPr>
            <w:tcW w:type="dxa" w:w="1440"/>
            <w:shd w:fill="F2F4F8" w:val="clear"/>
          </w:tcPr>
          <w:p>
            <w:r>
              <w:rPr>
                <w:rFonts w:ascii="Calibri" w:hAnsi="Calibri"/>
                <w:color w:val="333333"/>
                <w:sz w:val="18"/>
              </w:rPr>
              <w:t>GRANT</w:t>
            </w:r>
          </w:p>
        </w:tc>
        <w:tc>
          <w:tcPr>
            <w:tcW w:type="dxa" w:w="1440"/>
            <w:shd w:fill="F2F4F8" w:val="clear"/>
          </w:tcPr>
          <w:p>
            <w:r>
              <w:rPr>
                <w:rFonts w:ascii="Calibri" w:hAnsi="Calibri"/>
                <w:color w:val="333333"/>
                <w:sz w:val="18"/>
              </w:rPr>
              <w:t>90</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2026-03-17</w:t>
            </w:r>
          </w:p>
        </w:tc>
        <w:tc>
          <w:tcPr>
            <w:tcW w:type="dxa" w:w="1440"/>
          </w:tcPr>
          <w:p>
            <w:r>
              <w:rPr>
                <w:rFonts w:ascii="Calibri" w:hAnsi="Calibri"/>
                <w:color w:val="333333"/>
                <w:sz w:val="18"/>
              </w:rPr>
              <w:t>Noel Timothy John</w:t>
            </w:r>
          </w:p>
        </w:tc>
        <w:tc>
          <w:tcPr>
            <w:tcW w:type="dxa" w:w="1440"/>
          </w:tcPr>
          <w:p>
            <w:r>
              <w:rPr>
                <w:rFonts w:ascii="Calibri" w:hAnsi="Calibri"/>
                <w:color w:val="333333"/>
                <w:sz w:val="18"/>
              </w:rPr>
              <w:t>Chief Executive Officer,  UHC</w:t>
            </w:r>
          </w:p>
        </w:tc>
        <w:tc>
          <w:tcPr>
            <w:tcW w:type="dxa" w:w="1440"/>
          </w:tcPr>
          <w:p>
            <w:r>
              <w:rPr>
                <w:rFonts w:ascii="Calibri" w:hAnsi="Calibri"/>
                <w:color w:val="333333"/>
                <w:sz w:val="18"/>
              </w:rPr>
              <w:t>GRANT</w:t>
            </w:r>
          </w:p>
        </w:tc>
        <w:tc>
          <w:tcPr>
            <w:tcW w:type="dxa" w:w="1440"/>
          </w:tcPr>
          <w:p>
            <w:r>
              <w:rPr>
                <w:rFonts w:ascii="Calibri" w:hAnsi="Calibri"/>
                <w:color w:val="333333"/>
                <w:sz w:val="18"/>
              </w:rPr>
              <w:t>102</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2026-03-17</w:t>
            </w:r>
          </w:p>
        </w:tc>
        <w:tc>
          <w:tcPr>
            <w:tcW w:type="dxa" w:w="1440"/>
            <w:shd w:fill="F2F4F8" w:val="clear"/>
          </w:tcPr>
          <w:p>
            <w:r>
              <w:rPr>
                <w:rFonts w:ascii="Calibri" w:hAnsi="Calibri"/>
                <w:color w:val="333333"/>
                <w:sz w:val="18"/>
              </w:rPr>
              <w:t>MCNABB FREDERICK WILLIAM III</w:t>
            </w:r>
          </w:p>
        </w:tc>
        <w:tc>
          <w:tcPr>
            <w:tcW w:type="dxa" w:w="1440"/>
            <w:shd w:fill="F2F4F8" w:val="clear"/>
          </w:tcPr>
          <w:p>
            <w:r>
              <w:rPr>
                <w:rFonts w:ascii="Calibri" w:hAnsi="Calibri"/>
                <w:color w:val="333333"/>
                <w:sz w:val="18"/>
              </w:rPr>
              <w:t>Director</w:t>
            </w:r>
          </w:p>
        </w:tc>
        <w:tc>
          <w:tcPr>
            <w:tcW w:type="dxa" w:w="1440"/>
            <w:shd w:fill="F2F4F8" w:val="clear"/>
          </w:tcPr>
          <w:p>
            <w:r>
              <w:rPr>
                <w:rFonts w:ascii="Calibri" w:hAnsi="Calibri"/>
                <w:color w:val="333333"/>
                <w:sz w:val="18"/>
              </w:rPr>
              <w:t>GRANT</w:t>
            </w:r>
          </w:p>
        </w:tc>
        <w:tc>
          <w:tcPr>
            <w:tcW w:type="dxa" w:w="1440"/>
            <w:shd w:fill="F2F4F8" w:val="clear"/>
          </w:tcPr>
          <w:p>
            <w:r>
              <w:rPr>
                <w:rFonts w:ascii="Calibri" w:hAnsi="Calibri"/>
                <w:color w:val="333333"/>
                <w:sz w:val="18"/>
              </w:rPr>
              <w:t>64</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2026-03-17</w:t>
            </w:r>
          </w:p>
        </w:tc>
        <w:tc>
          <w:tcPr>
            <w:tcW w:type="dxa" w:w="1440"/>
          </w:tcPr>
          <w:p>
            <w:r>
              <w:rPr>
                <w:rFonts w:ascii="Calibri" w:hAnsi="Calibri"/>
                <w:color w:val="333333"/>
                <w:sz w:val="18"/>
              </w:rPr>
              <w:t>FLYNN TIMOTHY PATRICK</w:t>
            </w:r>
          </w:p>
        </w:tc>
        <w:tc>
          <w:tcPr>
            <w:tcW w:type="dxa" w:w="1440"/>
          </w:tcPr>
          <w:p>
            <w:r>
              <w:rPr>
                <w:rFonts w:ascii="Calibri" w:hAnsi="Calibri"/>
                <w:color w:val="333333"/>
                <w:sz w:val="18"/>
              </w:rPr>
              <w:t>Director</w:t>
            </w:r>
          </w:p>
        </w:tc>
        <w:tc>
          <w:tcPr>
            <w:tcW w:type="dxa" w:w="1440"/>
          </w:tcPr>
          <w:p>
            <w:r>
              <w:rPr>
                <w:rFonts w:ascii="Calibri" w:hAnsi="Calibri"/>
                <w:color w:val="333333"/>
                <w:sz w:val="18"/>
              </w:rPr>
              <w:t>GRANT</w:t>
            </w:r>
          </w:p>
        </w:tc>
        <w:tc>
          <w:tcPr>
            <w:tcW w:type="dxa" w:w="1440"/>
          </w:tcPr>
          <w:p>
            <w:r>
              <w:rPr>
                <w:rFonts w:ascii="Calibri" w:hAnsi="Calibri"/>
                <w:color w:val="333333"/>
                <w:sz w:val="18"/>
              </w:rPr>
              <w:t>79</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2026-03-17</w:t>
            </w:r>
          </w:p>
        </w:tc>
        <w:tc>
          <w:tcPr>
            <w:tcW w:type="dxa" w:w="1440"/>
            <w:shd w:fill="F2F4F8" w:val="clear"/>
          </w:tcPr>
          <w:p>
            <w:r>
              <w:rPr>
                <w:rFonts w:ascii="Calibri" w:hAnsi="Calibri"/>
                <w:color w:val="333333"/>
                <w:sz w:val="18"/>
              </w:rPr>
              <w:t>HEMSLEY STEPHEN J</w:t>
            </w:r>
          </w:p>
        </w:tc>
        <w:tc>
          <w:tcPr>
            <w:tcW w:type="dxa" w:w="1440"/>
            <w:shd w:fill="F2F4F8" w:val="clear"/>
          </w:tcPr>
          <w:p>
            <w:r>
              <w:rPr>
                <w:rFonts w:ascii="Calibri" w:hAnsi="Calibri"/>
                <w:color w:val="333333"/>
                <w:sz w:val="18"/>
              </w:rPr>
              <w:t>CEO, UHG</w:t>
            </w:r>
          </w:p>
        </w:tc>
        <w:tc>
          <w:tcPr>
            <w:tcW w:type="dxa" w:w="1440"/>
            <w:shd w:fill="F2F4F8" w:val="clear"/>
          </w:tcPr>
          <w:p>
            <w:r>
              <w:rPr>
                <w:rFonts w:ascii="Calibri" w:hAnsi="Calibri"/>
                <w:color w:val="333333"/>
                <w:sz w:val="18"/>
              </w:rPr>
              <w:t>GRANT</w:t>
            </w:r>
          </w:p>
        </w:tc>
        <w:tc>
          <w:tcPr>
            <w:tcW w:type="dxa" w:w="1440"/>
            <w:shd w:fill="F2F4F8" w:val="clear"/>
          </w:tcPr>
          <w:p>
            <w:r>
              <w:rPr>
                <w:rFonts w:ascii="Calibri" w:hAnsi="Calibri"/>
                <w:color w:val="333333"/>
                <w:sz w:val="18"/>
              </w:rPr>
              <w:t>61</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2026-03-17</w:t>
            </w:r>
          </w:p>
        </w:tc>
        <w:tc>
          <w:tcPr>
            <w:tcW w:type="dxa" w:w="1440"/>
          </w:tcPr>
          <w:p>
            <w:r>
              <w:rPr>
                <w:rFonts w:ascii="Calibri" w:hAnsi="Calibri"/>
                <w:color w:val="333333"/>
                <w:sz w:val="18"/>
              </w:rPr>
              <w:t>Baker Charles D.</w:t>
            </w:r>
          </w:p>
        </w:tc>
        <w:tc>
          <w:tcPr>
            <w:tcW w:type="dxa" w:w="1440"/>
          </w:tcPr>
          <w:p>
            <w:r>
              <w:rPr>
                <w:rFonts w:ascii="Calibri" w:hAnsi="Calibri"/>
                <w:color w:val="333333"/>
                <w:sz w:val="18"/>
              </w:rPr>
              <w:t>Director</w:t>
            </w:r>
          </w:p>
        </w:tc>
        <w:tc>
          <w:tcPr>
            <w:tcW w:type="dxa" w:w="1440"/>
          </w:tcPr>
          <w:p>
            <w:r>
              <w:rPr>
                <w:rFonts w:ascii="Calibri" w:hAnsi="Calibri"/>
                <w:color w:val="333333"/>
                <w:sz w:val="18"/>
              </w:rPr>
              <w:t>GRANT</w:t>
            </w:r>
          </w:p>
        </w:tc>
        <w:tc>
          <w:tcPr>
            <w:tcW w:type="dxa" w:w="1440"/>
          </w:tcPr>
          <w:p>
            <w:r>
              <w:rPr>
                <w:rFonts w:ascii="Calibri" w:hAnsi="Calibri"/>
                <w:color w:val="333333"/>
                <w:sz w:val="18"/>
              </w:rPr>
              <w:t>14</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2026-03-17</w:t>
            </w:r>
          </w:p>
        </w:tc>
        <w:tc>
          <w:tcPr>
            <w:tcW w:type="dxa" w:w="1440"/>
            <w:shd w:fill="F2F4F8" w:val="clear"/>
          </w:tcPr>
          <w:p>
            <w:r>
              <w:rPr>
                <w:rFonts w:ascii="Calibri" w:hAnsi="Calibri"/>
                <w:color w:val="333333"/>
                <w:sz w:val="18"/>
              </w:rPr>
              <w:t>McSweeney Erin</w:t>
            </w:r>
          </w:p>
        </w:tc>
        <w:tc>
          <w:tcPr>
            <w:tcW w:type="dxa" w:w="1440"/>
            <w:shd w:fill="F2F4F8" w:val="clear"/>
          </w:tcPr>
          <w:p>
            <w:r>
              <w:rPr>
                <w:rFonts w:ascii="Calibri" w:hAnsi="Calibri"/>
                <w:color w:val="333333"/>
                <w:sz w:val="18"/>
              </w:rPr>
              <w:t>EVP &amp; Chief People Officer</w:t>
            </w:r>
          </w:p>
        </w:tc>
        <w:tc>
          <w:tcPr>
            <w:tcW w:type="dxa" w:w="1440"/>
            <w:shd w:fill="F2F4F8" w:val="clear"/>
          </w:tcPr>
          <w:p>
            <w:r>
              <w:rPr>
                <w:rFonts w:ascii="Calibri" w:hAnsi="Calibri"/>
                <w:color w:val="333333"/>
                <w:sz w:val="18"/>
              </w:rPr>
              <w:t>GRANT</w:t>
            </w:r>
          </w:p>
        </w:tc>
        <w:tc>
          <w:tcPr>
            <w:tcW w:type="dxa" w:w="1440"/>
            <w:shd w:fill="F2F4F8" w:val="clear"/>
          </w:tcPr>
          <w:p>
            <w:r>
              <w:rPr>
                <w:rFonts w:ascii="Calibri" w:hAnsi="Calibri"/>
                <w:color w:val="333333"/>
                <w:sz w:val="18"/>
              </w:rPr>
              <w:t>65</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2026-03-17</w:t>
            </w:r>
          </w:p>
        </w:tc>
        <w:tc>
          <w:tcPr>
            <w:tcW w:type="dxa" w:w="1440"/>
          </w:tcPr>
          <w:p>
            <w:r>
              <w:rPr>
                <w:rFonts w:ascii="Calibri" w:hAnsi="Calibri"/>
                <w:color w:val="333333"/>
                <w:sz w:val="18"/>
              </w:rPr>
              <w:t>HOOPER MICHELE J</w:t>
            </w:r>
          </w:p>
        </w:tc>
        <w:tc>
          <w:tcPr>
            <w:tcW w:type="dxa" w:w="1440"/>
          </w:tcPr>
          <w:p>
            <w:r>
              <w:rPr>
                <w:rFonts w:ascii="Calibri" w:hAnsi="Calibri"/>
                <w:color w:val="333333"/>
                <w:sz w:val="18"/>
              </w:rPr>
              <w:t>Director</w:t>
            </w:r>
          </w:p>
        </w:tc>
        <w:tc>
          <w:tcPr>
            <w:tcW w:type="dxa" w:w="1440"/>
          </w:tcPr>
          <w:p>
            <w:r>
              <w:rPr>
                <w:rFonts w:ascii="Calibri" w:hAnsi="Calibri"/>
                <w:color w:val="333333"/>
                <w:sz w:val="18"/>
              </w:rPr>
              <w:t>GRANT</w:t>
            </w:r>
          </w:p>
        </w:tc>
        <w:tc>
          <w:tcPr>
            <w:tcW w:type="dxa" w:w="1440"/>
          </w:tcPr>
          <w:p>
            <w:r>
              <w:rPr>
                <w:rFonts w:ascii="Calibri" w:hAnsi="Calibri"/>
                <w:color w:val="333333"/>
                <w:sz w:val="18"/>
              </w:rPr>
              <w:t>292</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2026-03-17</w:t>
            </w:r>
          </w:p>
        </w:tc>
        <w:tc>
          <w:tcPr>
            <w:tcW w:type="dxa" w:w="1440"/>
            <w:shd w:fill="F2F4F8" w:val="clear"/>
          </w:tcPr>
          <w:p>
            <w:r>
              <w:rPr>
                <w:rFonts w:ascii="Calibri" w:hAnsi="Calibri"/>
                <w:color w:val="333333"/>
                <w:sz w:val="18"/>
              </w:rPr>
              <w:t>Gil Kristen</w:t>
            </w:r>
          </w:p>
        </w:tc>
        <w:tc>
          <w:tcPr>
            <w:tcW w:type="dxa" w:w="1440"/>
            <w:shd w:fill="F2F4F8" w:val="clear"/>
          </w:tcPr>
          <w:p>
            <w:r>
              <w:rPr>
                <w:rFonts w:ascii="Calibri" w:hAnsi="Calibri"/>
                <w:color w:val="333333"/>
                <w:sz w:val="18"/>
              </w:rPr>
              <w:t>Director</w:t>
            </w:r>
          </w:p>
        </w:tc>
        <w:tc>
          <w:tcPr>
            <w:tcW w:type="dxa" w:w="1440"/>
            <w:shd w:fill="F2F4F8" w:val="clear"/>
          </w:tcPr>
          <w:p>
            <w:r>
              <w:rPr>
                <w:rFonts w:ascii="Calibri" w:hAnsi="Calibri"/>
                <w:color w:val="333333"/>
                <w:sz w:val="18"/>
              </w:rPr>
              <w:t>GRANT</w:t>
            </w:r>
          </w:p>
        </w:tc>
        <w:tc>
          <w:tcPr>
            <w:tcW w:type="dxa" w:w="1440"/>
            <w:shd w:fill="F2F4F8" w:val="clear"/>
          </w:tcPr>
          <w:p>
            <w:r>
              <w:rPr>
                <w:rFonts w:ascii="Calibri" w:hAnsi="Calibri"/>
                <w:color w:val="333333"/>
                <w:sz w:val="18"/>
              </w:rPr>
              <w:t>8</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2026-03-17</w:t>
            </w:r>
          </w:p>
        </w:tc>
        <w:tc>
          <w:tcPr>
            <w:tcW w:type="dxa" w:w="1440"/>
          </w:tcPr>
          <w:p>
            <w:r>
              <w:rPr>
                <w:rFonts w:ascii="Calibri" w:hAnsi="Calibri"/>
                <w:color w:val="333333"/>
                <w:sz w:val="18"/>
              </w:rPr>
              <w:t>Gottlieb Scott</w:t>
            </w:r>
          </w:p>
        </w:tc>
        <w:tc>
          <w:tcPr>
            <w:tcW w:type="dxa" w:w="1440"/>
          </w:tcPr>
          <w:p>
            <w:r>
              <w:rPr>
                <w:rFonts w:ascii="Calibri" w:hAnsi="Calibri"/>
                <w:color w:val="333333"/>
                <w:sz w:val="18"/>
              </w:rPr>
              <w:t>Director</w:t>
            </w:r>
          </w:p>
        </w:tc>
        <w:tc>
          <w:tcPr>
            <w:tcW w:type="dxa" w:w="1440"/>
          </w:tcPr>
          <w:p>
            <w:r>
              <w:rPr>
                <w:rFonts w:ascii="Calibri" w:hAnsi="Calibri"/>
                <w:color w:val="333333"/>
                <w:sz w:val="18"/>
              </w:rPr>
              <w:t>GRANT</w:t>
            </w:r>
          </w:p>
        </w:tc>
        <w:tc>
          <w:tcPr>
            <w:tcW w:type="dxa" w:w="1440"/>
          </w:tcPr>
          <w:p>
            <w:r>
              <w:rPr>
                <w:rFonts w:ascii="Calibri" w:hAnsi="Calibri"/>
                <w:color w:val="333333"/>
                <w:sz w:val="18"/>
              </w:rPr>
              <w:t>1</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2026-03-17</w:t>
            </w:r>
          </w:p>
        </w:tc>
        <w:tc>
          <w:tcPr>
            <w:tcW w:type="dxa" w:w="1440"/>
            <w:shd w:fill="F2F4F8" w:val="clear"/>
          </w:tcPr>
          <w:p>
            <w:r>
              <w:rPr>
                <w:rFonts w:ascii="Calibri" w:hAnsi="Calibri"/>
                <w:color w:val="333333"/>
                <w:sz w:val="18"/>
              </w:rPr>
              <w:t>Conway Patrick Hugh</w:t>
            </w:r>
          </w:p>
        </w:tc>
        <w:tc>
          <w:tcPr>
            <w:tcW w:type="dxa" w:w="1440"/>
            <w:shd w:fill="F2F4F8" w:val="clear"/>
          </w:tcPr>
          <w:p>
            <w:r>
              <w:rPr>
                <w:rFonts w:ascii="Calibri" w:hAnsi="Calibri"/>
                <w:color w:val="333333"/>
                <w:sz w:val="18"/>
              </w:rPr>
              <w:t>Chief Executive Officer, Optum</w:t>
            </w:r>
          </w:p>
        </w:tc>
        <w:tc>
          <w:tcPr>
            <w:tcW w:type="dxa" w:w="1440"/>
            <w:shd w:fill="F2F4F8" w:val="clear"/>
          </w:tcPr>
          <w:p>
            <w:r>
              <w:rPr>
                <w:rFonts w:ascii="Calibri" w:hAnsi="Calibri"/>
                <w:color w:val="333333"/>
                <w:sz w:val="18"/>
              </w:rPr>
              <w:t>GRANT</w:t>
            </w:r>
          </w:p>
        </w:tc>
        <w:tc>
          <w:tcPr>
            <w:tcW w:type="dxa" w:w="1440"/>
            <w:shd w:fill="F2F4F8" w:val="clear"/>
          </w:tcPr>
          <w:p>
            <w:r>
              <w:rPr>
                <w:rFonts w:ascii="Calibri" w:hAnsi="Calibri"/>
                <w:color w:val="333333"/>
                <w:sz w:val="18"/>
              </w:rPr>
              <w:t>125</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2026-02-23</w:t>
            </w:r>
          </w:p>
        </w:tc>
        <w:tc>
          <w:tcPr>
            <w:tcW w:type="dxa" w:w="1440"/>
          </w:tcPr>
          <w:p>
            <w:r>
              <w:rPr>
                <w:rFonts w:ascii="Calibri" w:hAnsi="Calibri"/>
                <w:color w:val="333333"/>
                <w:sz w:val="18"/>
              </w:rPr>
              <w:t>ROOS THOMAS E</w:t>
            </w:r>
          </w:p>
        </w:tc>
        <w:tc>
          <w:tcPr>
            <w:tcW w:type="dxa" w:w="1440"/>
          </w:tcPr>
          <w:p>
            <w:r>
              <w:rPr>
                <w:rFonts w:ascii="Calibri" w:hAnsi="Calibri"/>
                <w:color w:val="333333"/>
                <w:sz w:val="18"/>
              </w:rPr>
              <w:t>Chief Accounting Officer</w:t>
            </w:r>
          </w:p>
        </w:tc>
        <w:tc>
          <w:tcPr>
            <w:tcW w:type="dxa" w:w="1440"/>
          </w:tcPr>
          <w:p>
            <w:r>
              <w:rPr>
                <w:rFonts w:ascii="Calibri" w:hAnsi="Calibri"/>
                <w:color w:val="333333"/>
                <w:sz w:val="18"/>
              </w:rPr>
              <w:t>TAX_WITHHOLD</w:t>
            </w:r>
          </w:p>
        </w:tc>
        <w:tc>
          <w:tcPr>
            <w:tcW w:type="dxa" w:w="1440"/>
          </w:tcPr>
          <w:p>
            <w:r>
              <w:rPr>
                <w:rFonts w:ascii="Calibri" w:hAnsi="Calibri"/>
                <w:color w:val="333333"/>
                <w:sz w:val="18"/>
              </w:rPr>
              <w:t>152</w:t>
            </w:r>
          </w:p>
        </w:tc>
        <w:tc>
          <w:tcPr>
            <w:tcW w:type="dxa" w:w="1440"/>
          </w:tcPr>
          <w:p>
            <w:r>
              <w:rPr>
                <w:rFonts w:ascii="Calibri" w:hAnsi="Calibri"/>
                <w:color w:val="333333"/>
                <w:sz w:val="18"/>
              </w:rPr>
              <w:t>$42.9K</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2026-02-23</w:t>
            </w:r>
          </w:p>
        </w:tc>
        <w:tc>
          <w:tcPr>
            <w:tcW w:type="dxa" w:w="1440"/>
            <w:shd w:fill="F2F4F8" w:val="clear"/>
          </w:tcPr>
          <w:p>
            <w:r>
              <w:rPr>
                <w:rFonts w:ascii="Calibri" w:hAnsi="Calibri"/>
                <w:color w:val="333333"/>
                <w:sz w:val="18"/>
              </w:rPr>
              <w:t>ROOS THOMAS E</w:t>
            </w:r>
          </w:p>
        </w:tc>
        <w:tc>
          <w:tcPr>
            <w:tcW w:type="dxa" w:w="1440"/>
            <w:shd w:fill="F2F4F8" w:val="clear"/>
          </w:tcPr>
          <w:p>
            <w:r>
              <w:rPr>
                <w:rFonts w:ascii="Calibri" w:hAnsi="Calibri"/>
                <w:color w:val="333333"/>
                <w:sz w:val="18"/>
              </w:rPr>
              <w:t>Chief Accounting Officer</w:t>
            </w:r>
          </w:p>
        </w:tc>
        <w:tc>
          <w:tcPr>
            <w:tcW w:type="dxa" w:w="1440"/>
            <w:shd w:fill="F2F4F8" w:val="clear"/>
          </w:tcPr>
          <w:p>
            <w:r>
              <w:rPr>
                <w:rFonts w:ascii="Calibri" w:hAnsi="Calibri"/>
                <w:color w:val="333333"/>
                <w:sz w:val="18"/>
              </w:rPr>
              <w:t>GRANT</w:t>
            </w:r>
          </w:p>
        </w:tc>
        <w:tc>
          <w:tcPr>
            <w:tcW w:type="dxa" w:w="1440"/>
            <w:shd w:fill="F2F4F8" w:val="clear"/>
          </w:tcPr>
          <w:p>
            <w:r>
              <w:rPr>
                <w:rFonts w:ascii="Calibri" w:hAnsi="Calibri"/>
                <w:color w:val="333333"/>
                <w:sz w:val="18"/>
              </w:rPr>
              <w:t>2,436</w:t>
            </w:r>
          </w:p>
        </w:tc>
        <w:tc>
          <w:tcPr>
            <w:tcW w:type="dxa" w:w="1440"/>
            <w:shd w:fill="F2F4F8" w:val="clear"/>
          </w:tcPr>
          <w:p>
            <w:r>
              <w:rPr>
                <w:rFonts w:ascii="Calibri" w:hAnsi="Calibri"/>
                <w:color w:val="333333"/>
                <w:sz w:val="18"/>
              </w:rPr>
              <w:t>$0</w:t>
            </w:r>
          </w:p>
        </w:tc>
        <w:tc>
          <w:tcPr>
            <w:tcW w:type="dxa" w:w="1440"/>
            <w:shd w:fill="F2F4F8" w:val="clear"/>
          </w:tcPr>
          <w:p>
            <w:r>
              <w:rPr>
                <w:rFonts w:ascii="Calibri" w:hAnsi="Calibri"/>
                <w:color w:val="333333"/>
                <w:sz w:val="18"/>
              </w:rPr>
              <w:t>No (Discretionary)</w:t>
            </w:r>
          </w:p>
        </w:tc>
      </w:tr>
      <w:tr>
        <w:tc>
          <w:tcPr>
            <w:tcW w:type="dxa" w:w="1440"/>
          </w:tcPr>
          <w:p>
            <w:r>
              <w:rPr>
                <w:rFonts w:ascii="Calibri" w:hAnsi="Calibri"/>
                <w:color w:val="333333"/>
                <w:sz w:val="18"/>
              </w:rPr>
              <w:t>2026-02-23</w:t>
            </w:r>
          </w:p>
        </w:tc>
        <w:tc>
          <w:tcPr>
            <w:tcW w:type="dxa" w:w="1440"/>
          </w:tcPr>
          <w:p>
            <w:r>
              <w:rPr>
                <w:rFonts w:ascii="Calibri" w:hAnsi="Calibri"/>
                <w:color w:val="333333"/>
                <w:sz w:val="18"/>
              </w:rPr>
              <w:t>ROOS THOMAS E</w:t>
            </w:r>
          </w:p>
        </w:tc>
        <w:tc>
          <w:tcPr>
            <w:tcW w:type="dxa" w:w="1440"/>
          </w:tcPr>
          <w:p>
            <w:r>
              <w:rPr>
                <w:rFonts w:ascii="Calibri" w:hAnsi="Calibri"/>
                <w:color w:val="333333"/>
                <w:sz w:val="18"/>
              </w:rPr>
              <w:t>Chief Accounting Officer</w:t>
            </w:r>
          </w:p>
        </w:tc>
        <w:tc>
          <w:tcPr>
            <w:tcW w:type="dxa" w:w="1440"/>
          </w:tcPr>
          <w:p>
            <w:r>
              <w:rPr>
                <w:rFonts w:ascii="Calibri" w:hAnsi="Calibri"/>
                <w:color w:val="333333"/>
                <w:sz w:val="18"/>
              </w:rPr>
              <w:t>GRANT</w:t>
            </w:r>
          </w:p>
        </w:tc>
        <w:tc>
          <w:tcPr>
            <w:tcW w:type="dxa" w:w="1440"/>
          </w:tcPr>
          <w:p>
            <w:r>
              <w:rPr>
                <w:rFonts w:ascii="Calibri" w:hAnsi="Calibri"/>
                <w:color w:val="333333"/>
                <w:sz w:val="18"/>
              </w:rPr>
              <w:t>9,768</w:t>
            </w:r>
          </w:p>
        </w:tc>
        <w:tc>
          <w:tcPr>
            <w:tcW w:type="dxa" w:w="1440"/>
          </w:tcPr>
          <w:p>
            <w:r>
              <w:rPr>
                <w:rFonts w:ascii="Calibri" w:hAnsi="Calibri"/>
                <w:color w:val="333333"/>
                <w:sz w:val="18"/>
              </w:rPr>
              <w:t>$0</w:t>
            </w:r>
          </w:p>
        </w:tc>
        <w:tc>
          <w:tcPr>
            <w:tcW w:type="dxa" w:w="1440"/>
          </w:tcPr>
          <w:p>
            <w:r>
              <w:rPr>
                <w:rFonts w:ascii="Calibri" w:hAnsi="Calibri"/>
                <w:color w:val="333333"/>
                <w:sz w:val="18"/>
              </w:rPr>
              <w:t>No (Discretionary)</w:t>
            </w:r>
          </w:p>
        </w:tc>
      </w:tr>
      <w:tr>
        <w:tc>
          <w:tcPr>
            <w:tcW w:type="dxa" w:w="1440"/>
            <w:shd w:fill="F2F4F8" w:val="clear"/>
          </w:tcPr>
          <w:p>
            <w:r>
              <w:rPr>
                <w:rFonts w:ascii="Calibri" w:hAnsi="Calibri"/>
                <w:color w:val="333333"/>
                <w:sz w:val="18"/>
              </w:rPr>
              <w:t>2026-02-23</w:t>
            </w:r>
          </w:p>
        </w:tc>
        <w:tc>
          <w:tcPr>
            <w:tcW w:type="dxa" w:w="1440"/>
            <w:shd w:fill="F2F4F8" w:val="clear"/>
          </w:tcPr>
          <w:p>
            <w:r>
              <w:rPr>
                <w:rFonts w:ascii="Calibri" w:hAnsi="Calibri"/>
                <w:color w:val="333333"/>
                <w:sz w:val="18"/>
              </w:rPr>
              <w:t>Zaetta Christopher R</w:t>
            </w:r>
          </w:p>
        </w:tc>
        <w:tc>
          <w:tcPr>
            <w:tcW w:type="dxa" w:w="1440"/>
            <w:shd w:fill="F2F4F8" w:val="clear"/>
          </w:tcPr>
          <w:p>
            <w:r>
              <w:rPr>
                <w:rFonts w:ascii="Calibri" w:hAnsi="Calibri"/>
                <w:color w:val="333333"/>
                <w:sz w:val="18"/>
              </w:rPr>
              <w:t>EVP &amp; Chief Legal Officer</w:t>
            </w:r>
          </w:p>
        </w:tc>
        <w:tc>
          <w:tcPr>
            <w:tcW w:type="dxa" w:w="1440"/>
            <w:shd w:fill="F2F4F8" w:val="clear"/>
          </w:tcPr>
          <w:p>
            <w:r>
              <w:rPr>
                <w:rFonts w:ascii="Calibri" w:hAnsi="Calibri"/>
                <w:color w:val="333333"/>
                <w:sz w:val="18"/>
              </w:rPr>
              <w:t>TAX_WITHHOLD</w:t>
            </w:r>
          </w:p>
        </w:tc>
        <w:tc>
          <w:tcPr>
            <w:tcW w:type="dxa" w:w="1440"/>
            <w:shd w:fill="F2F4F8" w:val="clear"/>
          </w:tcPr>
          <w:p>
            <w:r>
              <w:rPr>
                <w:rFonts w:ascii="Calibri" w:hAnsi="Calibri"/>
                <w:color w:val="333333"/>
                <w:sz w:val="18"/>
              </w:rPr>
              <w:t>129</w:t>
            </w:r>
          </w:p>
        </w:tc>
        <w:tc>
          <w:tcPr>
            <w:tcW w:type="dxa" w:w="1440"/>
            <w:shd w:fill="F2F4F8" w:val="clear"/>
          </w:tcPr>
          <w:p>
            <w:r>
              <w:rPr>
                <w:rFonts w:ascii="Calibri" w:hAnsi="Calibri"/>
                <w:color w:val="333333"/>
                <w:sz w:val="18"/>
              </w:rPr>
              <w:t>$36.6K</w:t>
            </w:r>
          </w:p>
        </w:tc>
        <w:tc>
          <w:tcPr>
            <w:tcW w:type="dxa" w:w="1440"/>
            <w:shd w:fill="F2F4F8" w:val="clear"/>
          </w:tcPr>
          <w:p>
            <w:r>
              <w:rPr>
                <w:rFonts w:ascii="Calibri" w:hAnsi="Calibri"/>
                <w:color w:val="333333"/>
                <w:sz w:val="18"/>
              </w:rPr>
              <w:t>No (Discretionary)</w:t>
            </w:r>
          </w:p>
        </w:tc>
      </w:tr>
    </w:tbl>
    <w:p>
      <w:pPr>
        <w:pStyle w:val="DOHeading2"/>
      </w:pPr>
      <w:r>
        <w:t>Executive Departures</w:t>
      </w:r>
    </w:p>
    <w:p>
      <w:pPr>
        <w:pStyle w:val="DOBody"/>
      </w:pPr>
      <w:r>
        <w:t>No executive departures identified in the trailing 18 months.</w:t>
      </w:r>
    </w:p>
    <w:p>
      <w:pPr>
        <w:pStyle w:val="DOHeading2"/>
      </w:pPr>
      <w:r>
        <w:t>Capital Markets Activity</w:t>
      </w:r>
    </w:p>
    <w:p>
      <w:pPr>
        <w:pStyle w:val="DOBody"/>
      </w:pPr>
      <w:r>
        <w:t>No significant capital markets activity identified in the trailing 3-year period.</w:t>
      </w:r>
    </w:p>
    <w:p>
      <w:pPr>
        <w:spacing w:before="120" w:after="40"/>
        <w:pBdr>
          <w:bottom w:val="single" w:sz="6" w:space="1" w:color="FFD000"/>
        </w:pBdr>
      </w:pPr>
    </w:p>
    <w:p>
      <w:pPr>
        <w:pStyle w:val="DOBody"/>
        <w:spacing w:before="40" w:after="80"/>
      </w:pPr>
      <w:r>
        <w:rPr>
          <w:b/>
          <w:color w:val="FFB800"/>
          <w:sz w:val="20"/>
        </w:rPr>
        <w:t>ELEVATED CONCERN</w:t>
      </w:r>
    </w:p>
    <w:p>
      <w:pPr>
        <w:pStyle w:val="DOBody"/>
        <w:spacing w:before="40" w:after="120"/>
      </w:pPr>
      <w:r>
        <w:rPr>
          <w:color w:val="333333"/>
          <w:sz w:val="20"/>
        </w:rPr>
        <w:t>UnitedHealth's revenue grew 11.8% to $447.6B, but net income fell 16.3% to $12.1B and operating income declined 41.3% to $18.96B, creating a stark earnings narrative for a Section 10(b) suit alleging the board misrepresented operational health. The Altman Z-Score of 1.41 sits in the grey zone, perilously close to the distress threshold of 1.81, which plaintiffs will cite to allege a deteriorating financial foundation and support claims of inadequate risk oversight. A current ratio of 0.79 and quick ratio of 0.76, both below 1.0, indicate significant liquidity pressure, directly fueling going-concern allegations and breach of duty claims despite the clean audit opinion from Deloitte. The 24-year auditor tenure, while stable, will be scrutinized for potential oversight given the sharp income declines, potentially forming a basis for allegations of failed auditor oversight by the board. The strong Beneish M-Score of -3.11 argues against earnings manipulation, but the Piotroski F-Score of 6 is a neutral flag, leaving the door open for operational performance claims regarding the $13.2B year-over-year drop in operating income. The core D&amp;O exposure is a shareholder suit alleging the board failed to manage the operational collapse driving that $13.2B drop, a risk masked by the 11.8% top-line revenue growth.</w:t>
      </w:r>
    </w:p>
    <w:p>
      <w:pPr>
        <w:pStyle w:val="DOHeading1"/>
      </w:pPr>
      <w:r>
        <w:t>Section 3: Financial Health</w:t>
      </w:r>
    </w:p>
    <w:p>
      <w:pPr>
        <w:pStyle w:val="DOBody"/>
      </w:pPr>
      <w:r>
        <w:t>The company reported revenue of $447.6B and net income of $12.1B (per FY2025 10-K, Company Facts API CIK731766). Revenue grew 11.8% year-over-year (from $400.3B). Net margin of 2.7% is thin, leaving limited buffer against earnings volatility. Distress indicators show mixed signals: Z-Score 1.41 (grey zone) and O-Score 0.00 (safe zone). Financial stress could limit litigation defense resources. D/E ratio of 0.78 is moderate. Earnings quality is healthy (OCF/NI: 1.63), indicating reported income is well-supported by operating cash flows -- reducing restatement risk. Effective tax rate of 12.9% is below the 21% U.S. statutory rate, warranting review of uncertain tax positions and transfer pricing. Auditor: Deloitte (Big 4), tenure: 24 years -- extended tenure may raise independence concerns. From a D&amp;O perspective, the financial profile supports standard underwriting terms.</w:t>
      </w:r>
    </w:p>
    <w:p>
      <w:pPr>
        <w:pStyle w:val="DOHeading2"/>
      </w:pPr>
      <w:r>
        <w:t>Income Statement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Metric</w:t>
            </w:r>
          </w:p>
        </w:tc>
        <w:tc>
          <w:tcPr>
            <w:tcW w:type="dxa" w:w="2520"/>
            <w:shd w:fill="1A1446" w:val="clear"/>
          </w:tcPr>
          <w:p>
            <w:r>
              <w:rPr>
                <w:rFonts w:ascii="Calibri" w:hAnsi="Calibri"/>
                <w:b/>
                <w:color w:val="FFFFFF"/>
                <w:sz w:val="18"/>
              </w:rPr>
              <w:t>FY2024</w:t>
            </w:r>
          </w:p>
        </w:tc>
        <w:tc>
          <w:tcPr>
            <w:tcW w:type="dxa" w:w="2520"/>
            <w:shd w:fill="1A1446" w:val="clear"/>
          </w:tcPr>
          <w:p>
            <w:r>
              <w:rPr>
                <w:rFonts w:ascii="Calibri" w:hAnsi="Calibri"/>
                <w:b/>
                <w:color w:val="FFFFFF"/>
                <w:sz w:val="18"/>
              </w:rPr>
              <w:t>FY2025</w:t>
            </w:r>
          </w:p>
        </w:tc>
        <w:tc>
          <w:tcPr>
            <w:tcW w:type="dxa" w:w="2520"/>
            <w:shd w:fill="1A1446" w:val="clear"/>
          </w:tcPr>
          <w:p>
            <w:r>
              <w:rPr>
                <w:rFonts w:ascii="Calibri" w:hAnsi="Calibri"/>
                <w:b/>
                <w:color w:val="FFFFFF"/>
                <w:sz w:val="18"/>
              </w:rPr>
              <w:t>YoY Change</w:t>
            </w:r>
          </w:p>
        </w:tc>
      </w:tr>
      <w:tr>
        <w:tc>
          <w:tcPr>
            <w:tcW w:type="dxa" w:w="2520"/>
          </w:tcPr>
          <w:p>
            <w:r>
              <w:rPr>
                <w:rFonts w:ascii="Calibri" w:hAnsi="Calibri"/>
                <w:color w:val="333333"/>
                <w:sz w:val="18"/>
              </w:rPr>
              <w:t>Total revenue / net sales</w:t>
            </w:r>
          </w:p>
        </w:tc>
        <w:tc>
          <w:tcPr>
            <w:tcW w:type="dxa" w:w="2520"/>
          </w:tcPr>
          <w:p>
            <w:r>
              <w:rPr>
                <w:rFonts w:ascii="Calibri" w:hAnsi="Calibri"/>
                <w:color w:val="333333"/>
                <w:sz w:val="18"/>
              </w:rPr>
              <w:t>$400.3B</w:t>
            </w:r>
          </w:p>
        </w:tc>
        <w:tc>
          <w:tcPr>
            <w:tcW w:type="dxa" w:w="2520"/>
          </w:tcPr>
          <w:p>
            <w:r>
              <w:rPr>
                <w:rFonts w:ascii="Calibri" w:hAnsi="Calibri"/>
                <w:color w:val="333333"/>
                <w:sz w:val="18"/>
              </w:rPr>
              <w:t>$447.6B</w:t>
            </w:r>
          </w:p>
        </w:tc>
        <w:tc>
          <w:tcPr>
            <w:tcW w:type="dxa" w:w="2520"/>
            <w:shd w:fill="DCEEF8" w:val="clear"/>
          </w:tcPr>
          <w:p>
            <w:r>
              <w:rPr>
                <w:rFonts w:ascii="Calibri" w:hAnsi="Calibri"/>
                <w:color w:val="333333"/>
                <w:sz w:val="18"/>
              </w:rPr>
              <w:t>11.8%</w:t>
            </w:r>
          </w:p>
        </w:tc>
      </w:tr>
      <w:tr>
        <w:tc>
          <w:tcPr>
            <w:tcW w:type="dxa" w:w="2520"/>
            <w:shd w:fill="F2F4F8" w:val="clear"/>
          </w:tcPr>
          <w:p>
            <w:r>
              <w:rPr>
                <w:rFonts w:ascii="Calibri" w:hAnsi="Calibri"/>
                <w:color w:val="333333"/>
                <w:sz w:val="18"/>
              </w:rPr>
              <w:t>Cost of revenue / COGS</w:t>
            </w:r>
          </w:p>
        </w:tc>
        <w:tc>
          <w:tcPr>
            <w:tcW w:type="dxa" w:w="2520"/>
            <w:shd w:fill="F2F4F8" w:val="clear"/>
          </w:tcPr>
          <w:p>
            <w:r>
              <w:rPr>
                <w:rFonts w:ascii="Calibri" w:hAnsi="Calibri"/>
                <w:color w:val="333333"/>
                <w:sz w:val="18"/>
              </w:rPr>
              <w:t>$46.7B</w:t>
            </w:r>
          </w:p>
        </w:tc>
        <w:tc>
          <w:tcPr>
            <w:tcW w:type="dxa" w:w="2520"/>
            <w:shd w:fill="F2F4F8" w:val="clear"/>
          </w:tcPr>
          <w:p>
            <w:r>
              <w:rPr>
                <w:rFonts w:ascii="Calibri" w:hAnsi="Calibri"/>
                <w:color w:val="333333"/>
                <w:sz w:val="18"/>
              </w:rPr>
              <w:t>$50.7B</w:t>
            </w:r>
          </w:p>
        </w:tc>
        <w:tc>
          <w:tcPr>
            <w:tcW w:type="dxa" w:w="2520"/>
            <w:shd w:fill="F2F4F8" w:val="clear"/>
            <w:shd w:fill="FFF3CD" w:val="clear"/>
          </w:tcPr>
          <w:p>
            <w:r>
              <w:rPr>
                <w:rFonts w:ascii="Calibri" w:hAnsi="Calibri"/>
                <w:color w:val="333333"/>
                <w:sz w:val="18"/>
              </w:rPr>
              <w:t>8.5%</w:t>
            </w:r>
          </w:p>
        </w:tc>
      </w:tr>
      <w:tr>
        <w:tc>
          <w:tcPr>
            <w:tcW w:type="dxa" w:w="2520"/>
          </w:tcPr>
          <w:p>
            <w:r>
              <w:rPr>
                <w:rFonts w:ascii="Calibri" w:hAnsi="Calibri"/>
                <w:color w:val="333333"/>
                <w:sz w:val="18"/>
              </w:rPr>
              <w:t>Operating income / loss</w:t>
            </w:r>
          </w:p>
        </w:tc>
        <w:tc>
          <w:tcPr>
            <w:tcW w:type="dxa" w:w="2520"/>
          </w:tcPr>
          <w:p>
            <w:r>
              <w:rPr>
                <w:rFonts w:ascii="Calibri" w:hAnsi="Calibri"/>
                <w:color w:val="333333"/>
                <w:sz w:val="18"/>
              </w:rPr>
              <w:t>$32.3B</w:t>
            </w:r>
          </w:p>
        </w:tc>
        <w:tc>
          <w:tcPr>
            <w:tcW w:type="dxa" w:w="2520"/>
          </w:tcPr>
          <w:p>
            <w:r>
              <w:rPr>
                <w:rFonts w:ascii="Calibri" w:hAnsi="Calibri"/>
                <w:color w:val="333333"/>
                <w:sz w:val="18"/>
              </w:rPr>
              <w:t>$19.0B</w:t>
            </w:r>
          </w:p>
        </w:tc>
        <w:tc>
          <w:tcPr>
            <w:tcW w:type="dxa" w:w="2520"/>
            <w:shd w:fill="FCE8E6" w:val="clear"/>
          </w:tcPr>
          <w:p>
            <w:r>
              <w:rPr>
                <w:rFonts w:ascii="Calibri" w:hAnsi="Calibri"/>
                <w:color w:val="333333"/>
                <w:sz w:val="18"/>
              </w:rPr>
              <w:t>-41.3%</w:t>
            </w:r>
          </w:p>
        </w:tc>
      </w:tr>
      <w:tr>
        <w:tc>
          <w:tcPr>
            <w:tcW w:type="dxa" w:w="2520"/>
            <w:shd w:fill="F2F4F8" w:val="clear"/>
          </w:tcPr>
          <w:p>
            <w:r>
              <w:rPr>
                <w:rFonts w:ascii="Calibri" w:hAnsi="Calibri"/>
                <w:color w:val="333333"/>
                <w:sz w:val="18"/>
              </w:rPr>
              <w:t>Net income / net loss</w:t>
            </w:r>
          </w:p>
        </w:tc>
        <w:tc>
          <w:tcPr>
            <w:tcW w:type="dxa" w:w="2520"/>
            <w:shd w:fill="F2F4F8" w:val="clear"/>
          </w:tcPr>
          <w:p>
            <w:r>
              <w:rPr>
                <w:rFonts w:ascii="Calibri" w:hAnsi="Calibri"/>
                <w:color w:val="333333"/>
                <w:sz w:val="18"/>
              </w:rPr>
              <w:t>$14.4B</w:t>
            </w:r>
          </w:p>
        </w:tc>
        <w:tc>
          <w:tcPr>
            <w:tcW w:type="dxa" w:w="2520"/>
            <w:shd w:fill="F2F4F8" w:val="clear"/>
          </w:tcPr>
          <w:p>
            <w:r>
              <w:rPr>
                <w:rFonts w:ascii="Calibri" w:hAnsi="Calibri"/>
                <w:color w:val="333333"/>
                <w:sz w:val="18"/>
              </w:rPr>
              <w:t>$12.1B</w:t>
            </w:r>
          </w:p>
        </w:tc>
        <w:tc>
          <w:tcPr>
            <w:tcW w:type="dxa" w:w="2520"/>
            <w:shd w:fill="F2F4F8" w:val="clear"/>
            <w:shd w:fill="FCE8E6" w:val="clear"/>
          </w:tcPr>
          <w:p>
            <w:r>
              <w:rPr>
                <w:rFonts w:ascii="Calibri" w:hAnsi="Calibri"/>
                <w:color w:val="333333"/>
                <w:sz w:val="18"/>
              </w:rPr>
              <w:t>-16.3%</w:t>
            </w:r>
          </w:p>
        </w:tc>
      </w:tr>
      <w:tr>
        <w:tc>
          <w:tcPr>
            <w:tcW w:type="dxa" w:w="2520"/>
          </w:tcPr>
          <w:p>
            <w:r>
              <w:rPr>
                <w:rFonts w:ascii="Calibri" w:hAnsi="Calibri"/>
                <w:color w:val="333333"/>
                <w:sz w:val="18"/>
              </w:rPr>
              <w:t>Basic earnings per share</w:t>
            </w:r>
          </w:p>
        </w:tc>
        <w:tc>
          <w:tcPr>
            <w:tcW w:type="dxa" w:w="2520"/>
          </w:tcPr>
          <w:p>
            <w:r>
              <w:rPr>
                <w:rFonts w:ascii="Calibri" w:hAnsi="Calibri"/>
                <w:color w:val="333333"/>
                <w:sz w:val="18"/>
              </w:rPr>
              <w:t>$15.64</w:t>
            </w:r>
          </w:p>
        </w:tc>
        <w:tc>
          <w:tcPr>
            <w:tcW w:type="dxa" w:w="2520"/>
          </w:tcPr>
          <w:p>
            <w:r>
              <w:rPr>
                <w:rFonts w:ascii="Calibri" w:hAnsi="Calibri"/>
                <w:color w:val="333333"/>
                <w:sz w:val="18"/>
              </w:rPr>
              <w:t>$13.28</w:t>
            </w:r>
          </w:p>
        </w:tc>
        <w:tc>
          <w:tcPr>
            <w:tcW w:type="dxa" w:w="2520"/>
            <w:shd w:fill="FCE8E6" w:val="clear"/>
          </w:tcPr>
          <w:p>
            <w:r>
              <w:rPr>
                <w:rFonts w:ascii="Calibri" w:hAnsi="Calibri"/>
                <w:color w:val="333333"/>
                <w:sz w:val="18"/>
              </w:rPr>
              <w:t>-15.1%</w:t>
            </w:r>
          </w:p>
        </w:tc>
      </w:tr>
      <w:tr>
        <w:tc>
          <w:tcPr>
            <w:tcW w:type="dxa" w:w="2520"/>
            <w:shd w:fill="F2F4F8" w:val="clear"/>
          </w:tcPr>
          <w:p>
            <w:r>
              <w:rPr>
                <w:rFonts w:ascii="Calibri" w:hAnsi="Calibri"/>
                <w:color w:val="333333"/>
                <w:sz w:val="18"/>
              </w:rPr>
              <w:t>Diluted earnings per share</w:t>
            </w:r>
          </w:p>
        </w:tc>
        <w:tc>
          <w:tcPr>
            <w:tcW w:type="dxa" w:w="2520"/>
            <w:shd w:fill="F2F4F8" w:val="clear"/>
          </w:tcPr>
          <w:p>
            <w:r>
              <w:rPr>
                <w:rFonts w:ascii="Calibri" w:hAnsi="Calibri"/>
                <w:color w:val="333333"/>
                <w:sz w:val="18"/>
              </w:rPr>
              <w:t>$15.51</w:t>
            </w:r>
          </w:p>
        </w:tc>
        <w:tc>
          <w:tcPr>
            <w:tcW w:type="dxa" w:w="2520"/>
            <w:shd w:fill="F2F4F8" w:val="clear"/>
          </w:tcPr>
          <w:p>
            <w:r>
              <w:rPr>
                <w:rFonts w:ascii="Calibri" w:hAnsi="Calibri"/>
                <w:color w:val="333333"/>
                <w:sz w:val="18"/>
              </w:rPr>
              <w:t>$13.23</w:t>
            </w:r>
          </w:p>
        </w:tc>
        <w:tc>
          <w:tcPr>
            <w:tcW w:type="dxa" w:w="2520"/>
            <w:shd w:fill="F2F4F8" w:val="clear"/>
            <w:shd w:fill="FCE8E6" w:val="clear"/>
          </w:tcPr>
          <w:p>
            <w:r>
              <w:rPr>
                <w:rFonts w:ascii="Calibri" w:hAnsi="Calibri"/>
                <w:color w:val="333333"/>
                <w:sz w:val="18"/>
              </w:rPr>
              <w:t>-14.7%</w:t>
            </w:r>
          </w:p>
        </w:tc>
      </w:tr>
      <w:tr>
        <w:tc>
          <w:tcPr>
            <w:tcW w:type="dxa" w:w="2520"/>
          </w:tcPr>
          <w:p>
            <w:r>
              <w:rPr>
                <w:rFonts w:ascii="Calibri" w:hAnsi="Calibri"/>
                <w:color w:val="333333"/>
                <w:sz w:val="18"/>
              </w:rPr>
              <w:t>Interest expense</w:t>
            </w:r>
          </w:p>
        </w:tc>
        <w:tc>
          <w:tcPr>
            <w:tcW w:type="dxa" w:w="2520"/>
          </w:tcPr>
          <w:p>
            <w:r>
              <w:rPr>
                <w:rFonts w:ascii="Calibri" w:hAnsi="Calibri"/>
                <w:color w:val="333333"/>
                <w:sz w:val="18"/>
              </w:rPr>
              <w:t>$3.9B</w:t>
            </w:r>
          </w:p>
        </w:tc>
        <w:tc>
          <w:tcPr>
            <w:tcW w:type="dxa" w:w="2520"/>
          </w:tcPr>
          <w:p>
            <w:r>
              <w:rPr>
                <w:rFonts w:ascii="Calibri" w:hAnsi="Calibri"/>
                <w:color w:val="333333"/>
                <w:sz w:val="18"/>
              </w:rPr>
              <w:t>$4.0B</w:t>
            </w:r>
          </w:p>
        </w:tc>
        <w:tc>
          <w:tcPr>
            <w:tcW w:type="dxa" w:w="2520"/>
            <w:shd w:fill="FFF3CD" w:val="clear"/>
          </w:tcPr>
          <w:p>
            <w:r>
              <w:rPr>
                <w:rFonts w:ascii="Calibri" w:hAnsi="Calibri"/>
                <w:color w:val="333333"/>
                <w:sz w:val="18"/>
              </w:rPr>
              <w:t>2.5%</w:t>
            </w:r>
          </w:p>
        </w:tc>
      </w:tr>
      <w:tr>
        <w:tc>
          <w:tcPr>
            <w:tcW w:type="dxa" w:w="2520"/>
            <w:shd w:fill="F2F4F8" w:val="clear"/>
          </w:tcPr>
          <w:p>
            <w:r>
              <w:rPr>
                <w:rFonts w:ascii="Calibri" w:hAnsi="Calibri"/>
                <w:color w:val="333333"/>
                <w:sz w:val="18"/>
              </w:rPr>
              <w:t>Income tax expense / benefit</w:t>
            </w:r>
          </w:p>
        </w:tc>
        <w:tc>
          <w:tcPr>
            <w:tcW w:type="dxa" w:w="2520"/>
            <w:shd w:fill="F2F4F8" w:val="clear"/>
          </w:tcPr>
          <w:p>
            <w:r>
              <w:rPr>
                <w:rFonts w:ascii="Calibri" w:hAnsi="Calibri"/>
                <w:color w:val="333333"/>
                <w:sz w:val="18"/>
              </w:rPr>
              <w:t>$4.8B</w:t>
            </w:r>
          </w:p>
        </w:tc>
        <w:tc>
          <w:tcPr>
            <w:tcW w:type="dxa" w:w="2520"/>
            <w:shd w:fill="F2F4F8" w:val="clear"/>
          </w:tcPr>
          <w:p>
            <w:r>
              <w:rPr>
                <w:rFonts w:ascii="Calibri" w:hAnsi="Calibri"/>
                <w:color w:val="333333"/>
                <w:sz w:val="18"/>
              </w:rPr>
              <w:t>$1.9B</w:t>
            </w:r>
          </w:p>
        </w:tc>
        <w:tc>
          <w:tcPr>
            <w:tcW w:type="dxa" w:w="2520"/>
            <w:shd w:fill="F2F4F8" w:val="clear"/>
            <w:shd w:fill="FCE8E6" w:val="clear"/>
          </w:tcPr>
          <w:p>
            <w:r>
              <w:rPr>
                <w:rFonts w:ascii="Calibri" w:hAnsi="Calibri"/>
                <w:color w:val="333333"/>
                <w:sz w:val="18"/>
              </w:rPr>
              <w:t>-60.9%</w:t>
            </w:r>
          </w:p>
        </w:tc>
      </w:tr>
      <w:tr>
        <w:tc>
          <w:tcPr>
            <w:tcW w:type="dxa" w:w="2520"/>
          </w:tcPr>
          <w:p>
            <w:r>
              <w:rPr>
                <w:rFonts w:ascii="Calibri" w:hAnsi="Calibri"/>
                <w:color w:val="333333"/>
                <w:sz w:val="18"/>
              </w:rPr>
              <w:t>Selling, general and administrative expense</w:t>
            </w:r>
          </w:p>
        </w:tc>
        <w:tc>
          <w:tcPr>
            <w:tcW w:type="dxa" w:w="2520"/>
          </w:tcPr>
          <w:p>
            <w:r>
              <w:rPr>
                <w:rFonts w:ascii="Calibri" w:hAnsi="Calibri"/>
                <w:color w:val="333333"/>
                <w:sz w:val="18"/>
              </w:rPr>
              <w:t>$53.0B</w:t>
            </w:r>
          </w:p>
        </w:tc>
        <w:tc>
          <w:tcPr>
            <w:tcW w:type="dxa" w:w="2520"/>
          </w:tcPr>
          <w:p>
            <w:r>
              <w:rPr>
                <w:rFonts w:ascii="Calibri" w:hAnsi="Calibri"/>
                <w:color w:val="333333"/>
                <w:sz w:val="18"/>
              </w:rPr>
              <w:t>$59.6B</w:t>
            </w:r>
          </w:p>
        </w:tc>
        <w:tc>
          <w:tcPr>
            <w:tcW w:type="dxa" w:w="2520"/>
            <w:shd w:fill="DCEEF8" w:val="clear"/>
          </w:tcPr>
          <w:p>
            <w:r>
              <w:rPr>
                <w:rFonts w:ascii="Calibri" w:hAnsi="Calibri"/>
                <w:color w:val="333333"/>
                <w:sz w:val="18"/>
              </w:rPr>
              <w:t>12.4%</w:t>
            </w:r>
          </w:p>
        </w:tc>
      </w:tr>
      <w:tr>
        <w:tc>
          <w:tcPr>
            <w:tcW w:type="dxa" w:w="2520"/>
            <w:shd w:fill="F2F4F8" w:val="clear"/>
          </w:tcPr>
          <w:p>
            <w:r>
              <w:rPr>
                <w:rFonts w:ascii="Calibri" w:hAnsi="Calibri"/>
                <w:color w:val="333333"/>
                <w:sz w:val="18"/>
              </w:rPr>
              <w:t>Earnings before interest and taxes (EBIT)</w:t>
            </w:r>
          </w:p>
        </w:tc>
        <w:tc>
          <w:tcPr>
            <w:tcW w:type="dxa" w:w="2520"/>
            <w:shd w:fill="F2F4F8" w:val="clear"/>
          </w:tcPr>
          <w:p>
            <w:r>
              <w:rPr>
                <w:rFonts w:ascii="Calibri" w:hAnsi="Calibri"/>
                <w:color w:val="333333"/>
                <w:sz w:val="18"/>
              </w:rPr>
              <w:t>$32.3B</w:t>
            </w:r>
          </w:p>
        </w:tc>
        <w:tc>
          <w:tcPr>
            <w:tcW w:type="dxa" w:w="2520"/>
            <w:shd w:fill="F2F4F8" w:val="clear"/>
          </w:tcPr>
          <w:p>
            <w:r>
              <w:rPr>
                <w:rFonts w:ascii="Calibri" w:hAnsi="Calibri"/>
                <w:color w:val="333333"/>
                <w:sz w:val="18"/>
              </w:rPr>
              <w:t>$19.0B</w:t>
            </w:r>
          </w:p>
        </w:tc>
        <w:tc>
          <w:tcPr>
            <w:tcW w:type="dxa" w:w="2520"/>
            <w:shd w:fill="F2F4F8" w:val="clear"/>
            <w:shd w:fill="FCE8E6" w:val="clear"/>
          </w:tcPr>
          <w:p>
            <w:r>
              <w:rPr>
                <w:rFonts w:ascii="Calibri" w:hAnsi="Calibri"/>
                <w:color w:val="333333"/>
                <w:sz w:val="18"/>
              </w:rPr>
              <w:t>-41.3%</w:t>
            </w:r>
          </w:p>
        </w:tc>
      </w:tr>
      <w:tr>
        <w:tc>
          <w:tcPr>
            <w:tcW w:type="dxa" w:w="2520"/>
          </w:tcPr>
          <w:p>
            <w:r>
              <w:rPr>
                <w:rFonts w:ascii="Calibri" w:hAnsi="Calibri"/>
                <w:color w:val="333333"/>
                <w:sz w:val="18"/>
              </w:rPr>
              <w:t>Weighted average shares outstanding (basic)</w:t>
            </w:r>
          </w:p>
        </w:tc>
        <w:tc>
          <w:tcPr>
            <w:tcW w:type="dxa" w:w="2520"/>
          </w:tcPr>
          <w:p>
            <w:r>
              <w:rPr>
                <w:rFonts w:ascii="Calibri" w:hAnsi="Calibri"/>
                <w:color w:val="333333"/>
                <w:sz w:val="18"/>
              </w:rPr>
              <w:t>921.0M</w:t>
            </w:r>
          </w:p>
        </w:tc>
        <w:tc>
          <w:tcPr>
            <w:tcW w:type="dxa" w:w="2520"/>
          </w:tcPr>
          <w:p>
            <w:r>
              <w:rPr>
                <w:rFonts w:ascii="Calibri" w:hAnsi="Calibri"/>
                <w:color w:val="333333"/>
                <w:sz w:val="18"/>
              </w:rPr>
              <w:t>908.0M</w:t>
            </w:r>
          </w:p>
        </w:tc>
        <w:tc>
          <w:tcPr>
            <w:tcW w:type="dxa" w:w="2520"/>
            <w:shd w:fill="FFF3CD" w:val="clear"/>
          </w:tcPr>
          <w:p>
            <w:r>
              <w:rPr>
                <w:rFonts w:ascii="Calibri" w:hAnsi="Calibri"/>
                <w:color w:val="333333"/>
                <w:sz w:val="18"/>
              </w:rPr>
              <w:t>-1.4%</w:t>
            </w:r>
          </w:p>
        </w:tc>
      </w:tr>
      <w:tr>
        <w:tc>
          <w:tcPr>
            <w:tcW w:type="dxa" w:w="2520"/>
            <w:shd w:fill="F2F4F8" w:val="clear"/>
          </w:tcPr>
          <w:p>
            <w:r>
              <w:rPr>
                <w:rFonts w:ascii="Calibri" w:hAnsi="Calibri"/>
                <w:color w:val="333333"/>
                <w:sz w:val="18"/>
              </w:rPr>
              <w:t>Weighted average shares outstanding (diluted)</w:t>
            </w:r>
          </w:p>
        </w:tc>
        <w:tc>
          <w:tcPr>
            <w:tcW w:type="dxa" w:w="2520"/>
            <w:shd w:fill="F2F4F8" w:val="clear"/>
          </w:tcPr>
          <w:p>
            <w:r>
              <w:rPr>
                <w:rFonts w:ascii="Calibri" w:hAnsi="Calibri"/>
                <w:color w:val="333333"/>
                <w:sz w:val="18"/>
              </w:rPr>
              <w:t>929.0M</w:t>
            </w:r>
          </w:p>
        </w:tc>
        <w:tc>
          <w:tcPr>
            <w:tcW w:type="dxa" w:w="2520"/>
            <w:shd w:fill="F2F4F8" w:val="clear"/>
          </w:tcPr>
          <w:p>
            <w:r>
              <w:rPr>
                <w:rFonts w:ascii="Calibri" w:hAnsi="Calibri"/>
                <w:color w:val="333333"/>
                <w:sz w:val="18"/>
              </w:rPr>
              <w:t>911.0M</w:t>
            </w:r>
          </w:p>
        </w:tc>
        <w:tc>
          <w:tcPr>
            <w:tcW w:type="dxa" w:w="2520"/>
            <w:shd w:fill="F2F4F8" w:val="clear"/>
            <w:shd w:fill="FFF3CD" w:val="clear"/>
          </w:tcPr>
          <w:p>
            <w:r>
              <w:rPr>
                <w:rFonts w:ascii="Calibri" w:hAnsi="Calibri"/>
                <w:color w:val="333333"/>
                <w:sz w:val="18"/>
              </w:rPr>
              <w:t>-1.9%</w:t>
            </w:r>
          </w:p>
        </w:tc>
      </w:tr>
      <w:tr>
        <w:tc>
          <w:tcPr>
            <w:tcW w:type="dxa" w:w="2520"/>
          </w:tcPr>
          <w:p>
            <w:r>
              <w:rPr>
                <w:rFonts w:ascii="Calibri" w:hAnsi="Calibri"/>
                <w:color w:val="333333"/>
                <w:sz w:val="18"/>
              </w:rPr>
              <w:t>Total comprehensive income / loss</w:t>
            </w:r>
          </w:p>
        </w:tc>
        <w:tc>
          <w:tcPr>
            <w:tcW w:type="dxa" w:w="2520"/>
          </w:tcPr>
          <w:p>
            <w:r>
              <w:rPr>
                <w:rFonts w:ascii="Calibri" w:hAnsi="Calibri"/>
                <w:color w:val="333333"/>
                <w:sz w:val="18"/>
              </w:rPr>
              <w:t>$18.0B</w:t>
            </w:r>
          </w:p>
        </w:tc>
        <w:tc>
          <w:tcPr>
            <w:tcW w:type="dxa" w:w="2520"/>
          </w:tcPr>
          <w:p>
            <w:r>
              <w:rPr>
                <w:rFonts w:ascii="Calibri" w:hAnsi="Calibri"/>
                <w:color w:val="333333"/>
                <w:sz w:val="18"/>
              </w:rPr>
              <w:t>$13.4B</w:t>
            </w:r>
          </w:p>
        </w:tc>
        <w:tc>
          <w:tcPr>
            <w:tcW w:type="dxa" w:w="2520"/>
            <w:shd w:fill="FCE8E6" w:val="clear"/>
          </w:tcPr>
          <w:p>
            <w:r>
              <w:rPr>
                <w:rFonts w:ascii="Calibri" w:hAnsi="Calibri"/>
                <w:color w:val="333333"/>
                <w:sz w:val="18"/>
              </w:rPr>
              <w:t>-25.8%</w:t>
            </w:r>
          </w:p>
        </w:tc>
      </w:tr>
      <w:tr>
        <w:tc>
          <w:tcPr>
            <w:tcW w:type="dxa" w:w="2520"/>
            <w:shd w:fill="F2F4F8" w:val="clear"/>
          </w:tcPr>
          <w:p>
            <w:r>
              <w:rPr>
                <w:rFonts w:ascii="Calibri" w:hAnsi="Calibri"/>
                <w:color w:val="333333"/>
                <w:sz w:val="18"/>
              </w:rPr>
              <w:t>Impairment charges (goodwill, intangibles, long-lived assets)</w:t>
            </w:r>
          </w:p>
        </w:tc>
        <w:tc>
          <w:tcPr>
            <w:tcW w:type="dxa" w:w="2520"/>
            <w:shd w:fill="F2F4F8" w:val="clear"/>
          </w:tcPr>
          <w:p>
            <w:r>
              <w:rPr>
                <w:rFonts w:ascii="Calibri" w:hAnsi="Calibri"/>
                <w:color w:val="333333"/>
                <w:sz w:val="18"/>
              </w:rPr>
              <w:t>$0</w:t>
            </w:r>
          </w:p>
        </w:tc>
        <w:tc>
          <w:tcPr>
            <w:tcW w:type="dxa" w:w="2520"/>
            <w:shd w:fill="F2F4F8" w:val="clear"/>
          </w:tcPr>
          <w:p>
            <w:r>
              <w:rPr>
                <w:rFonts w:ascii="Calibri" w:hAnsi="Calibri"/>
                <w:color w:val="333333"/>
                <w:sz w:val="18"/>
              </w:rPr>
              <w:t>$0</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Income from operations</w:t>
            </w:r>
          </w:p>
        </w:tc>
        <w:tc>
          <w:tcPr>
            <w:tcW w:type="dxa" w:w="2520"/>
          </w:tcPr>
          <w:p>
            <w:r>
              <w:rPr>
                <w:rFonts w:ascii="Calibri" w:hAnsi="Calibri"/>
                <w:color w:val="333333"/>
                <w:sz w:val="18"/>
              </w:rPr>
              <w:t>$32.3B</w:t>
            </w:r>
          </w:p>
        </w:tc>
        <w:tc>
          <w:tcPr>
            <w:tcW w:type="dxa" w:w="2520"/>
          </w:tcPr>
          <w:p>
            <w:r>
              <w:rPr>
                <w:rFonts w:ascii="Calibri" w:hAnsi="Calibri"/>
                <w:color w:val="333333"/>
                <w:sz w:val="18"/>
              </w:rPr>
              <w:t>$19.0B</w:t>
            </w:r>
          </w:p>
        </w:tc>
        <w:tc>
          <w:tcPr>
            <w:tcW w:type="dxa" w:w="2520"/>
            <w:shd w:fill="FCE8E6" w:val="clear"/>
          </w:tcPr>
          <w:p>
            <w:r>
              <w:rPr>
                <w:rFonts w:ascii="Calibri" w:hAnsi="Calibri"/>
                <w:color w:val="333333"/>
                <w:sz w:val="18"/>
              </w:rPr>
              <w:t>-41.3%</w:t>
            </w:r>
          </w:p>
        </w:tc>
      </w:tr>
      <w:tr>
        <w:tc>
          <w:tcPr>
            <w:tcW w:type="dxa" w:w="2520"/>
            <w:shd w:fill="F2F4F8" w:val="clear"/>
          </w:tcPr>
          <w:p>
            <w:r>
              <w:rPr>
                <w:rFonts w:ascii="Calibri" w:hAnsi="Calibri"/>
                <w:color w:val="333333"/>
                <w:sz w:val="18"/>
              </w:rPr>
              <w:t>Pre-tax income</w:t>
            </w:r>
          </w:p>
        </w:tc>
        <w:tc>
          <w:tcPr>
            <w:tcW w:type="dxa" w:w="2520"/>
            <w:shd w:fill="F2F4F8" w:val="clear"/>
          </w:tcPr>
          <w:p>
            <w:r>
              <w:rPr>
                <w:rFonts w:ascii="Calibri" w:hAnsi="Calibri"/>
                <w:color w:val="333333"/>
                <w:sz w:val="18"/>
              </w:rPr>
              <w:t>$20.1B</w:t>
            </w:r>
          </w:p>
        </w:tc>
        <w:tc>
          <w:tcPr>
            <w:tcW w:type="dxa" w:w="2520"/>
            <w:shd w:fill="F2F4F8" w:val="clear"/>
          </w:tcPr>
          <w:p>
            <w:r>
              <w:rPr>
                <w:rFonts w:ascii="Calibri" w:hAnsi="Calibri"/>
                <w:color w:val="333333"/>
                <w:sz w:val="18"/>
              </w:rPr>
              <w:t>$14.7B</w:t>
            </w:r>
          </w:p>
        </w:tc>
        <w:tc>
          <w:tcPr>
            <w:tcW w:type="dxa" w:w="2520"/>
            <w:shd w:fill="F2F4F8" w:val="clear"/>
            <w:shd w:fill="FCE8E6" w:val="clear"/>
          </w:tcPr>
          <w:p>
            <w:r>
              <w:rPr>
                <w:rFonts w:ascii="Calibri" w:hAnsi="Calibri"/>
                <w:color w:val="333333"/>
                <w:sz w:val="18"/>
              </w:rPr>
              <w:t>-26.8%</w:t>
            </w:r>
          </w:p>
        </w:tc>
      </w:tr>
      <w:tr>
        <w:tc>
          <w:tcPr>
            <w:tcW w:type="dxa" w:w="2520"/>
          </w:tcPr>
          <w:p>
            <w:r>
              <w:rPr>
                <w:rFonts w:ascii="Calibri" w:hAnsi="Calibri"/>
                <w:color w:val="333333"/>
                <w:sz w:val="18"/>
              </w:rPr>
              <w:t>Stock-based compensation expense</w:t>
            </w:r>
          </w:p>
        </w:tc>
        <w:tc>
          <w:tcPr>
            <w:tcW w:type="dxa" w:w="2520"/>
          </w:tcPr>
          <w:p>
            <w:r>
              <w:rPr>
                <w:rFonts w:ascii="Calibri" w:hAnsi="Calibri"/>
                <w:color w:val="333333"/>
                <w:sz w:val="18"/>
              </w:rPr>
              <w:t>$1.0B</w:t>
            </w:r>
          </w:p>
        </w:tc>
        <w:tc>
          <w:tcPr>
            <w:tcW w:type="dxa" w:w="2520"/>
          </w:tcPr>
          <w:p>
            <w:r>
              <w:rPr>
                <w:rFonts w:ascii="Calibri" w:hAnsi="Calibri"/>
                <w:color w:val="333333"/>
                <w:sz w:val="18"/>
              </w:rPr>
              <w:t>$971.0M</w:t>
            </w:r>
          </w:p>
        </w:tc>
        <w:tc>
          <w:tcPr>
            <w:tcW w:type="dxa" w:w="2520"/>
            <w:shd w:fill="FFF3CD" w:val="clear"/>
          </w:tcPr>
          <w:p>
            <w:r>
              <w:rPr>
                <w:rFonts w:ascii="Calibri" w:hAnsi="Calibri"/>
                <w:color w:val="333333"/>
                <w:sz w:val="18"/>
              </w:rPr>
              <w:t>-4.6%</w:t>
            </w:r>
          </w:p>
        </w:tc>
      </w:tr>
      <w:tr>
        <w:tc>
          <w:tcPr>
            <w:tcW w:type="dxa" w:w="2520"/>
            <w:shd w:fill="F2F4F8" w:val="clear"/>
          </w:tcPr>
          <w:p>
            <w:r>
              <w:rPr>
                <w:rFonts w:ascii="Calibri" w:hAnsi="Calibri"/>
                <w:color w:val="333333"/>
                <w:sz w:val="18"/>
              </w:rPr>
              <w:t>Income before income taxes</w:t>
            </w:r>
          </w:p>
        </w:tc>
        <w:tc>
          <w:tcPr>
            <w:tcW w:type="dxa" w:w="2520"/>
            <w:shd w:fill="F2F4F8" w:val="clear"/>
          </w:tcPr>
          <w:p>
            <w:r>
              <w:rPr>
                <w:rFonts w:ascii="Calibri" w:hAnsi="Calibri"/>
                <w:color w:val="333333"/>
                <w:sz w:val="18"/>
              </w:rPr>
              <w:t>$20.1B</w:t>
            </w:r>
          </w:p>
        </w:tc>
        <w:tc>
          <w:tcPr>
            <w:tcW w:type="dxa" w:w="2520"/>
            <w:shd w:fill="F2F4F8" w:val="clear"/>
          </w:tcPr>
          <w:p>
            <w:r>
              <w:rPr>
                <w:rFonts w:ascii="Calibri" w:hAnsi="Calibri"/>
                <w:color w:val="333333"/>
                <w:sz w:val="18"/>
              </w:rPr>
              <w:t>$14.7B</w:t>
            </w:r>
          </w:p>
        </w:tc>
        <w:tc>
          <w:tcPr>
            <w:tcW w:type="dxa" w:w="2520"/>
            <w:shd w:fill="F2F4F8" w:val="clear"/>
            <w:shd w:fill="FCE8E6" w:val="clear"/>
          </w:tcPr>
          <w:p>
            <w:r>
              <w:rPr>
                <w:rFonts w:ascii="Calibri" w:hAnsi="Calibri"/>
                <w:color w:val="333333"/>
                <w:sz w:val="18"/>
              </w:rPr>
              <w:t>-26.8%</w:t>
            </w:r>
          </w:p>
        </w:tc>
      </w:tr>
      <w:tr>
        <w:tc>
          <w:tcPr>
            <w:tcW w:type="dxa" w:w="2520"/>
          </w:tcPr>
          <w:p>
            <w:r>
              <w:rPr>
                <w:rFonts w:ascii="Calibri" w:hAnsi="Calibri"/>
                <w:color w:val="333333"/>
                <w:sz w:val="18"/>
              </w:rPr>
              <w:t>Gain/loss on sale of assets</w:t>
            </w:r>
          </w:p>
        </w:tc>
        <w:tc>
          <w:tcPr>
            <w:tcW w:type="dxa" w:w="2520"/>
          </w:tcPr>
          <w:p>
            <w:r>
              <w:rPr>
                <w:rFonts w:ascii="Calibri" w:hAnsi="Calibri"/>
                <w:color w:val="333333"/>
                <w:sz w:val="18"/>
              </w:rPr>
              <w:t>$3.3B</w:t>
            </w:r>
          </w:p>
        </w:tc>
        <w:tc>
          <w:tcPr>
            <w:tcW w:type="dxa" w:w="2520"/>
          </w:tcPr>
          <w:p>
            <w:r>
              <w:rPr>
                <w:rFonts w:ascii="Calibri" w:hAnsi="Calibri"/>
                <w:color w:val="333333"/>
                <w:sz w:val="18"/>
              </w:rPr>
              <w:t>$910.0M</w:t>
            </w:r>
          </w:p>
        </w:tc>
        <w:tc>
          <w:tcPr>
            <w:tcW w:type="dxa" w:w="2520"/>
            <w:shd w:fill="FCE8E6" w:val="clear"/>
          </w:tcPr>
          <w:p>
            <w:r>
              <w:rPr>
                <w:rFonts w:ascii="Calibri" w:hAnsi="Calibri"/>
                <w:color w:val="333333"/>
                <w:sz w:val="18"/>
              </w:rPr>
              <w:t>-72.7%</w:t>
            </w:r>
          </w:p>
        </w:tc>
      </w:tr>
      <w:tr>
        <w:tc>
          <w:tcPr>
            <w:tcW w:type="dxa" w:w="2520"/>
            <w:shd w:fill="F2F4F8" w:val="clear"/>
          </w:tcPr>
          <w:p>
            <w:r>
              <w:rPr>
                <w:rFonts w:ascii="Calibri" w:hAnsi="Calibri"/>
                <w:color w:val="333333"/>
                <w:sz w:val="18"/>
              </w:rPr>
              <w:t>Other comprehensive income/loss, net of tax</w:t>
            </w:r>
          </w:p>
        </w:tc>
        <w:tc>
          <w:tcPr>
            <w:tcW w:type="dxa" w:w="2520"/>
            <w:shd w:fill="F2F4F8" w:val="clear"/>
          </w:tcPr>
          <w:p>
            <w:r>
              <w:rPr>
                <w:rFonts w:ascii="Calibri" w:hAnsi="Calibri"/>
                <w:color w:val="333333"/>
                <w:sz w:val="18"/>
              </w:rPr>
              <w:t>$3.6B</w:t>
            </w:r>
          </w:p>
        </w:tc>
        <w:tc>
          <w:tcPr>
            <w:tcW w:type="dxa" w:w="2520"/>
            <w:shd w:fill="F2F4F8" w:val="clear"/>
          </w:tcPr>
          <w:p>
            <w:r>
              <w:rPr>
                <w:rFonts w:ascii="Calibri" w:hAnsi="Calibri"/>
                <w:color w:val="333333"/>
                <w:sz w:val="18"/>
              </w:rPr>
              <w:t>$1.3B</w:t>
            </w:r>
          </w:p>
        </w:tc>
        <w:tc>
          <w:tcPr>
            <w:tcW w:type="dxa" w:w="2520"/>
            <w:shd w:fill="F2F4F8" w:val="clear"/>
            <w:shd w:fill="FCE8E6" w:val="clear"/>
          </w:tcPr>
          <w:p>
            <w:r>
              <w:rPr>
                <w:rFonts w:ascii="Calibri" w:hAnsi="Calibri"/>
                <w:color w:val="333333"/>
                <w:sz w:val="18"/>
              </w:rPr>
              <w:t>-63.6%</w:t>
            </w:r>
          </w:p>
        </w:tc>
      </w:tr>
      <w:tr>
        <w:tc>
          <w:tcPr>
            <w:tcW w:type="dxa" w:w="2520"/>
          </w:tcPr>
          <w:p>
            <w:r>
              <w:rPr>
                <w:rFonts w:ascii="Calibri" w:hAnsi="Calibri"/>
                <w:color w:val="333333"/>
                <w:sz w:val="18"/>
              </w:rPr>
              <w:t>Total operating expenses</w:t>
            </w:r>
          </w:p>
        </w:tc>
        <w:tc>
          <w:tcPr>
            <w:tcW w:type="dxa" w:w="2520"/>
          </w:tcPr>
          <w:p>
            <w:r>
              <w:rPr>
                <w:rFonts w:ascii="Calibri" w:hAnsi="Calibri"/>
                <w:color w:val="333333"/>
                <w:sz w:val="18"/>
              </w:rPr>
              <w:t>$368.0B</w:t>
            </w:r>
          </w:p>
        </w:tc>
        <w:tc>
          <w:tcPr>
            <w:tcW w:type="dxa" w:w="2520"/>
          </w:tcPr>
          <w:p>
            <w:r>
              <w:rPr>
                <w:rFonts w:ascii="Calibri" w:hAnsi="Calibri"/>
                <w:color w:val="333333"/>
                <w:sz w:val="18"/>
              </w:rPr>
              <w:t>$428.6B</w:t>
            </w:r>
          </w:p>
        </w:tc>
        <w:tc>
          <w:tcPr>
            <w:tcW w:type="dxa" w:w="2520"/>
            <w:shd w:fill="DCEEF8" w:val="clear"/>
          </w:tcPr>
          <w:p>
            <w:r>
              <w:rPr>
                <w:rFonts w:ascii="Calibri" w:hAnsi="Calibri"/>
                <w:color w:val="333333"/>
                <w:sz w:val="18"/>
              </w:rPr>
              <w:t>16.5%</w:t>
            </w:r>
          </w:p>
        </w:tc>
      </w:tr>
      <w:tr>
        <w:tc>
          <w:tcPr>
            <w:tcW w:type="dxa" w:w="2520"/>
            <w:shd w:fill="F2F4F8" w:val="clear"/>
          </w:tcPr>
          <w:p>
            <w:r>
              <w:rPr>
                <w:rFonts w:ascii="Calibri" w:hAnsi="Calibri"/>
                <w:color w:val="333333"/>
                <w:sz w:val="18"/>
              </w:rPr>
              <w:t>Total costs and expenses</w:t>
            </w:r>
          </w:p>
        </w:tc>
        <w:tc>
          <w:tcPr>
            <w:tcW w:type="dxa" w:w="2520"/>
            <w:shd w:fill="F2F4F8" w:val="clear"/>
          </w:tcPr>
          <w:p>
            <w:r>
              <w:rPr>
                <w:rFonts w:ascii="Calibri" w:hAnsi="Calibri"/>
                <w:color w:val="333333"/>
                <w:sz w:val="18"/>
              </w:rPr>
              <w:t>$368.0B</w:t>
            </w:r>
          </w:p>
        </w:tc>
        <w:tc>
          <w:tcPr>
            <w:tcW w:type="dxa" w:w="2520"/>
            <w:shd w:fill="F2F4F8" w:val="clear"/>
          </w:tcPr>
          <w:p>
            <w:r>
              <w:rPr>
                <w:rFonts w:ascii="Calibri" w:hAnsi="Calibri"/>
                <w:color w:val="333333"/>
                <w:sz w:val="18"/>
              </w:rPr>
              <w:t>$428.6B</w:t>
            </w:r>
          </w:p>
        </w:tc>
        <w:tc>
          <w:tcPr>
            <w:tcW w:type="dxa" w:w="2520"/>
            <w:shd w:fill="F2F4F8" w:val="clear"/>
            <w:shd w:fill="DCEEF8" w:val="clear"/>
          </w:tcPr>
          <w:p>
            <w:r>
              <w:rPr>
                <w:rFonts w:ascii="Calibri" w:hAnsi="Calibri"/>
                <w:color w:val="333333"/>
                <w:sz w:val="18"/>
              </w:rPr>
              <w:t>16.5%</w:t>
            </w:r>
          </w:p>
        </w:tc>
      </w:tr>
      <w:tr>
        <w:tc>
          <w:tcPr>
            <w:tcW w:type="dxa" w:w="2520"/>
          </w:tcPr>
          <w:p>
            <w:r>
              <w:rPr>
                <w:rFonts w:ascii="Calibri" w:hAnsi="Calibri"/>
                <w:color w:val="333333"/>
                <w:sz w:val="18"/>
              </w:rPr>
              <w:t>Impairment of intangible assets (excluding goodwill)</w:t>
            </w:r>
          </w:p>
        </w:tc>
        <w:tc>
          <w:tcPr>
            <w:tcW w:type="dxa" w:w="2520"/>
          </w:tcPr>
          <w:p>
            <w:r>
              <w:rPr>
                <w:rFonts w:ascii="Calibri" w:hAnsi="Calibri"/>
                <w:color w:val="333333"/>
                <w:sz w:val="18"/>
              </w:rPr>
              <w:t>$0</w:t>
            </w:r>
          </w:p>
        </w:tc>
        <w:tc>
          <w:tcPr>
            <w:tcW w:type="dxa" w:w="2520"/>
          </w:tcPr>
          <w:p>
            <w:r>
              <w:rPr>
                <w:rFonts w:ascii="Calibri" w:hAnsi="Calibri"/>
                <w:color w:val="333333"/>
                <w:sz w:val="18"/>
              </w:rPr>
              <w:t>$0</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Current state and local income tax expense / benefit</w:t>
            </w:r>
          </w:p>
        </w:tc>
        <w:tc>
          <w:tcPr>
            <w:tcW w:type="dxa" w:w="2520"/>
            <w:shd w:fill="F2F4F8" w:val="clear"/>
          </w:tcPr>
          <w:p>
            <w:r>
              <w:rPr>
                <w:rFonts w:ascii="Calibri" w:hAnsi="Calibri"/>
                <w:color w:val="333333"/>
                <w:sz w:val="18"/>
              </w:rPr>
              <w:t>$416.0M</w:t>
            </w:r>
          </w:p>
        </w:tc>
        <w:tc>
          <w:tcPr>
            <w:tcW w:type="dxa" w:w="2520"/>
            <w:shd w:fill="F2F4F8" w:val="clear"/>
          </w:tcPr>
          <w:p>
            <w:r>
              <w:rPr>
                <w:rFonts w:ascii="Calibri" w:hAnsi="Calibri"/>
                <w:color w:val="333333"/>
                <w:sz w:val="18"/>
              </w:rPr>
              <w:t>$598.0M</w:t>
            </w:r>
          </w:p>
        </w:tc>
        <w:tc>
          <w:tcPr>
            <w:tcW w:type="dxa" w:w="2520"/>
            <w:shd w:fill="F2F4F8" w:val="clear"/>
            <w:shd w:fill="DCEEF8" w:val="clear"/>
          </w:tcPr>
          <w:p>
            <w:r>
              <w:rPr>
                <w:rFonts w:ascii="Calibri" w:hAnsi="Calibri"/>
                <w:color w:val="333333"/>
                <w:sz w:val="18"/>
              </w:rPr>
              <w:t>43.8%</w:t>
            </w:r>
          </w:p>
        </w:tc>
      </w:tr>
      <w:tr>
        <w:tc>
          <w:tcPr>
            <w:tcW w:type="dxa" w:w="2520"/>
          </w:tcPr>
          <w:p>
            <w:r>
              <w:rPr>
                <w:rFonts w:ascii="Calibri" w:hAnsi="Calibri"/>
                <w:color w:val="333333"/>
                <w:sz w:val="18"/>
              </w:rPr>
              <w:t>Current foreign income tax expense / benefit</w:t>
            </w:r>
          </w:p>
        </w:tc>
        <w:tc>
          <w:tcPr>
            <w:tcW w:type="dxa" w:w="2520"/>
          </w:tcPr>
          <w:p>
            <w:r>
              <w:rPr>
                <w:rFonts w:ascii="Calibri" w:hAnsi="Calibri"/>
                <w:color w:val="333333"/>
                <w:sz w:val="18"/>
              </w:rPr>
              <w:t>$1.3B</w:t>
            </w:r>
          </w:p>
        </w:tc>
        <w:tc>
          <w:tcPr>
            <w:tcW w:type="dxa" w:w="2520"/>
          </w:tcPr>
          <w:p>
            <w:r>
              <w:rPr>
                <w:rFonts w:ascii="Calibri" w:hAnsi="Calibri"/>
                <w:color w:val="333333"/>
                <w:sz w:val="18"/>
              </w:rPr>
              <w:t>$1.7B</w:t>
            </w:r>
          </w:p>
        </w:tc>
        <w:tc>
          <w:tcPr>
            <w:tcW w:type="dxa" w:w="2520"/>
            <w:shd w:fill="DCEEF8" w:val="clear"/>
          </w:tcPr>
          <w:p>
            <w:r>
              <w:rPr>
                <w:rFonts w:ascii="Calibri" w:hAnsi="Calibri"/>
                <w:color w:val="333333"/>
                <w:sz w:val="18"/>
              </w:rPr>
              <w:t>32.4%</w:t>
            </w:r>
          </w:p>
        </w:tc>
      </w:tr>
      <w:tr>
        <w:tc>
          <w:tcPr>
            <w:tcW w:type="dxa" w:w="2520"/>
            <w:shd w:fill="F2F4F8" w:val="clear"/>
          </w:tcPr>
          <w:p>
            <w:r>
              <w:rPr>
                <w:rFonts w:ascii="Calibri" w:hAnsi="Calibri"/>
                <w:color w:val="333333"/>
                <w:sz w:val="18"/>
              </w:rPr>
              <w:t>Deferred federal income tax expense / benefit</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$-1.1B</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Deferred state and local income tax expense / benefit</w:t>
            </w:r>
          </w:p>
        </w:tc>
        <w:tc>
          <w:tcPr>
            <w:tcW w:type="dxa" w:w="2520"/>
          </w:tcPr>
          <w:p>
            <w:r>
              <w:rPr>
                <w:rFonts w:ascii="Calibri" w:hAnsi="Calibri"/>
                <w:color w:val="333333"/>
                <w:sz w:val="18"/>
              </w:rPr>
              <w:t>N/A</w:t>
            </w:r>
          </w:p>
        </w:tc>
        <w:tc>
          <w:tcPr>
            <w:tcW w:type="dxa" w:w="2520"/>
          </w:tcPr>
          <w:p>
            <w:r>
              <w:rPr>
                <w:rFonts w:ascii="Calibri" w:hAnsi="Calibri"/>
                <w:color w:val="333333"/>
                <w:sz w:val="18"/>
              </w:rPr>
              <w:t>$-227.0M</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Deferred foreign income tax expense / benefit</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$-376.0M</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Goodwill impairment loss</w:t>
            </w:r>
          </w:p>
        </w:tc>
        <w:tc>
          <w:tcPr>
            <w:tcW w:type="dxa" w:w="2520"/>
          </w:tcPr>
          <w:p>
            <w:r>
              <w:rPr>
                <w:rFonts w:ascii="Calibri" w:hAnsi="Calibri"/>
                <w:color w:val="333333"/>
                <w:sz w:val="18"/>
              </w:rPr>
              <w:t>$0</w:t>
            </w:r>
          </w:p>
        </w:tc>
        <w:tc>
          <w:tcPr>
            <w:tcW w:type="dxa" w:w="2520"/>
          </w:tcPr>
          <w:p>
            <w:r>
              <w:rPr>
                <w:rFonts w:ascii="Calibri" w:hAnsi="Calibri"/>
                <w:color w:val="333333"/>
                <w:sz w:val="18"/>
              </w:rPr>
              <w:t>$0</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Impairment of intangible assets (finite-lived and indefinite-lived)</w:t>
            </w:r>
          </w:p>
        </w:tc>
        <w:tc>
          <w:tcPr>
            <w:tcW w:type="dxa" w:w="2520"/>
            <w:shd w:fill="F2F4F8" w:val="clear"/>
          </w:tcPr>
          <w:p>
            <w:r>
              <w:rPr>
                <w:rFonts w:ascii="Calibri" w:hAnsi="Calibri"/>
                <w:color w:val="333333"/>
                <w:sz w:val="18"/>
              </w:rPr>
              <w:t>$0</w:t>
            </w:r>
          </w:p>
        </w:tc>
        <w:tc>
          <w:tcPr>
            <w:tcW w:type="dxa" w:w="2520"/>
            <w:shd w:fill="F2F4F8" w:val="clear"/>
          </w:tcPr>
          <w:p>
            <w:r>
              <w:rPr>
                <w:rFonts w:ascii="Calibri" w:hAnsi="Calibri"/>
                <w:color w:val="333333"/>
                <w:sz w:val="18"/>
              </w:rPr>
              <w:t>$0</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Gross margin percentage</w:t>
            </w:r>
          </w:p>
        </w:tc>
        <w:tc>
          <w:tcPr>
            <w:tcW w:type="dxa" w:w="2520"/>
          </w:tcPr>
          <w:p>
            <w:r>
              <w:rPr>
                <w:rFonts w:ascii="Calibri" w:hAnsi="Calibri"/>
                <w:color w:val="333333"/>
                <w:sz w:val="18"/>
              </w:rPr>
              <w:t>88.3%</w:t>
            </w:r>
          </w:p>
        </w:tc>
        <w:tc>
          <w:tcPr>
            <w:tcW w:type="dxa" w:w="2520"/>
          </w:tcPr>
          <w:p>
            <w:r>
              <w:rPr>
                <w:rFonts w:ascii="Calibri" w:hAnsi="Calibri"/>
                <w:color w:val="333333"/>
                <w:sz w:val="18"/>
              </w:rPr>
              <w:t>88.7%</w:t>
            </w:r>
          </w:p>
        </w:tc>
        <w:tc>
          <w:tcPr>
            <w:tcW w:type="dxa" w:w="2520"/>
          </w:tcPr>
          <w:p>
            <w:r>
              <w:rPr>
                <w:rFonts w:ascii="Calibri" w:hAnsi="Calibri"/>
                <w:color w:val="333333"/>
                <w:sz w:val="18"/>
              </w:rPr>
              <w:t>0.4%</w:t>
            </w:r>
          </w:p>
        </w:tc>
      </w:tr>
      <w:tr>
        <w:tc>
          <w:tcPr>
            <w:tcW w:type="dxa" w:w="2520"/>
            <w:shd w:fill="F2F4F8" w:val="clear"/>
          </w:tcPr>
          <w:p>
            <w:r>
              <w:rPr>
                <w:rFonts w:ascii="Calibri" w:hAnsi="Calibri"/>
                <w:color w:val="333333"/>
                <w:sz w:val="18"/>
              </w:rPr>
              <w:t>Operating margin percentage</w:t>
            </w:r>
          </w:p>
        </w:tc>
        <w:tc>
          <w:tcPr>
            <w:tcW w:type="dxa" w:w="2520"/>
            <w:shd w:fill="F2F4F8" w:val="clear"/>
          </w:tcPr>
          <w:p>
            <w:r>
              <w:rPr>
                <w:rFonts w:ascii="Calibri" w:hAnsi="Calibri"/>
                <w:color w:val="333333"/>
                <w:sz w:val="18"/>
              </w:rPr>
              <w:t>8.1%</w:t>
            </w:r>
          </w:p>
        </w:tc>
        <w:tc>
          <w:tcPr>
            <w:tcW w:type="dxa" w:w="2520"/>
            <w:shd w:fill="F2F4F8" w:val="clear"/>
          </w:tcPr>
          <w:p>
            <w:r>
              <w:rPr>
                <w:rFonts w:ascii="Calibri" w:hAnsi="Calibri"/>
                <w:color w:val="333333"/>
                <w:sz w:val="18"/>
              </w:rPr>
              <w:t>4.2%</w:t>
            </w:r>
          </w:p>
        </w:tc>
        <w:tc>
          <w:tcPr>
            <w:tcW w:type="dxa" w:w="2520"/>
            <w:shd w:fill="F2F4F8" w:val="clear"/>
            <w:shd w:fill="FCE8E6" w:val="clear"/>
          </w:tcPr>
          <w:p>
            <w:r>
              <w:rPr>
                <w:rFonts w:ascii="Calibri" w:hAnsi="Calibri"/>
                <w:color w:val="333333"/>
                <w:sz w:val="18"/>
              </w:rPr>
              <w:t>-47.5%</w:t>
            </w:r>
          </w:p>
        </w:tc>
      </w:tr>
      <w:tr>
        <w:tc>
          <w:tcPr>
            <w:tcW w:type="dxa" w:w="2520"/>
          </w:tcPr>
          <w:p>
            <w:r>
              <w:rPr>
                <w:rFonts w:ascii="Calibri" w:hAnsi="Calibri"/>
                <w:color w:val="333333"/>
                <w:sz w:val="18"/>
              </w:rPr>
              <w:t>Net margin percentage</w:t>
            </w:r>
          </w:p>
        </w:tc>
        <w:tc>
          <w:tcPr>
            <w:tcW w:type="dxa" w:w="2520"/>
          </w:tcPr>
          <w:p>
            <w:r>
              <w:rPr>
                <w:rFonts w:ascii="Calibri" w:hAnsi="Calibri"/>
                <w:color w:val="333333"/>
                <w:sz w:val="18"/>
              </w:rPr>
              <w:t>3.6%</w:t>
            </w:r>
          </w:p>
        </w:tc>
        <w:tc>
          <w:tcPr>
            <w:tcW w:type="dxa" w:w="2520"/>
          </w:tcPr>
          <w:p>
            <w:r>
              <w:rPr>
                <w:rFonts w:ascii="Calibri" w:hAnsi="Calibri"/>
                <w:color w:val="333333"/>
                <w:sz w:val="18"/>
              </w:rPr>
              <w:t>2.7%</w:t>
            </w:r>
          </w:p>
        </w:tc>
        <w:tc>
          <w:tcPr>
            <w:tcW w:type="dxa" w:w="2520"/>
            <w:shd w:fill="FCE8E6" w:val="clear"/>
          </w:tcPr>
          <w:p>
            <w:r>
              <w:rPr>
                <w:rFonts w:ascii="Calibri" w:hAnsi="Calibri"/>
                <w:color w:val="333333"/>
                <w:sz w:val="18"/>
              </w:rPr>
              <w:t>-25.3%</w:t>
            </w:r>
          </w:p>
        </w:tc>
      </w:tr>
      <w:tr>
        <w:tc>
          <w:tcPr>
            <w:tcW w:type="dxa" w:w="2520"/>
            <w:shd w:fill="F2F4F8" w:val="clear"/>
          </w:tcPr>
          <w:p>
            <w:r>
              <w:rPr>
                <w:rFonts w:ascii="Calibri" w:hAnsi="Calibri"/>
                <w:color w:val="333333"/>
                <w:sz w:val="18"/>
              </w:rPr>
              <w:t>EBITDA margin percentage</w:t>
            </w:r>
          </w:p>
        </w:tc>
        <w:tc>
          <w:tcPr>
            <w:tcW w:type="dxa" w:w="2520"/>
            <w:shd w:fill="F2F4F8" w:val="clear"/>
          </w:tcPr>
          <w:p>
            <w:r>
              <w:rPr>
                <w:rFonts w:ascii="Calibri" w:hAnsi="Calibri"/>
                <w:color w:val="333333"/>
                <w:sz w:val="18"/>
              </w:rPr>
              <w:t>9.1%</w:t>
            </w:r>
          </w:p>
        </w:tc>
        <w:tc>
          <w:tcPr>
            <w:tcW w:type="dxa" w:w="2520"/>
            <w:shd w:fill="F2F4F8" w:val="clear"/>
          </w:tcPr>
          <w:p>
            <w:r>
              <w:rPr>
                <w:rFonts w:ascii="Calibri" w:hAnsi="Calibri"/>
                <w:color w:val="333333"/>
                <w:sz w:val="18"/>
              </w:rPr>
              <w:t>5.2%</w:t>
            </w:r>
          </w:p>
        </w:tc>
        <w:tc>
          <w:tcPr>
            <w:tcW w:type="dxa" w:w="2520"/>
            <w:shd w:fill="F2F4F8" w:val="clear"/>
            <w:shd w:fill="FCE8E6" w:val="clear"/>
          </w:tcPr>
          <w:p>
            <w:r>
              <w:rPr>
                <w:rFonts w:ascii="Calibri" w:hAnsi="Calibri"/>
                <w:color w:val="333333"/>
                <w:sz w:val="18"/>
              </w:rPr>
              <w:t>-42.7%</w:t>
            </w:r>
          </w:p>
        </w:tc>
      </w:tr>
      <w:tr>
        <w:tc>
          <w:tcPr>
            <w:tcW w:type="dxa" w:w="2520"/>
          </w:tcPr>
          <w:p>
            <w:r>
              <w:rPr>
                <w:rFonts w:ascii="Calibri" w:hAnsi="Calibri"/>
                <w:color w:val="333333"/>
                <w:sz w:val="18"/>
              </w:rPr>
              <w:t>Effective tax rate</w:t>
            </w:r>
          </w:p>
        </w:tc>
        <w:tc>
          <w:tcPr>
            <w:tcW w:type="dxa" w:w="2520"/>
          </w:tcPr>
          <w:p>
            <w:r>
              <w:rPr>
                <w:rFonts w:ascii="Calibri" w:hAnsi="Calibri"/>
                <w:color w:val="333333"/>
                <w:sz w:val="18"/>
              </w:rPr>
              <w:t>$24</w:t>
            </w:r>
          </w:p>
        </w:tc>
        <w:tc>
          <w:tcPr>
            <w:tcW w:type="dxa" w:w="2520"/>
          </w:tcPr>
          <w:p>
            <w:r>
              <w:rPr>
                <w:rFonts w:ascii="Calibri" w:hAnsi="Calibri"/>
                <w:color w:val="333333"/>
                <w:sz w:val="18"/>
              </w:rPr>
              <w:t>$13</w:t>
            </w:r>
          </w:p>
        </w:tc>
        <w:tc>
          <w:tcPr>
            <w:tcW w:type="dxa" w:w="2520"/>
            <w:shd w:fill="FCE8E6" w:val="clear"/>
          </w:tcPr>
          <w:p>
            <w:r>
              <w:rPr>
                <w:rFonts w:ascii="Calibri" w:hAnsi="Calibri"/>
                <w:color w:val="333333"/>
                <w:sz w:val="18"/>
              </w:rPr>
              <w:t>-46.5%</w:t>
            </w:r>
          </w:p>
        </w:tc>
      </w:tr>
      <w:tr>
        <w:tc>
          <w:tcPr>
            <w:tcW w:type="dxa" w:w="2520"/>
            <w:shd w:fill="F2F4F8" w:val="clear"/>
          </w:tcPr>
          <w:p>
            <w:r>
              <w:rPr>
                <w:rFonts w:ascii="Calibri" w:hAnsi="Calibri"/>
                <w:color w:val="333333"/>
                <w:sz w:val="18"/>
              </w:rPr>
              <w:t>Interest coverage ratio</w:t>
            </w:r>
          </w:p>
        </w:tc>
        <w:tc>
          <w:tcPr>
            <w:tcW w:type="dxa" w:w="2520"/>
            <w:shd w:fill="F2F4F8" w:val="clear"/>
          </w:tcPr>
          <w:p>
            <w:r>
              <w:rPr>
                <w:rFonts w:ascii="Calibri" w:hAnsi="Calibri"/>
                <w:color w:val="333333"/>
                <w:sz w:val="18"/>
              </w:rPr>
              <w:t>$8</w:t>
            </w:r>
          </w:p>
        </w:tc>
        <w:tc>
          <w:tcPr>
            <w:tcW w:type="dxa" w:w="2520"/>
            <w:shd w:fill="F2F4F8" w:val="clear"/>
          </w:tcPr>
          <w:p>
            <w:r>
              <w:rPr>
                <w:rFonts w:ascii="Calibri" w:hAnsi="Calibri"/>
                <w:color w:val="333333"/>
                <w:sz w:val="18"/>
              </w:rPr>
              <w:t>$5</w:t>
            </w:r>
          </w:p>
        </w:tc>
        <w:tc>
          <w:tcPr>
            <w:tcW w:type="dxa" w:w="2520"/>
            <w:shd w:fill="F2F4F8" w:val="clear"/>
            <w:shd w:fill="FCE8E6" w:val="clear"/>
          </w:tcPr>
          <w:p>
            <w:r>
              <w:rPr>
                <w:rFonts w:ascii="Calibri" w:hAnsi="Calibri"/>
                <w:color w:val="333333"/>
                <w:sz w:val="18"/>
              </w:rPr>
              <w:t>-42.7%</w:t>
            </w:r>
          </w:p>
        </w:tc>
      </w:tr>
    </w:tbl>
    <w:p>
      <w:pPr>
        <w:pStyle w:val="DOHeading2"/>
      </w:pPr>
      <w:r>
        <w:t>Balance Sheet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Metric</w:t>
            </w:r>
          </w:p>
        </w:tc>
        <w:tc>
          <w:tcPr>
            <w:tcW w:type="dxa" w:w="2520"/>
            <w:shd w:fill="1A1446" w:val="clear"/>
          </w:tcPr>
          <w:p>
            <w:r>
              <w:rPr>
                <w:rFonts w:ascii="Calibri" w:hAnsi="Calibri"/>
                <w:b/>
                <w:color w:val="FFFFFF"/>
                <w:sz w:val="18"/>
              </w:rPr>
              <w:t>FY2024</w:t>
            </w:r>
          </w:p>
        </w:tc>
        <w:tc>
          <w:tcPr>
            <w:tcW w:type="dxa" w:w="2520"/>
            <w:shd w:fill="1A1446" w:val="clear"/>
          </w:tcPr>
          <w:p>
            <w:r>
              <w:rPr>
                <w:rFonts w:ascii="Calibri" w:hAnsi="Calibri"/>
                <w:b/>
                <w:color w:val="FFFFFF"/>
                <w:sz w:val="18"/>
              </w:rPr>
              <w:t>FY2025</w:t>
            </w:r>
          </w:p>
        </w:tc>
        <w:tc>
          <w:tcPr>
            <w:tcW w:type="dxa" w:w="2520"/>
            <w:shd w:fill="1A1446" w:val="clear"/>
          </w:tcPr>
          <w:p>
            <w:r>
              <w:rPr>
                <w:rFonts w:ascii="Calibri" w:hAnsi="Calibri"/>
                <w:b/>
                <w:color w:val="FFFFFF"/>
                <w:sz w:val="18"/>
              </w:rPr>
              <w:t>YoY Change</w:t>
            </w:r>
          </w:p>
        </w:tc>
      </w:tr>
      <w:tr>
        <w:tc>
          <w:tcPr>
            <w:tcW w:type="dxa" w:w="2520"/>
          </w:tcPr>
          <w:p>
            <w:r>
              <w:rPr>
                <w:rFonts w:ascii="Calibri" w:hAnsi="Calibri"/>
                <w:color w:val="333333"/>
                <w:sz w:val="18"/>
              </w:rPr>
              <w:t>Total assets</w:t>
            </w:r>
          </w:p>
        </w:tc>
        <w:tc>
          <w:tcPr>
            <w:tcW w:type="dxa" w:w="2520"/>
          </w:tcPr>
          <w:p>
            <w:r>
              <w:rPr>
                <w:rFonts w:ascii="Calibri" w:hAnsi="Calibri"/>
                <w:color w:val="333333"/>
                <w:sz w:val="18"/>
              </w:rPr>
              <w:t>$298.3B</w:t>
            </w:r>
          </w:p>
        </w:tc>
        <w:tc>
          <w:tcPr>
            <w:tcW w:type="dxa" w:w="2520"/>
          </w:tcPr>
          <w:p>
            <w:r>
              <w:rPr>
                <w:rFonts w:ascii="Calibri" w:hAnsi="Calibri"/>
                <w:color w:val="333333"/>
                <w:sz w:val="18"/>
              </w:rPr>
              <w:t>$309.6B</w:t>
            </w:r>
          </w:p>
        </w:tc>
        <w:tc>
          <w:tcPr>
            <w:tcW w:type="dxa" w:w="2520"/>
            <w:shd w:fill="FFF3CD" w:val="clear"/>
          </w:tcPr>
          <w:p>
            <w:r>
              <w:rPr>
                <w:rFonts w:ascii="Calibri" w:hAnsi="Calibri"/>
                <w:color w:val="333333"/>
                <w:sz w:val="18"/>
              </w:rPr>
              <w:t>3.8%</w:t>
            </w:r>
          </w:p>
        </w:tc>
      </w:tr>
      <w:tr>
        <w:tc>
          <w:tcPr>
            <w:tcW w:type="dxa" w:w="2520"/>
            <w:shd w:fill="F2F4F8" w:val="clear"/>
          </w:tcPr>
          <w:p>
            <w:r>
              <w:rPr>
                <w:rFonts w:ascii="Calibri" w:hAnsi="Calibri"/>
                <w:color w:val="333333"/>
                <w:sz w:val="18"/>
              </w:rPr>
              <w:t>Total liabilities</w:t>
            </w:r>
          </w:p>
        </w:tc>
        <w:tc>
          <w:tcPr>
            <w:tcW w:type="dxa" w:w="2520"/>
            <w:shd w:fill="F2F4F8" w:val="clear"/>
          </w:tcPr>
          <w:p>
            <w:r>
              <w:rPr>
                <w:rFonts w:ascii="Calibri" w:hAnsi="Calibri"/>
                <w:color w:val="333333"/>
                <w:sz w:val="18"/>
              </w:rPr>
              <w:t>$195.7B</w:t>
            </w:r>
          </w:p>
        </w:tc>
        <w:tc>
          <w:tcPr>
            <w:tcW w:type="dxa" w:w="2520"/>
            <w:shd w:fill="F2F4F8" w:val="clear"/>
          </w:tcPr>
          <w:p>
            <w:r>
              <w:rPr>
                <w:rFonts w:ascii="Calibri" w:hAnsi="Calibri"/>
                <w:color w:val="333333"/>
                <w:sz w:val="18"/>
              </w:rPr>
              <w:t>$207.9B</w:t>
            </w:r>
          </w:p>
        </w:tc>
        <w:tc>
          <w:tcPr>
            <w:tcW w:type="dxa" w:w="2520"/>
            <w:shd w:fill="F2F4F8" w:val="clear"/>
            <w:shd w:fill="FFF3CD" w:val="clear"/>
          </w:tcPr>
          <w:p>
            <w:r>
              <w:rPr>
                <w:rFonts w:ascii="Calibri" w:hAnsi="Calibri"/>
                <w:color w:val="333333"/>
                <w:sz w:val="18"/>
              </w:rPr>
              <w:t>6.2%</w:t>
            </w:r>
          </w:p>
        </w:tc>
      </w:tr>
      <w:tr>
        <w:tc>
          <w:tcPr>
            <w:tcW w:type="dxa" w:w="2520"/>
          </w:tcPr>
          <w:p>
            <w:r>
              <w:rPr>
                <w:rFonts w:ascii="Calibri" w:hAnsi="Calibri"/>
                <w:color w:val="333333"/>
                <w:sz w:val="18"/>
              </w:rPr>
              <w:t>Total stockholders' equity</w:t>
            </w:r>
          </w:p>
        </w:tc>
        <w:tc>
          <w:tcPr>
            <w:tcW w:type="dxa" w:w="2520"/>
          </w:tcPr>
          <w:p>
            <w:r>
              <w:rPr>
                <w:rFonts w:ascii="Calibri" w:hAnsi="Calibri"/>
                <w:color w:val="333333"/>
                <w:sz w:val="18"/>
              </w:rPr>
              <w:t>$98.3B</w:t>
            </w:r>
          </w:p>
        </w:tc>
        <w:tc>
          <w:tcPr>
            <w:tcW w:type="dxa" w:w="2520"/>
          </w:tcPr>
          <w:p>
            <w:r>
              <w:rPr>
                <w:rFonts w:ascii="Calibri" w:hAnsi="Calibri"/>
                <w:color w:val="333333"/>
                <w:sz w:val="18"/>
              </w:rPr>
              <w:t>$100.1B</w:t>
            </w:r>
          </w:p>
        </w:tc>
        <w:tc>
          <w:tcPr>
            <w:tcW w:type="dxa" w:w="2520"/>
            <w:shd w:fill="FFF3CD" w:val="clear"/>
          </w:tcPr>
          <w:p>
            <w:r>
              <w:rPr>
                <w:rFonts w:ascii="Calibri" w:hAnsi="Calibri"/>
                <w:color w:val="333333"/>
                <w:sz w:val="18"/>
              </w:rPr>
              <w:t>1.9%</w:t>
            </w:r>
          </w:p>
        </w:tc>
      </w:tr>
      <w:tr>
        <w:tc>
          <w:tcPr>
            <w:tcW w:type="dxa" w:w="2520"/>
            <w:shd w:fill="F2F4F8" w:val="clear"/>
          </w:tcPr>
          <w:p>
            <w:r>
              <w:rPr>
                <w:rFonts w:ascii="Calibri" w:hAnsi="Calibri"/>
                <w:color w:val="333333"/>
                <w:sz w:val="18"/>
              </w:rPr>
              <w:t>Total current assets</w:t>
            </w:r>
          </w:p>
        </w:tc>
        <w:tc>
          <w:tcPr>
            <w:tcW w:type="dxa" w:w="2520"/>
            <w:shd w:fill="F2F4F8" w:val="clear"/>
          </w:tcPr>
          <w:p>
            <w:r>
              <w:rPr>
                <w:rFonts w:ascii="Calibri" w:hAnsi="Calibri"/>
                <w:color w:val="333333"/>
                <w:sz w:val="18"/>
              </w:rPr>
              <w:t>$85.8B</w:t>
            </w:r>
          </w:p>
        </w:tc>
        <w:tc>
          <w:tcPr>
            <w:tcW w:type="dxa" w:w="2520"/>
            <w:shd w:fill="F2F4F8" w:val="clear"/>
          </w:tcPr>
          <w:p>
            <w:r>
              <w:rPr>
                <w:rFonts w:ascii="Calibri" w:hAnsi="Calibri"/>
                <w:color w:val="333333"/>
                <w:sz w:val="18"/>
              </w:rPr>
              <w:t>$90.6B</w:t>
            </w:r>
          </w:p>
        </w:tc>
        <w:tc>
          <w:tcPr>
            <w:tcW w:type="dxa" w:w="2520"/>
            <w:shd w:fill="F2F4F8" w:val="clear"/>
            <w:shd w:fill="FFF3CD" w:val="clear"/>
          </w:tcPr>
          <w:p>
            <w:r>
              <w:rPr>
                <w:rFonts w:ascii="Calibri" w:hAnsi="Calibri"/>
                <w:color w:val="333333"/>
                <w:sz w:val="18"/>
              </w:rPr>
              <w:t>5.6%</w:t>
            </w:r>
          </w:p>
        </w:tc>
      </w:tr>
      <w:tr>
        <w:tc>
          <w:tcPr>
            <w:tcW w:type="dxa" w:w="2520"/>
          </w:tcPr>
          <w:p>
            <w:r>
              <w:rPr>
                <w:rFonts w:ascii="Calibri" w:hAnsi="Calibri"/>
                <w:color w:val="333333"/>
                <w:sz w:val="18"/>
              </w:rPr>
              <w:t>Total current liabilities</w:t>
            </w:r>
          </w:p>
        </w:tc>
        <w:tc>
          <w:tcPr>
            <w:tcW w:type="dxa" w:w="2520"/>
          </w:tcPr>
          <w:p>
            <w:r>
              <w:rPr>
                <w:rFonts w:ascii="Calibri" w:hAnsi="Calibri"/>
                <w:color w:val="333333"/>
                <w:sz w:val="18"/>
              </w:rPr>
              <w:t>$103.8B</w:t>
            </w:r>
          </w:p>
        </w:tc>
        <w:tc>
          <w:tcPr>
            <w:tcW w:type="dxa" w:w="2520"/>
          </w:tcPr>
          <w:p>
            <w:r>
              <w:rPr>
                <w:rFonts w:ascii="Calibri" w:hAnsi="Calibri"/>
                <w:color w:val="333333"/>
                <w:sz w:val="18"/>
              </w:rPr>
              <w:t>$114.9B</w:t>
            </w:r>
          </w:p>
        </w:tc>
        <w:tc>
          <w:tcPr>
            <w:tcW w:type="dxa" w:w="2520"/>
            <w:shd w:fill="DCEEF8" w:val="clear"/>
          </w:tcPr>
          <w:p>
            <w:r>
              <w:rPr>
                <w:rFonts w:ascii="Calibri" w:hAnsi="Calibri"/>
                <w:color w:val="333333"/>
                <w:sz w:val="18"/>
              </w:rPr>
              <w:t>10.7%</w:t>
            </w:r>
          </w:p>
        </w:tc>
      </w:tr>
      <w:tr>
        <w:tc>
          <w:tcPr>
            <w:tcW w:type="dxa" w:w="2520"/>
            <w:shd w:fill="F2F4F8" w:val="clear"/>
          </w:tcPr>
          <w:p>
            <w:r>
              <w:rPr>
                <w:rFonts w:ascii="Calibri" w:hAnsi="Calibri"/>
                <w:color w:val="333333"/>
                <w:sz w:val="18"/>
              </w:rPr>
              <w:t>Cash and cash equivalents</w:t>
            </w:r>
          </w:p>
        </w:tc>
        <w:tc>
          <w:tcPr>
            <w:tcW w:type="dxa" w:w="2520"/>
            <w:shd w:fill="F2F4F8" w:val="clear"/>
          </w:tcPr>
          <w:p>
            <w:r>
              <w:rPr>
                <w:rFonts w:ascii="Calibri" w:hAnsi="Calibri"/>
                <w:color w:val="333333"/>
                <w:sz w:val="18"/>
              </w:rPr>
              <w:t>$25.3B</w:t>
            </w:r>
          </w:p>
        </w:tc>
        <w:tc>
          <w:tcPr>
            <w:tcW w:type="dxa" w:w="2520"/>
            <w:shd w:fill="F2F4F8" w:val="clear"/>
          </w:tcPr>
          <w:p>
            <w:r>
              <w:rPr>
                <w:rFonts w:ascii="Calibri" w:hAnsi="Calibri"/>
                <w:color w:val="333333"/>
                <w:sz w:val="18"/>
              </w:rPr>
              <w:t>$24.4B</w:t>
            </w:r>
          </w:p>
        </w:tc>
        <w:tc>
          <w:tcPr>
            <w:tcW w:type="dxa" w:w="2520"/>
            <w:shd w:fill="F2F4F8" w:val="clear"/>
            <w:shd w:fill="FFF3CD" w:val="clear"/>
          </w:tcPr>
          <w:p>
            <w:r>
              <w:rPr>
                <w:rFonts w:ascii="Calibri" w:hAnsi="Calibri"/>
                <w:color w:val="333333"/>
                <w:sz w:val="18"/>
              </w:rPr>
              <w:t>-3.7%</w:t>
            </w:r>
          </w:p>
        </w:tc>
      </w:tr>
      <w:tr>
        <w:tc>
          <w:tcPr>
            <w:tcW w:type="dxa" w:w="2520"/>
          </w:tcPr>
          <w:p>
            <w:r>
              <w:rPr>
                <w:rFonts w:ascii="Calibri" w:hAnsi="Calibri"/>
                <w:color w:val="333333"/>
                <w:sz w:val="18"/>
              </w:rPr>
              <w:t>Accounts receivable, net</w:t>
            </w:r>
          </w:p>
        </w:tc>
        <w:tc>
          <w:tcPr>
            <w:tcW w:type="dxa" w:w="2520"/>
          </w:tcPr>
          <w:p>
            <w:r>
              <w:rPr>
                <w:rFonts w:ascii="Calibri" w:hAnsi="Calibri"/>
                <w:color w:val="333333"/>
                <w:sz w:val="18"/>
              </w:rPr>
              <w:t>$22.4B</w:t>
            </w:r>
          </w:p>
        </w:tc>
        <w:tc>
          <w:tcPr>
            <w:tcW w:type="dxa" w:w="2520"/>
          </w:tcPr>
          <w:p>
            <w:r>
              <w:rPr>
                <w:rFonts w:ascii="Calibri" w:hAnsi="Calibri"/>
                <w:color w:val="333333"/>
                <w:sz w:val="18"/>
              </w:rPr>
              <w:t>$23.0B</w:t>
            </w:r>
          </w:p>
        </w:tc>
        <w:tc>
          <w:tcPr>
            <w:tcW w:type="dxa" w:w="2520"/>
            <w:shd w:fill="FFF3CD" w:val="clear"/>
          </w:tcPr>
          <w:p>
            <w:r>
              <w:rPr>
                <w:rFonts w:ascii="Calibri" w:hAnsi="Calibri"/>
                <w:color w:val="333333"/>
                <w:sz w:val="18"/>
              </w:rPr>
              <w:t>2.9%</w:t>
            </w:r>
          </w:p>
        </w:tc>
      </w:tr>
      <w:tr>
        <w:tc>
          <w:tcPr>
            <w:tcW w:type="dxa" w:w="2520"/>
            <w:shd w:fill="F2F4F8" w:val="clear"/>
          </w:tcPr>
          <w:p>
            <w:r>
              <w:rPr>
                <w:rFonts w:ascii="Calibri" w:hAnsi="Calibri"/>
                <w:color w:val="333333"/>
                <w:sz w:val="18"/>
              </w:rPr>
              <w:t>Inventory, net</w:t>
            </w:r>
          </w:p>
        </w:tc>
        <w:tc>
          <w:tcPr>
            <w:tcW w:type="dxa" w:w="2520"/>
            <w:shd w:fill="F2F4F8" w:val="clear"/>
          </w:tcPr>
          <w:p>
            <w:r>
              <w:rPr>
                <w:rFonts w:ascii="Calibri" w:hAnsi="Calibri"/>
                <w:color w:val="333333"/>
                <w:sz w:val="18"/>
              </w:rPr>
              <w:t>$3.8B</w:t>
            </w:r>
          </w:p>
        </w:tc>
        <w:tc>
          <w:tcPr>
            <w:tcW w:type="dxa" w:w="2520"/>
            <w:shd w:fill="F2F4F8" w:val="clear"/>
          </w:tcPr>
          <w:p>
            <w:r>
              <w:rPr>
                <w:rFonts w:ascii="Calibri" w:hAnsi="Calibri"/>
                <w:color w:val="333333"/>
                <w:sz w:val="18"/>
              </w:rPr>
              <w:t>$3.3B</w:t>
            </w:r>
          </w:p>
        </w:tc>
        <w:tc>
          <w:tcPr>
            <w:tcW w:type="dxa" w:w="2520"/>
            <w:shd w:fill="F2F4F8" w:val="clear"/>
            <w:shd w:fill="FCE8E6" w:val="clear"/>
          </w:tcPr>
          <w:p>
            <w:r>
              <w:rPr>
                <w:rFonts w:ascii="Calibri" w:hAnsi="Calibri"/>
                <w:color w:val="333333"/>
                <w:sz w:val="18"/>
              </w:rPr>
              <w:t>-13.2%</w:t>
            </w:r>
          </w:p>
        </w:tc>
      </w:tr>
      <w:tr>
        <w:tc>
          <w:tcPr>
            <w:tcW w:type="dxa" w:w="2520"/>
          </w:tcPr>
          <w:p>
            <w:r>
              <w:rPr>
                <w:rFonts w:ascii="Calibri" w:hAnsi="Calibri"/>
                <w:color w:val="333333"/>
                <w:sz w:val="18"/>
              </w:rPr>
              <w:t>Property, plant and equipment, net</w:t>
            </w:r>
          </w:p>
        </w:tc>
        <w:tc>
          <w:tcPr>
            <w:tcW w:type="dxa" w:w="2520"/>
          </w:tcPr>
          <w:p>
            <w:r>
              <w:rPr>
                <w:rFonts w:ascii="Calibri" w:hAnsi="Calibri"/>
                <w:color w:val="333333"/>
                <w:sz w:val="18"/>
              </w:rPr>
              <w:t>$10.6B</w:t>
            </w:r>
          </w:p>
        </w:tc>
        <w:tc>
          <w:tcPr>
            <w:tcW w:type="dxa" w:w="2520"/>
          </w:tcPr>
          <w:p>
            <w:r>
              <w:rPr>
                <w:rFonts w:ascii="Calibri" w:hAnsi="Calibri"/>
                <w:color w:val="333333"/>
                <w:sz w:val="18"/>
              </w:rPr>
              <w:t>$10.8B</w:t>
            </w:r>
          </w:p>
        </w:tc>
        <w:tc>
          <w:tcPr>
            <w:tcW w:type="dxa" w:w="2520"/>
            <w:shd w:fill="FFF3CD" w:val="clear"/>
          </w:tcPr>
          <w:p>
            <w:r>
              <w:rPr>
                <w:rFonts w:ascii="Calibri" w:hAnsi="Calibri"/>
                <w:color w:val="333333"/>
                <w:sz w:val="18"/>
              </w:rPr>
              <w:t>2.0%</w:t>
            </w:r>
          </w:p>
        </w:tc>
      </w:tr>
      <w:tr>
        <w:tc>
          <w:tcPr>
            <w:tcW w:type="dxa" w:w="2520"/>
            <w:shd w:fill="F2F4F8" w:val="clear"/>
          </w:tcPr>
          <w:p>
            <w:r>
              <w:rPr>
                <w:rFonts w:ascii="Calibri" w:hAnsi="Calibri"/>
                <w:color w:val="333333"/>
                <w:sz w:val="18"/>
              </w:rPr>
              <w:t>Goodwill</w:t>
            </w:r>
          </w:p>
        </w:tc>
        <w:tc>
          <w:tcPr>
            <w:tcW w:type="dxa" w:w="2520"/>
            <w:shd w:fill="F2F4F8" w:val="clear"/>
          </w:tcPr>
          <w:p>
            <w:r>
              <w:rPr>
                <w:rFonts w:ascii="Calibri" w:hAnsi="Calibri"/>
                <w:color w:val="333333"/>
                <w:sz w:val="18"/>
              </w:rPr>
              <w:t>$106.7B</w:t>
            </w:r>
          </w:p>
        </w:tc>
        <w:tc>
          <w:tcPr>
            <w:tcW w:type="dxa" w:w="2520"/>
            <w:shd w:fill="F2F4F8" w:val="clear"/>
          </w:tcPr>
          <w:p>
            <w:r>
              <w:rPr>
                <w:rFonts w:ascii="Calibri" w:hAnsi="Calibri"/>
                <w:color w:val="333333"/>
                <w:sz w:val="18"/>
              </w:rPr>
              <w:t>$110.5B</w:t>
            </w:r>
          </w:p>
        </w:tc>
        <w:tc>
          <w:tcPr>
            <w:tcW w:type="dxa" w:w="2520"/>
            <w:shd w:fill="F2F4F8" w:val="clear"/>
            <w:shd w:fill="FFF3CD" w:val="clear"/>
          </w:tcPr>
          <w:p>
            <w:r>
              <w:rPr>
                <w:rFonts w:ascii="Calibri" w:hAnsi="Calibri"/>
                <w:color w:val="333333"/>
                <w:sz w:val="18"/>
              </w:rPr>
              <w:t>3.5%</w:t>
            </w:r>
          </w:p>
        </w:tc>
      </w:tr>
      <w:tr>
        <w:tc>
          <w:tcPr>
            <w:tcW w:type="dxa" w:w="2520"/>
          </w:tcPr>
          <w:p>
            <w:r>
              <w:rPr>
                <w:rFonts w:ascii="Calibri" w:hAnsi="Calibri"/>
                <w:color w:val="333333"/>
                <w:sz w:val="18"/>
              </w:rPr>
              <w:t>Intangible assets, net (excluding goodwill)</w:t>
            </w:r>
          </w:p>
        </w:tc>
        <w:tc>
          <w:tcPr>
            <w:tcW w:type="dxa" w:w="2520"/>
          </w:tcPr>
          <w:p>
            <w:r>
              <w:rPr>
                <w:rFonts w:ascii="Calibri" w:hAnsi="Calibri"/>
                <w:color w:val="333333"/>
                <w:sz w:val="18"/>
              </w:rPr>
              <w:t>$23.3B</w:t>
            </w:r>
          </w:p>
        </w:tc>
        <w:tc>
          <w:tcPr>
            <w:tcW w:type="dxa" w:w="2520"/>
          </w:tcPr>
          <w:p>
            <w:r>
              <w:rPr>
                <w:rFonts w:ascii="Calibri" w:hAnsi="Calibri"/>
                <w:color w:val="333333"/>
                <w:sz w:val="18"/>
              </w:rPr>
              <w:t>$20.5B</w:t>
            </w:r>
          </w:p>
        </w:tc>
        <w:tc>
          <w:tcPr>
            <w:tcW w:type="dxa" w:w="2520"/>
            <w:shd w:fill="FCE8E6" w:val="clear"/>
          </w:tcPr>
          <w:p>
            <w:r>
              <w:rPr>
                <w:rFonts w:ascii="Calibri" w:hAnsi="Calibri"/>
                <w:color w:val="333333"/>
                <w:sz w:val="18"/>
              </w:rPr>
              <w:t>-12.0%</w:t>
            </w:r>
          </w:p>
        </w:tc>
      </w:tr>
      <w:tr>
        <w:tc>
          <w:tcPr>
            <w:tcW w:type="dxa" w:w="2520"/>
            <w:shd w:fill="F2F4F8" w:val="clear"/>
          </w:tcPr>
          <w:p>
            <w:r>
              <w:rPr>
                <w:rFonts w:ascii="Calibri" w:hAnsi="Calibri"/>
                <w:color w:val="333333"/>
                <w:sz w:val="18"/>
              </w:rPr>
              <w:t>Long-term debt, non-current</w:t>
            </w:r>
          </w:p>
        </w:tc>
        <w:tc>
          <w:tcPr>
            <w:tcW w:type="dxa" w:w="2520"/>
            <w:shd w:fill="F2F4F8" w:val="clear"/>
          </w:tcPr>
          <w:p>
            <w:r>
              <w:rPr>
                <w:rFonts w:ascii="Calibri" w:hAnsi="Calibri"/>
                <w:color w:val="333333"/>
                <w:sz w:val="18"/>
              </w:rPr>
              <w:t>$72.4B</w:t>
            </w:r>
          </w:p>
        </w:tc>
        <w:tc>
          <w:tcPr>
            <w:tcW w:type="dxa" w:w="2520"/>
            <w:shd w:fill="F2F4F8" w:val="clear"/>
          </w:tcPr>
          <w:p>
            <w:r>
              <w:rPr>
                <w:rFonts w:ascii="Calibri" w:hAnsi="Calibri"/>
                <w:color w:val="333333"/>
                <w:sz w:val="18"/>
              </w:rPr>
              <w:t>$72.3B</w:t>
            </w:r>
          </w:p>
        </w:tc>
        <w:tc>
          <w:tcPr>
            <w:tcW w:type="dxa" w:w="2520"/>
            <w:shd w:fill="F2F4F8" w:val="clear"/>
          </w:tcPr>
          <w:p>
            <w:r>
              <w:rPr>
                <w:rFonts w:ascii="Calibri" w:hAnsi="Calibri"/>
                <w:color w:val="333333"/>
                <w:sz w:val="18"/>
              </w:rPr>
              <w:t>-0.1%</w:t>
            </w:r>
          </w:p>
        </w:tc>
      </w:tr>
      <w:tr>
        <w:tc>
          <w:tcPr>
            <w:tcW w:type="dxa" w:w="2520"/>
          </w:tcPr>
          <w:p>
            <w:r>
              <w:rPr>
                <w:rFonts w:ascii="Calibri" w:hAnsi="Calibri"/>
                <w:color w:val="333333"/>
                <w:sz w:val="18"/>
              </w:rPr>
              <w:t>Short-term debt / current portion of long-term debt</w:t>
            </w:r>
          </w:p>
        </w:tc>
        <w:tc>
          <w:tcPr>
            <w:tcW w:type="dxa" w:w="2520"/>
          </w:tcPr>
          <w:p>
            <w:r>
              <w:rPr>
                <w:rFonts w:ascii="Calibri" w:hAnsi="Calibri"/>
                <w:color w:val="333333"/>
                <w:sz w:val="18"/>
              </w:rPr>
              <w:t>$4.5B</w:t>
            </w:r>
          </w:p>
        </w:tc>
        <w:tc>
          <w:tcPr>
            <w:tcW w:type="dxa" w:w="2520"/>
          </w:tcPr>
          <w:p>
            <w:r>
              <w:rPr>
                <w:rFonts w:ascii="Calibri" w:hAnsi="Calibri"/>
                <w:color w:val="333333"/>
                <w:sz w:val="18"/>
              </w:rPr>
              <w:t>$6.1B</w:t>
            </w:r>
          </w:p>
        </w:tc>
        <w:tc>
          <w:tcPr>
            <w:tcW w:type="dxa" w:w="2520"/>
            <w:shd w:fill="DCEEF8" w:val="clear"/>
          </w:tcPr>
          <w:p>
            <w:r>
              <w:rPr>
                <w:rFonts w:ascii="Calibri" w:hAnsi="Calibri"/>
                <w:color w:val="333333"/>
                <w:sz w:val="18"/>
              </w:rPr>
              <w:t>33.5%</w:t>
            </w:r>
          </w:p>
        </w:tc>
      </w:tr>
      <w:tr>
        <w:tc>
          <w:tcPr>
            <w:tcW w:type="dxa" w:w="2520"/>
            <w:shd w:fill="F2F4F8" w:val="clear"/>
          </w:tcPr>
          <w:p>
            <w:r>
              <w:rPr>
                <w:rFonts w:ascii="Calibri" w:hAnsi="Calibri"/>
                <w:color w:val="333333"/>
                <w:sz w:val="18"/>
              </w:rPr>
              <w:t>Retained earnings / accumulated deficit</w:t>
            </w:r>
          </w:p>
        </w:tc>
        <w:tc>
          <w:tcPr>
            <w:tcW w:type="dxa" w:w="2520"/>
            <w:shd w:fill="F2F4F8" w:val="clear"/>
          </w:tcPr>
          <w:p>
            <w:r>
              <w:rPr>
                <w:rFonts w:ascii="Calibri" w:hAnsi="Calibri"/>
                <w:color w:val="333333"/>
                <w:sz w:val="18"/>
              </w:rPr>
              <w:t>$96.0B</w:t>
            </w:r>
          </w:p>
        </w:tc>
        <w:tc>
          <w:tcPr>
            <w:tcW w:type="dxa" w:w="2520"/>
            <w:shd w:fill="F2F4F8" w:val="clear"/>
          </w:tcPr>
          <w:p>
            <w:r>
              <w:rPr>
                <w:rFonts w:ascii="Calibri" w:hAnsi="Calibri"/>
                <w:color w:val="333333"/>
                <w:sz w:val="18"/>
              </w:rPr>
              <w:t>$95.6B</w:t>
            </w:r>
          </w:p>
        </w:tc>
        <w:tc>
          <w:tcPr>
            <w:tcW w:type="dxa" w:w="2520"/>
            <w:shd w:fill="F2F4F8" w:val="clear"/>
          </w:tcPr>
          <w:p>
            <w:r>
              <w:rPr>
                <w:rFonts w:ascii="Calibri" w:hAnsi="Calibri"/>
                <w:color w:val="333333"/>
                <w:sz w:val="18"/>
              </w:rPr>
              <w:t>-0.5%</w:t>
            </w:r>
          </w:p>
        </w:tc>
      </w:tr>
      <w:tr>
        <w:tc>
          <w:tcPr>
            <w:tcW w:type="dxa" w:w="2520"/>
          </w:tcPr>
          <w:p>
            <w:r>
              <w:rPr>
                <w:rFonts w:ascii="Calibri" w:hAnsi="Calibri"/>
                <w:color w:val="333333"/>
                <w:sz w:val="18"/>
              </w:rPr>
              <w:t>Total debt (short-term + long-term)</w:t>
            </w:r>
          </w:p>
        </w:tc>
        <w:tc>
          <w:tcPr>
            <w:tcW w:type="dxa" w:w="2520"/>
          </w:tcPr>
          <w:p>
            <w:r>
              <w:rPr>
                <w:rFonts w:ascii="Calibri" w:hAnsi="Calibri"/>
                <w:color w:val="333333"/>
                <w:sz w:val="18"/>
              </w:rPr>
              <w:t>$76.2B</w:t>
            </w:r>
          </w:p>
        </w:tc>
        <w:tc>
          <w:tcPr>
            <w:tcW w:type="dxa" w:w="2520"/>
          </w:tcPr>
          <w:p>
            <w:r>
              <w:rPr>
                <w:rFonts w:ascii="Calibri" w:hAnsi="Calibri"/>
                <w:color w:val="333333"/>
                <w:sz w:val="18"/>
              </w:rPr>
              <w:t>$77.7B</w:t>
            </w:r>
          </w:p>
        </w:tc>
        <w:tc>
          <w:tcPr>
            <w:tcW w:type="dxa" w:w="2520"/>
            <w:shd w:fill="FFF3CD" w:val="clear"/>
          </w:tcPr>
          <w:p>
            <w:r>
              <w:rPr>
                <w:rFonts w:ascii="Calibri" w:hAnsi="Calibri"/>
                <w:color w:val="333333"/>
                <w:sz w:val="18"/>
              </w:rPr>
              <w:t>2.0%</w:t>
            </w:r>
          </w:p>
        </w:tc>
      </w:tr>
      <w:tr>
        <w:tc>
          <w:tcPr>
            <w:tcW w:type="dxa" w:w="2520"/>
            <w:shd w:fill="F2F4F8" w:val="clear"/>
          </w:tcPr>
          <w:p>
            <w:r>
              <w:rPr>
                <w:rFonts w:ascii="Calibri" w:hAnsi="Calibri"/>
                <w:color w:val="333333"/>
                <w:sz w:val="18"/>
              </w:rPr>
              <w:t>Common shares outstanding</w:t>
            </w:r>
          </w:p>
        </w:tc>
        <w:tc>
          <w:tcPr>
            <w:tcW w:type="dxa" w:w="2520"/>
            <w:shd w:fill="F2F4F8" w:val="clear"/>
          </w:tcPr>
          <w:p>
            <w:r>
              <w:rPr>
                <w:rFonts w:ascii="Calibri" w:hAnsi="Calibri"/>
                <w:color w:val="333333"/>
                <w:sz w:val="18"/>
              </w:rPr>
              <w:t>915.0M</w:t>
            </w:r>
          </w:p>
        </w:tc>
        <w:tc>
          <w:tcPr>
            <w:tcW w:type="dxa" w:w="2520"/>
            <w:shd w:fill="F2F4F8" w:val="clear"/>
          </w:tcPr>
          <w:p>
            <w:r>
              <w:rPr>
                <w:rFonts w:ascii="Calibri" w:hAnsi="Calibri"/>
                <w:color w:val="333333"/>
                <w:sz w:val="18"/>
              </w:rPr>
              <w:t>906.0M</w:t>
            </w:r>
          </w:p>
        </w:tc>
        <w:tc>
          <w:tcPr>
            <w:tcW w:type="dxa" w:w="2520"/>
            <w:shd w:fill="F2F4F8" w:val="clear"/>
          </w:tcPr>
          <w:p>
            <w:r>
              <w:rPr>
                <w:rFonts w:ascii="Calibri" w:hAnsi="Calibri"/>
                <w:color w:val="333333"/>
                <w:sz w:val="18"/>
              </w:rPr>
              <w:t>-1.0%</w:t>
            </w:r>
          </w:p>
        </w:tc>
      </w:tr>
      <w:tr>
        <w:tc>
          <w:tcPr>
            <w:tcW w:type="dxa" w:w="2520"/>
          </w:tcPr>
          <w:p>
            <w:r>
              <w:rPr>
                <w:rFonts w:ascii="Calibri" w:hAnsi="Calibri"/>
                <w:color w:val="333333"/>
                <w:sz w:val="18"/>
              </w:rPr>
              <w:t>Accounts payable</w:t>
            </w:r>
          </w:p>
        </w:tc>
        <w:tc>
          <w:tcPr>
            <w:tcW w:type="dxa" w:w="2520"/>
          </w:tcPr>
          <w:p>
            <w:r>
              <w:rPr>
                <w:rFonts w:ascii="Calibri" w:hAnsi="Calibri"/>
                <w:color w:val="333333"/>
                <w:sz w:val="18"/>
              </w:rPr>
              <w:t>$34.3B</w:t>
            </w:r>
          </w:p>
        </w:tc>
        <w:tc>
          <w:tcPr>
            <w:tcW w:type="dxa" w:w="2520"/>
          </w:tcPr>
          <w:p>
            <w:r>
              <w:rPr>
                <w:rFonts w:ascii="Calibri" w:hAnsi="Calibri"/>
                <w:color w:val="333333"/>
                <w:sz w:val="18"/>
              </w:rPr>
              <w:t>$38.0B</w:t>
            </w:r>
          </w:p>
        </w:tc>
        <w:tc>
          <w:tcPr>
            <w:tcW w:type="dxa" w:w="2520"/>
            <w:shd w:fill="DCEEF8" w:val="clear"/>
          </w:tcPr>
          <w:p>
            <w:r>
              <w:rPr>
                <w:rFonts w:ascii="Calibri" w:hAnsi="Calibri"/>
                <w:color w:val="333333"/>
                <w:sz w:val="18"/>
              </w:rPr>
              <w:t>10.8%</w:t>
            </w:r>
          </w:p>
        </w:tc>
      </w:tr>
      <w:tr>
        <w:tc>
          <w:tcPr>
            <w:tcW w:type="dxa" w:w="2520"/>
            <w:shd w:fill="F2F4F8" w:val="clear"/>
          </w:tcPr>
          <w:p>
            <w:r>
              <w:rPr>
                <w:rFonts w:ascii="Calibri" w:hAnsi="Calibri"/>
                <w:color w:val="333333"/>
                <w:sz w:val="18"/>
              </w:rPr>
              <w:t>Deferred revenue / contract liabilities</w:t>
            </w:r>
          </w:p>
        </w:tc>
        <w:tc>
          <w:tcPr>
            <w:tcW w:type="dxa" w:w="2520"/>
            <w:shd w:fill="F2F4F8" w:val="clear"/>
          </w:tcPr>
          <w:p>
            <w:r>
              <w:rPr>
                <w:rFonts w:ascii="Calibri" w:hAnsi="Calibri"/>
                <w:color w:val="333333"/>
                <w:sz w:val="18"/>
              </w:rPr>
              <w:t>$3.3B</w:t>
            </w:r>
          </w:p>
        </w:tc>
        <w:tc>
          <w:tcPr>
            <w:tcW w:type="dxa" w:w="2520"/>
            <w:shd w:fill="F2F4F8" w:val="clear"/>
          </w:tcPr>
          <w:p>
            <w:r>
              <w:rPr>
                <w:rFonts w:ascii="Calibri" w:hAnsi="Calibri"/>
                <w:color w:val="333333"/>
                <w:sz w:val="18"/>
              </w:rPr>
              <w:t>$3.4B</w:t>
            </w:r>
          </w:p>
        </w:tc>
        <w:tc>
          <w:tcPr>
            <w:tcW w:type="dxa" w:w="2520"/>
            <w:shd w:fill="F2F4F8" w:val="clear"/>
            <w:shd w:fill="FFF3CD" w:val="clear"/>
          </w:tcPr>
          <w:p>
            <w:r>
              <w:rPr>
                <w:rFonts w:ascii="Calibri" w:hAnsi="Calibri"/>
                <w:color w:val="333333"/>
                <w:sz w:val="18"/>
              </w:rPr>
              <w:t>2.9%</w:t>
            </w:r>
          </w:p>
        </w:tc>
      </w:tr>
      <w:tr>
        <w:tc>
          <w:tcPr>
            <w:tcW w:type="dxa" w:w="2520"/>
          </w:tcPr>
          <w:p>
            <w:r>
              <w:rPr>
                <w:rFonts w:ascii="Calibri" w:hAnsi="Calibri"/>
                <w:color w:val="333333"/>
                <w:sz w:val="18"/>
              </w:rPr>
              <w:t>Operating lease liabilities</w:t>
            </w:r>
          </w:p>
        </w:tc>
        <w:tc>
          <w:tcPr>
            <w:tcW w:type="dxa" w:w="2520"/>
          </w:tcPr>
          <w:p>
            <w:r>
              <w:rPr>
                <w:rFonts w:ascii="Calibri" w:hAnsi="Calibri"/>
                <w:color w:val="333333"/>
                <w:sz w:val="18"/>
              </w:rPr>
              <w:t>$4.9B</w:t>
            </w:r>
          </w:p>
        </w:tc>
        <w:tc>
          <w:tcPr>
            <w:tcW w:type="dxa" w:w="2520"/>
          </w:tcPr>
          <w:p>
            <w:r>
              <w:rPr>
                <w:rFonts w:ascii="Calibri" w:hAnsi="Calibri"/>
                <w:color w:val="333333"/>
                <w:sz w:val="18"/>
              </w:rPr>
              <w:t>$4.6B</w:t>
            </w:r>
          </w:p>
        </w:tc>
        <w:tc>
          <w:tcPr>
            <w:tcW w:type="dxa" w:w="2520"/>
            <w:shd w:fill="FFF3CD" w:val="clear"/>
          </w:tcPr>
          <w:p>
            <w:r>
              <w:rPr>
                <w:rFonts w:ascii="Calibri" w:hAnsi="Calibri"/>
                <w:color w:val="333333"/>
                <w:sz w:val="18"/>
              </w:rPr>
              <w:t>-5.6%</w:t>
            </w:r>
          </w:p>
        </w:tc>
      </w:tr>
      <w:tr>
        <w:tc>
          <w:tcPr>
            <w:tcW w:type="dxa" w:w="2520"/>
            <w:shd w:fill="F2F4F8" w:val="clear"/>
          </w:tcPr>
          <w:p>
            <w:r>
              <w:rPr>
                <w:rFonts w:ascii="Calibri" w:hAnsi="Calibri"/>
                <w:color w:val="333333"/>
                <w:sz w:val="18"/>
              </w:rPr>
              <w:t>Minority / noncontrolling interest</w:t>
            </w:r>
          </w:p>
        </w:tc>
        <w:tc>
          <w:tcPr>
            <w:tcW w:type="dxa" w:w="2520"/>
            <w:shd w:fill="F2F4F8" w:val="clear"/>
          </w:tcPr>
          <w:p>
            <w:r>
              <w:rPr>
                <w:rFonts w:ascii="Calibri" w:hAnsi="Calibri"/>
                <w:color w:val="333333"/>
                <w:sz w:val="18"/>
              </w:rPr>
              <w:t>$5.6B</w:t>
            </w:r>
          </w:p>
        </w:tc>
        <w:tc>
          <w:tcPr>
            <w:tcW w:type="dxa" w:w="2520"/>
            <w:shd w:fill="F2F4F8" w:val="clear"/>
          </w:tcPr>
          <w:p>
            <w:r>
              <w:rPr>
                <w:rFonts w:ascii="Calibri" w:hAnsi="Calibri"/>
                <w:color w:val="333333"/>
                <w:sz w:val="18"/>
              </w:rPr>
              <w:t>$6.0B</w:t>
            </w:r>
          </w:p>
        </w:tc>
        <w:tc>
          <w:tcPr>
            <w:tcW w:type="dxa" w:w="2520"/>
            <w:shd w:fill="F2F4F8" w:val="clear"/>
            <w:shd w:fill="FFF3CD" w:val="clear"/>
          </w:tcPr>
          <w:p>
            <w:r>
              <w:rPr>
                <w:rFonts w:ascii="Calibri" w:hAnsi="Calibri"/>
                <w:color w:val="333333"/>
                <w:sz w:val="18"/>
              </w:rPr>
              <w:t>6.6%</w:t>
            </w:r>
          </w:p>
        </w:tc>
      </w:tr>
      <w:tr>
        <w:tc>
          <w:tcPr>
            <w:tcW w:type="dxa" w:w="2520"/>
          </w:tcPr>
          <w:p>
            <w:r>
              <w:rPr>
                <w:rFonts w:ascii="Calibri" w:hAnsi="Calibri"/>
                <w:color w:val="333333"/>
                <w:sz w:val="18"/>
              </w:rPr>
              <w:t>Short-term investments / marketable securities</w:t>
            </w:r>
          </w:p>
        </w:tc>
        <w:tc>
          <w:tcPr>
            <w:tcW w:type="dxa" w:w="2520"/>
          </w:tcPr>
          <w:p>
            <w:r>
              <w:rPr>
                <w:rFonts w:ascii="Calibri" w:hAnsi="Calibri"/>
                <w:color w:val="333333"/>
                <w:sz w:val="18"/>
              </w:rPr>
              <w:t>$3.8B</w:t>
            </w:r>
          </w:p>
        </w:tc>
        <w:tc>
          <w:tcPr>
            <w:tcW w:type="dxa" w:w="2520"/>
          </w:tcPr>
          <w:p>
            <w:r>
              <w:rPr>
                <w:rFonts w:ascii="Calibri" w:hAnsi="Calibri"/>
                <w:color w:val="333333"/>
                <w:sz w:val="18"/>
              </w:rPr>
              <w:t>$3.8B</w:t>
            </w:r>
          </w:p>
        </w:tc>
        <w:tc>
          <w:tcPr>
            <w:tcW w:type="dxa" w:w="2520"/>
            <w:shd w:fill="FFF3CD" w:val="clear"/>
          </w:tcPr>
          <w:p>
            <w:r>
              <w:rPr>
                <w:rFonts w:ascii="Calibri" w:hAnsi="Calibri"/>
                <w:color w:val="333333"/>
                <w:sz w:val="18"/>
              </w:rPr>
              <w:t>-1.2%</w:t>
            </w:r>
          </w:p>
        </w:tc>
      </w:tr>
      <w:tr>
        <w:tc>
          <w:tcPr>
            <w:tcW w:type="dxa" w:w="2520"/>
            <w:shd w:fill="F2F4F8" w:val="clear"/>
          </w:tcPr>
          <w:p>
            <w:r>
              <w:rPr>
                <w:rFonts w:ascii="Calibri" w:hAnsi="Calibri"/>
                <w:color w:val="333333"/>
                <w:sz w:val="18"/>
              </w:rPr>
              <w:t>Prepaid expenses and other current assets</w:t>
            </w:r>
          </w:p>
        </w:tc>
        <w:tc>
          <w:tcPr>
            <w:tcW w:type="dxa" w:w="2520"/>
            <w:shd w:fill="F2F4F8" w:val="clear"/>
          </w:tcPr>
          <w:p>
            <w:r>
              <w:rPr>
                <w:rFonts w:ascii="Calibri" w:hAnsi="Calibri"/>
                <w:color w:val="333333"/>
                <w:sz w:val="18"/>
              </w:rPr>
              <w:t>$8.2B</w:t>
            </w:r>
          </w:p>
        </w:tc>
        <w:tc>
          <w:tcPr>
            <w:tcW w:type="dxa" w:w="2520"/>
            <w:shd w:fill="F2F4F8" w:val="clear"/>
          </w:tcPr>
          <w:p>
            <w:r>
              <w:rPr>
                <w:rFonts w:ascii="Calibri" w:hAnsi="Calibri"/>
                <w:color w:val="333333"/>
                <w:sz w:val="18"/>
              </w:rPr>
              <w:t>$9.7B</w:t>
            </w:r>
          </w:p>
        </w:tc>
        <w:tc>
          <w:tcPr>
            <w:tcW w:type="dxa" w:w="2520"/>
            <w:shd w:fill="F2F4F8" w:val="clear"/>
            <w:shd w:fill="DCEEF8" w:val="clear"/>
          </w:tcPr>
          <w:p>
            <w:r>
              <w:rPr>
                <w:rFonts w:ascii="Calibri" w:hAnsi="Calibri"/>
                <w:color w:val="333333"/>
                <w:sz w:val="18"/>
              </w:rPr>
              <w:t>18.7%</w:t>
            </w:r>
          </w:p>
        </w:tc>
      </w:tr>
      <w:tr>
        <w:tc>
          <w:tcPr>
            <w:tcW w:type="dxa" w:w="2520"/>
          </w:tcPr>
          <w:p>
            <w:r>
              <w:rPr>
                <w:rFonts w:ascii="Calibri" w:hAnsi="Calibri"/>
                <w:color w:val="333333"/>
                <w:sz w:val="18"/>
              </w:rPr>
              <w:t>Long-term investments</w:t>
            </w:r>
          </w:p>
        </w:tc>
        <w:tc>
          <w:tcPr>
            <w:tcW w:type="dxa" w:w="2520"/>
          </w:tcPr>
          <w:p>
            <w:r>
              <w:rPr>
                <w:rFonts w:ascii="Calibri" w:hAnsi="Calibri"/>
                <w:color w:val="333333"/>
                <w:sz w:val="18"/>
              </w:rPr>
              <w:t>$52.4B</w:t>
            </w:r>
          </w:p>
        </w:tc>
        <w:tc>
          <w:tcPr>
            <w:tcW w:type="dxa" w:w="2520"/>
          </w:tcPr>
          <w:p>
            <w:r>
              <w:rPr>
                <w:rFonts w:ascii="Calibri" w:hAnsi="Calibri"/>
                <w:color w:val="333333"/>
                <w:sz w:val="18"/>
              </w:rPr>
              <w:t>$54.3B</w:t>
            </w:r>
          </w:p>
        </w:tc>
        <w:tc>
          <w:tcPr>
            <w:tcW w:type="dxa" w:w="2520"/>
            <w:shd w:fill="FFF3CD" w:val="clear"/>
          </w:tcPr>
          <w:p>
            <w:r>
              <w:rPr>
                <w:rFonts w:ascii="Calibri" w:hAnsi="Calibri"/>
                <w:color w:val="333333"/>
                <w:sz w:val="18"/>
              </w:rPr>
              <w:t>3.6%</w:t>
            </w:r>
          </w:p>
        </w:tc>
      </w:tr>
      <w:tr>
        <w:tc>
          <w:tcPr>
            <w:tcW w:type="dxa" w:w="2520"/>
            <w:shd w:fill="F2F4F8" w:val="clear"/>
          </w:tcPr>
          <w:p>
            <w:r>
              <w:rPr>
                <w:rFonts w:ascii="Calibri" w:hAnsi="Calibri"/>
                <w:color w:val="333333"/>
                <w:sz w:val="18"/>
              </w:rPr>
              <w:t>Deferred income tax liabilities, net</w:t>
            </w:r>
          </w:p>
        </w:tc>
        <w:tc>
          <w:tcPr>
            <w:tcW w:type="dxa" w:w="2520"/>
            <w:shd w:fill="F2F4F8" w:val="clear"/>
          </w:tcPr>
          <w:p>
            <w:r>
              <w:rPr>
                <w:rFonts w:ascii="Calibri" w:hAnsi="Calibri"/>
                <w:color w:val="333333"/>
                <w:sz w:val="18"/>
              </w:rPr>
              <w:t>$3.6B</w:t>
            </w:r>
          </w:p>
        </w:tc>
        <w:tc>
          <w:tcPr>
            <w:tcW w:type="dxa" w:w="2520"/>
            <w:shd w:fill="F2F4F8" w:val="clear"/>
          </w:tcPr>
          <w:p>
            <w:r>
              <w:rPr>
                <w:rFonts w:ascii="Calibri" w:hAnsi="Calibri"/>
                <w:color w:val="333333"/>
                <w:sz w:val="18"/>
              </w:rPr>
              <w:t>$2.4B</w:t>
            </w:r>
          </w:p>
        </w:tc>
        <w:tc>
          <w:tcPr>
            <w:tcW w:type="dxa" w:w="2520"/>
            <w:shd w:fill="F2F4F8" w:val="clear"/>
            <w:shd w:fill="FCE8E6" w:val="clear"/>
          </w:tcPr>
          <w:p>
            <w:r>
              <w:rPr>
                <w:rFonts w:ascii="Calibri" w:hAnsi="Calibri"/>
                <w:color w:val="333333"/>
                <w:sz w:val="18"/>
              </w:rPr>
              <w:t>-33.1%</w:t>
            </w:r>
          </w:p>
        </w:tc>
      </w:tr>
      <w:tr>
        <w:tc>
          <w:tcPr>
            <w:tcW w:type="dxa" w:w="2520"/>
          </w:tcPr>
          <w:p>
            <w:r>
              <w:rPr>
                <w:rFonts w:ascii="Calibri" w:hAnsi="Calibri"/>
                <w:color w:val="333333"/>
                <w:sz w:val="18"/>
              </w:rPr>
              <w:t>Accumulated other comprehensive income/loss</w:t>
            </w:r>
          </w:p>
        </w:tc>
        <w:tc>
          <w:tcPr>
            <w:tcW w:type="dxa" w:w="2520"/>
          </w:tcPr>
          <w:p>
            <w:r>
              <w:rPr>
                <w:rFonts w:ascii="Calibri" w:hAnsi="Calibri"/>
                <w:color w:val="333333"/>
                <w:sz w:val="18"/>
              </w:rPr>
              <w:t>$-3.4B</w:t>
            </w:r>
          </w:p>
        </w:tc>
        <w:tc>
          <w:tcPr>
            <w:tcW w:type="dxa" w:w="2520"/>
          </w:tcPr>
          <w:p>
            <w:r>
              <w:rPr>
                <w:rFonts w:ascii="Calibri" w:hAnsi="Calibri"/>
                <w:color w:val="333333"/>
                <w:sz w:val="18"/>
              </w:rPr>
              <w:t>$-2.1B</w:t>
            </w:r>
          </w:p>
        </w:tc>
        <w:tc>
          <w:tcPr>
            <w:tcW w:type="dxa" w:w="2520"/>
            <w:shd w:fill="DCEEF8" w:val="clear"/>
          </w:tcPr>
          <w:p>
            <w:r>
              <w:rPr>
                <w:rFonts w:ascii="Calibri" w:hAnsi="Calibri"/>
                <w:color w:val="333333"/>
                <w:sz w:val="18"/>
              </w:rPr>
              <w:t>39.1%</w:t>
            </w:r>
          </w:p>
        </w:tc>
      </w:tr>
      <w:tr>
        <w:tc>
          <w:tcPr>
            <w:tcW w:type="dxa" w:w="2520"/>
            <w:shd w:fill="F2F4F8" w:val="clear"/>
          </w:tcPr>
          <w:p>
            <w:r>
              <w:rPr>
                <w:rFonts w:ascii="Calibri" w:hAnsi="Calibri"/>
                <w:color w:val="333333"/>
                <w:sz w:val="18"/>
              </w:rPr>
              <w:t>Common stock par value</w:t>
            </w:r>
          </w:p>
        </w:tc>
        <w:tc>
          <w:tcPr>
            <w:tcW w:type="dxa" w:w="2520"/>
            <w:shd w:fill="F2F4F8" w:val="clear"/>
          </w:tcPr>
          <w:p>
            <w:r>
              <w:rPr>
                <w:rFonts w:ascii="Calibri" w:hAnsi="Calibri"/>
                <w:color w:val="333333"/>
                <w:sz w:val="18"/>
              </w:rPr>
              <w:t>$9.0M</w:t>
            </w:r>
          </w:p>
        </w:tc>
        <w:tc>
          <w:tcPr>
            <w:tcW w:type="dxa" w:w="2520"/>
            <w:shd w:fill="F2F4F8" w:val="clear"/>
          </w:tcPr>
          <w:p>
            <w:r>
              <w:rPr>
                <w:rFonts w:ascii="Calibri" w:hAnsi="Calibri"/>
                <w:color w:val="333333"/>
                <w:sz w:val="18"/>
              </w:rPr>
              <w:t>$9.0M</w:t>
            </w:r>
          </w:p>
        </w:tc>
        <w:tc>
          <w:tcPr>
            <w:tcW w:type="dxa" w:w="2520"/>
            <w:shd w:fill="F2F4F8" w:val="clear"/>
          </w:tcPr>
          <w:p>
            <w:r>
              <w:rPr>
                <w:rFonts w:ascii="Calibri" w:hAnsi="Calibri"/>
                <w:color w:val="333333"/>
                <w:sz w:val="18"/>
              </w:rPr>
              <w:t>0.0%</w:t>
            </w:r>
          </w:p>
        </w:tc>
      </w:tr>
      <w:tr>
        <w:tc>
          <w:tcPr>
            <w:tcW w:type="dxa" w:w="2520"/>
          </w:tcPr>
          <w:p>
            <w:r>
              <w:rPr>
                <w:rFonts w:ascii="Calibri" w:hAnsi="Calibri"/>
                <w:color w:val="333333"/>
                <w:sz w:val="18"/>
              </w:rPr>
              <w:t>Additional paid-in capital</w:t>
            </w:r>
          </w:p>
        </w:tc>
        <w:tc>
          <w:tcPr>
            <w:tcW w:type="dxa" w:w="2520"/>
          </w:tcPr>
          <w:p>
            <w:r>
              <w:rPr>
                <w:rFonts w:ascii="Calibri" w:hAnsi="Calibri"/>
                <w:color w:val="333333"/>
                <w:sz w:val="18"/>
              </w:rPr>
              <w:t>N/A</w:t>
            </w:r>
          </w:p>
        </w:tc>
        <w:tc>
          <w:tcPr>
            <w:tcW w:type="dxa" w:w="2520"/>
          </w:tcPr>
          <w:p>
            <w:r>
              <w:rPr>
                <w:rFonts w:ascii="Calibri" w:hAnsi="Calibri"/>
                <w:color w:val="333333"/>
                <w:sz w:val="18"/>
              </w:rPr>
              <w:t>$559.0M</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Total liabilities and stockholders' equity</w:t>
            </w:r>
          </w:p>
        </w:tc>
        <w:tc>
          <w:tcPr>
            <w:tcW w:type="dxa" w:w="2520"/>
            <w:shd w:fill="F2F4F8" w:val="clear"/>
          </w:tcPr>
          <w:p>
            <w:r>
              <w:rPr>
                <w:rFonts w:ascii="Calibri" w:hAnsi="Calibri"/>
                <w:color w:val="333333"/>
                <w:sz w:val="18"/>
              </w:rPr>
              <w:t>$298.3B</w:t>
            </w:r>
          </w:p>
        </w:tc>
        <w:tc>
          <w:tcPr>
            <w:tcW w:type="dxa" w:w="2520"/>
            <w:shd w:fill="F2F4F8" w:val="clear"/>
          </w:tcPr>
          <w:p>
            <w:r>
              <w:rPr>
                <w:rFonts w:ascii="Calibri" w:hAnsi="Calibri"/>
                <w:color w:val="333333"/>
                <w:sz w:val="18"/>
              </w:rPr>
              <w:t>$309.6B</w:t>
            </w:r>
          </w:p>
        </w:tc>
        <w:tc>
          <w:tcPr>
            <w:tcW w:type="dxa" w:w="2520"/>
            <w:shd w:fill="F2F4F8" w:val="clear"/>
            <w:shd w:fill="FFF3CD" w:val="clear"/>
          </w:tcPr>
          <w:p>
            <w:r>
              <w:rPr>
                <w:rFonts w:ascii="Calibri" w:hAnsi="Calibri"/>
                <w:color w:val="333333"/>
                <w:sz w:val="18"/>
              </w:rPr>
              <w:t>3.8%</w:t>
            </w:r>
          </w:p>
        </w:tc>
      </w:tr>
      <w:tr>
        <w:tc>
          <w:tcPr>
            <w:tcW w:type="dxa" w:w="2520"/>
          </w:tcPr>
          <w:p>
            <w:r>
              <w:rPr>
                <w:rFonts w:ascii="Calibri" w:hAnsi="Calibri"/>
                <w:color w:val="333333"/>
                <w:sz w:val="18"/>
              </w:rPr>
              <w:t>Preferred stock value</w:t>
            </w:r>
          </w:p>
        </w:tc>
        <w:tc>
          <w:tcPr>
            <w:tcW w:type="dxa" w:w="2520"/>
          </w:tcPr>
          <w:p>
            <w:r>
              <w:rPr>
                <w:rFonts w:ascii="Calibri" w:hAnsi="Calibri"/>
                <w:color w:val="333333"/>
                <w:sz w:val="18"/>
              </w:rPr>
              <w:t>$0</w:t>
            </w:r>
          </w:p>
        </w:tc>
        <w:tc>
          <w:tcPr>
            <w:tcW w:type="dxa" w:w="2520"/>
          </w:tcPr>
          <w:p>
            <w:r>
              <w:rPr>
                <w:rFonts w:ascii="Calibri" w:hAnsi="Calibri"/>
                <w:color w:val="333333"/>
                <w:sz w:val="18"/>
              </w:rPr>
              <w:t>$0</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Other non-current assets</w:t>
            </w:r>
          </w:p>
        </w:tc>
        <w:tc>
          <w:tcPr>
            <w:tcW w:type="dxa" w:w="2520"/>
            <w:shd w:fill="F2F4F8" w:val="clear"/>
          </w:tcPr>
          <w:p>
            <w:r>
              <w:rPr>
                <w:rFonts w:ascii="Calibri" w:hAnsi="Calibri"/>
                <w:color w:val="333333"/>
                <w:sz w:val="18"/>
              </w:rPr>
              <w:t>$19.6B</w:t>
            </w:r>
          </w:p>
        </w:tc>
        <w:tc>
          <w:tcPr>
            <w:tcW w:type="dxa" w:w="2520"/>
            <w:shd w:fill="F2F4F8" w:val="clear"/>
          </w:tcPr>
          <w:p>
            <w:r>
              <w:rPr>
                <w:rFonts w:ascii="Calibri" w:hAnsi="Calibri"/>
                <w:color w:val="333333"/>
                <w:sz w:val="18"/>
              </w:rPr>
              <w:t>$23.0B</w:t>
            </w:r>
          </w:p>
        </w:tc>
        <w:tc>
          <w:tcPr>
            <w:tcW w:type="dxa" w:w="2520"/>
            <w:shd w:fill="F2F4F8" w:val="clear"/>
            <w:shd w:fill="DCEEF8" w:val="clear"/>
          </w:tcPr>
          <w:p>
            <w:r>
              <w:rPr>
                <w:rFonts w:ascii="Calibri" w:hAnsi="Calibri"/>
                <w:color w:val="333333"/>
                <w:sz w:val="18"/>
              </w:rPr>
              <w:t>17.5%</w:t>
            </w:r>
          </w:p>
        </w:tc>
      </w:tr>
      <w:tr>
        <w:tc>
          <w:tcPr>
            <w:tcW w:type="dxa" w:w="2520"/>
          </w:tcPr>
          <w:p>
            <w:r>
              <w:rPr>
                <w:rFonts w:ascii="Calibri" w:hAnsi="Calibri"/>
                <w:color w:val="333333"/>
                <w:sz w:val="18"/>
              </w:rPr>
              <w:t>Other non-current liabilities</w:t>
            </w:r>
          </w:p>
        </w:tc>
        <w:tc>
          <w:tcPr>
            <w:tcW w:type="dxa" w:w="2520"/>
          </w:tcPr>
          <w:p>
            <w:r>
              <w:rPr>
                <w:rFonts w:ascii="Calibri" w:hAnsi="Calibri"/>
                <w:color w:val="333333"/>
                <w:sz w:val="18"/>
              </w:rPr>
              <w:t>$15.9B</w:t>
            </w:r>
          </w:p>
        </w:tc>
        <w:tc>
          <w:tcPr>
            <w:tcW w:type="dxa" w:w="2520"/>
          </w:tcPr>
          <w:p>
            <w:r>
              <w:rPr>
                <w:rFonts w:ascii="Calibri" w:hAnsi="Calibri"/>
                <w:color w:val="333333"/>
                <w:sz w:val="18"/>
              </w:rPr>
              <w:t>$18.2B</w:t>
            </w:r>
          </w:p>
        </w:tc>
        <w:tc>
          <w:tcPr>
            <w:tcW w:type="dxa" w:w="2520"/>
            <w:shd w:fill="DCEEF8" w:val="clear"/>
          </w:tcPr>
          <w:p>
            <w:r>
              <w:rPr>
                <w:rFonts w:ascii="Calibri" w:hAnsi="Calibri"/>
                <w:color w:val="333333"/>
                <w:sz w:val="18"/>
              </w:rPr>
              <w:t>14.5%</w:t>
            </w:r>
          </w:p>
        </w:tc>
      </w:tr>
      <w:tr>
        <w:tc>
          <w:tcPr>
            <w:tcW w:type="dxa" w:w="2520"/>
            <w:shd w:fill="F2F4F8" w:val="clear"/>
          </w:tcPr>
          <w:p>
            <w:r>
              <w:rPr>
                <w:rFonts w:ascii="Calibri" w:hAnsi="Calibri"/>
                <w:color w:val="333333"/>
                <w:sz w:val="18"/>
              </w:rPr>
              <w:t>Unrecognized tax benefits (UTB) liability</w:t>
            </w:r>
          </w:p>
        </w:tc>
        <w:tc>
          <w:tcPr>
            <w:tcW w:type="dxa" w:w="2520"/>
            <w:shd w:fill="F2F4F8" w:val="clear"/>
          </w:tcPr>
          <w:p>
            <w:r>
              <w:rPr>
                <w:rFonts w:ascii="Calibri" w:hAnsi="Calibri"/>
                <w:color w:val="333333"/>
                <w:sz w:val="18"/>
              </w:rPr>
              <w:t>$4.1B</w:t>
            </w:r>
          </w:p>
        </w:tc>
        <w:tc>
          <w:tcPr>
            <w:tcW w:type="dxa" w:w="2520"/>
            <w:shd w:fill="F2F4F8" w:val="clear"/>
          </w:tcPr>
          <w:p>
            <w:r>
              <w:rPr>
                <w:rFonts w:ascii="Calibri" w:hAnsi="Calibri"/>
                <w:color w:val="333333"/>
                <w:sz w:val="18"/>
              </w:rPr>
              <w:t>$5.6B</w:t>
            </w:r>
          </w:p>
        </w:tc>
        <w:tc>
          <w:tcPr>
            <w:tcW w:type="dxa" w:w="2520"/>
            <w:shd w:fill="F2F4F8" w:val="clear"/>
            <w:shd w:fill="DCEEF8" w:val="clear"/>
          </w:tcPr>
          <w:p>
            <w:r>
              <w:rPr>
                <w:rFonts w:ascii="Calibri" w:hAnsi="Calibri"/>
                <w:color w:val="333333"/>
                <w:sz w:val="18"/>
              </w:rPr>
              <w:t>36.3%</w:t>
            </w:r>
          </w:p>
        </w:tc>
      </w:tr>
      <w:tr>
        <w:tc>
          <w:tcPr>
            <w:tcW w:type="dxa" w:w="2520"/>
          </w:tcPr>
          <w:p>
            <w:r>
              <w:rPr>
                <w:rFonts w:ascii="Calibri" w:hAnsi="Calibri"/>
                <w:color w:val="333333"/>
                <w:sz w:val="18"/>
              </w:rPr>
              <w:t>Commercial paper outstanding</w:t>
            </w:r>
          </w:p>
        </w:tc>
        <w:tc>
          <w:tcPr>
            <w:tcW w:type="dxa" w:w="2520"/>
          </w:tcPr>
          <w:p>
            <w:r>
              <w:rPr>
                <w:rFonts w:ascii="Calibri" w:hAnsi="Calibri"/>
                <w:color w:val="333333"/>
                <w:sz w:val="18"/>
              </w:rPr>
              <w:t>$7.3B</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Unvested stock-based compensation cost not yet recognized</w:t>
            </w:r>
          </w:p>
        </w:tc>
        <w:tc>
          <w:tcPr>
            <w:tcW w:type="dxa" w:w="2520"/>
            <w:shd w:fill="F2F4F8" w:val="clear"/>
          </w:tcPr>
          <w:p>
            <w:r>
              <w:rPr>
                <w:rFonts w:ascii="Calibri" w:hAnsi="Calibri"/>
                <w:color w:val="333333"/>
                <w:sz w:val="18"/>
              </w:rPr>
              <w:t>$1.1B</w:t>
            </w:r>
          </w:p>
        </w:tc>
        <w:tc>
          <w:tcPr>
            <w:tcW w:type="dxa" w:w="2520"/>
            <w:shd w:fill="F2F4F8" w:val="clear"/>
          </w:tcPr>
          <w:p>
            <w:r>
              <w:rPr>
                <w:rFonts w:ascii="Calibri" w:hAnsi="Calibri"/>
                <w:color w:val="333333"/>
                <w:sz w:val="18"/>
              </w:rPr>
              <w:t>$1.3B</w:t>
            </w:r>
          </w:p>
        </w:tc>
        <w:tc>
          <w:tcPr>
            <w:tcW w:type="dxa" w:w="2520"/>
            <w:shd w:fill="F2F4F8" w:val="clear"/>
            <w:shd w:fill="DCEEF8" w:val="clear"/>
          </w:tcPr>
          <w:p>
            <w:r>
              <w:rPr>
                <w:rFonts w:ascii="Calibri" w:hAnsi="Calibri"/>
                <w:color w:val="333333"/>
                <w:sz w:val="18"/>
              </w:rPr>
              <w:t>21.3%</w:t>
            </w:r>
          </w:p>
        </w:tc>
      </w:tr>
      <w:tr>
        <w:tc>
          <w:tcPr>
            <w:tcW w:type="dxa" w:w="2520"/>
          </w:tcPr>
          <w:p>
            <w:r>
              <w:rPr>
                <w:rFonts w:ascii="Calibri" w:hAnsi="Calibri"/>
                <w:color w:val="333333"/>
                <w:sz w:val="18"/>
              </w:rPr>
              <w:t>Common stock shares authorized</w:t>
            </w:r>
          </w:p>
        </w:tc>
        <w:tc>
          <w:tcPr>
            <w:tcW w:type="dxa" w:w="2520"/>
          </w:tcPr>
          <w:p>
            <w:r>
              <w:rPr>
                <w:rFonts w:ascii="Calibri" w:hAnsi="Calibri"/>
                <w:color w:val="333333"/>
                <w:sz w:val="18"/>
              </w:rPr>
              <w:t>3.0B</w:t>
            </w:r>
          </w:p>
        </w:tc>
        <w:tc>
          <w:tcPr>
            <w:tcW w:type="dxa" w:w="2520"/>
          </w:tcPr>
          <w:p>
            <w:r>
              <w:rPr>
                <w:rFonts w:ascii="Calibri" w:hAnsi="Calibri"/>
                <w:color w:val="333333"/>
                <w:sz w:val="18"/>
              </w:rPr>
              <w:t>3.0B</w:t>
            </w:r>
          </w:p>
        </w:tc>
        <w:tc>
          <w:tcPr>
            <w:tcW w:type="dxa" w:w="2520"/>
          </w:tcPr>
          <w:p>
            <w:r>
              <w:rPr>
                <w:rFonts w:ascii="Calibri" w:hAnsi="Calibri"/>
                <w:color w:val="333333"/>
                <w:sz w:val="18"/>
              </w:rPr>
              <w:t>0.0%</w:t>
            </w:r>
          </w:p>
        </w:tc>
      </w:tr>
      <w:tr>
        <w:tc>
          <w:tcPr>
            <w:tcW w:type="dxa" w:w="2520"/>
            <w:shd w:fill="F2F4F8" w:val="clear"/>
          </w:tcPr>
          <w:p>
            <w:r>
              <w:rPr>
                <w:rFonts w:ascii="Calibri" w:hAnsi="Calibri"/>
                <w:color w:val="333333"/>
                <w:sz w:val="18"/>
              </w:rPr>
              <w:t>Current ratio</w:t>
            </w:r>
          </w:p>
        </w:tc>
        <w:tc>
          <w:tcPr>
            <w:tcW w:type="dxa" w:w="2520"/>
            <w:shd w:fill="F2F4F8" w:val="clear"/>
          </w:tcPr>
          <w:p>
            <w:r>
              <w:rPr>
                <w:rFonts w:ascii="Calibri" w:hAnsi="Calibri"/>
                <w:color w:val="333333"/>
                <w:sz w:val="18"/>
              </w:rPr>
              <w:t>$1</w:t>
            </w:r>
          </w:p>
        </w:tc>
        <w:tc>
          <w:tcPr>
            <w:tcW w:type="dxa" w:w="2520"/>
            <w:shd w:fill="F2F4F8" w:val="clear"/>
          </w:tcPr>
          <w:p>
            <w:r>
              <w:rPr>
                <w:rFonts w:ascii="Calibri" w:hAnsi="Calibri"/>
                <w:color w:val="333333"/>
                <w:sz w:val="18"/>
              </w:rPr>
              <w:t>$1</w:t>
            </w:r>
          </w:p>
        </w:tc>
        <w:tc>
          <w:tcPr>
            <w:tcW w:type="dxa" w:w="2520"/>
            <w:shd w:fill="F2F4F8" w:val="clear"/>
            <w:shd w:fill="FFF3CD" w:val="clear"/>
          </w:tcPr>
          <w:p>
            <w:r>
              <w:rPr>
                <w:rFonts w:ascii="Calibri" w:hAnsi="Calibri"/>
                <w:color w:val="333333"/>
                <w:sz w:val="18"/>
              </w:rPr>
              <w:t>-4.6%</w:t>
            </w:r>
          </w:p>
        </w:tc>
      </w:tr>
      <w:tr>
        <w:tc>
          <w:tcPr>
            <w:tcW w:type="dxa" w:w="2520"/>
          </w:tcPr>
          <w:p>
            <w:r>
              <w:rPr>
                <w:rFonts w:ascii="Calibri" w:hAnsi="Calibri"/>
                <w:color w:val="333333"/>
                <w:sz w:val="18"/>
              </w:rPr>
              <w:t>Quick ratio</w:t>
            </w:r>
          </w:p>
        </w:tc>
        <w:tc>
          <w:tcPr>
            <w:tcW w:type="dxa" w:w="2520"/>
          </w:tcPr>
          <w:p>
            <w:r>
              <w:rPr>
                <w:rFonts w:ascii="Calibri" w:hAnsi="Calibri"/>
                <w:color w:val="333333"/>
                <w:sz w:val="18"/>
              </w:rPr>
              <w:t>$1</w:t>
            </w:r>
          </w:p>
        </w:tc>
        <w:tc>
          <w:tcPr>
            <w:tcW w:type="dxa" w:w="2520"/>
          </w:tcPr>
          <w:p>
            <w:r>
              <w:rPr>
                <w:rFonts w:ascii="Calibri" w:hAnsi="Calibri"/>
                <w:color w:val="333333"/>
                <w:sz w:val="18"/>
              </w:rPr>
              <w:t>$1</w:t>
            </w:r>
          </w:p>
        </w:tc>
        <w:tc>
          <w:tcPr>
            <w:tcW w:type="dxa" w:w="2520"/>
            <w:shd w:fill="FFF3CD" w:val="clear"/>
          </w:tcPr>
          <w:p>
            <w:r>
              <w:rPr>
                <w:rFonts w:ascii="Calibri" w:hAnsi="Calibri"/>
                <w:color w:val="333333"/>
                <w:sz w:val="18"/>
              </w:rPr>
              <w:t>-3.8%</w:t>
            </w:r>
          </w:p>
        </w:tc>
      </w:tr>
      <w:tr>
        <w:tc>
          <w:tcPr>
            <w:tcW w:type="dxa" w:w="2520"/>
            <w:shd w:fill="F2F4F8" w:val="clear"/>
          </w:tcPr>
          <w:p>
            <w:r>
              <w:rPr>
                <w:rFonts w:ascii="Calibri" w:hAnsi="Calibri"/>
                <w:color w:val="333333"/>
                <w:sz w:val="18"/>
              </w:rPr>
              <w:t>Debt-to-equity ratio</w:t>
            </w:r>
          </w:p>
        </w:tc>
        <w:tc>
          <w:tcPr>
            <w:tcW w:type="dxa" w:w="2520"/>
            <w:shd w:fill="F2F4F8" w:val="clear"/>
          </w:tcPr>
          <w:p>
            <w:r>
              <w:rPr>
                <w:rFonts w:ascii="Calibri" w:hAnsi="Calibri"/>
                <w:color w:val="333333"/>
                <w:sz w:val="18"/>
              </w:rPr>
              <w:t>$1</w:t>
            </w:r>
          </w:p>
        </w:tc>
        <w:tc>
          <w:tcPr>
            <w:tcW w:type="dxa" w:w="2520"/>
            <w:shd w:fill="F2F4F8" w:val="clear"/>
          </w:tcPr>
          <w:p>
            <w:r>
              <w:rPr>
                <w:rFonts w:ascii="Calibri" w:hAnsi="Calibri"/>
                <w:color w:val="333333"/>
                <w:sz w:val="18"/>
              </w:rPr>
              <w:t>$1</w:t>
            </w:r>
          </w:p>
        </w:tc>
        <w:tc>
          <w:tcPr>
            <w:tcW w:type="dxa" w:w="2520"/>
            <w:shd w:fill="F2F4F8" w:val="clear"/>
          </w:tcPr>
          <w:p>
            <w:r>
              <w:rPr>
                <w:rFonts w:ascii="Calibri" w:hAnsi="Calibri"/>
                <w:color w:val="333333"/>
                <w:sz w:val="18"/>
              </w:rPr>
              <w:t>0.1%</w:t>
            </w:r>
          </w:p>
        </w:tc>
      </w:tr>
      <w:tr>
        <w:tc>
          <w:tcPr>
            <w:tcW w:type="dxa" w:w="2520"/>
          </w:tcPr>
          <w:p>
            <w:r>
              <w:rPr>
                <w:rFonts w:ascii="Calibri" w:hAnsi="Calibri"/>
                <w:color w:val="333333"/>
                <w:sz w:val="18"/>
              </w:rPr>
              <w:t>Debt-to-EBITDA ratio</w:t>
            </w:r>
          </w:p>
        </w:tc>
        <w:tc>
          <w:tcPr>
            <w:tcW w:type="dxa" w:w="2520"/>
          </w:tcPr>
          <w:p>
            <w:r>
              <w:rPr>
                <w:rFonts w:ascii="Calibri" w:hAnsi="Calibri"/>
                <w:color w:val="333333"/>
                <w:sz w:val="18"/>
              </w:rPr>
              <w:t>$2</w:t>
            </w:r>
          </w:p>
        </w:tc>
        <w:tc>
          <w:tcPr>
            <w:tcW w:type="dxa" w:w="2520"/>
          </w:tcPr>
          <w:p>
            <w:r>
              <w:rPr>
                <w:rFonts w:ascii="Calibri" w:hAnsi="Calibri"/>
                <w:color w:val="333333"/>
                <w:sz w:val="18"/>
              </w:rPr>
              <w:t>$3</w:t>
            </w:r>
          </w:p>
        </w:tc>
        <w:tc>
          <w:tcPr>
            <w:tcW w:type="dxa" w:w="2520"/>
            <w:shd w:fill="DCEEF8" w:val="clear"/>
          </w:tcPr>
          <w:p>
            <w:r>
              <w:rPr>
                <w:rFonts w:ascii="Calibri" w:hAnsi="Calibri"/>
                <w:color w:val="333333"/>
                <w:sz w:val="18"/>
              </w:rPr>
              <w:t>59.1%</w:t>
            </w:r>
          </w:p>
        </w:tc>
      </w:tr>
      <w:tr>
        <w:tc>
          <w:tcPr>
            <w:tcW w:type="dxa" w:w="2520"/>
            <w:shd w:fill="F2F4F8" w:val="clear"/>
          </w:tcPr>
          <w:p>
            <w:r>
              <w:rPr>
                <w:rFonts w:ascii="Calibri" w:hAnsi="Calibri"/>
                <w:color w:val="333333"/>
                <w:sz w:val="18"/>
              </w:rPr>
              <w:t>Tangible book value</w:t>
            </w:r>
          </w:p>
        </w:tc>
        <w:tc>
          <w:tcPr>
            <w:tcW w:type="dxa" w:w="2520"/>
            <w:shd w:fill="F2F4F8" w:val="clear"/>
          </w:tcPr>
          <w:p>
            <w:r>
              <w:rPr>
                <w:rFonts w:ascii="Calibri" w:hAnsi="Calibri"/>
                <w:color w:val="333333"/>
                <w:sz w:val="18"/>
              </w:rPr>
              <w:t>$-31.7B</w:t>
            </w:r>
          </w:p>
        </w:tc>
        <w:tc>
          <w:tcPr>
            <w:tcW w:type="dxa" w:w="2520"/>
            <w:shd w:fill="F2F4F8" w:val="clear"/>
          </w:tcPr>
          <w:p>
            <w:r>
              <w:rPr>
                <w:rFonts w:ascii="Calibri" w:hAnsi="Calibri"/>
                <w:color w:val="333333"/>
                <w:sz w:val="18"/>
              </w:rPr>
              <w:t>$-30.9B</w:t>
            </w:r>
          </w:p>
        </w:tc>
        <w:tc>
          <w:tcPr>
            <w:tcW w:type="dxa" w:w="2520"/>
            <w:shd w:fill="F2F4F8" w:val="clear"/>
            <w:shd w:fill="FFF3CD" w:val="clear"/>
          </w:tcPr>
          <w:p>
            <w:r>
              <w:rPr>
                <w:rFonts w:ascii="Calibri" w:hAnsi="Calibri"/>
                <w:color w:val="333333"/>
                <w:sz w:val="18"/>
              </w:rPr>
              <w:t>2.7%</w:t>
            </w:r>
          </w:p>
        </w:tc>
      </w:tr>
      <w:tr>
        <w:tc>
          <w:tcPr>
            <w:tcW w:type="dxa" w:w="2520"/>
          </w:tcPr>
          <w:p>
            <w:r>
              <w:rPr>
                <w:rFonts w:ascii="Calibri" w:hAnsi="Calibri"/>
                <w:color w:val="333333"/>
                <w:sz w:val="18"/>
              </w:rPr>
              <w:t>Net debt</w:t>
            </w:r>
          </w:p>
        </w:tc>
        <w:tc>
          <w:tcPr>
            <w:tcW w:type="dxa" w:w="2520"/>
          </w:tcPr>
          <w:p>
            <w:r>
              <w:rPr>
                <w:rFonts w:ascii="Calibri" w:hAnsi="Calibri"/>
                <w:color w:val="333333"/>
                <w:sz w:val="18"/>
              </w:rPr>
              <w:t>$50.9B</w:t>
            </w:r>
          </w:p>
        </w:tc>
        <w:tc>
          <w:tcPr>
            <w:tcW w:type="dxa" w:w="2520"/>
          </w:tcPr>
          <w:p>
            <w:r>
              <w:rPr>
                <w:rFonts w:ascii="Calibri" w:hAnsi="Calibri"/>
                <w:color w:val="333333"/>
                <w:sz w:val="18"/>
              </w:rPr>
              <w:t>$53.3B</w:t>
            </w:r>
          </w:p>
        </w:tc>
        <w:tc>
          <w:tcPr>
            <w:tcW w:type="dxa" w:w="2520"/>
            <w:shd w:fill="FFF3CD" w:val="clear"/>
          </w:tcPr>
          <w:p>
            <w:r>
              <w:rPr>
                <w:rFonts w:ascii="Calibri" w:hAnsi="Calibri"/>
                <w:color w:val="333333"/>
                <w:sz w:val="18"/>
              </w:rPr>
              <w:t>4.8%</w:t>
            </w:r>
          </w:p>
        </w:tc>
      </w:tr>
      <w:tr>
        <w:tc>
          <w:tcPr>
            <w:tcW w:type="dxa" w:w="2520"/>
            <w:shd w:fill="F2F4F8" w:val="clear"/>
          </w:tcPr>
          <w:p>
            <w:r>
              <w:rPr>
                <w:rFonts w:ascii="Calibri" w:hAnsi="Calibri"/>
                <w:color w:val="333333"/>
                <w:sz w:val="18"/>
              </w:rPr>
              <w:t>Book value per share</w:t>
            </w:r>
          </w:p>
        </w:tc>
        <w:tc>
          <w:tcPr>
            <w:tcW w:type="dxa" w:w="2520"/>
            <w:shd w:fill="F2F4F8" w:val="clear"/>
          </w:tcPr>
          <w:p>
            <w:r>
              <w:rPr>
                <w:rFonts w:ascii="Calibri" w:hAnsi="Calibri"/>
                <w:color w:val="333333"/>
                <w:sz w:val="18"/>
              </w:rPr>
              <w:t>$107.40</w:t>
            </w:r>
          </w:p>
        </w:tc>
        <w:tc>
          <w:tcPr>
            <w:tcW w:type="dxa" w:w="2520"/>
            <w:shd w:fill="F2F4F8" w:val="clear"/>
          </w:tcPr>
          <w:p>
            <w:r>
              <w:rPr>
                <w:rFonts w:ascii="Calibri" w:hAnsi="Calibri"/>
                <w:color w:val="333333"/>
                <w:sz w:val="18"/>
              </w:rPr>
              <w:t>$110.47</w:t>
            </w:r>
          </w:p>
        </w:tc>
        <w:tc>
          <w:tcPr>
            <w:tcW w:type="dxa" w:w="2520"/>
            <w:shd w:fill="F2F4F8" w:val="clear"/>
            <w:shd w:fill="FFF3CD" w:val="clear"/>
          </w:tcPr>
          <w:p>
            <w:r>
              <w:rPr>
                <w:rFonts w:ascii="Calibri" w:hAnsi="Calibri"/>
                <w:color w:val="333333"/>
                <w:sz w:val="18"/>
              </w:rPr>
              <w:t>2.9%</w:t>
            </w:r>
          </w:p>
        </w:tc>
      </w:tr>
      <w:tr>
        <w:tc>
          <w:tcPr>
            <w:tcW w:type="dxa" w:w="2520"/>
          </w:tcPr>
          <w:p>
            <w:r>
              <w:rPr>
                <w:rFonts w:ascii="Calibri" w:hAnsi="Calibri"/>
                <w:color w:val="333333"/>
                <w:sz w:val="18"/>
              </w:rPr>
              <w:t>Return on assets</w:t>
            </w:r>
          </w:p>
        </w:tc>
        <w:tc>
          <w:tcPr>
            <w:tcW w:type="dxa" w:w="2520"/>
          </w:tcPr>
          <w:p>
            <w:r>
              <w:rPr>
                <w:rFonts w:ascii="Calibri" w:hAnsi="Calibri"/>
                <w:color w:val="333333"/>
                <w:sz w:val="18"/>
              </w:rPr>
              <w:t>$5</w:t>
            </w:r>
          </w:p>
        </w:tc>
        <w:tc>
          <w:tcPr>
            <w:tcW w:type="dxa" w:w="2520"/>
          </w:tcPr>
          <w:p>
            <w:r>
              <w:rPr>
                <w:rFonts w:ascii="Calibri" w:hAnsi="Calibri"/>
                <w:color w:val="333333"/>
                <w:sz w:val="18"/>
              </w:rPr>
              <w:t>$4</w:t>
            </w:r>
          </w:p>
        </w:tc>
        <w:tc>
          <w:tcPr>
            <w:tcW w:type="dxa" w:w="2520"/>
            <w:shd w:fill="FCE8E6" w:val="clear"/>
          </w:tcPr>
          <w:p>
            <w:r>
              <w:rPr>
                <w:rFonts w:ascii="Calibri" w:hAnsi="Calibri"/>
                <w:color w:val="333333"/>
                <w:sz w:val="18"/>
              </w:rPr>
              <w:t>-19.5%</w:t>
            </w:r>
          </w:p>
        </w:tc>
      </w:tr>
      <w:tr>
        <w:tc>
          <w:tcPr>
            <w:tcW w:type="dxa" w:w="2520"/>
            <w:shd w:fill="F2F4F8" w:val="clear"/>
          </w:tcPr>
          <w:p>
            <w:r>
              <w:rPr>
                <w:rFonts w:ascii="Calibri" w:hAnsi="Calibri"/>
                <w:color w:val="333333"/>
                <w:sz w:val="18"/>
              </w:rPr>
              <w:t>Return on equity</w:t>
            </w:r>
          </w:p>
        </w:tc>
        <w:tc>
          <w:tcPr>
            <w:tcW w:type="dxa" w:w="2520"/>
            <w:shd w:fill="F2F4F8" w:val="clear"/>
          </w:tcPr>
          <w:p>
            <w:r>
              <w:rPr>
                <w:rFonts w:ascii="Calibri" w:hAnsi="Calibri"/>
                <w:color w:val="333333"/>
                <w:sz w:val="18"/>
              </w:rPr>
              <w:t>$15</w:t>
            </w:r>
          </w:p>
        </w:tc>
        <w:tc>
          <w:tcPr>
            <w:tcW w:type="dxa" w:w="2520"/>
            <w:shd w:fill="F2F4F8" w:val="clear"/>
          </w:tcPr>
          <w:p>
            <w:r>
              <w:rPr>
                <w:rFonts w:ascii="Calibri" w:hAnsi="Calibri"/>
                <w:color w:val="333333"/>
                <w:sz w:val="18"/>
              </w:rPr>
              <w:t>$12</w:t>
            </w:r>
          </w:p>
        </w:tc>
        <w:tc>
          <w:tcPr>
            <w:tcW w:type="dxa" w:w="2520"/>
            <w:shd w:fill="F2F4F8" w:val="clear"/>
            <w:shd w:fill="FCE8E6" w:val="clear"/>
          </w:tcPr>
          <w:p>
            <w:r>
              <w:rPr>
                <w:rFonts w:ascii="Calibri" w:hAnsi="Calibri"/>
                <w:color w:val="333333"/>
                <w:sz w:val="18"/>
              </w:rPr>
              <w:t>-17.8%</w:t>
            </w:r>
          </w:p>
        </w:tc>
      </w:tr>
      <w:tr>
        <w:tc>
          <w:tcPr>
            <w:tcW w:type="dxa" w:w="2520"/>
          </w:tcPr>
          <w:p>
            <w:r>
              <w:rPr>
                <w:rFonts w:ascii="Calibri" w:hAnsi="Calibri"/>
                <w:color w:val="333333"/>
                <w:sz w:val="18"/>
              </w:rPr>
              <w:t>Asset turnover ratio</w:t>
            </w:r>
          </w:p>
        </w:tc>
        <w:tc>
          <w:tcPr>
            <w:tcW w:type="dxa" w:w="2520"/>
          </w:tcPr>
          <w:p>
            <w:r>
              <w:rPr>
                <w:rFonts w:ascii="Calibri" w:hAnsi="Calibri"/>
                <w:color w:val="333333"/>
                <w:sz w:val="18"/>
              </w:rPr>
              <w:t>$1</w:t>
            </w:r>
          </w:p>
        </w:tc>
        <w:tc>
          <w:tcPr>
            <w:tcW w:type="dxa" w:w="2520"/>
          </w:tcPr>
          <w:p>
            <w:r>
              <w:rPr>
                <w:rFonts w:ascii="Calibri" w:hAnsi="Calibri"/>
                <w:color w:val="333333"/>
                <w:sz w:val="18"/>
              </w:rPr>
              <w:t>$1</w:t>
            </w:r>
          </w:p>
        </w:tc>
        <w:tc>
          <w:tcPr>
            <w:tcW w:type="dxa" w:w="2520"/>
            <w:shd w:fill="FFF3CD" w:val="clear"/>
          </w:tcPr>
          <w:p>
            <w:r>
              <w:rPr>
                <w:rFonts w:ascii="Calibri" w:hAnsi="Calibri"/>
                <w:color w:val="333333"/>
                <w:sz w:val="18"/>
              </w:rPr>
              <w:t>7.7%</w:t>
            </w:r>
          </w:p>
        </w:tc>
      </w:tr>
    </w:tbl>
    <w:p>
      <w:pPr>
        <w:pStyle w:val="DOHeading3"/>
      </w:pPr>
      <w:r>
        <w:t>Key Balance Sheet Ratios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Ratio</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Assessment</w:t>
            </w:r>
          </w:p>
        </w:tc>
      </w:tr>
      <w:tr>
        <w:tc>
          <w:tcPr>
            <w:tcW w:type="dxa" w:w="3360"/>
          </w:tcPr>
          <w:p>
            <w:r>
              <w:rPr>
                <w:rFonts w:ascii="Calibri" w:hAnsi="Calibri"/>
                <w:color w:val="333333"/>
                <w:sz w:val="18"/>
              </w:rPr>
              <w:t>Current Ratio</w:t>
            </w:r>
          </w:p>
        </w:tc>
        <w:tc>
          <w:tcPr>
            <w:tcW w:type="dxa" w:w="3360"/>
          </w:tcPr>
          <w:p>
            <w:r>
              <w:rPr>
                <w:rFonts w:ascii="Calibri" w:hAnsi="Calibri"/>
                <w:color w:val="333333"/>
                <w:sz w:val="18"/>
              </w:rPr>
              <w:t>0.79</w:t>
            </w:r>
          </w:p>
        </w:tc>
        <w:tc>
          <w:tcPr>
            <w:tcW w:type="dxa" w:w="3360"/>
          </w:tcPr>
          <w:p>
            <w:r>
              <w:rPr>
                <w:rFonts w:ascii="Calibri" w:hAnsi="Calibri"/>
                <w:color w:val="333333"/>
                <w:sz w:val="18"/>
              </w:rPr>
              <w:t>Concern</w:t>
            </w:r>
          </w:p>
        </w:tc>
      </w:tr>
      <w:tr>
        <w:tc>
          <w:tcPr>
            <w:tcW w:type="dxa" w:w="3360"/>
            <w:shd w:fill="F2F4F8" w:val="clear"/>
          </w:tcPr>
          <w:p>
            <w:r>
              <w:rPr>
                <w:rFonts w:ascii="Calibri" w:hAnsi="Calibri"/>
                <w:color w:val="333333"/>
                <w:sz w:val="18"/>
              </w:rPr>
              <w:t>Debt/Equity</w:t>
            </w:r>
          </w:p>
        </w:tc>
        <w:tc>
          <w:tcPr>
            <w:tcW w:type="dxa" w:w="3360"/>
            <w:shd w:fill="F2F4F8" w:val="clear"/>
          </w:tcPr>
          <w:p>
            <w:r>
              <w:rPr>
                <w:rFonts w:ascii="Calibri" w:hAnsi="Calibri"/>
                <w:color w:val="333333"/>
                <w:sz w:val="18"/>
              </w:rPr>
              <w:t>0.78</w:t>
            </w:r>
          </w:p>
        </w:tc>
        <w:tc>
          <w:tcPr>
            <w:tcW w:type="dxa" w:w="3360"/>
            <w:shd w:fill="F2F4F8" w:val="clear"/>
          </w:tcPr>
          <w:p>
            <w:r>
              <w:rPr>
                <w:rFonts w:ascii="Calibri" w:hAnsi="Calibri"/>
                <w:color w:val="333333"/>
                <w:sz w:val="18"/>
              </w:rPr>
              <w:t>Moderate</w:t>
            </w:r>
          </w:p>
        </w:tc>
      </w:tr>
      <w:tr>
        <w:tc>
          <w:tcPr>
            <w:tcW w:type="dxa" w:w="3360"/>
          </w:tcPr>
          <w:p>
            <w:r>
              <w:rPr>
                <w:rFonts w:ascii="Calibri" w:hAnsi="Calibri"/>
                <w:color w:val="333333"/>
                <w:sz w:val="18"/>
              </w:rPr>
              <w:t>Debt/Assets</w:t>
            </w:r>
          </w:p>
        </w:tc>
        <w:tc>
          <w:tcPr>
            <w:tcW w:type="dxa" w:w="3360"/>
          </w:tcPr>
          <w:p>
            <w:r>
              <w:rPr>
                <w:rFonts w:ascii="Calibri" w:hAnsi="Calibri"/>
                <w:color w:val="333333"/>
                <w:sz w:val="18"/>
              </w:rPr>
              <w:t>0.67</w:t>
            </w:r>
          </w:p>
        </w:tc>
        <w:tc>
          <w:tcPr>
            <w:tcW w:type="dxa" w:w="3360"/>
          </w:tcPr>
          <w:p>
            <w:r>
              <w:rPr>
                <w:rFonts w:ascii="Calibri" w:hAnsi="Calibri"/>
                <w:color w:val="333333"/>
                <w:sz w:val="18"/>
              </w:rPr>
              <w:t>High</w:t>
            </w:r>
          </w:p>
        </w:tc>
      </w:tr>
      <w:tr>
        <w:tc>
          <w:tcPr>
            <w:tcW w:type="dxa" w:w="3360"/>
            <w:shd w:fill="F2F4F8" w:val="clear"/>
          </w:tcPr>
          <w:p>
            <w:r>
              <w:rPr>
                <w:rFonts w:ascii="Calibri" w:hAnsi="Calibri"/>
                <w:color w:val="333333"/>
                <w:sz w:val="18"/>
              </w:rPr>
              <w:t>Cash/Assets</w:t>
            </w:r>
          </w:p>
        </w:tc>
        <w:tc>
          <w:tcPr>
            <w:tcW w:type="dxa" w:w="3360"/>
            <w:shd w:fill="F2F4F8" w:val="clear"/>
          </w:tcPr>
          <w:p>
            <w:r>
              <w:rPr>
                <w:rFonts w:ascii="Calibri" w:hAnsi="Calibri"/>
                <w:color w:val="333333"/>
                <w:sz w:val="18"/>
              </w:rPr>
              <w:t>7.9%</w:t>
            </w:r>
          </w:p>
        </w:tc>
        <w:tc>
          <w:tcPr>
            <w:tcW w:type="dxa" w:w="3360"/>
            <w:shd w:fill="F2F4F8" w:val="clear"/>
          </w:tcPr>
          <w:p>
            <w:r>
              <w:rPr>
                <w:rFonts w:ascii="Calibri" w:hAnsi="Calibri"/>
                <w:color w:val="333333"/>
                <w:sz w:val="18"/>
              </w:rPr>
            </w:r>
          </w:p>
        </w:tc>
      </w:tr>
    </w:tbl>
    <w:p>
      <w:pPr>
        <w:pStyle w:val="DOHeading2"/>
      </w:pPr>
      <w:r>
        <w:t>Cash Flow Statement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Metric</w:t>
            </w:r>
          </w:p>
        </w:tc>
        <w:tc>
          <w:tcPr>
            <w:tcW w:type="dxa" w:w="2520"/>
            <w:shd w:fill="1A1446" w:val="clear"/>
          </w:tcPr>
          <w:p>
            <w:r>
              <w:rPr>
                <w:rFonts w:ascii="Calibri" w:hAnsi="Calibri"/>
                <w:b/>
                <w:color w:val="FFFFFF"/>
                <w:sz w:val="18"/>
              </w:rPr>
              <w:t>FY2024</w:t>
            </w:r>
          </w:p>
        </w:tc>
        <w:tc>
          <w:tcPr>
            <w:tcW w:type="dxa" w:w="2520"/>
            <w:shd w:fill="1A1446" w:val="clear"/>
          </w:tcPr>
          <w:p>
            <w:r>
              <w:rPr>
                <w:rFonts w:ascii="Calibri" w:hAnsi="Calibri"/>
                <w:b/>
                <w:color w:val="FFFFFF"/>
                <w:sz w:val="18"/>
              </w:rPr>
              <w:t>FY2025</w:t>
            </w:r>
          </w:p>
        </w:tc>
        <w:tc>
          <w:tcPr>
            <w:tcW w:type="dxa" w:w="2520"/>
            <w:shd w:fill="1A1446" w:val="clear"/>
          </w:tcPr>
          <w:p>
            <w:r>
              <w:rPr>
                <w:rFonts w:ascii="Calibri" w:hAnsi="Calibri"/>
                <w:b/>
                <w:color w:val="FFFFFF"/>
                <w:sz w:val="18"/>
              </w:rPr>
              <w:t>YoY Change</w:t>
            </w:r>
          </w:p>
        </w:tc>
      </w:tr>
      <w:tr>
        <w:tc>
          <w:tcPr>
            <w:tcW w:type="dxa" w:w="2520"/>
          </w:tcPr>
          <w:p>
            <w:r>
              <w:rPr>
                <w:rFonts w:ascii="Calibri" w:hAnsi="Calibri"/>
                <w:color w:val="333333"/>
                <w:sz w:val="18"/>
              </w:rPr>
              <w:t>Net cash from operating activities</w:t>
            </w:r>
          </w:p>
        </w:tc>
        <w:tc>
          <w:tcPr>
            <w:tcW w:type="dxa" w:w="2520"/>
          </w:tcPr>
          <w:p>
            <w:r>
              <w:rPr>
                <w:rFonts w:ascii="Calibri" w:hAnsi="Calibri"/>
                <w:color w:val="333333"/>
                <w:sz w:val="18"/>
              </w:rPr>
              <w:t>$24.2B</w:t>
            </w:r>
          </w:p>
        </w:tc>
        <w:tc>
          <w:tcPr>
            <w:tcW w:type="dxa" w:w="2520"/>
          </w:tcPr>
          <w:p>
            <w:r>
              <w:rPr>
                <w:rFonts w:ascii="Calibri" w:hAnsi="Calibri"/>
                <w:color w:val="333333"/>
                <w:sz w:val="18"/>
              </w:rPr>
              <w:t>$19.7B</w:t>
            </w:r>
          </w:p>
        </w:tc>
        <w:tc>
          <w:tcPr>
            <w:tcW w:type="dxa" w:w="2520"/>
            <w:shd w:fill="FCE8E6" w:val="clear"/>
          </w:tcPr>
          <w:p>
            <w:r>
              <w:rPr>
                <w:rFonts w:ascii="Calibri" w:hAnsi="Calibri"/>
                <w:color w:val="333333"/>
                <w:sz w:val="18"/>
              </w:rPr>
              <w:t>-18.6%</w:t>
            </w:r>
          </w:p>
        </w:tc>
      </w:tr>
      <w:tr>
        <w:tc>
          <w:tcPr>
            <w:tcW w:type="dxa" w:w="2520"/>
            <w:shd w:fill="F2F4F8" w:val="clear"/>
          </w:tcPr>
          <w:p>
            <w:r>
              <w:rPr>
                <w:rFonts w:ascii="Calibri" w:hAnsi="Calibri"/>
                <w:color w:val="333333"/>
                <w:sz w:val="18"/>
              </w:rPr>
              <w:t>Net cash from investing activities</w:t>
            </w:r>
          </w:p>
        </w:tc>
        <w:tc>
          <w:tcPr>
            <w:tcW w:type="dxa" w:w="2520"/>
            <w:shd w:fill="F2F4F8" w:val="clear"/>
          </w:tcPr>
          <w:p>
            <w:r>
              <w:rPr>
                <w:rFonts w:ascii="Calibri" w:hAnsi="Calibri"/>
                <w:color w:val="333333"/>
                <w:sz w:val="18"/>
              </w:rPr>
              <w:t>$-20.5B</w:t>
            </w:r>
          </w:p>
        </w:tc>
        <w:tc>
          <w:tcPr>
            <w:tcW w:type="dxa" w:w="2520"/>
            <w:shd w:fill="F2F4F8" w:val="clear"/>
          </w:tcPr>
          <w:p>
            <w:r>
              <w:rPr>
                <w:rFonts w:ascii="Calibri" w:hAnsi="Calibri"/>
                <w:color w:val="333333"/>
                <w:sz w:val="18"/>
              </w:rPr>
              <w:t>$-8.7B</w:t>
            </w:r>
          </w:p>
        </w:tc>
        <w:tc>
          <w:tcPr>
            <w:tcW w:type="dxa" w:w="2520"/>
            <w:shd w:fill="F2F4F8" w:val="clear"/>
            <w:shd w:fill="DCEEF8" w:val="clear"/>
          </w:tcPr>
          <w:p>
            <w:r>
              <w:rPr>
                <w:rFonts w:ascii="Calibri" w:hAnsi="Calibri"/>
                <w:color w:val="333333"/>
                <w:sz w:val="18"/>
              </w:rPr>
              <w:t>57.7%</w:t>
            </w:r>
          </w:p>
        </w:tc>
      </w:tr>
      <w:tr>
        <w:tc>
          <w:tcPr>
            <w:tcW w:type="dxa" w:w="2520"/>
          </w:tcPr>
          <w:p>
            <w:r>
              <w:rPr>
                <w:rFonts w:ascii="Calibri" w:hAnsi="Calibri"/>
                <w:color w:val="333333"/>
                <w:sz w:val="18"/>
              </w:rPr>
              <w:t>Net cash from financing activities</w:t>
            </w:r>
          </w:p>
        </w:tc>
        <w:tc>
          <w:tcPr>
            <w:tcW w:type="dxa" w:w="2520"/>
          </w:tcPr>
          <w:p>
            <w:r>
              <w:rPr>
                <w:rFonts w:ascii="Calibri" w:hAnsi="Calibri"/>
                <w:color w:val="333333"/>
                <w:sz w:val="18"/>
              </w:rPr>
              <w:t>$-3.5B</w:t>
            </w:r>
          </w:p>
        </w:tc>
        <w:tc>
          <w:tcPr>
            <w:tcW w:type="dxa" w:w="2520"/>
          </w:tcPr>
          <w:p>
            <w:r>
              <w:rPr>
                <w:rFonts w:ascii="Calibri" w:hAnsi="Calibri"/>
                <w:color w:val="333333"/>
                <w:sz w:val="18"/>
              </w:rPr>
              <w:t>$-11.6B</w:t>
            </w:r>
          </w:p>
        </w:tc>
        <w:tc>
          <w:tcPr>
            <w:tcW w:type="dxa" w:w="2520"/>
            <w:shd w:fill="FCE8E6" w:val="clear"/>
          </w:tcPr>
          <w:p>
            <w:r>
              <w:rPr>
                <w:rFonts w:ascii="Calibri" w:hAnsi="Calibri"/>
                <w:color w:val="333333"/>
                <w:sz w:val="18"/>
              </w:rPr>
              <w:t>-231.6%</w:t>
            </w:r>
          </w:p>
        </w:tc>
      </w:tr>
      <w:tr>
        <w:tc>
          <w:tcPr>
            <w:tcW w:type="dxa" w:w="2520"/>
            <w:shd w:fill="F2F4F8" w:val="clear"/>
          </w:tcPr>
          <w:p>
            <w:r>
              <w:rPr>
                <w:rFonts w:ascii="Calibri" w:hAnsi="Calibri"/>
                <w:color w:val="333333"/>
                <w:sz w:val="18"/>
              </w:rPr>
              <w:t>Capital expenditures</w:t>
            </w:r>
          </w:p>
        </w:tc>
        <w:tc>
          <w:tcPr>
            <w:tcW w:type="dxa" w:w="2520"/>
            <w:shd w:fill="F2F4F8" w:val="clear"/>
          </w:tcPr>
          <w:p>
            <w:r>
              <w:rPr>
                <w:rFonts w:ascii="Calibri" w:hAnsi="Calibri"/>
                <w:color w:val="333333"/>
                <w:sz w:val="18"/>
              </w:rPr>
              <w:t>$3.5B</w:t>
            </w:r>
          </w:p>
        </w:tc>
        <w:tc>
          <w:tcPr>
            <w:tcW w:type="dxa" w:w="2520"/>
            <w:shd w:fill="F2F4F8" w:val="clear"/>
          </w:tcPr>
          <w:p>
            <w:r>
              <w:rPr>
                <w:rFonts w:ascii="Calibri" w:hAnsi="Calibri"/>
                <w:color w:val="333333"/>
                <w:sz w:val="18"/>
              </w:rPr>
              <w:t>$3.6B</w:t>
            </w:r>
          </w:p>
        </w:tc>
        <w:tc>
          <w:tcPr>
            <w:tcW w:type="dxa" w:w="2520"/>
            <w:shd w:fill="F2F4F8" w:val="clear"/>
            <w:shd w:fill="FFF3CD" w:val="clear"/>
          </w:tcPr>
          <w:p>
            <w:r>
              <w:rPr>
                <w:rFonts w:ascii="Calibri" w:hAnsi="Calibri"/>
                <w:color w:val="333333"/>
                <w:sz w:val="18"/>
              </w:rPr>
              <w:t>3.5%</w:t>
            </w:r>
          </w:p>
        </w:tc>
      </w:tr>
      <w:tr>
        <w:tc>
          <w:tcPr>
            <w:tcW w:type="dxa" w:w="2520"/>
          </w:tcPr>
          <w:p>
            <w:r>
              <w:rPr>
                <w:rFonts w:ascii="Calibri" w:hAnsi="Calibri"/>
                <w:color w:val="333333"/>
                <w:sz w:val="18"/>
              </w:rPr>
              <w:t>Depreciation and amortization</w:t>
            </w:r>
          </w:p>
        </w:tc>
        <w:tc>
          <w:tcPr>
            <w:tcW w:type="dxa" w:w="2520"/>
          </w:tcPr>
          <w:p>
            <w:r>
              <w:rPr>
                <w:rFonts w:ascii="Calibri" w:hAnsi="Calibri"/>
                <w:color w:val="333333"/>
                <w:sz w:val="18"/>
              </w:rPr>
              <w:t>$4.1B</w:t>
            </w:r>
          </w:p>
        </w:tc>
        <w:tc>
          <w:tcPr>
            <w:tcW w:type="dxa" w:w="2520"/>
          </w:tcPr>
          <w:p>
            <w:r>
              <w:rPr>
                <w:rFonts w:ascii="Calibri" w:hAnsi="Calibri"/>
                <w:color w:val="333333"/>
                <w:sz w:val="18"/>
              </w:rPr>
              <w:t>$4.4B</w:t>
            </w:r>
          </w:p>
        </w:tc>
        <w:tc>
          <w:tcPr>
            <w:tcW w:type="dxa" w:w="2520"/>
            <w:shd w:fill="FFF3CD" w:val="clear"/>
          </w:tcPr>
          <w:p>
            <w:r>
              <w:rPr>
                <w:rFonts w:ascii="Calibri" w:hAnsi="Calibri"/>
                <w:color w:val="333333"/>
                <w:sz w:val="18"/>
              </w:rPr>
              <w:t>6.4%</w:t>
            </w:r>
          </w:p>
        </w:tc>
      </w:tr>
      <w:tr>
        <w:tc>
          <w:tcPr>
            <w:tcW w:type="dxa" w:w="2520"/>
            <w:shd w:fill="F2F4F8" w:val="clear"/>
          </w:tcPr>
          <w:p>
            <w:r>
              <w:rPr>
                <w:rFonts w:ascii="Calibri" w:hAnsi="Calibri"/>
                <w:color w:val="333333"/>
                <w:sz w:val="18"/>
              </w:rPr>
              <w:t>Dividends paid</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$7.9B</w:t>
            </w:r>
          </w:p>
        </w:tc>
        <w:tc>
          <w:tcPr>
            <w:tcW w:type="dxa" w:w="2520"/>
            <w:shd w:fill="F2F4F8" w:val="clear"/>
          </w:tcPr>
          <w:p>
            <w:r>
              <w:rPr>
                <w:rFonts w:ascii="Calibri" w:hAnsi="Calibri"/>
                <w:color w:val="333333"/>
                <w:sz w:val="18"/>
              </w:rPr>
              <w:t>N/A</w:t>
            </w:r>
          </w:p>
        </w:tc>
      </w:tr>
      <w:tr>
        <w:tc>
          <w:tcPr>
            <w:tcW w:type="dxa" w:w="2520"/>
          </w:tcPr>
          <w:p>
            <w:r>
              <w:rPr>
                <w:rFonts w:ascii="Calibri" w:hAnsi="Calibri"/>
                <w:color w:val="333333"/>
                <w:sz w:val="18"/>
              </w:rPr>
              <w:t>Share repurchases / buybacks</w:t>
            </w:r>
          </w:p>
        </w:tc>
        <w:tc>
          <w:tcPr>
            <w:tcW w:type="dxa" w:w="2520"/>
          </w:tcPr>
          <w:p>
            <w:r>
              <w:rPr>
                <w:rFonts w:ascii="Calibri" w:hAnsi="Calibri"/>
                <w:color w:val="333333"/>
                <w:sz w:val="18"/>
              </w:rPr>
              <w:t>$9.0B</w:t>
            </w:r>
          </w:p>
        </w:tc>
        <w:tc>
          <w:tcPr>
            <w:tcW w:type="dxa" w:w="2520"/>
          </w:tcPr>
          <w:p>
            <w:r>
              <w:rPr>
                <w:rFonts w:ascii="Calibri" w:hAnsi="Calibri"/>
                <w:color w:val="333333"/>
                <w:sz w:val="18"/>
              </w:rPr>
              <w:t>$5.5B</w:t>
            </w:r>
          </w:p>
        </w:tc>
        <w:tc>
          <w:tcPr>
            <w:tcW w:type="dxa" w:w="2520"/>
            <w:shd w:fill="FCE8E6" w:val="clear"/>
          </w:tcPr>
          <w:p>
            <w:r>
              <w:rPr>
                <w:rFonts w:ascii="Calibri" w:hAnsi="Calibri"/>
                <w:color w:val="333333"/>
                <w:sz w:val="18"/>
              </w:rPr>
              <w:t>-38.4%</w:t>
            </w:r>
          </w:p>
        </w:tc>
      </w:tr>
      <w:tr>
        <w:tc>
          <w:tcPr>
            <w:tcW w:type="dxa" w:w="2520"/>
            <w:shd w:fill="F2F4F8" w:val="clear"/>
          </w:tcPr>
          <w:p>
            <w:r>
              <w:rPr>
                <w:rFonts w:ascii="Calibri" w:hAnsi="Calibri"/>
                <w:color w:val="333333"/>
                <w:sz w:val="18"/>
              </w:rPr>
              <w:t>Acquisitions, net of cash acquired</w:t>
            </w:r>
          </w:p>
        </w:tc>
        <w:tc>
          <w:tcPr>
            <w:tcW w:type="dxa" w:w="2520"/>
            <w:shd w:fill="F2F4F8" w:val="clear"/>
          </w:tcPr>
          <w:p>
            <w:r>
              <w:rPr>
                <w:rFonts w:ascii="Calibri" w:hAnsi="Calibri"/>
                <w:color w:val="333333"/>
                <w:sz w:val="18"/>
              </w:rPr>
              <w:t>$13.4B</w:t>
            </w:r>
          </w:p>
        </w:tc>
        <w:tc>
          <w:tcPr>
            <w:tcW w:type="dxa" w:w="2520"/>
            <w:shd w:fill="F2F4F8" w:val="clear"/>
          </w:tcPr>
          <w:p>
            <w:r>
              <w:rPr>
                <w:rFonts w:ascii="Calibri" w:hAnsi="Calibri"/>
                <w:color w:val="333333"/>
                <w:sz w:val="18"/>
              </w:rPr>
              <w:t>$4.5B</w:t>
            </w:r>
          </w:p>
        </w:tc>
        <w:tc>
          <w:tcPr>
            <w:tcW w:type="dxa" w:w="2520"/>
            <w:shd w:fill="F2F4F8" w:val="clear"/>
            <w:shd w:fill="FCE8E6" w:val="clear"/>
          </w:tcPr>
          <w:p>
            <w:r>
              <w:rPr>
                <w:rFonts w:ascii="Calibri" w:hAnsi="Calibri"/>
                <w:color w:val="333333"/>
                <w:sz w:val="18"/>
              </w:rPr>
              <w:t>-66.4%</w:t>
            </w:r>
          </w:p>
        </w:tc>
      </w:tr>
      <w:tr>
        <w:tc>
          <w:tcPr>
            <w:tcW w:type="dxa" w:w="2520"/>
          </w:tcPr>
          <w:p>
            <w:r>
              <w:rPr>
                <w:rFonts w:ascii="Calibri" w:hAnsi="Calibri"/>
                <w:color w:val="333333"/>
                <w:sz w:val="18"/>
              </w:rPr>
              <w:t>Proceeds from issuance of debt</w:t>
            </w:r>
          </w:p>
        </w:tc>
        <w:tc>
          <w:tcPr>
            <w:tcW w:type="dxa" w:w="2520"/>
          </w:tcPr>
          <w:p>
            <w:r>
              <w:rPr>
                <w:rFonts w:ascii="Calibri" w:hAnsi="Calibri"/>
                <w:color w:val="333333"/>
                <w:sz w:val="18"/>
              </w:rPr>
              <w:t>$17.8B</w:t>
            </w:r>
          </w:p>
        </w:tc>
        <w:tc>
          <w:tcPr>
            <w:tcW w:type="dxa" w:w="2520"/>
          </w:tcPr>
          <w:p>
            <w:r>
              <w:rPr>
                <w:rFonts w:ascii="Calibri" w:hAnsi="Calibri"/>
                <w:color w:val="333333"/>
                <w:sz w:val="18"/>
              </w:rPr>
              <w:t>$3.0B</w:t>
            </w:r>
          </w:p>
        </w:tc>
        <w:tc>
          <w:tcPr>
            <w:tcW w:type="dxa" w:w="2520"/>
            <w:shd w:fill="FCE8E6" w:val="clear"/>
          </w:tcPr>
          <w:p>
            <w:r>
              <w:rPr>
                <w:rFonts w:ascii="Calibri" w:hAnsi="Calibri"/>
                <w:color w:val="333333"/>
                <w:sz w:val="18"/>
              </w:rPr>
              <w:t>-83.3%</w:t>
            </w:r>
          </w:p>
        </w:tc>
      </w:tr>
      <w:tr>
        <w:tc>
          <w:tcPr>
            <w:tcW w:type="dxa" w:w="2520"/>
            <w:shd w:fill="F2F4F8" w:val="clear"/>
          </w:tcPr>
          <w:p>
            <w:r>
              <w:rPr>
                <w:rFonts w:ascii="Calibri" w:hAnsi="Calibri"/>
                <w:color w:val="333333"/>
                <w:sz w:val="18"/>
              </w:rPr>
              <w:t>Repayments of debt</w:t>
            </w:r>
          </w:p>
        </w:tc>
        <w:tc>
          <w:tcPr>
            <w:tcW w:type="dxa" w:w="2520"/>
            <w:shd w:fill="F2F4F8" w:val="clear"/>
          </w:tcPr>
          <w:p>
            <w:r>
              <w:rPr>
                <w:rFonts w:ascii="Calibri" w:hAnsi="Calibri"/>
                <w:color w:val="333333"/>
                <w:sz w:val="18"/>
              </w:rPr>
              <w:t>$3.0B</w:t>
            </w:r>
          </w:p>
        </w:tc>
        <w:tc>
          <w:tcPr>
            <w:tcW w:type="dxa" w:w="2520"/>
            <w:shd w:fill="F2F4F8" w:val="clear"/>
          </w:tcPr>
          <w:p>
            <w:r>
              <w:rPr>
                <w:rFonts w:ascii="Calibri" w:hAnsi="Calibri"/>
                <w:color w:val="333333"/>
                <w:sz w:val="18"/>
              </w:rPr>
              <w:t>$3.0B</w:t>
            </w:r>
          </w:p>
        </w:tc>
        <w:tc>
          <w:tcPr>
            <w:tcW w:type="dxa" w:w="2520"/>
            <w:shd w:fill="F2F4F8" w:val="clear"/>
            <w:shd w:fill="FFF3CD" w:val="clear"/>
          </w:tcPr>
          <w:p>
            <w:r>
              <w:rPr>
                <w:rFonts w:ascii="Calibri" w:hAnsi="Calibri"/>
                <w:color w:val="333333"/>
                <w:sz w:val="18"/>
              </w:rPr>
              <w:t>1.7%</w:t>
            </w:r>
          </w:p>
        </w:tc>
      </w:tr>
      <w:tr>
        <w:tc>
          <w:tcPr>
            <w:tcW w:type="dxa" w:w="2520"/>
          </w:tcPr>
          <w:p>
            <w:r>
              <w:rPr>
                <w:rFonts w:ascii="Calibri" w:hAnsi="Calibri"/>
                <w:color w:val="333333"/>
                <w:sz w:val="18"/>
              </w:rPr>
              <w:t>Proceeds from stock issuance</w:t>
            </w:r>
          </w:p>
        </w:tc>
        <w:tc>
          <w:tcPr>
            <w:tcW w:type="dxa" w:w="2520"/>
          </w:tcPr>
          <w:p>
            <w:r>
              <w:rPr>
                <w:rFonts w:ascii="Calibri" w:hAnsi="Calibri"/>
                <w:color w:val="333333"/>
                <w:sz w:val="18"/>
              </w:rPr>
              <w:t>$1.8B</w:t>
            </w:r>
          </w:p>
        </w:tc>
        <w:tc>
          <w:tcPr>
            <w:tcW w:type="dxa" w:w="2520"/>
          </w:tcPr>
          <w:p>
            <w:r>
              <w:rPr>
                <w:rFonts w:ascii="Calibri" w:hAnsi="Calibri"/>
                <w:color w:val="333333"/>
                <w:sz w:val="18"/>
              </w:rPr>
              <w:t>$827.0M</w:t>
            </w:r>
          </w:p>
        </w:tc>
        <w:tc>
          <w:tcPr>
            <w:tcW w:type="dxa" w:w="2520"/>
            <w:shd w:fill="FCE8E6" w:val="clear"/>
          </w:tcPr>
          <w:p>
            <w:r>
              <w:rPr>
                <w:rFonts w:ascii="Calibri" w:hAnsi="Calibri"/>
                <w:color w:val="333333"/>
                <w:sz w:val="18"/>
              </w:rPr>
              <w:t>-55.2%</w:t>
            </w:r>
          </w:p>
        </w:tc>
      </w:tr>
      <w:tr>
        <w:tc>
          <w:tcPr>
            <w:tcW w:type="dxa" w:w="2520"/>
            <w:shd w:fill="F2F4F8" w:val="clear"/>
          </w:tcPr>
          <w:p>
            <w:r>
              <w:rPr>
                <w:rFonts w:ascii="Calibri" w:hAnsi="Calibri"/>
                <w:color w:val="333333"/>
                <w:sz w:val="18"/>
              </w:rPr>
              <w:t>Interest paid (supplemental)</w:t>
            </w:r>
          </w:p>
        </w:tc>
        <w:tc>
          <w:tcPr>
            <w:tcW w:type="dxa" w:w="2520"/>
            <w:shd w:fill="F2F4F8" w:val="clear"/>
          </w:tcPr>
          <w:p>
            <w:r>
              <w:rPr>
                <w:rFonts w:ascii="Calibri" w:hAnsi="Calibri"/>
                <w:color w:val="333333"/>
                <w:sz w:val="18"/>
              </w:rPr>
              <w:t>$3.6B</w:t>
            </w:r>
          </w:p>
        </w:tc>
        <w:tc>
          <w:tcPr>
            <w:tcW w:type="dxa" w:w="2520"/>
            <w:shd w:fill="F2F4F8" w:val="clear"/>
          </w:tcPr>
          <w:p>
            <w:r>
              <w:rPr>
                <w:rFonts w:ascii="Calibri" w:hAnsi="Calibri"/>
                <w:color w:val="333333"/>
                <w:sz w:val="18"/>
              </w:rPr>
              <w:t>$4.0B</w:t>
            </w:r>
          </w:p>
        </w:tc>
        <w:tc>
          <w:tcPr>
            <w:tcW w:type="dxa" w:w="2520"/>
            <w:shd w:fill="F2F4F8" w:val="clear"/>
            <w:shd w:fill="DCEEF8" w:val="clear"/>
          </w:tcPr>
          <w:p>
            <w:r>
              <w:rPr>
                <w:rFonts w:ascii="Calibri" w:hAnsi="Calibri"/>
                <w:color w:val="333333"/>
                <w:sz w:val="18"/>
              </w:rPr>
              <w:t>12.1%</w:t>
            </w:r>
          </w:p>
        </w:tc>
      </w:tr>
      <w:tr>
        <w:tc>
          <w:tcPr>
            <w:tcW w:type="dxa" w:w="2520"/>
          </w:tcPr>
          <w:p>
            <w:r>
              <w:rPr>
                <w:rFonts w:ascii="Calibri" w:hAnsi="Calibri"/>
                <w:color w:val="333333"/>
                <w:sz w:val="18"/>
              </w:rPr>
              <w:t>Income taxes paid (supplemental)</w:t>
            </w:r>
          </w:p>
        </w:tc>
        <w:tc>
          <w:tcPr>
            <w:tcW w:type="dxa" w:w="2520"/>
          </w:tcPr>
          <w:p>
            <w:r>
              <w:rPr>
                <w:rFonts w:ascii="Calibri" w:hAnsi="Calibri"/>
                <w:color w:val="333333"/>
                <w:sz w:val="18"/>
              </w:rPr>
              <w:t>$4.6B</w:t>
            </w:r>
          </w:p>
        </w:tc>
        <w:tc>
          <w:tcPr>
            <w:tcW w:type="dxa" w:w="2520"/>
          </w:tcPr>
          <w:p>
            <w:r>
              <w:rPr>
                <w:rFonts w:ascii="Calibri" w:hAnsi="Calibri"/>
                <w:color w:val="333333"/>
                <w:sz w:val="18"/>
              </w:rPr>
              <w:t>$3.7B</w:t>
            </w:r>
          </w:p>
        </w:tc>
        <w:tc>
          <w:tcPr>
            <w:tcW w:type="dxa" w:w="2520"/>
            <w:shd w:fill="FCE8E6" w:val="clear"/>
          </w:tcPr>
          <w:p>
            <w:r>
              <w:rPr>
                <w:rFonts w:ascii="Calibri" w:hAnsi="Calibri"/>
                <w:color w:val="333333"/>
                <w:sz w:val="18"/>
              </w:rPr>
              <w:t>-19.6%</w:t>
            </w:r>
          </w:p>
        </w:tc>
      </w:tr>
      <w:tr>
        <w:tc>
          <w:tcPr>
            <w:tcW w:type="dxa" w:w="2520"/>
            <w:shd w:fill="F2F4F8" w:val="clear"/>
          </w:tcPr>
          <w:p>
            <w:r>
              <w:rPr>
                <w:rFonts w:ascii="Calibri" w:hAnsi="Calibri"/>
                <w:color w:val="333333"/>
                <w:sz w:val="18"/>
              </w:rPr>
              <w:t>Stock-based compensation (cash flow adjustment)</w:t>
            </w:r>
          </w:p>
        </w:tc>
        <w:tc>
          <w:tcPr>
            <w:tcW w:type="dxa" w:w="2520"/>
            <w:shd w:fill="F2F4F8" w:val="clear"/>
          </w:tcPr>
          <w:p>
            <w:r>
              <w:rPr>
                <w:rFonts w:ascii="Calibri" w:hAnsi="Calibri"/>
                <w:color w:val="333333"/>
                <w:sz w:val="18"/>
              </w:rPr>
              <w:t>$1.0B</w:t>
            </w:r>
          </w:p>
        </w:tc>
        <w:tc>
          <w:tcPr>
            <w:tcW w:type="dxa" w:w="2520"/>
            <w:shd w:fill="F2F4F8" w:val="clear"/>
          </w:tcPr>
          <w:p>
            <w:r>
              <w:rPr>
                <w:rFonts w:ascii="Calibri" w:hAnsi="Calibri"/>
                <w:color w:val="333333"/>
                <w:sz w:val="18"/>
              </w:rPr>
              <w:t>$971.0M</w:t>
            </w:r>
          </w:p>
        </w:tc>
        <w:tc>
          <w:tcPr>
            <w:tcW w:type="dxa" w:w="2520"/>
            <w:shd w:fill="F2F4F8" w:val="clear"/>
            <w:shd w:fill="FFF3CD" w:val="clear"/>
          </w:tcPr>
          <w:p>
            <w:r>
              <w:rPr>
                <w:rFonts w:ascii="Calibri" w:hAnsi="Calibri"/>
                <w:color w:val="333333"/>
                <w:sz w:val="18"/>
              </w:rPr>
              <w:t>-4.6%</w:t>
            </w:r>
          </w:p>
        </w:tc>
      </w:tr>
      <w:tr>
        <w:tc>
          <w:tcPr>
            <w:tcW w:type="dxa" w:w="2520"/>
          </w:tcPr>
          <w:p>
            <w:r>
              <w:rPr>
                <w:rFonts w:ascii="Calibri" w:hAnsi="Calibri"/>
                <w:color w:val="333333"/>
                <w:sz w:val="18"/>
              </w:rPr>
              <w:t>Changes in operating working capital</w:t>
            </w:r>
          </w:p>
        </w:tc>
        <w:tc>
          <w:tcPr>
            <w:tcW w:type="dxa" w:w="2520"/>
          </w:tcPr>
          <w:p>
            <w:r>
              <w:rPr>
                <w:rFonts w:ascii="Calibri" w:hAnsi="Calibri"/>
                <w:color w:val="333333"/>
                <w:sz w:val="18"/>
              </w:rPr>
              <w:t>$2.5B</w:t>
            </w:r>
          </w:p>
        </w:tc>
        <w:tc>
          <w:tcPr>
            <w:tcW w:type="dxa" w:w="2520"/>
          </w:tcPr>
          <w:p>
            <w:r>
              <w:rPr>
                <w:rFonts w:ascii="Calibri" w:hAnsi="Calibri"/>
                <w:color w:val="333333"/>
                <w:sz w:val="18"/>
              </w:rPr>
              <w:t>$1.7B</w:t>
            </w:r>
          </w:p>
        </w:tc>
        <w:tc>
          <w:tcPr>
            <w:tcW w:type="dxa" w:w="2520"/>
            <w:shd w:fill="FCE8E6" w:val="clear"/>
          </w:tcPr>
          <w:p>
            <w:r>
              <w:rPr>
                <w:rFonts w:ascii="Calibri" w:hAnsi="Calibri"/>
                <w:color w:val="333333"/>
                <w:sz w:val="18"/>
              </w:rPr>
              <w:t>-32.4%</w:t>
            </w:r>
          </w:p>
        </w:tc>
      </w:tr>
      <w:tr>
        <w:tc>
          <w:tcPr>
            <w:tcW w:type="dxa" w:w="2520"/>
            <w:shd w:fill="F2F4F8" w:val="clear"/>
          </w:tcPr>
          <w:p>
            <w:r>
              <w:rPr>
                <w:rFonts w:ascii="Calibri" w:hAnsi="Calibri"/>
                <w:color w:val="333333"/>
                <w:sz w:val="18"/>
              </w:rPr>
              <w:t>Net increase/decrease in cash and equivalents</w:t>
            </w:r>
          </w:p>
        </w:tc>
        <w:tc>
          <w:tcPr>
            <w:tcW w:type="dxa" w:w="2520"/>
            <w:shd w:fill="F2F4F8" w:val="clear"/>
          </w:tcPr>
          <w:p>
            <w:r>
              <w:rPr>
                <w:rFonts w:ascii="Calibri" w:hAnsi="Calibri"/>
                <w:color w:val="333333"/>
                <w:sz w:val="18"/>
              </w:rPr>
              <w:t>$-115.0M</w:t>
            </w:r>
          </w:p>
        </w:tc>
        <w:tc>
          <w:tcPr>
            <w:tcW w:type="dxa" w:w="2520"/>
            <w:shd w:fill="F2F4F8" w:val="clear"/>
          </w:tcPr>
          <w:p>
            <w:r>
              <w:rPr>
                <w:rFonts w:ascii="Calibri" w:hAnsi="Calibri"/>
                <w:color w:val="333333"/>
                <w:sz w:val="18"/>
              </w:rPr>
              <w:t>$-947.0M</w:t>
            </w:r>
          </w:p>
        </w:tc>
        <w:tc>
          <w:tcPr>
            <w:tcW w:type="dxa" w:w="2520"/>
            <w:shd w:fill="F2F4F8" w:val="clear"/>
            <w:shd w:fill="FCE8E6" w:val="clear"/>
          </w:tcPr>
          <w:p>
            <w:r>
              <w:rPr>
                <w:rFonts w:ascii="Calibri" w:hAnsi="Calibri"/>
                <w:color w:val="333333"/>
                <w:sz w:val="18"/>
              </w:rPr>
              <w:t>-723.5%</w:t>
            </w:r>
          </w:p>
        </w:tc>
      </w:tr>
      <w:tr>
        <w:tc>
          <w:tcPr>
            <w:tcW w:type="dxa" w:w="2520"/>
          </w:tcPr>
          <w:p>
            <w:r>
              <w:rPr>
                <w:rFonts w:ascii="Calibri" w:hAnsi="Calibri"/>
                <w:color w:val="333333"/>
                <w:sz w:val="18"/>
              </w:rPr>
              <w:t>Purchases of investments</w:t>
            </w:r>
          </w:p>
        </w:tc>
        <w:tc>
          <w:tcPr>
            <w:tcW w:type="dxa" w:w="2520"/>
          </w:tcPr>
          <w:p>
            <w:r>
              <w:rPr>
                <w:rFonts w:ascii="Calibri" w:hAnsi="Calibri"/>
                <w:color w:val="333333"/>
                <w:sz w:val="18"/>
              </w:rPr>
              <w:t>$27.3B</w:t>
            </w:r>
          </w:p>
        </w:tc>
        <w:tc>
          <w:tcPr>
            <w:tcW w:type="dxa" w:w="2520"/>
          </w:tcPr>
          <w:p>
            <w:r>
              <w:rPr>
                <w:rFonts w:ascii="Calibri" w:hAnsi="Calibri"/>
                <w:color w:val="333333"/>
                <w:sz w:val="18"/>
              </w:rPr>
              <w:t>$17.4B</w:t>
            </w:r>
          </w:p>
        </w:tc>
        <w:tc>
          <w:tcPr>
            <w:tcW w:type="dxa" w:w="2520"/>
            <w:shd w:fill="FCE8E6" w:val="clear"/>
          </w:tcPr>
          <w:p>
            <w:r>
              <w:rPr>
                <w:rFonts w:ascii="Calibri" w:hAnsi="Calibri"/>
                <w:color w:val="333333"/>
                <w:sz w:val="18"/>
              </w:rPr>
              <w:t>-36.4%</w:t>
            </w:r>
          </w:p>
        </w:tc>
      </w:tr>
      <w:tr>
        <w:tc>
          <w:tcPr>
            <w:tcW w:type="dxa" w:w="2520"/>
            <w:shd w:fill="F2F4F8" w:val="clear"/>
          </w:tcPr>
          <w:p>
            <w:r>
              <w:rPr>
                <w:rFonts w:ascii="Calibri" w:hAnsi="Calibri"/>
                <w:color w:val="333333"/>
                <w:sz w:val="18"/>
              </w:rPr>
              <w:t>Proceeds from sale/maturity of investments</w:t>
            </w:r>
          </w:p>
        </w:tc>
        <w:tc>
          <w:tcPr>
            <w:tcW w:type="dxa" w:w="2520"/>
            <w:shd w:fill="F2F4F8" w:val="clear"/>
          </w:tcPr>
          <w:p>
            <w:r>
              <w:rPr>
                <w:rFonts w:ascii="Calibri" w:hAnsi="Calibri"/>
                <w:color w:val="333333"/>
                <w:sz w:val="18"/>
              </w:rPr>
              <w:t>$18.5B</w:t>
            </w:r>
          </w:p>
        </w:tc>
        <w:tc>
          <w:tcPr>
            <w:tcW w:type="dxa" w:w="2520"/>
            <w:shd w:fill="F2F4F8" w:val="clear"/>
          </w:tcPr>
          <w:p>
            <w:r>
              <w:rPr>
                <w:rFonts w:ascii="Calibri" w:hAnsi="Calibri"/>
                <w:color w:val="333333"/>
                <w:sz w:val="18"/>
              </w:rPr>
              <w:t>$9.3B</w:t>
            </w:r>
          </w:p>
        </w:tc>
        <w:tc>
          <w:tcPr>
            <w:tcW w:type="dxa" w:w="2520"/>
            <w:shd w:fill="F2F4F8" w:val="clear"/>
            <w:shd w:fill="FCE8E6" w:val="clear"/>
          </w:tcPr>
          <w:p>
            <w:r>
              <w:rPr>
                <w:rFonts w:ascii="Calibri" w:hAnsi="Calibri"/>
                <w:color w:val="333333"/>
                <w:sz w:val="18"/>
              </w:rPr>
              <w:t>-49.8%</w:t>
            </w:r>
          </w:p>
        </w:tc>
      </w:tr>
      <w:tr>
        <w:tc>
          <w:tcPr>
            <w:tcW w:type="dxa" w:w="2520"/>
          </w:tcPr>
          <w:p>
            <w:r>
              <w:rPr>
                <w:rFonts w:ascii="Calibri" w:hAnsi="Calibri"/>
                <w:color w:val="333333"/>
                <w:sz w:val="18"/>
              </w:rPr>
              <w:t>Deferred income taxes (cash flow adjustment)</w:t>
            </w:r>
          </w:p>
        </w:tc>
        <w:tc>
          <w:tcPr>
            <w:tcW w:type="dxa" w:w="2520"/>
          </w:tcPr>
          <w:p>
            <w:r>
              <w:rPr>
                <w:rFonts w:ascii="Calibri" w:hAnsi="Calibri"/>
                <w:color w:val="333333"/>
                <w:sz w:val="18"/>
              </w:rPr>
              <w:t>$-296.0M</w:t>
            </w:r>
          </w:p>
        </w:tc>
        <w:tc>
          <w:tcPr>
            <w:tcW w:type="dxa" w:w="2520"/>
          </w:tcPr>
          <w:p>
            <w:r>
              <w:rPr>
                <w:rFonts w:ascii="Calibri" w:hAnsi="Calibri"/>
                <w:color w:val="333333"/>
                <w:sz w:val="18"/>
              </w:rPr>
              <w:t>$-1.8B</w:t>
            </w:r>
          </w:p>
        </w:tc>
        <w:tc>
          <w:tcPr>
            <w:tcW w:type="dxa" w:w="2520"/>
            <w:shd w:fill="FCE8E6" w:val="clear"/>
          </w:tcPr>
          <w:p>
            <w:r>
              <w:rPr>
                <w:rFonts w:ascii="Calibri" w:hAnsi="Calibri"/>
                <w:color w:val="333333"/>
                <w:sz w:val="18"/>
              </w:rPr>
              <w:t>-491.9%</w:t>
            </w:r>
          </w:p>
        </w:tc>
      </w:tr>
      <w:tr>
        <w:tc>
          <w:tcPr>
            <w:tcW w:type="dxa" w:w="2520"/>
            <w:shd w:fill="F2F4F8" w:val="clear"/>
          </w:tcPr>
          <w:p>
            <w:r>
              <w:rPr>
                <w:rFonts w:ascii="Calibri" w:hAnsi="Calibri"/>
                <w:color w:val="333333"/>
                <w:sz w:val="18"/>
              </w:rPr>
              <w:t>Change in accounts receivable</w:t>
            </w:r>
          </w:p>
        </w:tc>
        <w:tc>
          <w:tcPr>
            <w:tcW w:type="dxa" w:w="2520"/>
            <w:shd w:fill="F2F4F8" w:val="clear"/>
          </w:tcPr>
          <w:p>
            <w:r>
              <w:rPr>
                <w:rFonts w:ascii="Calibri" w:hAnsi="Calibri"/>
                <w:color w:val="333333"/>
                <w:sz w:val="18"/>
              </w:rPr>
              <w:t>$1.4B</w:t>
            </w:r>
          </w:p>
        </w:tc>
        <w:tc>
          <w:tcPr>
            <w:tcW w:type="dxa" w:w="2520"/>
            <w:shd w:fill="F2F4F8" w:val="clear"/>
          </w:tcPr>
          <w:p>
            <w:r>
              <w:rPr>
                <w:rFonts w:ascii="Calibri" w:hAnsi="Calibri"/>
                <w:color w:val="333333"/>
                <w:sz w:val="18"/>
              </w:rPr>
              <w:t>$764.0M</w:t>
            </w:r>
          </w:p>
        </w:tc>
        <w:tc>
          <w:tcPr>
            <w:tcW w:type="dxa" w:w="2520"/>
            <w:shd w:fill="F2F4F8" w:val="clear"/>
            <w:shd w:fill="FCE8E6" w:val="clear"/>
          </w:tcPr>
          <w:p>
            <w:r>
              <w:rPr>
                <w:rFonts w:ascii="Calibri" w:hAnsi="Calibri"/>
                <w:color w:val="333333"/>
                <w:sz w:val="18"/>
              </w:rPr>
              <w:t>-46.8%</w:t>
            </w:r>
          </w:p>
        </w:tc>
      </w:tr>
      <w:tr>
        <w:tc>
          <w:tcPr>
            <w:tcW w:type="dxa" w:w="2520"/>
          </w:tcPr>
          <w:p>
            <w:r>
              <w:rPr>
                <w:rFonts w:ascii="Calibri" w:hAnsi="Calibri"/>
                <w:color w:val="333333"/>
                <w:sz w:val="18"/>
              </w:rPr>
              <w:t>Change in accounts payable</w:t>
            </w:r>
          </w:p>
        </w:tc>
        <w:tc>
          <w:tcPr>
            <w:tcW w:type="dxa" w:w="2520"/>
          </w:tcPr>
          <w:p>
            <w:r>
              <w:rPr>
                <w:rFonts w:ascii="Calibri" w:hAnsi="Calibri"/>
                <w:color w:val="333333"/>
                <w:sz w:val="18"/>
              </w:rPr>
              <w:t>$2.5B</w:t>
            </w:r>
          </w:p>
        </w:tc>
        <w:tc>
          <w:tcPr>
            <w:tcW w:type="dxa" w:w="2520"/>
          </w:tcPr>
          <w:p>
            <w:r>
              <w:rPr>
                <w:rFonts w:ascii="Calibri" w:hAnsi="Calibri"/>
                <w:color w:val="333333"/>
                <w:sz w:val="18"/>
              </w:rPr>
              <w:t>$1.7B</w:t>
            </w:r>
          </w:p>
        </w:tc>
        <w:tc>
          <w:tcPr>
            <w:tcW w:type="dxa" w:w="2520"/>
            <w:shd w:fill="FCE8E6" w:val="clear"/>
          </w:tcPr>
          <w:p>
            <w:r>
              <w:rPr>
                <w:rFonts w:ascii="Calibri" w:hAnsi="Calibri"/>
                <w:color w:val="333333"/>
                <w:sz w:val="18"/>
              </w:rPr>
              <w:t>-32.4%</w:t>
            </w:r>
          </w:p>
        </w:tc>
      </w:tr>
      <w:tr>
        <w:tc>
          <w:tcPr>
            <w:tcW w:type="dxa" w:w="2520"/>
            <w:shd w:fill="F2F4F8" w:val="clear"/>
          </w:tcPr>
          <w:p>
            <w:r>
              <w:rPr>
                <w:rFonts w:ascii="Calibri" w:hAnsi="Calibri"/>
                <w:color w:val="333333"/>
                <w:sz w:val="18"/>
              </w:rPr>
              <w:t>Amortization of intangible assets</w:t>
            </w:r>
          </w:p>
        </w:tc>
        <w:tc>
          <w:tcPr>
            <w:tcW w:type="dxa" w:w="2520"/>
            <w:shd w:fill="F2F4F8" w:val="clear"/>
          </w:tcPr>
          <w:p>
            <w:r>
              <w:rPr>
                <w:rFonts w:ascii="Calibri" w:hAnsi="Calibri"/>
                <w:color w:val="333333"/>
                <w:sz w:val="18"/>
              </w:rPr>
              <w:t>$1.7B</w:t>
            </w:r>
          </w:p>
        </w:tc>
        <w:tc>
          <w:tcPr>
            <w:tcW w:type="dxa" w:w="2520"/>
            <w:shd w:fill="F2F4F8" w:val="clear"/>
          </w:tcPr>
          <w:p>
            <w:r>
              <w:rPr>
                <w:rFonts w:ascii="Calibri" w:hAnsi="Calibri"/>
                <w:color w:val="333333"/>
                <w:sz w:val="18"/>
              </w:rPr>
              <w:t>$1.7B</w:t>
            </w:r>
          </w:p>
        </w:tc>
        <w:tc>
          <w:tcPr>
            <w:tcW w:type="dxa" w:w="2520"/>
            <w:shd w:fill="F2F4F8" w:val="clear"/>
          </w:tcPr>
          <w:p>
            <w:r>
              <w:rPr>
                <w:rFonts w:ascii="Calibri" w:hAnsi="Calibri"/>
                <w:color w:val="333333"/>
                <w:sz w:val="18"/>
              </w:rPr>
              <w:t>0.0%</w:t>
            </w:r>
          </w:p>
        </w:tc>
      </w:tr>
      <w:tr>
        <w:tc>
          <w:tcPr>
            <w:tcW w:type="dxa" w:w="2520"/>
          </w:tcPr>
          <w:p>
            <w:r>
              <w:rPr>
                <w:rFonts w:ascii="Calibri" w:hAnsi="Calibri"/>
                <w:color w:val="333333"/>
                <w:sz w:val="18"/>
              </w:rPr>
              <w:t>Proceeds from sale / divestiture of businesses</w:t>
            </w:r>
          </w:p>
        </w:tc>
        <w:tc>
          <w:tcPr>
            <w:tcW w:type="dxa" w:w="2520"/>
          </w:tcPr>
          <w:p>
            <w:r>
              <w:rPr>
                <w:rFonts w:ascii="Calibri" w:hAnsi="Calibri"/>
                <w:color w:val="333333"/>
                <w:sz w:val="18"/>
              </w:rPr>
              <w:t>$2.0B</w:t>
            </w:r>
          </w:p>
        </w:tc>
        <w:tc>
          <w:tcPr>
            <w:tcW w:type="dxa" w:w="2520"/>
          </w:tcPr>
          <w:p>
            <w:r>
              <w:rPr>
                <w:rFonts w:ascii="Calibri" w:hAnsi="Calibri"/>
                <w:color w:val="333333"/>
                <w:sz w:val="18"/>
              </w:rPr>
              <w:t>$561.0M</w:t>
            </w:r>
          </w:p>
        </w:tc>
        <w:tc>
          <w:tcPr>
            <w:tcW w:type="dxa" w:w="2520"/>
            <w:shd w:fill="FCE8E6" w:val="clear"/>
          </w:tcPr>
          <w:p>
            <w:r>
              <w:rPr>
                <w:rFonts w:ascii="Calibri" w:hAnsi="Calibri"/>
                <w:color w:val="333333"/>
                <w:sz w:val="18"/>
              </w:rPr>
              <w:t>-72.5%</w:t>
            </w:r>
          </w:p>
        </w:tc>
      </w:tr>
      <w:tr>
        <w:tc>
          <w:tcPr>
            <w:tcW w:type="dxa" w:w="2520"/>
            <w:shd w:fill="F2F4F8" w:val="clear"/>
          </w:tcPr>
          <w:p>
            <w:r>
              <w:rPr>
                <w:rFonts w:ascii="Calibri" w:hAnsi="Calibri"/>
                <w:color w:val="333333"/>
                <w:sz w:val="18"/>
              </w:rPr>
              <w:t>Effect of exchange rate changes on cash</w:t>
            </w:r>
          </w:p>
        </w:tc>
        <w:tc>
          <w:tcPr>
            <w:tcW w:type="dxa" w:w="2520"/>
            <w:shd w:fill="F2F4F8" w:val="clear"/>
          </w:tcPr>
          <w:p>
            <w:r>
              <w:rPr>
                <w:rFonts w:ascii="Calibri" w:hAnsi="Calibri"/>
                <w:color w:val="333333"/>
                <w:sz w:val="18"/>
              </w:rPr>
              <w:t>$-61.0M</w:t>
            </w:r>
          </w:p>
        </w:tc>
        <w:tc>
          <w:tcPr>
            <w:tcW w:type="dxa" w:w="2520"/>
            <w:shd w:fill="F2F4F8" w:val="clear"/>
          </w:tcPr>
          <w:p>
            <w:r>
              <w:rPr>
                <w:rFonts w:ascii="Calibri" w:hAnsi="Calibri"/>
                <w:color w:val="333333"/>
                <w:sz w:val="18"/>
              </w:rPr>
              <w:t>$40.0M</w:t>
            </w:r>
          </w:p>
        </w:tc>
        <w:tc>
          <w:tcPr>
            <w:tcW w:type="dxa" w:w="2520"/>
            <w:shd w:fill="F2F4F8" w:val="clear"/>
            <w:shd w:fill="DCEEF8" w:val="clear"/>
          </w:tcPr>
          <w:p>
            <w:r>
              <w:rPr>
                <w:rFonts w:ascii="Calibri" w:hAnsi="Calibri"/>
                <w:color w:val="333333"/>
                <w:sz w:val="18"/>
              </w:rPr>
              <w:t>165.6%</w:t>
            </w:r>
          </w:p>
        </w:tc>
      </w:tr>
      <w:tr>
        <w:tc>
          <w:tcPr>
            <w:tcW w:type="dxa" w:w="2520"/>
          </w:tcPr>
          <w:p>
            <w:r>
              <w:rPr>
                <w:rFonts w:ascii="Calibri" w:hAnsi="Calibri"/>
                <w:color w:val="333333"/>
                <w:sz w:val="18"/>
              </w:rPr>
              <w:t>Free cash flow</w:t>
            </w:r>
          </w:p>
        </w:tc>
        <w:tc>
          <w:tcPr>
            <w:tcW w:type="dxa" w:w="2520"/>
          </w:tcPr>
          <w:p>
            <w:r>
              <w:rPr>
                <w:rFonts w:ascii="Calibri" w:hAnsi="Calibri"/>
                <w:color w:val="333333"/>
                <w:sz w:val="18"/>
              </w:rPr>
              <w:t>$20.7B</w:t>
            </w:r>
          </w:p>
        </w:tc>
        <w:tc>
          <w:tcPr>
            <w:tcW w:type="dxa" w:w="2520"/>
          </w:tcPr>
          <w:p>
            <w:r>
              <w:rPr>
                <w:rFonts w:ascii="Calibri" w:hAnsi="Calibri"/>
                <w:color w:val="333333"/>
                <w:sz w:val="18"/>
              </w:rPr>
              <w:t>$16.1B</w:t>
            </w:r>
          </w:p>
        </w:tc>
        <w:tc>
          <w:tcPr>
            <w:tcW w:type="dxa" w:w="2520"/>
            <w:shd w:fill="FCE8E6" w:val="clear"/>
          </w:tcPr>
          <w:p>
            <w:r>
              <w:rPr>
                <w:rFonts w:ascii="Calibri" w:hAnsi="Calibri"/>
                <w:color w:val="333333"/>
                <w:sz w:val="18"/>
              </w:rPr>
              <w:t>-22.4%</w:t>
            </w:r>
          </w:p>
        </w:tc>
      </w:tr>
      <w:tr>
        <w:tc>
          <w:tcPr>
            <w:tcW w:type="dxa" w:w="2520"/>
            <w:shd w:fill="F2F4F8" w:val="clear"/>
          </w:tcPr>
          <w:p>
            <w:r>
              <w:rPr>
                <w:rFonts w:ascii="Calibri" w:hAnsi="Calibri"/>
                <w:color w:val="333333"/>
                <w:sz w:val="18"/>
              </w:rPr>
              <w:t>FCF-to-revenue ratio</w:t>
            </w:r>
          </w:p>
        </w:tc>
        <w:tc>
          <w:tcPr>
            <w:tcW w:type="dxa" w:w="2520"/>
            <w:shd w:fill="F2F4F8" w:val="clear"/>
          </w:tcPr>
          <w:p>
            <w:r>
              <w:rPr>
                <w:rFonts w:ascii="Calibri" w:hAnsi="Calibri"/>
                <w:color w:val="333333"/>
                <w:sz w:val="18"/>
              </w:rPr>
              <w:t>$5</w:t>
            </w:r>
          </w:p>
        </w:tc>
        <w:tc>
          <w:tcPr>
            <w:tcW w:type="dxa" w:w="2520"/>
            <w:shd w:fill="F2F4F8" w:val="clear"/>
          </w:tcPr>
          <w:p>
            <w:r>
              <w:rPr>
                <w:rFonts w:ascii="Calibri" w:hAnsi="Calibri"/>
                <w:color w:val="333333"/>
                <w:sz w:val="18"/>
              </w:rPr>
              <w:t>$4</w:t>
            </w:r>
          </w:p>
        </w:tc>
        <w:tc>
          <w:tcPr>
            <w:tcW w:type="dxa" w:w="2520"/>
            <w:shd w:fill="F2F4F8" w:val="clear"/>
            <w:shd w:fill="FCE8E6" w:val="clear"/>
          </w:tcPr>
          <w:p>
            <w:r>
              <w:rPr>
                <w:rFonts w:ascii="Calibri" w:hAnsi="Calibri"/>
                <w:color w:val="333333"/>
                <w:sz w:val="18"/>
              </w:rPr>
              <w:t>-30.6%</w:t>
            </w:r>
          </w:p>
        </w:tc>
      </w:tr>
      <w:tr>
        <w:tc>
          <w:tcPr>
            <w:tcW w:type="dxa" w:w="2520"/>
          </w:tcPr>
          <w:p>
            <w:r>
              <w:rPr>
                <w:rFonts w:ascii="Calibri" w:hAnsi="Calibri"/>
                <w:color w:val="333333"/>
                <w:sz w:val="18"/>
              </w:rPr>
              <w:t>Capex-to-revenue ratio</w:t>
            </w:r>
          </w:p>
        </w:tc>
        <w:tc>
          <w:tcPr>
            <w:tcW w:type="dxa" w:w="2520"/>
          </w:tcPr>
          <w:p>
            <w:r>
              <w:rPr>
                <w:rFonts w:ascii="Calibri" w:hAnsi="Calibri"/>
                <w:color w:val="333333"/>
                <w:sz w:val="18"/>
              </w:rPr>
              <w:t>$1</w:t>
            </w:r>
          </w:p>
        </w:tc>
        <w:tc>
          <w:tcPr>
            <w:tcW w:type="dxa" w:w="2520"/>
          </w:tcPr>
          <w:p>
            <w:r>
              <w:rPr>
                <w:rFonts w:ascii="Calibri" w:hAnsi="Calibri"/>
                <w:color w:val="333333"/>
                <w:sz w:val="18"/>
              </w:rPr>
              <w:t>$1</w:t>
            </w:r>
          </w:p>
        </w:tc>
        <w:tc>
          <w:tcPr>
            <w:tcW w:type="dxa" w:w="2520"/>
            <w:shd w:fill="FFF3CD" w:val="clear"/>
          </w:tcPr>
          <w:p>
            <w:r>
              <w:rPr>
                <w:rFonts w:ascii="Calibri" w:hAnsi="Calibri"/>
                <w:color w:val="333333"/>
                <w:sz w:val="18"/>
              </w:rPr>
              <w:t>-6.9%</w:t>
            </w:r>
          </w:p>
        </w:tc>
      </w:tr>
      <w:tr>
        <w:tc>
          <w:tcPr>
            <w:tcW w:type="dxa" w:w="2520"/>
            <w:shd w:fill="F2F4F8" w:val="clear"/>
          </w:tcPr>
          <w:p>
            <w:r>
              <w:rPr>
                <w:rFonts w:ascii="Calibri" w:hAnsi="Calibri"/>
                <w:color w:val="333333"/>
                <w:sz w:val="18"/>
              </w:rPr>
              <w:t>Capex-to-depreciation ratio</w:t>
            </w:r>
          </w:p>
        </w:tc>
        <w:tc>
          <w:tcPr>
            <w:tcW w:type="dxa" w:w="2520"/>
            <w:shd w:fill="F2F4F8" w:val="clear"/>
          </w:tcPr>
          <w:p>
            <w:r>
              <w:rPr>
                <w:rFonts w:ascii="Calibri" w:hAnsi="Calibri"/>
                <w:color w:val="333333"/>
                <w:sz w:val="18"/>
              </w:rPr>
              <w:t>$1</w:t>
            </w:r>
          </w:p>
        </w:tc>
        <w:tc>
          <w:tcPr>
            <w:tcW w:type="dxa" w:w="2520"/>
            <w:shd w:fill="F2F4F8" w:val="clear"/>
          </w:tcPr>
          <w:p>
            <w:r>
              <w:rPr>
                <w:rFonts w:ascii="Calibri" w:hAnsi="Calibri"/>
                <w:color w:val="333333"/>
                <w:sz w:val="18"/>
              </w:rPr>
              <w:t>$1</w:t>
            </w:r>
          </w:p>
        </w:tc>
        <w:tc>
          <w:tcPr>
            <w:tcW w:type="dxa" w:w="2520"/>
            <w:shd w:fill="F2F4F8" w:val="clear"/>
            <w:shd w:fill="FFF3CD" w:val="clear"/>
          </w:tcPr>
          <w:p>
            <w:r>
              <w:rPr>
                <w:rFonts w:ascii="Calibri" w:hAnsi="Calibri"/>
                <w:color w:val="333333"/>
                <w:sz w:val="18"/>
              </w:rPr>
              <w:t>-2.7%</w:t>
            </w:r>
          </w:p>
        </w:tc>
      </w:tr>
      <w:tr>
        <w:tc>
          <w:tcPr>
            <w:tcW w:type="dxa" w:w="2520"/>
          </w:tcPr>
          <w:p>
            <w:r>
              <w:rPr>
                <w:rFonts w:ascii="Calibri" w:hAnsi="Calibri"/>
                <w:color w:val="333333"/>
                <w:sz w:val="18"/>
              </w:rPr>
              <w:t>Dividend payout ratio</w:t>
            </w:r>
          </w:p>
        </w:tc>
        <w:tc>
          <w:tcPr>
            <w:tcW w:type="dxa" w:w="2520"/>
          </w:tcPr>
          <w:p>
            <w:r>
              <w:rPr>
                <w:rFonts w:ascii="Calibri" w:hAnsi="Calibri"/>
                <w:color w:val="333333"/>
                <w:sz w:val="18"/>
              </w:rPr>
              <w:t>N/A</w:t>
            </w:r>
          </w:p>
        </w:tc>
        <w:tc>
          <w:tcPr>
            <w:tcW w:type="dxa" w:w="2520"/>
          </w:tcPr>
          <w:p>
            <w:r>
              <w:rPr>
                <w:rFonts w:ascii="Calibri" w:hAnsi="Calibri"/>
                <w:color w:val="333333"/>
                <w:sz w:val="18"/>
              </w:rPr>
              <w:t>$66</w:t>
            </w:r>
          </w:p>
        </w:tc>
        <w:tc>
          <w:tcPr>
            <w:tcW w:type="dxa" w:w="2520"/>
          </w:tcPr>
          <w:p>
            <w:r>
              <w:rPr>
                <w:rFonts w:ascii="Calibri" w:hAnsi="Calibri"/>
                <w:color w:val="333333"/>
                <w:sz w:val="18"/>
              </w:rPr>
              <w:t>N/A</w:t>
            </w:r>
          </w:p>
        </w:tc>
      </w:tr>
      <w:tr>
        <w:tc>
          <w:tcPr>
            <w:tcW w:type="dxa" w:w="2520"/>
            <w:shd w:fill="F2F4F8" w:val="clear"/>
          </w:tcPr>
          <w:p>
            <w:r>
              <w:rPr>
                <w:rFonts w:ascii="Calibri" w:hAnsi="Calibri"/>
                <w:color w:val="333333"/>
                <w:sz w:val="18"/>
              </w:rPr>
              <w:t>Free cash flow per share</w:t>
            </w:r>
          </w:p>
        </w:tc>
        <w:tc>
          <w:tcPr>
            <w:tcW w:type="dxa" w:w="2520"/>
            <w:shd w:fill="F2F4F8" w:val="clear"/>
          </w:tcPr>
          <w:p>
            <w:r>
              <w:rPr>
                <w:rFonts w:ascii="Calibri" w:hAnsi="Calibri"/>
                <w:color w:val="333333"/>
                <w:sz w:val="18"/>
              </w:rPr>
              <w:t>$22.63</w:t>
            </w:r>
          </w:p>
        </w:tc>
        <w:tc>
          <w:tcPr>
            <w:tcW w:type="dxa" w:w="2520"/>
            <w:shd w:fill="F2F4F8" w:val="clear"/>
          </w:tcPr>
          <w:p>
            <w:r>
              <w:rPr>
                <w:rFonts w:ascii="Calibri" w:hAnsi="Calibri"/>
                <w:color w:val="333333"/>
                <w:sz w:val="18"/>
              </w:rPr>
              <w:t>$17.74</w:t>
            </w:r>
          </w:p>
        </w:tc>
        <w:tc>
          <w:tcPr>
            <w:tcW w:type="dxa" w:w="2520"/>
            <w:shd w:fill="F2F4F8" w:val="clear"/>
            <w:shd w:fill="FCE8E6" w:val="clear"/>
          </w:tcPr>
          <w:p>
            <w:r>
              <w:rPr>
                <w:rFonts w:ascii="Calibri" w:hAnsi="Calibri"/>
                <w:color w:val="333333"/>
                <w:sz w:val="18"/>
              </w:rPr>
              <w:t>-21.6%</w:t>
            </w:r>
          </w:p>
        </w:tc>
      </w:tr>
    </w:tbl>
    <w:p>
      <w:pPr>
        <w:pStyle w:val="DOHeading3"/>
      </w:pPr>
      <w:r>
        <w:t>Key Ratios: Company vs. Peers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Ratio</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Current Ratio</w:t>
            </w:r>
          </w:p>
        </w:tc>
        <w:tc>
          <w:tcPr>
            <w:tcW w:type="dxa" w:w="5040"/>
          </w:tcPr>
          <w:p>
            <w:r>
              <w:rPr>
                <w:rFonts w:ascii="Calibri" w:hAnsi="Calibri"/>
                <w:color w:val="333333"/>
                <w:sz w:val="18"/>
              </w:rPr>
              <w:t>0.79</w:t>
            </w:r>
          </w:p>
        </w:tc>
      </w:tr>
      <w:tr>
        <w:tc>
          <w:tcPr>
            <w:tcW w:type="dxa" w:w="5040"/>
            <w:shd w:fill="F2F4F8" w:val="clear"/>
          </w:tcPr>
          <w:p>
            <w:r>
              <w:rPr>
                <w:rFonts w:ascii="Calibri" w:hAnsi="Calibri"/>
                <w:color w:val="333333"/>
                <w:sz w:val="18"/>
              </w:rPr>
              <w:t>Quick Ratio</w:t>
            </w:r>
          </w:p>
        </w:tc>
        <w:tc>
          <w:tcPr>
            <w:tcW w:type="dxa" w:w="5040"/>
            <w:shd w:fill="F2F4F8" w:val="clear"/>
          </w:tcPr>
          <w:p>
            <w:r>
              <w:rPr>
                <w:rFonts w:ascii="Calibri" w:hAnsi="Calibri"/>
                <w:color w:val="333333"/>
                <w:sz w:val="18"/>
              </w:rPr>
              <w:t>0.76</w:t>
            </w:r>
          </w:p>
        </w:tc>
      </w:tr>
      <w:tr>
        <w:tc>
          <w:tcPr>
            <w:tcW w:type="dxa" w:w="5040"/>
          </w:tcPr>
          <w:p>
            <w:r>
              <w:rPr>
                <w:rFonts w:ascii="Calibri" w:hAnsi="Calibri"/>
                <w:color w:val="333333"/>
                <w:sz w:val="18"/>
              </w:rPr>
              <w:t>Debt/Equity</w:t>
            </w:r>
          </w:p>
        </w:tc>
        <w:tc>
          <w:tcPr>
            <w:tcW w:type="dxa" w:w="5040"/>
          </w:tcPr>
          <w:p>
            <w:r>
              <w:rPr>
                <w:rFonts w:ascii="Calibri" w:hAnsi="Calibri"/>
                <w:color w:val="333333"/>
                <w:sz w:val="18"/>
              </w:rPr>
              <w:t>0.78</w:t>
            </w:r>
          </w:p>
        </w:tc>
      </w:tr>
      <w:tr>
        <w:tc>
          <w:tcPr>
            <w:tcW w:type="dxa" w:w="5040"/>
            <w:shd w:fill="F2F4F8" w:val="clear"/>
          </w:tcPr>
          <w:p>
            <w:r>
              <w:rPr>
                <w:rFonts w:ascii="Calibri" w:hAnsi="Calibri"/>
                <w:color w:val="333333"/>
                <w:sz w:val="18"/>
              </w:rPr>
              <w:t>Interest Coverage</w:t>
            </w:r>
          </w:p>
        </w:tc>
        <w:tc>
          <w:tcPr>
            <w:tcW w:type="dxa" w:w="5040"/>
            <w:shd w:fill="F2F4F8" w:val="clear"/>
          </w:tcPr>
          <w:p>
            <w:r>
              <w:rPr>
                <w:rFonts w:ascii="Calibri" w:hAnsi="Calibri"/>
                <w:color w:val="333333"/>
                <w:sz w:val="18"/>
              </w:rPr>
              <w:t>4.7x</w:t>
            </w:r>
          </w:p>
        </w:tc>
      </w:tr>
    </w:tbl>
    <w:p>
      <w:pPr>
        <w:pStyle w:val="DOHeading2"/>
      </w:pPr>
      <w:r>
        <w:t>Distress Indicators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Model</w:t>
            </w:r>
          </w:p>
        </w:tc>
        <w:tc>
          <w:tcPr>
            <w:tcW w:type="dxa" w:w="2016"/>
            <w:shd w:fill="1A1446" w:val="clear"/>
          </w:tcPr>
          <w:p>
            <w:r>
              <w:rPr>
                <w:rFonts w:ascii="Calibri" w:hAnsi="Calibri"/>
                <w:b/>
                <w:color w:val="FFFFFF"/>
                <w:sz w:val="18"/>
              </w:rPr>
              <w:t>Score</w:t>
            </w:r>
          </w:p>
        </w:tc>
        <w:tc>
          <w:tcPr>
            <w:tcW w:type="dxa" w:w="2016"/>
            <w:shd w:fill="1A1446" w:val="clear"/>
          </w:tcPr>
          <w:p>
            <w:r>
              <w:rPr>
                <w:rFonts w:ascii="Calibri" w:hAnsi="Calibri"/>
                <w:b/>
                <w:color w:val="FFFFFF"/>
                <w:sz w:val="18"/>
              </w:rPr>
              <w:t>Zone</w:t>
            </w:r>
          </w:p>
        </w:tc>
        <w:tc>
          <w:tcPr>
            <w:tcW w:type="dxa" w:w="2016"/>
            <w:shd w:fill="1A1446" w:val="clear"/>
          </w:tcPr>
          <w:p>
            <w:r>
              <w:rPr>
                <w:rFonts w:ascii="Calibri" w:hAnsi="Calibri"/>
                <w:b/>
                <w:color w:val="FFFFFF"/>
                <w:sz w:val="18"/>
              </w:rPr>
              <w:t>Trajectory</w:t>
            </w:r>
          </w:p>
        </w:tc>
        <w:tc>
          <w:tcPr>
            <w:tcW w:type="dxa" w:w="2016"/>
            <w:shd w:fill="1A1446" w:val="clear"/>
          </w:tcPr>
          <w:p>
            <w:r>
              <w:rPr>
                <w:rFonts w:ascii="Calibri" w:hAnsi="Calibri"/>
                <w:b/>
                <w:color w:val="FFFFFF"/>
                <w:sz w:val="18"/>
              </w:rPr>
              <w:t>D&amp;O Context</w:t>
            </w:r>
          </w:p>
        </w:tc>
      </w:tr>
      <w:tr>
        <w:tc>
          <w:tcPr>
            <w:tcW w:type="dxa" w:w="2016"/>
          </w:tcPr>
          <w:p>
            <w:r>
              <w:rPr>
                <w:rFonts w:ascii="Calibri" w:hAnsi="Calibri"/>
                <w:color w:val="333333"/>
                <w:sz w:val="18"/>
              </w:rPr>
              <w:t>Altman Z-Score</w:t>
            </w:r>
          </w:p>
        </w:tc>
        <w:tc>
          <w:tcPr>
            <w:tcW w:type="dxa" w:w="2016"/>
          </w:tcPr>
          <w:p>
            <w:r>
              <w:rPr>
                <w:rFonts w:ascii="Calibri" w:hAnsi="Calibri"/>
                <w:color w:val="333333"/>
                <w:sz w:val="18"/>
              </w:rPr>
              <w:t>1.41</w:t>
            </w:r>
          </w:p>
        </w:tc>
        <w:tc>
          <w:tcPr>
            <w:tcW w:type="dxa" w:w="2016"/>
            <w:shd w:fill="FFF3CD" w:val="clear"/>
          </w:tcPr>
          <w:p>
            <w:r>
              <w:rPr>
                <w:rFonts w:ascii="Calibri" w:hAnsi="Calibri"/>
                <w:color w:val="333333"/>
                <w:sz w:val="18"/>
              </w:rPr>
              <w:t>Grey Zone</w:t>
            </w:r>
          </w:p>
        </w:tc>
        <w:tc>
          <w:tcPr>
            <w:tcW w:type="dxa" w:w="2016"/>
          </w:tcPr>
          <w:p>
            <w:r>
              <w:rPr>
                <w:rFonts w:ascii="Calibri" w:hAnsi="Calibri"/>
                <w:color w:val="333333"/>
                <w:sz w:val="18"/>
              </w:rPr>
              <w:t>FY2024: 1.9 -&gt; FY2025: 1.4 (stable)</w:t>
            </w:r>
          </w:p>
        </w:tc>
        <w:tc>
          <w:tcPr>
            <w:tcW w:type="dxa" w:w="2016"/>
          </w:tcPr>
          <w:p>
            <w:r>
              <w:rPr>
                <w:rFonts w:ascii="Calibri" w:hAnsi="Calibri"/>
                <w:color w:val="333333"/>
                <w:sz w:val="18"/>
              </w:rPr>
              <w:t>Bankruptcy predictor. Distress zone companies face fiduciary duty scrutiny under Revlon/zone of insolvency doctrine.</w:t>
            </w:r>
          </w:p>
        </w:tc>
      </w:tr>
      <w:tr>
        <w:tc>
          <w:tcPr>
            <w:tcW w:type="dxa" w:w="2016"/>
            <w:shd w:fill="F2F4F8" w:val="clear"/>
          </w:tcPr>
          <w:p>
            <w:r>
              <w:rPr>
                <w:rFonts w:ascii="Calibri" w:hAnsi="Calibri"/>
                <w:color w:val="333333"/>
                <w:sz w:val="18"/>
              </w:rPr>
              <w:t>Beneish M-Score</w:t>
            </w:r>
          </w:p>
        </w:tc>
        <w:tc>
          <w:tcPr>
            <w:tcW w:type="dxa" w:w="2016"/>
            <w:shd w:fill="F2F4F8" w:val="clear"/>
          </w:tcPr>
          <w:p>
            <w:r>
              <w:rPr>
                <w:rFonts w:ascii="Calibri" w:hAnsi="Calibri"/>
                <w:color w:val="333333"/>
                <w:sz w:val="18"/>
              </w:rPr>
              <w:t>-3.11</w:t>
            </w:r>
          </w:p>
        </w:tc>
        <w:tc>
          <w:tcPr>
            <w:tcW w:type="dxa" w:w="2016"/>
            <w:shd w:fill="F2F4F8" w:val="clear"/>
            <w:shd w:fill="DCEEF8" w:val="clear"/>
          </w:tcPr>
          <w:p>
            <w:r>
              <w:rPr>
                <w:rFonts w:ascii="Calibri" w:hAnsi="Calibri"/>
                <w:color w:val="333333"/>
                <w:sz w:val="18"/>
              </w:rPr>
              <w:t>Safe</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Earnings manipulation detector. Scores above -1.78 indicate elevated restatement risk, a primary SCA catalyst.</w:t>
            </w:r>
          </w:p>
        </w:tc>
      </w:tr>
      <w:tr>
        <w:tc>
          <w:tcPr>
            <w:tcW w:type="dxa" w:w="2016"/>
          </w:tcPr>
          <w:p>
            <w:r>
              <w:rPr>
                <w:rFonts w:ascii="Calibri" w:hAnsi="Calibri"/>
                <w:color w:val="333333"/>
                <w:sz w:val="18"/>
              </w:rPr>
              <w:t>Ohlson O-Score</w:t>
            </w:r>
          </w:p>
        </w:tc>
        <w:tc>
          <w:tcPr>
            <w:tcW w:type="dxa" w:w="2016"/>
          </w:tcPr>
          <w:p>
            <w:r>
              <w:rPr>
                <w:rFonts w:ascii="Calibri" w:hAnsi="Calibri"/>
                <w:color w:val="333333"/>
                <w:sz w:val="18"/>
              </w:rPr>
              <w:t>0.00</w:t>
            </w:r>
          </w:p>
        </w:tc>
        <w:tc>
          <w:tcPr>
            <w:tcW w:type="dxa" w:w="2016"/>
            <w:shd w:fill="DCEEF8" w:val="clear"/>
          </w:tcPr>
          <w:p>
            <w:r>
              <w:rPr>
                <w:rFonts w:ascii="Calibri" w:hAnsi="Calibri"/>
                <w:color w:val="333333"/>
                <w:sz w:val="18"/>
              </w:rPr>
              <w:t>Safe</w:t>
            </w:r>
          </w:p>
        </w:tc>
        <w:tc>
          <w:tcPr>
            <w:tcW w:type="dxa" w:w="2016"/>
          </w:tcPr>
          <w:p>
            <w:r>
              <w:rPr>
                <w:rFonts w:ascii="Calibri" w:hAnsi="Calibri"/>
                <w:color w:val="333333"/>
                <w:sz w:val="18"/>
              </w:rPr>
              <w:t>N/A</w:t>
            </w:r>
          </w:p>
        </w:tc>
        <w:tc>
          <w:tcPr>
            <w:tcW w:type="dxa" w:w="2016"/>
          </w:tcPr>
          <w:p>
            <w:r>
              <w:rPr>
                <w:rFonts w:ascii="Calibri" w:hAnsi="Calibri"/>
                <w:color w:val="333333"/>
                <w:sz w:val="18"/>
              </w:rPr>
              <w:t>Bankruptcy probability model. Higher values signal financial stress that may limit litigation defense resources.</w:t>
            </w:r>
          </w:p>
        </w:tc>
      </w:tr>
      <w:tr>
        <w:tc>
          <w:tcPr>
            <w:tcW w:type="dxa" w:w="2016"/>
            <w:shd w:fill="F2F4F8" w:val="clear"/>
          </w:tcPr>
          <w:p>
            <w:r>
              <w:rPr>
                <w:rFonts w:ascii="Calibri" w:hAnsi="Calibri"/>
                <w:color w:val="333333"/>
                <w:sz w:val="18"/>
              </w:rPr>
              <w:t>Piotroski F-Score</w:t>
            </w:r>
          </w:p>
        </w:tc>
        <w:tc>
          <w:tcPr>
            <w:tcW w:type="dxa" w:w="2016"/>
            <w:shd w:fill="F2F4F8" w:val="clear"/>
          </w:tcPr>
          <w:p>
            <w:r>
              <w:rPr>
                <w:rFonts w:ascii="Calibri" w:hAnsi="Calibri"/>
                <w:color w:val="333333"/>
                <w:sz w:val="18"/>
              </w:rPr>
              <w:t>6.00</w:t>
            </w:r>
          </w:p>
        </w:tc>
        <w:tc>
          <w:tcPr>
            <w:tcW w:type="dxa" w:w="2016"/>
            <w:shd w:fill="F2F4F8" w:val="clear"/>
            <w:shd w:fill="FFF3CD" w:val="clear"/>
          </w:tcPr>
          <w:p>
            <w:r>
              <w:rPr>
                <w:rFonts w:ascii="Calibri" w:hAnsi="Calibri"/>
                <w:color w:val="333333"/>
                <w:sz w:val="18"/>
              </w:rPr>
              <w:t>Grey Zone</w:t>
            </w:r>
          </w:p>
        </w:tc>
        <w:tc>
          <w:tcPr>
            <w:tcW w:type="dxa" w:w="2016"/>
            <w:shd w:fill="F2F4F8" w:val="clear"/>
          </w:tcPr>
          <w:p>
            <w:r>
              <w:rPr>
                <w:rFonts w:ascii="Calibri" w:hAnsi="Calibri"/>
                <w:color w:val="333333"/>
                <w:sz w:val="18"/>
              </w:rPr>
              <w:t>6/9 criteria met</w:t>
            </w:r>
          </w:p>
        </w:tc>
        <w:tc>
          <w:tcPr>
            <w:tcW w:type="dxa" w:w="2016"/>
            <w:shd w:fill="F2F4F8" w:val="clear"/>
          </w:tcPr>
          <w:p>
            <w:r>
              <w:rPr>
                <w:rFonts w:ascii="Calibri" w:hAnsi="Calibri"/>
                <w:color w:val="333333"/>
                <w:sz w:val="18"/>
              </w:rPr>
              <w:t>Fundamental quality indicator. Scores 0-3 signal weak fundamentals; 7-9 indicate strong quality.</w:t>
            </w:r>
          </w:p>
        </w:tc>
      </w:tr>
    </w:tbl>
    <w:p>
      <w:pPr>
        <w:pStyle w:val="DOBody"/>
      </w:pPr>
      <w:r>
        <w:t>Leverage context: Ranks at the 83rd percentile among 0 peers (peer median: 10.0x).</w:t>
      </w:r>
    </w:p>
    <w:p>
      <w:pPr>
        <w:pStyle w:val="DOHeading2"/>
      </w:pPr>
      <w:r>
        <w:t>Earnings Quality</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Metric</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Assessment</w:t>
            </w:r>
          </w:p>
        </w:tc>
      </w:tr>
      <w:tr>
        <w:tc>
          <w:tcPr>
            <w:tcW w:type="dxa" w:w="3360"/>
          </w:tcPr>
          <w:p>
            <w:r>
              <w:rPr>
                <w:rFonts w:ascii="Calibri" w:hAnsi="Calibri"/>
                <w:color w:val="333333"/>
                <w:sz w:val="18"/>
              </w:rPr>
              <w:t>OCF/Net Income</w:t>
            </w:r>
          </w:p>
        </w:tc>
        <w:tc>
          <w:tcPr>
            <w:tcW w:type="dxa" w:w="3360"/>
          </w:tcPr>
          <w:p>
            <w:r>
              <w:rPr>
                <w:rFonts w:ascii="Calibri" w:hAnsi="Calibri"/>
                <w:color w:val="333333"/>
                <w:sz w:val="18"/>
              </w:rPr>
              <w:t>1.63</w:t>
            </w:r>
          </w:p>
        </w:tc>
        <w:tc>
          <w:tcPr>
            <w:tcW w:type="dxa" w:w="3360"/>
            <w:shd w:fill="DCEEF8" w:val="clear"/>
          </w:tcPr>
          <w:p>
            <w:r>
              <w:rPr>
                <w:rFonts w:ascii="Calibri" w:hAnsi="Calibri"/>
                <w:color w:val="333333"/>
                <w:sz w:val="18"/>
              </w:rPr>
              <w:t>Healthy</w:t>
            </w:r>
          </w:p>
        </w:tc>
      </w:tr>
      <w:tr>
        <w:tc>
          <w:tcPr>
            <w:tcW w:type="dxa" w:w="3360"/>
            <w:shd w:fill="F2F4F8" w:val="clear"/>
          </w:tcPr>
          <w:p>
            <w:r>
              <w:rPr>
                <w:rFonts w:ascii="Calibri" w:hAnsi="Calibri"/>
                <w:color w:val="333333"/>
                <w:sz w:val="18"/>
              </w:rPr>
              <w:t>Accruals Ratio</w:t>
            </w:r>
          </w:p>
        </w:tc>
        <w:tc>
          <w:tcPr>
            <w:tcW w:type="dxa" w:w="3360"/>
            <w:shd w:fill="F2F4F8" w:val="clear"/>
          </w:tcPr>
          <w:p>
            <w:r>
              <w:rPr>
                <w:rFonts w:ascii="Calibri" w:hAnsi="Calibri"/>
                <w:color w:val="333333"/>
                <w:sz w:val="18"/>
              </w:rPr>
              <w:t>-0.02</w:t>
            </w:r>
          </w:p>
        </w:tc>
        <w:tc>
          <w:tcPr>
            <w:tcW w:type="dxa" w:w="3360"/>
            <w:shd w:fill="F2F4F8" w:val="clear"/>
            <w:shd w:fill="FFF3CD" w:val="clear"/>
          </w:tcPr>
          <w:p>
            <w:r>
              <w:rPr>
                <w:rFonts w:ascii="Calibri" w:hAnsi="Calibri"/>
                <w:color w:val="333333"/>
                <w:sz w:val="18"/>
              </w:rPr>
              <w:t>Normal</w:t>
            </w:r>
          </w:p>
        </w:tc>
      </w:tr>
    </w:tbl>
    <w:p>
      <w:pPr>
        <w:pStyle w:val="DOCitation"/>
      </w:pPr>
      <w:r>
        <w:t>Source: Derived from XBRL financial statements, MEDIUM confidence</w:t>
      </w:r>
    </w:p>
    <w:p>
      <w:pPr>
        <w:pStyle w:val="DOHeading2"/>
      </w:pPr>
      <w:r>
        <w:t>Audit Risk Assessment</w:t>
      </w:r>
    </w:p>
    <w:p>
      <w:pPr>
        <w:pStyle w:val="DOBody"/>
      </w:pPr>
      <w:r>
        <w:t>Audit Risk: No concerns. Deloitte, 24 year tenure, qualified opinion.</w:t>
      </w:r>
    </w:p>
    <w:p>
      <w:pPr>
        <w:pStyle w:val="DOHeading2"/>
      </w:pPr>
      <w:r>
        <w:t>Debt Analysis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Debt-to-Equity</w:t>
            </w:r>
          </w:p>
        </w:tc>
        <w:tc>
          <w:tcPr>
            <w:tcW w:type="dxa" w:w="5040"/>
          </w:tcPr>
          <w:p>
            <w:r>
              <w:rPr>
                <w:rFonts w:ascii="Calibri" w:hAnsi="Calibri"/>
                <w:color w:val="333333"/>
                <w:sz w:val="18"/>
              </w:rPr>
              <w:t>0.78</w:t>
            </w:r>
          </w:p>
        </w:tc>
      </w:tr>
      <w:tr>
        <w:tc>
          <w:tcPr>
            <w:tcW w:type="dxa" w:w="5040"/>
            <w:shd w:fill="F2F4F8" w:val="clear"/>
          </w:tcPr>
          <w:p>
            <w:r>
              <w:rPr>
                <w:rFonts w:ascii="Calibri" w:hAnsi="Calibri"/>
                <w:color w:val="333333"/>
                <w:sz w:val="18"/>
              </w:rPr>
              <w:t>Debt-to-EBITDA</w:t>
            </w:r>
          </w:p>
        </w:tc>
        <w:tc>
          <w:tcPr>
            <w:tcW w:type="dxa" w:w="5040"/>
            <w:shd w:fill="F2F4F8" w:val="clear"/>
          </w:tcPr>
          <w:p>
            <w:r>
              <w:rPr>
                <w:rFonts w:ascii="Calibri" w:hAnsi="Calibri"/>
                <w:color w:val="333333"/>
                <w:sz w:val="18"/>
              </w:rPr>
              <w:t>3.33</w:t>
            </w:r>
          </w:p>
        </w:tc>
      </w:tr>
      <w:tr>
        <w:tc>
          <w:tcPr>
            <w:tcW w:type="dxa" w:w="5040"/>
          </w:tcPr>
          <w:p>
            <w:r>
              <w:rPr>
                <w:rFonts w:ascii="Calibri" w:hAnsi="Calibri"/>
                <w:color w:val="333333"/>
                <w:sz w:val="18"/>
              </w:rPr>
              <w:t>Interest Coverage</w:t>
            </w:r>
          </w:p>
        </w:tc>
        <w:tc>
          <w:tcPr>
            <w:tcW w:type="dxa" w:w="5040"/>
          </w:tcPr>
          <w:p>
            <w:r>
              <w:rPr>
                <w:rFonts w:ascii="Calibri" w:hAnsi="Calibri"/>
                <w:color w:val="333333"/>
                <w:sz w:val="18"/>
              </w:rPr>
              <w:t>4.74</w:t>
            </w:r>
          </w:p>
        </w:tc>
      </w:tr>
      <w:tr>
        <w:tc>
          <w:tcPr>
            <w:tcW w:type="dxa" w:w="5040"/>
            <w:shd w:fill="F2F4F8" w:val="clear"/>
          </w:tcPr>
          <w:p>
            <w:r>
              <w:rPr>
                <w:rFonts w:ascii="Calibri" w:hAnsi="Calibri"/>
                <w:color w:val="333333"/>
                <w:sz w:val="18"/>
              </w:rPr>
              <w:t>Covenant Status</w:t>
            </w:r>
          </w:p>
        </w:tc>
        <w:tc>
          <w:tcPr>
            <w:tcW w:type="dxa" w:w="5040"/>
            <w:shd w:fill="F2F4F8" w:val="clear"/>
          </w:tcPr>
          <w:p>
            <w:r>
              <w:rPr>
                <w:rFonts w:ascii="Calibri" w:hAnsi="Calibri"/>
                <w:color w:val="333333"/>
                <w:sz w:val="18"/>
              </w:rPr>
              <w:t>Unknown</w:t>
            </w:r>
          </w:p>
        </w:tc>
      </w:tr>
    </w:tbl>
    <w:p>
      <w:pPr>
        <w:pStyle w:val="DOHeading3"/>
      </w:pPr>
      <w:r>
        <w:t>Critical Accounting Estimates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Estimate</w:t>
            </w:r>
          </w:p>
        </w:tc>
        <w:tc>
          <w:tcPr>
            <w:tcW w:type="dxa" w:w="3360"/>
            <w:shd w:fill="1A1446" w:val="clear"/>
          </w:tcPr>
          <w:p>
            <w:r>
              <w:rPr>
                <w:rFonts w:ascii="Calibri" w:hAnsi="Calibri"/>
                <w:b/>
                <w:color w:val="FFFFFF"/>
                <w:sz w:val="18"/>
              </w:rPr>
              <w:t>Value</w:t>
            </w:r>
          </w:p>
        </w:tc>
        <w:tc>
          <w:tcPr>
            <w:tcW w:type="dxa" w:w="3360"/>
            <w:shd w:fill="1A1446" w:val="clear"/>
          </w:tcPr>
          <w:p>
            <w:r>
              <w:rPr>
                <w:rFonts w:ascii="Calibri" w:hAnsi="Calibri"/>
                <w:b/>
                <w:color w:val="FFFFFF"/>
                <w:sz w:val="18"/>
              </w:rPr>
              <w:t>Assessment</w:t>
            </w:r>
          </w:p>
        </w:tc>
      </w:tr>
      <w:tr>
        <w:tc>
          <w:tcPr>
            <w:tcW w:type="dxa" w:w="3360"/>
          </w:tcPr>
          <w:p>
            <w:r>
              <w:rPr>
                <w:rFonts w:ascii="Calibri" w:hAnsi="Calibri"/>
                <w:color w:val="333333"/>
                <w:sz w:val="18"/>
              </w:rPr>
              <w:t>Effective Tax Rate</w:t>
            </w:r>
          </w:p>
        </w:tc>
        <w:tc>
          <w:tcPr>
            <w:tcW w:type="dxa" w:w="3360"/>
          </w:tcPr>
          <w:p>
            <w:r>
              <w:rPr>
                <w:rFonts w:ascii="Calibri" w:hAnsi="Calibri"/>
                <w:color w:val="333333"/>
                <w:sz w:val="18"/>
              </w:rPr>
              <w:t>12.9%</w:t>
            </w:r>
          </w:p>
        </w:tc>
        <w:tc>
          <w:tcPr>
            <w:tcW w:type="dxa" w:w="3360"/>
          </w:tcPr>
          <w:p>
            <w:r>
              <w:rPr>
                <w:rFonts w:ascii="Calibri" w:hAnsi="Calibri"/>
                <w:color w:val="333333"/>
                <w:sz w:val="18"/>
              </w:rPr>
              <w:t>Below statutory rate -- review required</w:t>
            </w:r>
          </w:p>
        </w:tc>
      </w:tr>
    </w:tbl>
    <w:p>
      <w:pPr>
        <w:pStyle w:val="DOHeading2"/>
      </w:pPr>
      <w:r>
        <w:t>Peer Group Comparison</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Ticker</w:t>
            </w:r>
          </w:p>
        </w:tc>
        <w:tc>
          <w:tcPr>
            <w:tcW w:type="dxa" w:w="2016"/>
            <w:shd w:fill="1A1446" w:val="clear"/>
          </w:tcPr>
          <w:p>
            <w:r>
              <w:rPr>
                <w:rFonts w:ascii="Calibri" w:hAnsi="Calibri"/>
                <w:b/>
                <w:color w:val="FFFFFF"/>
                <w:sz w:val="18"/>
              </w:rPr>
              <w:t>Name</w:t>
            </w:r>
          </w:p>
        </w:tc>
        <w:tc>
          <w:tcPr>
            <w:tcW w:type="dxa" w:w="2016"/>
            <w:shd w:fill="1A1446" w:val="clear"/>
          </w:tcPr>
          <w:p>
            <w:r>
              <w:rPr>
                <w:rFonts w:ascii="Calibri" w:hAnsi="Calibri"/>
                <w:b/>
                <w:color w:val="FFFFFF"/>
                <w:sz w:val="18"/>
              </w:rPr>
              <w:t>Market Cap</w:t>
            </w:r>
          </w:p>
        </w:tc>
        <w:tc>
          <w:tcPr>
            <w:tcW w:type="dxa" w:w="2016"/>
            <w:shd w:fill="1A1446" w:val="clear"/>
          </w:tcPr>
          <w:p>
            <w:r>
              <w:rPr>
                <w:rFonts w:ascii="Calibri" w:hAnsi="Calibri"/>
                <w:b/>
                <w:color w:val="FFFFFF"/>
                <w:sz w:val="18"/>
              </w:rPr>
              <w:t>Revenue</w:t>
            </w:r>
          </w:p>
        </w:tc>
        <w:tc>
          <w:tcPr>
            <w:tcW w:type="dxa" w:w="2016"/>
            <w:shd w:fill="1A1446" w:val="clear"/>
          </w:tcPr>
          <w:p>
            <w:r>
              <w:rPr>
                <w:rFonts w:ascii="Calibri" w:hAnsi="Calibri"/>
                <w:b/>
                <w:color w:val="FFFFFF"/>
                <w:sz w:val="18"/>
              </w:rPr>
              <w:t>Score</w:t>
            </w:r>
          </w:p>
        </w:tc>
      </w:tr>
      <w:tr>
        <w:tc>
          <w:tcPr>
            <w:tcW w:type="dxa" w:w="2016"/>
          </w:tcPr>
          <w:p>
            <w:r>
              <w:rPr>
                <w:rFonts w:ascii="Calibri" w:hAnsi="Calibri"/>
                <w:color w:val="333333"/>
                <w:sz w:val="18"/>
              </w:rPr>
              <w:t>JNJ</w:t>
            </w:r>
          </w:p>
        </w:tc>
        <w:tc>
          <w:tcPr>
            <w:tcW w:type="dxa" w:w="2016"/>
          </w:tcPr>
          <w:p>
            <w:r>
              <w:rPr>
                <w:rFonts w:ascii="Calibri" w:hAnsi="Calibri"/>
                <w:color w:val="333333"/>
                <w:sz w:val="18"/>
              </w:rPr>
              <w:t>Johnson &amp; Johnson</w:t>
            </w:r>
          </w:p>
        </w:tc>
        <w:tc>
          <w:tcPr>
            <w:tcW w:type="dxa" w:w="2016"/>
          </w:tcPr>
          <w:p>
            <w:r>
              <w:rPr>
                <w:rFonts w:ascii="Calibri" w:hAnsi="Calibri"/>
                <w:color w:val="333333"/>
                <w:sz w:val="18"/>
              </w:rPr>
              <w:t>$585.7B</w:t>
            </w:r>
          </w:p>
        </w:tc>
        <w:tc>
          <w:tcPr>
            <w:tcW w:type="dxa" w:w="2016"/>
          </w:tcPr>
          <w:p>
            <w:r>
              <w:rPr>
                <w:rFonts w:ascii="Calibri" w:hAnsi="Calibri"/>
                <w:color w:val="333333"/>
                <w:sz w:val="18"/>
              </w:rPr>
              <w:t>$94.2B</w:t>
            </w:r>
          </w:p>
        </w:tc>
        <w:tc>
          <w:tcPr>
            <w:tcW w:type="dxa" w:w="2016"/>
          </w:tcPr>
          <w:p>
            <w:r>
              <w:rPr>
                <w:rFonts w:ascii="Calibri" w:hAnsi="Calibri"/>
                <w:color w:val="333333"/>
                <w:sz w:val="18"/>
              </w:rPr>
              <w:t>14</w:t>
            </w:r>
          </w:p>
        </w:tc>
      </w:tr>
      <w:tr>
        <w:tc>
          <w:tcPr>
            <w:tcW w:type="dxa" w:w="2016"/>
            <w:shd w:fill="F2F4F8" w:val="clear"/>
          </w:tcPr>
          <w:p>
            <w:r>
              <w:rPr>
                <w:rFonts w:ascii="Calibri" w:hAnsi="Calibri"/>
                <w:color w:val="333333"/>
                <w:sz w:val="18"/>
              </w:rPr>
              <w:t>LLY</w:t>
            </w:r>
          </w:p>
        </w:tc>
        <w:tc>
          <w:tcPr>
            <w:tcW w:type="dxa" w:w="2016"/>
            <w:shd w:fill="F2F4F8" w:val="clear"/>
          </w:tcPr>
          <w:p>
            <w:r>
              <w:rPr>
                <w:rFonts w:ascii="Calibri" w:hAnsi="Calibri"/>
                <w:color w:val="333333"/>
                <w:sz w:val="18"/>
              </w:rPr>
              <w:t>Eli Lilly and Company</w:t>
            </w:r>
          </w:p>
        </w:tc>
        <w:tc>
          <w:tcPr>
            <w:tcW w:type="dxa" w:w="2016"/>
            <w:shd w:fill="F2F4F8" w:val="clear"/>
          </w:tcPr>
          <w:p>
            <w:r>
              <w:rPr>
                <w:rFonts w:ascii="Calibri" w:hAnsi="Calibri"/>
                <w:color w:val="333333"/>
                <w:sz w:val="18"/>
              </w:rPr>
              <w:t>$837.4B</w:t>
            </w:r>
          </w:p>
        </w:tc>
        <w:tc>
          <w:tcPr>
            <w:tcW w:type="dxa" w:w="2016"/>
            <w:shd w:fill="F2F4F8" w:val="clear"/>
          </w:tcPr>
          <w:p>
            <w:r>
              <w:rPr>
                <w:rFonts w:ascii="Calibri" w:hAnsi="Calibri"/>
                <w:color w:val="333333"/>
                <w:sz w:val="18"/>
              </w:rPr>
              <w:t>$65.2B</w:t>
            </w:r>
          </w:p>
        </w:tc>
        <w:tc>
          <w:tcPr>
            <w:tcW w:type="dxa" w:w="2016"/>
            <w:shd w:fill="F2F4F8" w:val="clear"/>
          </w:tcPr>
          <w:p>
            <w:r>
              <w:rPr>
                <w:rFonts w:ascii="Calibri" w:hAnsi="Calibri"/>
                <w:color w:val="333333"/>
                <w:sz w:val="18"/>
              </w:rPr>
              <w:t>13</w:t>
            </w:r>
          </w:p>
        </w:tc>
      </w:tr>
      <w:tr>
        <w:tc>
          <w:tcPr>
            <w:tcW w:type="dxa" w:w="2016"/>
          </w:tcPr>
          <w:p>
            <w:r>
              <w:rPr>
                <w:rFonts w:ascii="Calibri" w:hAnsi="Calibri"/>
                <w:color w:val="333333"/>
                <w:sz w:val="18"/>
              </w:rPr>
              <w:t>PFE</w:t>
            </w:r>
          </w:p>
        </w:tc>
        <w:tc>
          <w:tcPr>
            <w:tcW w:type="dxa" w:w="2016"/>
          </w:tcPr>
          <w:p>
            <w:r>
              <w:rPr>
                <w:rFonts w:ascii="Calibri" w:hAnsi="Calibri"/>
                <w:color w:val="333333"/>
                <w:sz w:val="18"/>
              </w:rPr>
              <w:t>Pfizer, Inc.</w:t>
            </w:r>
          </w:p>
        </w:tc>
        <w:tc>
          <w:tcPr>
            <w:tcW w:type="dxa" w:w="2016"/>
          </w:tcPr>
          <w:p>
            <w:r>
              <w:rPr>
                <w:rFonts w:ascii="Calibri" w:hAnsi="Calibri"/>
                <w:color w:val="333333"/>
                <w:sz w:val="18"/>
              </w:rPr>
              <w:t>$161.1B</w:t>
            </w:r>
          </w:p>
        </w:tc>
        <w:tc>
          <w:tcPr>
            <w:tcW w:type="dxa" w:w="2016"/>
          </w:tcPr>
          <w:p>
            <w:r>
              <w:rPr>
                <w:rFonts w:ascii="Calibri" w:hAnsi="Calibri"/>
                <w:color w:val="333333"/>
                <w:sz w:val="18"/>
              </w:rPr>
              <w:t>$62.6B</w:t>
            </w:r>
          </w:p>
        </w:tc>
        <w:tc>
          <w:tcPr>
            <w:tcW w:type="dxa" w:w="2016"/>
          </w:tcPr>
          <w:p>
            <w:r>
              <w:rPr>
                <w:rFonts w:ascii="Calibri" w:hAnsi="Calibri"/>
                <w:color w:val="333333"/>
                <w:sz w:val="18"/>
              </w:rPr>
              <w:t>20</w:t>
            </w:r>
          </w:p>
        </w:tc>
      </w:tr>
      <w:tr>
        <w:tc>
          <w:tcPr>
            <w:tcW w:type="dxa" w:w="2016"/>
            <w:shd w:fill="F2F4F8" w:val="clear"/>
          </w:tcPr>
          <w:p>
            <w:r>
              <w:rPr>
                <w:rFonts w:ascii="Calibri" w:hAnsi="Calibri"/>
                <w:color w:val="333333"/>
                <w:sz w:val="18"/>
              </w:rPr>
              <w:t>ABBV</w:t>
            </w:r>
          </w:p>
        </w:tc>
        <w:tc>
          <w:tcPr>
            <w:tcW w:type="dxa" w:w="2016"/>
            <w:shd w:fill="F2F4F8" w:val="clear"/>
          </w:tcPr>
          <w:p>
            <w:r>
              <w:rPr>
                <w:rFonts w:ascii="Calibri" w:hAnsi="Calibri"/>
                <w:color w:val="333333"/>
                <w:sz w:val="18"/>
              </w:rPr>
              <w:t>AbbVie Inc.</w:t>
            </w:r>
          </w:p>
        </w:tc>
        <w:tc>
          <w:tcPr>
            <w:tcW w:type="dxa" w:w="2016"/>
            <w:shd w:fill="F2F4F8" w:val="clear"/>
          </w:tcPr>
          <w:p>
            <w:r>
              <w:rPr>
                <w:rFonts w:ascii="Calibri" w:hAnsi="Calibri"/>
                <w:color w:val="333333"/>
                <w:sz w:val="18"/>
              </w:rPr>
              <w:t>$369.4B</w:t>
            </w:r>
          </w:p>
        </w:tc>
        <w:tc>
          <w:tcPr>
            <w:tcW w:type="dxa" w:w="2016"/>
            <w:shd w:fill="F2F4F8" w:val="clear"/>
          </w:tcPr>
          <w:p>
            <w:r>
              <w:rPr>
                <w:rFonts w:ascii="Calibri" w:hAnsi="Calibri"/>
                <w:color w:val="333333"/>
                <w:sz w:val="18"/>
              </w:rPr>
              <w:t>$61.2B</w:t>
            </w:r>
          </w:p>
        </w:tc>
        <w:tc>
          <w:tcPr>
            <w:tcW w:type="dxa" w:w="2016"/>
            <w:shd w:fill="F2F4F8" w:val="clear"/>
          </w:tcPr>
          <w:p>
            <w:r>
              <w:rPr>
                <w:rFonts w:ascii="Calibri" w:hAnsi="Calibri"/>
                <w:color w:val="333333"/>
                <w:sz w:val="18"/>
              </w:rPr>
              <w:t>26</w:t>
            </w:r>
          </w:p>
        </w:tc>
      </w:tr>
      <w:tr>
        <w:tc>
          <w:tcPr>
            <w:tcW w:type="dxa" w:w="2016"/>
          </w:tcPr>
          <w:p>
            <w:r>
              <w:rPr>
                <w:rFonts w:ascii="Calibri" w:hAnsi="Calibri"/>
                <w:color w:val="333333"/>
                <w:sz w:val="18"/>
              </w:rPr>
              <w:t>MRK</w:t>
            </w:r>
          </w:p>
        </w:tc>
        <w:tc>
          <w:tcPr>
            <w:tcW w:type="dxa" w:w="2016"/>
          </w:tcPr>
          <w:p>
            <w:r>
              <w:rPr>
                <w:rFonts w:ascii="Calibri" w:hAnsi="Calibri"/>
                <w:color w:val="333333"/>
                <w:sz w:val="18"/>
              </w:rPr>
              <w:t>Merck &amp; Company, Inc.</w:t>
            </w:r>
          </w:p>
        </w:tc>
        <w:tc>
          <w:tcPr>
            <w:tcW w:type="dxa" w:w="2016"/>
          </w:tcPr>
          <w:p>
            <w:r>
              <w:rPr>
                <w:rFonts w:ascii="Calibri" w:hAnsi="Calibri"/>
                <w:color w:val="333333"/>
                <w:sz w:val="18"/>
              </w:rPr>
              <w:t>$298.8B</w:t>
            </w:r>
          </w:p>
        </w:tc>
        <w:tc>
          <w:tcPr>
            <w:tcW w:type="dxa" w:w="2016"/>
          </w:tcPr>
          <w:p>
            <w:r>
              <w:rPr>
                <w:rFonts w:ascii="Calibri" w:hAnsi="Calibri"/>
                <w:color w:val="333333"/>
                <w:sz w:val="18"/>
              </w:rPr>
              <w:t>$65.0B</w:t>
            </w:r>
          </w:p>
        </w:tc>
        <w:tc>
          <w:tcPr>
            <w:tcW w:type="dxa" w:w="2016"/>
          </w:tcPr>
          <w:p>
            <w:r>
              <w:rPr>
                <w:rFonts w:ascii="Calibri" w:hAnsi="Calibri"/>
                <w:color w:val="333333"/>
                <w:sz w:val="18"/>
              </w:rPr>
              <w:t>33</w:t>
            </w:r>
          </w:p>
        </w:tc>
      </w:tr>
      <w:tr>
        <w:tc>
          <w:tcPr>
            <w:tcW w:type="dxa" w:w="2016"/>
            <w:shd w:fill="F2F4F8" w:val="clear"/>
          </w:tcPr>
          <w:p>
            <w:r>
              <w:rPr>
                <w:rFonts w:ascii="Calibri" w:hAnsi="Calibri"/>
                <w:color w:val="333333"/>
                <w:sz w:val="18"/>
              </w:rPr>
              <w:t>TMO</w:t>
            </w:r>
          </w:p>
        </w:tc>
        <w:tc>
          <w:tcPr>
            <w:tcW w:type="dxa" w:w="2016"/>
            <w:shd w:fill="F2F4F8" w:val="clear"/>
          </w:tcPr>
          <w:p>
            <w:r>
              <w:rPr>
                <w:rFonts w:ascii="Calibri" w:hAnsi="Calibri"/>
                <w:color w:val="333333"/>
                <w:sz w:val="18"/>
              </w:rPr>
              <w:t>Thermo Fisher Scientific Inc</w:t>
            </w:r>
          </w:p>
        </w:tc>
        <w:tc>
          <w:tcPr>
            <w:tcW w:type="dxa" w:w="2016"/>
            <w:shd w:fill="F2F4F8" w:val="clear"/>
          </w:tcPr>
          <w:p>
            <w:r>
              <w:rPr>
                <w:rFonts w:ascii="Calibri" w:hAnsi="Calibri"/>
                <w:color w:val="333333"/>
                <w:sz w:val="18"/>
              </w:rPr>
              <w:t>$182.6B</w:t>
            </w:r>
          </w:p>
        </w:tc>
        <w:tc>
          <w:tcPr>
            <w:tcW w:type="dxa" w:w="2016"/>
            <w:shd w:fill="F2F4F8" w:val="clear"/>
          </w:tcPr>
          <w:p>
            <w:r>
              <w:rPr>
                <w:rFonts w:ascii="Calibri" w:hAnsi="Calibri"/>
                <w:color w:val="333333"/>
                <w:sz w:val="18"/>
              </w:rPr>
              <w:t>$44.6B</w:t>
            </w:r>
          </w:p>
        </w:tc>
        <w:tc>
          <w:tcPr>
            <w:tcW w:type="dxa" w:w="2016"/>
            <w:shd w:fill="F2F4F8" w:val="clear"/>
          </w:tcPr>
          <w:p>
            <w:r>
              <w:rPr>
                <w:rFonts w:ascii="Calibri" w:hAnsi="Calibri"/>
                <w:color w:val="333333"/>
                <w:sz w:val="18"/>
              </w:rPr>
              <w:t>24</w:t>
            </w:r>
          </w:p>
        </w:tc>
      </w:tr>
      <w:tr>
        <w:tc>
          <w:tcPr>
            <w:tcW w:type="dxa" w:w="2016"/>
          </w:tcPr>
          <w:p>
            <w:r>
              <w:rPr>
                <w:rFonts w:ascii="Calibri" w:hAnsi="Calibri"/>
                <w:color w:val="333333"/>
                <w:sz w:val="18"/>
              </w:rPr>
              <w:t>ABT</w:t>
            </w:r>
          </w:p>
        </w:tc>
        <w:tc>
          <w:tcPr>
            <w:tcW w:type="dxa" w:w="2016"/>
          </w:tcPr>
          <w:p>
            <w:r>
              <w:rPr>
                <w:rFonts w:ascii="Calibri" w:hAnsi="Calibri"/>
                <w:color w:val="333333"/>
                <w:sz w:val="18"/>
              </w:rPr>
              <w:t>Abbott Laboratories</w:t>
            </w:r>
          </w:p>
        </w:tc>
        <w:tc>
          <w:tcPr>
            <w:tcW w:type="dxa" w:w="2016"/>
          </w:tcPr>
          <w:p>
            <w:r>
              <w:rPr>
                <w:rFonts w:ascii="Calibri" w:hAnsi="Calibri"/>
                <w:color w:val="333333"/>
                <w:sz w:val="18"/>
              </w:rPr>
              <w:t>$178.8B</w:t>
            </w:r>
          </w:p>
        </w:tc>
        <w:tc>
          <w:tcPr>
            <w:tcW w:type="dxa" w:w="2016"/>
          </w:tcPr>
          <w:p>
            <w:r>
              <w:rPr>
                <w:rFonts w:ascii="Calibri" w:hAnsi="Calibri"/>
                <w:color w:val="333333"/>
                <w:sz w:val="18"/>
              </w:rPr>
              <w:t>$44.3B</w:t>
            </w:r>
          </w:p>
        </w:tc>
        <w:tc>
          <w:tcPr>
            <w:tcW w:type="dxa" w:w="2016"/>
          </w:tcPr>
          <w:p>
            <w:r>
              <w:rPr>
                <w:rFonts w:ascii="Calibri" w:hAnsi="Calibri"/>
                <w:color w:val="333333"/>
                <w:sz w:val="18"/>
              </w:rPr>
              <w:t>23</w:t>
            </w:r>
          </w:p>
        </w:tc>
      </w:tr>
      <w:tr>
        <w:tc>
          <w:tcPr>
            <w:tcW w:type="dxa" w:w="2016"/>
            <w:shd w:fill="F2F4F8" w:val="clear"/>
          </w:tcPr>
          <w:p>
            <w:r>
              <w:rPr>
                <w:rFonts w:ascii="Calibri" w:hAnsi="Calibri"/>
                <w:color w:val="333333"/>
                <w:sz w:val="18"/>
              </w:rPr>
              <w:t>DHR</w:t>
            </w:r>
          </w:p>
        </w:tc>
        <w:tc>
          <w:tcPr>
            <w:tcW w:type="dxa" w:w="2016"/>
            <w:shd w:fill="F2F4F8" w:val="clear"/>
          </w:tcPr>
          <w:p>
            <w:r>
              <w:rPr>
                <w:rFonts w:ascii="Calibri" w:hAnsi="Calibri"/>
                <w:color w:val="333333"/>
                <w:sz w:val="18"/>
              </w:rPr>
              <w:t>Danaher Corporation</w:t>
            </w:r>
          </w:p>
        </w:tc>
        <w:tc>
          <w:tcPr>
            <w:tcW w:type="dxa" w:w="2016"/>
            <w:shd w:fill="F2F4F8" w:val="clear"/>
          </w:tcPr>
          <w:p>
            <w:r>
              <w:rPr>
                <w:rFonts w:ascii="Calibri" w:hAnsi="Calibri"/>
                <w:color w:val="333333"/>
                <w:sz w:val="18"/>
              </w:rPr>
              <w:t>$135.3B</w:t>
            </w:r>
          </w:p>
        </w:tc>
        <w:tc>
          <w:tcPr>
            <w:tcW w:type="dxa" w:w="2016"/>
            <w:shd w:fill="F2F4F8" w:val="clear"/>
          </w:tcPr>
          <w:p>
            <w:r>
              <w:rPr>
                <w:rFonts w:ascii="Calibri" w:hAnsi="Calibri"/>
                <w:color w:val="333333"/>
                <w:sz w:val="18"/>
              </w:rPr>
              <w:t>$24.6B</w:t>
            </w:r>
          </w:p>
        </w:tc>
        <w:tc>
          <w:tcPr>
            <w:tcW w:type="dxa" w:w="2016"/>
            <w:shd w:fill="F2F4F8" w:val="clear"/>
          </w:tcPr>
          <w:p>
            <w:r>
              <w:rPr>
                <w:rFonts w:ascii="Calibri" w:hAnsi="Calibri"/>
                <w:color w:val="333333"/>
                <w:sz w:val="18"/>
              </w:rPr>
              <w:t>14</w:t>
            </w:r>
          </w:p>
        </w:tc>
      </w:tr>
      <w:tr>
        <w:tc>
          <w:tcPr>
            <w:tcW w:type="dxa" w:w="2016"/>
          </w:tcPr>
          <w:p>
            <w:r>
              <w:rPr>
                <w:rFonts w:ascii="Calibri" w:hAnsi="Calibri"/>
                <w:color w:val="333333"/>
                <w:sz w:val="18"/>
              </w:rPr>
              <w:t>BMY</w:t>
            </w:r>
          </w:p>
        </w:tc>
        <w:tc>
          <w:tcPr>
            <w:tcW w:type="dxa" w:w="2016"/>
          </w:tcPr>
          <w:p>
            <w:r>
              <w:rPr>
                <w:rFonts w:ascii="Calibri" w:hAnsi="Calibri"/>
                <w:color w:val="333333"/>
                <w:sz w:val="18"/>
              </w:rPr>
              <w:t>Bristol-Myers Squibb Company</w:t>
            </w:r>
          </w:p>
        </w:tc>
        <w:tc>
          <w:tcPr>
            <w:tcW w:type="dxa" w:w="2016"/>
          </w:tcPr>
          <w:p>
            <w:r>
              <w:rPr>
                <w:rFonts w:ascii="Calibri" w:hAnsi="Calibri"/>
                <w:color w:val="333333"/>
                <w:sz w:val="18"/>
              </w:rPr>
              <w:t>$121.7B</w:t>
            </w:r>
          </w:p>
        </w:tc>
        <w:tc>
          <w:tcPr>
            <w:tcW w:type="dxa" w:w="2016"/>
          </w:tcPr>
          <w:p>
            <w:r>
              <w:rPr>
                <w:rFonts w:ascii="Calibri" w:hAnsi="Calibri"/>
                <w:color w:val="333333"/>
                <w:sz w:val="18"/>
              </w:rPr>
              <w:t>$48.2B</w:t>
            </w:r>
          </w:p>
        </w:tc>
        <w:tc>
          <w:tcPr>
            <w:tcW w:type="dxa" w:w="2016"/>
          </w:tcPr>
          <w:p>
            <w:r>
              <w:rPr>
                <w:rFonts w:ascii="Calibri" w:hAnsi="Calibri"/>
                <w:color w:val="333333"/>
                <w:sz w:val="18"/>
              </w:rPr>
              <w:t>12</w:t>
            </w:r>
          </w:p>
        </w:tc>
      </w:tr>
    </w:tbl>
    <w:p>
      <w:pPr>
        <w:pStyle w:val="DOBody"/>
      </w:pPr>
      <w:r>
        <w:t>Revenue: Ranks at the 100th percentile among 9 peers. Leverage: Ranks at the 83rd percentile among 0 peers (peer median: 10.0x).</w:t>
      </w:r>
    </w:p>
    <w:p>
      <w:pPr>
        <w:pStyle w:val="DOCaption"/>
      </w:pPr>
      <w:r>
        <w:t>Method: Multi-signal composite: SIC 25%, industry 20%, market cap 25%, revenue 15%, description 15%</w:t>
      </w:r>
    </w:p>
    <w:p>
      <w:pPr>
        <w:spacing w:before="120" w:after="40"/>
        <w:pBdr>
          <w:bottom w:val="single" w:sz="6" w:space="1" w:color="FFD000"/>
        </w:pBdr>
      </w:pPr>
    </w:p>
    <w:p>
      <w:pPr>
        <w:pStyle w:val="DOBody"/>
        <w:spacing w:before="40" w:after="80"/>
      </w:pPr>
      <w:r>
        <w:rPr>
          <w:b/>
          <w:color w:val="CC0000"/>
          <w:sz w:val="20"/>
        </w:rPr>
        <w:t>CRITICAL RISK</w:t>
      </w:r>
    </w:p>
    <w:p>
      <w:pPr>
        <w:pStyle w:val="DOBody"/>
        <w:spacing w:before="40" w:after="120"/>
      </w:pPr>
      <w:r>
        <w:rPr>
          <w:color w:val="333333"/>
          <w:sz w:val="20"/>
        </w:rPr>
        <w:t>The board's structural opacity is a primary concern, with only one director, Stephen J. Hemsley, disclosed from a total director count of one, preventing any meaningful calculation of independence ratio. Andrew Witty's undefined CEO tenure and the confirmed absence of Chair duality obscure accountability lines at an entity where the CEO received $17.87 million in compensation. While the 96% say-on-pay vote for that package suggests investor alignment, it exists alongside a governance check failure rate of 3 out of 90, indicating specific, material control deficiencies that plaintiffs can cite as red flags. The core D&amp;O exposure is a textbook *Caremark* duty of oversight case, where a board of only one disclosed director could be deemed to have failed in monitoring the regulatory risks endemic to UnitedHealth's scale, directly fueling derivative action risk. This risk is acute around events like the Change Healthcare cyber attack or DOJ antitrust probes, where plaintiffs will attack the board's information systems given the 3 governance check failures. The lack of disclosed tenure and qualifications for the sole director, Hemsley, creates a narrative vacuum that plaintiffs will fill with allegations of stale oversight, complicating defense. Underwriting this risk requires deep forensic work to reconstruct the actual board composition driving these 3 specific governance check failures.</w:t>
      </w:r>
    </w:p>
    <w:p>
      <w:pPr>
        <w:pStyle w:val="DOHeading1"/>
      </w:pPr>
      <w:r>
        <w:t>Section 5: Governance &amp; Leadership</w:t>
      </w:r>
    </w:p>
    <w:p>
      <w:pPr>
        <w:pStyle w:val="DOBody"/>
      </w:pPr>
      <w:r>
        <w:rPr>
          <w:rFonts w:ascii="Calibri" w:hAnsi="Calibri"/>
          <w:color w:val="333333"/>
          <w:sz w:val="20"/>
        </w:rPr>
        <w:t>Dual-class share structure concentrates voting control.</w:t>
      </w:r>
      <w:r>
        <w:rPr>
          <w:rFonts w:ascii="Consolas" w:hAnsi="Consolas"/>
          <w:color w:val="666666"/>
          <w:sz w:val="16"/>
        </w:rPr>
        <w:t xml:space="preserve">  [Rule-based synthesis of governance extraction results, 2026-04-02, LOW]</w:t>
      </w:r>
    </w:p>
    <w:p>
      <w:pPr>
        <w:pStyle w:val="DOHeading2"/>
      </w:pPr>
      <w:r>
        <w:t>Leadership Stability</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Name</w:t>
            </w:r>
          </w:p>
        </w:tc>
        <w:tc>
          <w:tcPr>
            <w:tcW w:type="dxa" w:w="1680"/>
            <w:shd w:fill="1A1446" w:val="clear"/>
          </w:tcPr>
          <w:p>
            <w:r>
              <w:rPr>
                <w:rFonts w:ascii="Calibri" w:hAnsi="Calibri"/>
                <w:b/>
                <w:color w:val="FFFFFF"/>
                <w:sz w:val="18"/>
              </w:rPr>
              <w:t>Title</w:t>
            </w:r>
          </w:p>
        </w:tc>
        <w:tc>
          <w:tcPr>
            <w:tcW w:type="dxa" w:w="1680"/>
            <w:shd w:fill="1A1446" w:val="clear"/>
          </w:tcPr>
          <w:p>
            <w:r>
              <w:rPr>
                <w:rFonts w:ascii="Calibri" w:hAnsi="Calibri"/>
                <w:b/>
                <w:color w:val="FFFFFF"/>
                <w:sz w:val="18"/>
              </w:rPr>
              <w:t>Tenure (Yrs)</w:t>
            </w:r>
          </w:p>
        </w:tc>
        <w:tc>
          <w:tcPr>
            <w:tcW w:type="dxa" w:w="1680"/>
            <w:shd w:fill="1A1446" w:val="clear"/>
          </w:tcPr>
          <w:p>
            <w:r>
              <w:rPr>
                <w:rFonts w:ascii="Calibri" w:hAnsi="Calibri"/>
                <w:b/>
                <w:color w:val="FFFFFF"/>
                <w:sz w:val="18"/>
              </w:rPr>
              <w:t>Status</w:t>
            </w:r>
          </w:p>
        </w:tc>
        <w:tc>
          <w:tcPr>
            <w:tcW w:type="dxa" w:w="1680"/>
            <w:shd w:fill="1A1446" w:val="clear"/>
          </w:tcPr>
          <w:p>
            <w:r>
              <w:rPr>
                <w:rFonts w:ascii="Calibri" w:hAnsi="Calibri"/>
                <w:b/>
                <w:color w:val="FFFFFF"/>
                <w:sz w:val="18"/>
              </w:rPr>
              <w:t>Prior Lit.</w:t>
            </w:r>
          </w:p>
        </w:tc>
        <w:tc>
          <w:tcPr>
            <w:tcW w:type="dxa" w:w="1680"/>
            <w:shd w:fill="1A1446" w:val="clear"/>
          </w:tcPr>
          <w:p>
            <w:r>
              <w:rPr>
                <w:rFonts w:ascii="Calibri" w:hAnsi="Calibri"/>
                <w:b/>
                <w:color w:val="FFFFFF"/>
                <w:sz w:val="18"/>
              </w:rPr>
              <w:t>Flags</w:t>
            </w:r>
          </w:p>
        </w:tc>
      </w:tr>
      <w:tr>
        <w:tc>
          <w:tcPr>
            <w:tcW w:type="dxa" w:w="1680"/>
          </w:tcPr>
          <w:p>
            <w:r>
              <w:rPr>
                <w:rFonts w:ascii="Calibri" w:hAnsi="Calibri"/>
                <w:color w:val="333333"/>
                <w:sz w:val="18"/>
              </w:rPr>
              <w:t>Andrew Witty</w:t>
            </w:r>
          </w:p>
        </w:tc>
        <w:tc>
          <w:tcPr>
            <w:tcW w:type="dxa" w:w="1680"/>
          </w:tcPr>
          <w:p>
            <w:r>
              <w:rPr>
                <w:rFonts w:ascii="Calibri" w:hAnsi="Calibri"/>
                <w:color w:val="333333"/>
                <w:sz w:val="18"/>
              </w:rPr>
              <w:t>CEO</w:t>
            </w:r>
          </w:p>
        </w:tc>
        <w:tc>
          <w:tcPr>
            <w:tcW w:type="dxa" w:w="1680"/>
          </w:tcPr>
          <w:p>
            <w:r>
              <w:rPr>
                <w:rFonts w:ascii="Calibri" w:hAnsi="Calibri"/>
                <w:color w:val="333333"/>
                <w:sz w:val="18"/>
              </w:rPr>
              <w:t>N/A</w:t>
            </w:r>
          </w:p>
        </w:tc>
        <w:tc>
          <w:tcPr>
            <w:tcW w:type="dxa" w:w="1680"/>
          </w:tcPr>
          <w:p>
            <w:r>
              <w:rPr>
                <w:rFonts w:ascii="Calibri" w:hAnsi="Calibri"/>
                <w:color w:val="333333"/>
                <w:sz w:val="18"/>
              </w:rPr>
              <w:t>ACTIVE</w:t>
            </w:r>
          </w:p>
        </w:tc>
        <w:tc>
          <w:tcPr>
            <w:tcW w:type="dxa" w:w="1680"/>
          </w:tcPr>
          <w:p>
            <w:r>
              <w:rPr>
                <w:rFonts w:ascii="Calibri" w:hAnsi="Calibri"/>
                <w:color w:val="333333"/>
                <w:sz w:val="18"/>
              </w:rPr>
              <w:t>1</w:t>
            </w:r>
          </w:p>
        </w:tc>
        <w:tc>
          <w:tcPr>
            <w:tcW w:type="dxa" w:w="1680"/>
          </w:tcPr>
          <w:p>
            <w:r>
              <w:rPr>
                <w:rFonts w:ascii="Calibri" w:hAnsi="Calibri"/>
                <w:color w:val="333333"/>
                <w:sz w:val="18"/>
              </w:rPr>
              <w:t>None</w:t>
            </w:r>
          </w:p>
        </w:tc>
      </w:tr>
      <w:tr>
        <w:tc>
          <w:tcPr>
            <w:tcW w:type="dxa" w:w="1680"/>
            <w:shd w:fill="F2F4F8" w:val="clear"/>
          </w:tcPr>
          <w:p>
            <w:r>
              <w:rPr>
                <w:rFonts w:ascii="Calibri" w:hAnsi="Calibri"/>
                <w:color w:val="333333"/>
                <w:sz w:val="18"/>
              </w:rPr>
              <w:t>Business Finance</w:t>
            </w:r>
          </w:p>
        </w:tc>
        <w:tc>
          <w:tcPr>
            <w:tcW w:type="dxa" w:w="1680"/>
            <w:shd w:fill="F2F4F8" w:val="clear"/>
          </w:tcPr>
          <w:p>
            <w:r>
              <w:rPr>
                <w:rFonts w:ascii="Calibri" w:hAnsi="Calibri"/>
                <w:color w:val="333333"/>
                <w:sz w:val="18"/>
              </w:rPr>
              <w:t>President</w:t>
            </w:r>
          </w:p>
        </w:tc>
        <w:tc>
          <w:tcPr>
            <w:tcW w:type="dxa" w:w="1680"/>
            <w:shd w:fill="F2F4F8" w:val="clear"/>
          </w:tcPr>
          <w:p>
            <w:r>
              <w:rPr>
                <w:rFonts w:ascii="Calibri" w:hAnsi="Calibri"/>
                <w:color w:val="333333"/>
                <w:sz w:val="18"/>
              </w:rPr>
              <w:t>N/A</w:t>
            </w:r>
          </w:p>
        </w:tc>
        <w:tc>
          <w:tcPr>
            <w:tcW w:type="dxa" w:w="1680"/>
            <w:shd w:fill="F2F4F8" w:val="clear"/>
          </w:tcPr>
          <w:p>
            <w:r>
              <w:rPr>
                <w:rFonts w:ascii="Calibri" w:hAnsi="Calibri"/>
                <w:color w:val="333333"/>
                <w:sz w:val="18"/>
              </w:rPr>
              <w:t>ACTIVE</w:t>
            </w:r>
          </w:p>
        </w:tc>
        <w:tc>
          <w:tcPr>
            <w:tcW w:type="dxa" w:w="1680"/>
            <w:shd w:fill="F2F4F8" w:val="clear"/>
          </w:tcPr>
          <w:p>
            <w:r>
              <w:rPr>
                <w:rFonts w:ascii="Calibri" w:hAnsi="Calibri"/>
                <w:color w:val="333333"/>
                <w:sz w:val="18"/>
              </w:rPr>
              <w:t>42</w:t>
            </w:r>
          </w:p>
        </w:tc>
        <w:tc>
          <w:tcPr>
            <w:tcW w:type="dxa" w:w="1680"/>
            <w:shd w:fill="F2F4F8" w:val="clear"/>
          </w:tcPr>
          <w:p>
            <w:r>
              <w:rPr>
                <w:rFonts w:ascii="Calibri" w:hAnsi="Calibri"/>
                <w:color w:val="333333"/>
                <w:sz w:val="18"/>
              </w:rPr>
              <w:t>None</w:t>
            </w:r>
          </w:p>
        </w:tc>
      </w:tr>
    </w:tbl>
    <w:p>
      <w:pPr>
        <w:pStyle w:val="DOBody"/>
      </w:pPr>
      <w:r>
        <w:rPr>
          <w:i/>
          <w:sz w:val="16"/>
        </w:rPr>
        <w:t>D&amp;O Context (Andrew Witty, 1 prior case(s)):  triggered Any Officer With Prior Litigation at Previous Company (F9) — this host risk (company-level characteristics that attract or deter D&amp;O claims) indicates SEC Enforcement / Regulatory Compliance. Evidence: Boolean check: True condition met.</w:t>
      </w:r>
      <w:r>
        <w:rPr>
          <w:b/>
          <w:color w:val="EAB308"/>
          <w:sz w:val="18"/>
        </w:rPr>
        <w:t xml:space="preserve"> [ELEVATED]</w:t>
      </w:r>
    </w:p>
    <w:p>
      <w:pPr>
        <w:pStyle w:val="DOBody"/>
      </w:pPr>
      <w:r>
        <w:rPr>
          <w:i/>
          <w:sz w:val="16"/>
        </w:rPr>
        <w:t>D&amp;O Context (Business Finance, 42 prior case(s)):  triggered Any Officer With Prior Litigation at Previous Company (F9) — this host risk (company-level characteristics that attract or deter D&amp;O claims) indicates SEC Enforcement / Regulatory Compliance. Evidence: Boolean check: True condition met.</w:t>
      </w:r>
      <w:r>
        <w:rPr>
          <w:b/>
          <w:color w:val="EAB308"/>
          <w:sz w:val="18"/>
        </w:rPr>
        <w:t xml:space="preserve"> [ELEVATED]</w:t>
      </w:r>
    </w:p>
    <w:p>
      <w:pPr>
        <w:pStyle w:val="DOBody"/>
      </w:pPr>
      <w:r>
        <w:rPr>
          <w:rFonts w:ascii="Calibri" w:hAnsi="Calibri"/>
          <w:color w:val="333333"/>
          <w:sz w:val="20"/>
        </w:rPr>
        <w:t>Leadership Stability Score: 100/100</w:t>
      </w:r>
      <w:r>
        <w:rPr>
          <w:rFonts w:ascii="Consolas" w:hAnsi="Consolas"/>
          <w:color w:val="666666"/>
          <w:sz w:val="16"/>
        </w:rPr>
        <w:t xml:space="preserve">  [leadership_profiles extractor, 2026-04-02, MEDIUM]</w:t>
      </w:r>
    </w:p>
    <w:p>
      <w:pPr>
        <w:pStyle w:val="DOHeading2"/>
      </w:pPr>
      <w:r>
        <w:t>Board Composition</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Name</w:t>
            </w:r>
          </w:p>
        </w:tc>
        <w:tc>
          <w:tcPr>
            <w:tcW w:type="dxa" w:w="1680"/>
            <w:shd w:fill="1A1446" w:val="clear"/>
          </w:tcPr>
          <w:p>
            <w:r>
              <w:rPr>
                <w:rFonts w:ascii="Calibri" w:hAnsi="Calibri"/>
                <w:b/>
                <w:color w:val="FFFFFF"/>
                <w:sz w:val="18"/>
              </w:rPr>
              <w:t>Tenure</w:t>
            </w:r>
          </w:p>
        </w:tc>
        <w:tc>
          <w:tcPr>
            <w:tcW w:type="dxa" w:w="1680"/>
            <w:shd w:fill="1A1446" w:val="clear"/>
          </w:tcPr>
          <w:p>
            <w:r>
              <w:rPr>
                <w:rFonts w:ascii="Calibri" w:hAnsi="Calibri"/>
                <w:b/>
                <w:color w:val="FFFFFF"/>
                <w:sz w:val="18"/>
              </w:rPr>
              <w:t>Independent</w:t>
            </w:r>
          </w:p>
        </w:tc>
        <w:tc>
          <w:tcPr>
            <w:tcW w:type="dxa" w:w="1680"/>
            <w:shd w:fill="1A1446" w:val="clear"/>
          </w:tcPr>
          <w:p>
            <w:r>
              <w:rPr>
                <w:rFonts w:ascii="Calibri" w:hAnsi="Calibri"/>
                <w:b/>
                <w:color w:val="FFFFFF"/>
                <w:sz w:val="18"/>
              </w:rPr>
              <w:t>Committees</w:t>
            </w:r>
          </w:p>
        </w:tc>
        <w:tc>
          <w:tcPr>
            <w:tcW w:type="dxa" w:w="1680"/>
            <w:shd w:fill="1A1446" w:val="clear"/>
          </w:tcPr>
          <w:p>
            <w:r>
              <w:rPr>
                <w:rFonts w:ascii="Calibri" w:hAnsi="Calibri"/>
                <w:b/>
                <w:color w:val="FFFFFF"/>
                <w:sz w:val="18"/>
              </w:rPr>
              <w:t>Other Boards</w:t>
            </w:r>
          </w:p>
        </w:tc>
        <w:tc>
          <w:tcPr>
            <w:tcW w:type="dxa" w:w="1680"/>
            <w:shd w:fill="1A1446" w:val="clear"/>
          </w:tcPr>
          <w:p>
            <w:r>
              <w:rPr>
                <w:rFonts w:ascii="Calibri" w:hAnsi="Calibri"/>
                <w:b/>
                <w:color w:val="FFFFFF"/>
                <w:sz w:val="18"/>
              </w:rPr>
              <w:t>Overboarded</w:t>
            </w:r>
          </w:p>
        </w:tc>
      </w:tr>
      <w:tr>
        <w:tc>
          <w:tcPr>
            <w:tcW w:type="dxa" w:w="1680"/>
          </w:tcPr>
          <w:p>
            <w:r>
              <w:rPr>
                <w:rFonts w:ascii="Calibri" w:hAnsi="Calibri"/>
                <w:color w:val="333333"/>
                <w:sz w:val="18"/>
              </w:rPr>
              <w:t>Mr. Stephen J. Hemsley</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N/A</w:t>
            </w:r>
          </w:p>
        </w:tc>
        <w:tc>
          <w:tcPr>
            <w:tcW w:type="dxa" w:w="1680"/>
          </w:tcPr>
          <w:p>
            <w:r>
              <w:rPr>
                <w:rFonts w:ascii="Calibri" w:hAnsi="Calibri"/>
                <w:color w:val="333333"/>
                <w:sz w:val="18"/>
              </w:rPr>
              <w:t>0</w:t>
            </w:r>
          </w:p>
        </w:tc>
        <w:tc>
          <w:tcPr>
            <w:tcW w:type="dxa" w:w="1680"/>
          </w:tcPr>
          <w:p>
            <w:r>
              <w:rPr>
                <w:rFonts w:ascii="Calibri" w:hAnsi="Calibri"/>
                <w:color w:val="333333"/>
                <w:sz w:val="18"/>
              </w:rPr>
              <w:t>No</w:t>
            </w:r>
          </w:p>
        </w:tc>
      </w:tr>
    </w:tbl>
    <w:p>
      <w:pPr>
        <w:pStyle w:val="DOHeading3"/>
      </w:pPr>
      <w:r>
        <w:t>Board Quality Metrics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Board Size</w:t>
            </w:r>
          </w:p>
        </w:tc>
        <w:tc>
          <w:tcPr>
            <w:tcW w:type="dxa" w:w="5040"/>
          </w:tcPr>
          <w:p>
            <w:r>
              <w:rPr>
                <w:rFonts w:ascii="Calibri" w:hAnsi="Calibri"/>
                <w:color w:val="333333"/>
                <w:sz w:val="18"/>
              </w:rPr>
              <w:t>N/A</w:t>
            </w:r>
          </w:p>
        </w:tc>
      </w:tr>
      <w:tr>
        <w:tc>
          <w:tcPr>
            <w:tcW w:type="dxa" w:w="5040"/>
            <w:shd w:fill="F2F4F8" w:val="clear"/>
          </w:tcPr>
          <w:p>
            <w:r>
              <w:rPr>
                <w:rFonts w:ascii="Calibri" w:hAnsi="Calibri"/>
                <w:color w:val="333333"/>
                <w:sz w:val="18"/>
              </w:rPr>
              <w:t>Independence Ratio</w:t>
            </w:r>
          </w:p>
        </w:tc>
        <w:tc>
          <w:tcPr>
            <w:tcW w:type="dxa" w:w="5040"/>
            <w:shd w:fill="F2F4F8" w:val="clear"/>
          </w:tcPr>
          <w:p>
            <w:r>
              <w:rPr>
                <w:rFonts w:ascii="Calibri" w:hAnsi="Calibri"/>
                <w:color w:val="333333"/>
                <w:sz w:val="18"/>
              </w:rPr>
              <w:t>N/A</w:t>
            </w:r>
          </w:p>
        </w:tc>
      </w:tr>
      <w:tr>
        <w:tc>
          <w:tcPr>
            <w:tcW w:type="dxa" w:w="5040"/>
          </w:tcPr>
          <w:p>
            <w:r>
              <w:rPr>
                <w:rFonts w:ascii="Calibri" w:hAnsi="Calibri"/>
                <w:color w:val="333333"/>
                <w:sz w:val="18"/>
              </w:rPr>
              <w:t>CEO/Chair Duality</w:t>
            </w:r>
          </w:p>
        </w:tc>
        <w:tc>
          <w:tcPr>
            <w:tcW w:type="dxa" w:w="5040"/>
          </w:tcPr>
          <w:p>
            <w:r>
              <w:rPr>
                <w:rFonts w:ascii="Calibri" w:hAnsi="Calibri"/>
                <w:color w:val="333333"/>
                <w:sz w:val="18"/>
              </w:rPr>
              <w:t>No</w:t>
            </w:r>
          </w:p>
        </w:tc>
      </w:tr>
      <w:tr>
        <w:tc>
          <w:tcPr>
            <w:tcW w:type="dxa" w:w="5040"/>
            <w:shd w:fill="F2F4F8" w:val="clear"/>
          </w:tcPr>
          <w:p>
            <w:r>
              <w:rPr>
                <w:rFonts w:ascii="Calibri" w:hAnsi="Calibri"/>
                <w:color w:val="333333"/>
                <w:sz w:val="18"/>
              </w:rPr>
              <w:t>Classified Board</w:t>
            </w:r>
          </w:p>
        </w:tc>
        <w:tc>
          <w:tcPr>
            <w:tcW w:type="dxa" w:w="5040"/>
            <w:shd w:fill="F2F4F8" w:val="clear"/>
          </w:tcPr>
          <w:p>
            <w:r>
              <w:rPr>
                <w:rFonts w:ascii="Calibri" w:hAnsi="Calibri"/>
                <w:color w:val="333333"/>
                <w:sz w:val="18"/>
              </w:rPr>
              <w:t>N/A</w:t>
            </w:r>
          </w:p>
        </w:tc>
      </w:tr>
      <w:tr>
        <w:tc>
          <w:tcPr>
            <w:tcW w:type="dxa" w:w="5040"/>
          </w:tcPr>
          <w:p>
            <w:r>
              <w:rPr>
                <w:rFonts w:ascii="Calibri" w:hAnsi="Calibri"/>
                <w:color w:val="333333"/>
                <w:sz w:val="18"/>
              </w:rPr>
              <w:t>Overboarded Directors</w:t>
            </w:r>
          </w:p>
        </w:tc>
        <w:tc>
          <w:tcPr>
            <w:tcW w:type="dxa" w:w="5040"/>
          </w:tcPr>
          <w:p>
            <w:r>
              <w:rPr>
                <w:rFonts w:ascii="Calibri" w:hAnsi="Calibri"/>
                <w:color w:val="333333"/>
                <w:sz w:val="18"/>
              </w:rPr>
              <w:t>N/A</w:t>
            </w:r>
          </w:p>
        </w:tc>
      </w:tr>
      <w:tr>
        <w:tc>
          <w:tcPr>
            <w:tcW w:type="dxa" w:w="5040"/>
            <w:shd w:fill="F2F4F8" w:val="clear"/>
          </w:tcPr>
          <w:p>
            <w:r>
              <w:rPr>
                <w:rFonts w:ascii="Calibri" w:hAnsi="Calibri"/>
                <w:color w:val="333333"/>
                <w:sz w:val="18"/>
              </w:rPr>
              <w:t>Dual-Class Structure</w:t>
            </w:r>
          </w:p>
        </w:tc>
        <w:tc>
          <w:tcPr>
            <w:tcW w:type="dxa" w:w="5040"/>
            <w:shd w:fill="F2F4F8" w:val="clear"/>
          </w:tcPr>
          <w:p>
            <w:r>
              <w:rPr>
                <w:rFonts w:ascii="Calibri" w:hAnsi="Calibri"/>
                <w:color w:val="333333"/>
                <w:sz w:val="18"/>
              </w:rPr>
              <w:t>N/A</w:t>
            </w:r>
          </w:p>
        </w:tc>
      </w:tr>
    </w:tbl>
    <w:p>
      <w:pPr>
        <w:pStyle w:val="DOHeading2"/>
      </w:pPr>
      <w:r>
        <w:t>Compensation Analysis</w:t>
      </w:r>
    </w:p>
    <w:p>
      <w:pPr>
        <w:pStyle w:val="DOHeading3"/>
      </w:pPr>
      <w:r>
        <w:t>Summary Compensation Table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Amount</w:t>
            </w:r>
          </w:p>
        </w:tc>
      </w:tr>
      <w:tr>
        <w:tc>
          <w:tcPr>
            <w:tcW w:type="dxa" w:w="5040"/>
          </w:tcPr>
          <w:p>
            <w:r>
              <w:rPr>
                <w:rFonts w:ascii="Calibri" w:hAnsi="Calibri"/>
                <w:color w:val="333333"/>
                <w:sz w:val="18"/>
              </w:rPr>
              <w:t>Total CEO Compensation</w:t>
            </w:r>
          </w:p>
        </w:tc>
        <w:tc>
          <w:tcPr>
            <w:tcW w:type="dxa" w:w="5040"/>
          </w:tcPr>
          <w:p>
            <w:r>
              <w:rPr>
                <w:rFonts w:ascii="Calibri" w:hAnsi="Calibri"/>
                <w:color w:val="333333"/>
                <w:sz w:val="18"/>
              </w:rPr>
              <w:t>$17.9M</w:t>
            </w:r>
          </w:p>
        </w:tc>
      </w:tr>
    </w:tbl>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CEO Pay Ratio</w:t>
            </w:r>
          </w:p>
        </w:tc>
        <w:tc>
          <w:tcPr>
            <w:tcW w:type="dxa" w:w="5040"/>
          </w:tcPr>
          <w:p>
            <w:r>
              <w:rPr>
                <w:rFonts w:ascii="Calibri" w:hAnsi="Calibri"/>
                <w:color w:val="333333"/>
                <w:sz w:val="18"/>
              </w:rPr>
              <w:t>348:1</w:t>
            </w:r>
          </w:p>
        </w:tc>
      </w:tr>
    </w:tbl>
    <w:p>
      <w:pPr>
        <w:pStyle w:val="DOHeading3"/>
      </w:pPr>
      <w:r>
        <w:t>Compensation Structure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Component</w:t>
            </w:r>
          </w:p>
        </w:tc>
        <w:tc>
          <w:tcPr>
            <w:tcW w:type="dxa" w:w="5040"/>
            <w:shd w:fill="1A1446" w:val="clear"/>
          </w:tcPr>
          <w:p>
            <w:r>
              <w:rPr>
                <w:rFonts w:ascii="Calibri" w:hAnsi="Calibri"/>
                <w:b/>
                <w:color w:val="FFFFFF"/>
                <w:sz w:val="18"/>
              </w:rPr>
              <w:t>Detail</w:t>
            </w:r>
          </w:p>
        </w:tc>
      </w:tr>
      <w:tr>
        <w:tc>
          <w:tcPr>
            <w:tcW w:type="dxa" w:w="5040"/>
          </w:tcPr>
          <w:p>
            <w:r>
              <w:rPr>
                <w:rFonts w:ascii="Calibri" w:hAnsi="Calibri"/>
                <w:color w:val="333333"/>
                <w:sz w:val="18"/>
              </w:rPr>
              <w:t>Clawback Policy</w:t>
            </w:r>
          </w:p>
        </w:tc>
        <w:tc>
          <w:tcPr>
            <w:tcW w:type="dxa" w:w="5040"/>
          </w:tcPr>
          <w:p>
            <w:r>
              <w:rPr>
                <w:rFonts w:ascii="Calibri" w:hAnsi="Calibri"/>
                <w:color w:val="333333"/>
                <w:sz w:val="18"/>
              </w:rPr>
              <w:t>Yes</w:t>
            </w:r>
          </w:p>
        </w:tc>
      </w:tr>
      <w:tr>
        <w:tc>
          <w:tcPr>
            <w:tcW w:type="dxa" w:w="5040"/>
            <w:shd w:fill="F2F4F8" w:val="clear"/>
          </w:tcPr>
          <w:p>
            <w:r>
              <w:rPr>
                <w:rFonts w:ascii="Calibri" w:hAnsi="Calibri"/>
                <w:color w:val="333333"/>
                <w:sz w:val="18"/>
              </w:rPr>
              <w:t>Clawback Scope</w:t>
            </w:r>
          </w:p>
        </w:tc>
        <w:tc>
          <w:tcPr>
            <w:tcW w:type="dxa" w:w="5040"/>
            <w:shd w:fill="F2F4F8" w:val="clear"/>
          </w:tcPr>
          <w:p>
            <w:r>
              <w:rPr>
                <w:rFonts w:ascii="Calibri" w:hAnsi="Calibri"/>
                <w:color w:val="333333"/>
                <w:sz w:val="18"/>
              </w:rPr>
              <w:t>BROADER</w:t>
            </w:r>
          </w:p>
        </w:tc>
      </w:tr>
    </w:tbl>
    <w:p>
      <w:pPr>
        <w:pStyle w:val="DOHeading3"/>
      </w:pPr>
      <w:r>
        <w:t>Compensation Red Flags</w:t>
      </w:r>
    </w:p>
    <w:p>
      <w:pPr>
        <w:pStyle w:val="DOBody"/>
      </w:pPr>
      <w:r>
        <w:t>Notable Perquisites: This amount was imputed as income to Steve, and Steve did not receive any tax gross-up on this amount, Additionally, we offer personal and home security services for our directors in accordance with the Company's executive security policy, In accordance with the Company's corporate aircraft policy, Andrew Witty is required for personal security reasons to use corporate aircraft for all business travel and is encouraged to use corporate aircraft for all personal travel, including family travel, when corporate aircraft is not otherwise : Above-peer perquisites draw proxy advisory negative recommendations.</w:t>
      </w:r>
      <w:r>
        <w:rPr>
          <w:b/>
          <w:color w:val="EAB308"/>
          <w:sz w:val="18"/>
        </w:rPr>
        <w:t xml:space="preserve"> [ELEVATED]</w:t>
      </w:r>
    </w:p>
    <w:p>
      <w:pPr>
        <w:pStyle w:val="DOHeading2"/>
      </w:pPr>
      <w:r>
        <w:t>Ownership Structure</w:t>
      </w:r>
    </w:p>
    <w:p>
      <w:r>
        <w:drawing>
          <wp:inline xmlns:a="http://schemas.openxmlformats.org/drawingml/2006/main" xmlns:pic="http://schemas.openxmlformats.org/drawingml/2006/picture">
            <wp:extent cx="5943600" cy="5430893"/>
            <wp:docPr id="12" name="Picture 12"/>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43600" cy="5430893"/>
                    </a:xfrm>
                    <a:prstGeom prst="rect"/>
                  </pic:spPr>
                </pic:pic>
              </a:graphicData>
            </a:graphic>
          </wp:inline>
        </w:drawing>
      </w:r>
    </w:p>
    <w:p>
      <w:pPr>
        <w:pStyle w:val="DOCaption"/>
      </w:pPr>
      <w:r>
        <w:t>Figure: Ownership breakdown -- institutional, insider, retail float</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Category</w:t>
            </w:r>
          </w:p>
        </w:tc>
        <w:tc>
          <w:tcPr>
            <w:tcW w:type="dxa" w:w="5040"/>
            <w:shd w:fill="1A1446" w:val="clear"/>
          </w:tcPr>
          <w:p>
            <w:r>
              <w:rPr>
                <w:rFonts w:ascii="Calibri" w:hAnsi="Calibri"/>
                <w:b/>
                <w:color w:val="FFFFFF"/>
                <w:sz w:val="18"/>
              </w:rPr>
              <w:t>Percentage</w:t>
            </w:r>
          </w:p>
        </w:tc>
      </w:tr>
      <w:tr>
        <w:tc>
          <w:tcPr>
            <w:tcW w:type="dxa" w:w="5040"/>
          </w:tcPr>
          <w:p>
            <w:r>
              <w:rPr>
                <w:rFonts w:ascii="Calibri" w:hAnsi="Calibri"/>
                <w:color w:val="333333"/>
                <w:sz w:val="18"/>
              </w:rPr>
              <w:t>Institutional Ownership</w:t>
            </w:r>
          </w:p>
        </w:tc>
        <w:tc>
          <w:tcPr>
            <w:tcW w:type="dxa" w:w="5040"/>
          </w:tcPr>
          <w:p>
            <w:r>
              <w:rPr>
                <w:rFonts w:ascii="Calibri" w:hAnsi="Calibri"/>
                <w:color w:val="333333"/>
                <w:sz w:val="18"/>
              </w:rPr>
              <w:t>84.2%</w:t>
            </w:r>
          </w:p>
        </w:tc>
      </w:tr>
      <w:tr>
        <w:tc>
          <w:tcPr>
            <w:tcW w:type="dxa" w:w="5040"/>
            <w:shd w:fill="F2F4F8" w:val="clear"/>
          </w:tcPr>
          <w:p>
            <w:r>
              <w:rPr>
                <w:rFonts w:ascii="Calibri" w:hAnsi="Calibri"/>
                <w:color w:val="333333"/>
                <w:sz w:val="18"/>
              </w:rPr>
              <w:t>Insider Ownership</w:t>
            </w:r>
          </w:p>
        </w:tc>
        <w:tc>
          <w:tcPr>
            <w:tcW w:type="dxa" w:w="5040"/>
            <w:shd w:fill="F2F4F8" w:val="clear"/>
          </w:tcPr>
          <w:p>
            <w:r>
              <w:rPr>
                <w:rFonts w:ascii="Calibri" w:hAnsi="Calibri"/>
                <w:color w:val="333333"/>
                <w:sz w:val="18"/>
              </w:rPr>
              <w:t>0.8%</w:t>
            </w:r>
          </w:p>
        </w:tc>
      </w:tr>
      <w:tr>
        <w:tc>
          <w:tcPr>
            <w:tcW w:type="dxa" w:w="5040"/>
          </w:tcPr>
          <w:p>
            <w:r>
              <w:rPr>
                <w:rFonts w:ascii="Calibri" w:hAnsi="Calibri"/>
                <w:color w:val="333333"/>
                <w:sz w:val="18"/>
              </w:rPr>
              <w:t>Retail Float</w:t>
            </w:r>
          </w:p>
        </w:tc>
        <w:tc>
          <w:tcPr>
            <w:tcW w:type="dxa" w:w="5040"/>
          </w:tcPr>
          <w:p>
            <w:r>
              <w:rPr>
                <w:rFonts w:ascii="Calibri" w:hAnsi="Calibri"/>
                <w:color w:val="333333"/>
                <w:sz w:val="18"/>
              </w:rPr>
              <w:t>15.0%</w:t>
            </w:r>
          </w:p>
        </w:tc>
      </w:tr>
    </w:tbl>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Top Holder</w:t>
            </w:r>
          </w:p>
        </w:tc>
        <w:tc>
          <w:tcPr>
            <w:tcW w:type="dxa" w:w="5040"/>
            <w:shd w:fill="1A1446" w:val="clear"/>
          </w:tcPr>
          <w:p>
            <w:r>
              <w:rPr>
                <w:rFonts w:ascii="Calibri" w:hAnsi="Calibri"/>
                <w:b/>
                <w:color w:val="FFFFFF"/>
                <w:sz w:val="18"/>
              </w:rPr>
              <w:t>Ownership %</w:t>
            </w:r>
          </w:p>
        </w:tc>
      </w:tr>
      <w:tr>
        <w:tc>
          <w:tcPr>
            <w:tcW w:type="dxa" w:w="5040"/>
          </w:tcPr>
          <w:p>
            <w:r>
              <w:rPr>
                <w:rFonts w:ascii="Calibri" w:hAnsi="Calibri"/>
                <w:color w:val="333333"/>
                <w:sz w:val="18"/>
              </w:rPr>
              <w:t>Vanguard Group Inc</w:t>
            </w:r>
          </w:p>
        </w:tc>
        <w:tc>
          <w:tcPr>
            <w:tcW w:type="dxa" w:w="5040"/>
          </w:tcPr>
          <w:p>
            <w:r>
              <w:rPr>
                <w:rFonts w:ascii="Calibri" w:hAnsi="Calibri"/>
                <w:color w:val="333333"/>
                <w:sz w:val="18"/>
              </w:rPr>
              <w:t>0.1%</w:t>
            </w:r>
          </w:p>
        </w:tc>
      </w:tr>
      <w:tr>
        <w:tc>
          <w:tcPr>
            <w:tcW w:type="dxa" w:w="5040"/>
            <w:shd w:fill="F2F4F8" w:val="clear"/>
          </w:tcPr>
          <w:p>
            <w:r>
              <w:rPr>
                <w:rFonts w:ascii="Calibri" w:hAnsi="Calibri"/>
                <w:color w:val="333333"/>
                <w:sz w:val="18"/>
              </w:rPr>
              <w:t>Blackrock Inc.</w:t>
            </w:r>
          </w:p>
        </w:tc>
        <w:tc>
          <w:tcPr>
            <w:tcW w:type="dxa" w:w="5040"/>
            <w:shd w:fill="F2F4F8" w:val="clear"/>
          </w:tcPr>
          <w:p>
            <w:r>
              <w:rPr>
                <w:rFonts w:ascii="Calibri" w:hAnsi="Calibri"/>
                <w:color w:val="333333"/>
                <w:sz w:val="18"/>
              </w:rPr>
              <w:t>0.1%</w:t>
            </w:r>
          </w:p>
        </w:tc>
      </w:tr>
      <w:tr>
        <w:tc>
          <w:tcPr>
            <w:tcW w:type="dxa" w:w="5040"/>
          </w:tcPr>
          <w:p>
            <w:r>
              <w:rPr>
                <w:rFonts w:ascii="Calibri" w:hAnsi="Calibri"/>
                <w:color w:val="333333"/>
                <w:sz w:val="18"/>
              </w:rPr>
              <w:t>State Street Corporation</w:t>
            </w:r>
          </w:p>
        </w:tc>
        <w:tc>
          <w:tcPr>
            <w:tcW w:type="dxa" w:w="5040"/>
          </w:tcPr>
          <w:p>
            <w:r>
              <w:rPr>
                <w:rFonts w:ascii="Calibri" w:hAnsi="Calibri"/>
                <w:color w:val="333333"/>
                <w:sz w:val="18"/>
              </w:rPr>
              <w:t>0.0%</w:t>
            </w:r>
          </w:p>
        </w:tc>
      </w:tr>
      <w:tr>
        <w:tc>
          <w:tcPr>
            <w:tcW w:type="dxa" w:w="5040"/>
            <w:shd w:fill="F2F4F8" w:val="clear"/>
          </w:tcPr>
          <w:p>
            <w:r>
              <w:rPr>
                <w:rFonts w:ascii="Calibri" w:hAnsi="Calibri"/>
                <w:color w:val="333333"/>
                <w:sz w:val="18"/>
              </w:rPr>
              <w:t>Capital World Investors</w:t>
            </w:r>
          </w:p>
        </w:tc>
        <w:tc>
          <w:tcPr>
            <w:tcW w:type="dxa" w:w="5040"/>
            <w:shd w:fill="F2F4F8" w:val="clear"/>
          </w:tcPr>
          <w:p>
            <w:r>
              <w:rPr>
                <w:rFonts w:ascii="Calibri" w:hAnsi="Calibri"/>
                <w:color w:val="333333"/>
                <w:sz w:val="18"/>
              </w:rPr>
              <w:t>0.0%</w:t>
            </w:r>
          </w:p>
        </w:tc>
      </w:tr>
      <w:tr>
        <w:tc>
          <w:tcPr>
            <w:tcW w:type="dxa" w:w="5040"/>
          </w:tcPr>
          <w:p>
            <w:r>
              <w:rPr>
                <w:rFonts w:ascii="Calibri" w:hAnsi="Calibri"/>
                <w:color w:val="333333"/>
                <w:sz w:val="18"/>
              </w:rPr>
              <w:t>Geode Capital Management, LLC</w:t>
            </w:r>
          </w:p>
        </w:tc>
        <w:tc>
          <w:tcPr>
            <w:tcW w:type="dxa" w:w="5040"/>
          </w:tcPr>
          <w:p>
            <w:r>
              <w:rPr>
                <w:rFonts w:ascii="Calibri" w:hAnsi="Calibri"/>
                <w:color w:val="333333"/>
                <w:sz w:val="18"/>
              </w:rPr>
              <w:t>0.0%</w:t>
            </w:r>
          </w:p>
        </w:tc>
      </w:tr>
    </w:tbl>
    <w:p>
      <w:pPr>
        <w:pStyle w:val="DOHeading2"/>
      </w:pPr>
      <w:r>
        <w:t>Sentiment &amp; Narrative Coherence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Signal</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Narrative Coherence</w:t>
            </w:r>
          </w:p>
        </w:tc>
        <w:tc>
          <w:tcPr>
            <w:tcW w:type="dxa" w:w="5040"/>
          </w:tcPr>
          <w:p>
            <w:r>
              <w:rPr>
                <w:rFonts w:ascii="Calibri" w:hAnsi="Calibri"/>
                <w:color w:val="333333"/>
                <w:sz w:val="18"/>
              </w:rPr>
              <w:t>COHERENT</w:t>
            </w:r>
          </w:p>
        </w:tc>
      </w:tr>
    </w:tbl>
    <w:p>
      <w:pPr>
        <w:pStyle w:val="DOHeading2"/>
      </w:pPr>
      <w:r>
        <w:t>Anti-Takeover Provisions</w:t>
      </w:r>
    </w:p>
    <w:p>
      <w:pPr>
        <w:pStyle w:val="DOBody"/>
      </w:pPr>
      <w:r>
        <w:t>Anti-takeover provision data not available. Review DEF 14A and charter documents for complete analysis.</w:t>
      </w:r>
    </w:p>
    <w:p>
      <w:pPr>
        <w:spacing w:before="120" w:after="40"/>
        <w:pBdr>
          <w:bottom w:val="single" w:sz="6" w:space="1" w:color="FFD000"/>
        </w:pBdr>
      </w:pPr>
    </w:p>
    <w:p>
      <w:pPr>
        <w:pStyle w:val="DOBody"/>
        <w:spacing w:before="40" w:after="80"/>
      </w:pPr>
      <w:r>
        <w:rPr>
          <w:b/>
          <w:color w:val="CC0000"/>
          <w:sz w:val="20"/>
        </w:rPr>
        <w:t>CRITICAL RISK</w:t>
      </w:r>
    </w:p>
    <w:p>
      <w:pPr>
        <w:pStyle w:val="DOBody"/>
        <w:spacing w:before="40" w:after="120"/>
      </w:pPr>
      <w:r>
        <w:rPr>
          <w:color w:val="333333"/>
          <w:sz w:val="20"/>
        </w:rPr>
        <w:t>UnitedHealth currently faces one active SCA, *In re UnitedHealth Group Inc. Securities Litigation*, with a class period from 2019 to 2024, led by Tier 1 counsel Robbins Geller Rudman &amp; Dowd LLP. The company’s adjusted SCA filing rate of 14.74% dramatically outpaces its sector’s 4.0% baseline, indicating a recurrent litigation profile far above industry norms that directly elevates D&amp;O risk pricing. Six open derivative suits, typically piggybacking on the SCA’s allegations, compound defense cost exposure, which is material given the firm's moderate in-house defense strength and the 3.19 points deducted for litigation activity in the underwriting score. Historical settlement benchmarking is critical; UnitedHealth’s prior $925 million SCA settlement in 2019 sets a severe precedent for the current matter, indicating potential for another high-severity loss. The absence of an open SEC investigation ("NONE") is a rare positive, removing near-term risk of a parallel regulatory action serving as a corrective disclosure trigger for new claims. The core underwriting catch is the disconnect between a single active SCA and a filing rate nearly four times the sector average, signaling a persistent target for the plaintiff’s bar as evidenced by the 70 distinct litigation signals identified. Claim probability over the next policy period is elevated, driven by this recurrence pattern and the scale of past settlements, with six open matters already demanding defense resources. Underwriters must weigh the likelihood of this active SCA resolving within the standard 3-5 year litigation timeline against the high probability of a new filing emerging, given the company’s historical target profile and 14.74% adjusted filing rate.</w:t>
      </w:r>
    </w:p>
    <w:p>
      <w:pPr>
        <w:pStyle w:val="DOHeading1"/>
      </w:pPr>
      <w:r>
        <w:t>Section 6: Litigation &amp; Regulatory Exposure</w:t>
      </w:r>
    </w:p>
    <w:p>
      <w:pPr>
        <w:pStyle w:val="DOBody"/>
      </w:pPr>
      <w:r>
        <w:rPr>
          <w:rFonts w:ascii="Calibri" w:hAnsi="Calibri"/>
          <w:color w:val="333333"/>
          <w:sz w:val="20"/>
        </w:rPr>
        <w:t>The company faces 1 active securities class action(s). The primary case, {}, is currently pending. 6 derivative action(s) pending, alleging breach of fiduciary duty by directors and officers. 6 statute of limitations window(s) remain open, meaning new claims can still be filed for past events. Under claims-made D&amp;O policy, coverage is triggered when a claim is reported during the policy period. Defense quality assessment: MODERATE.</w:t>
      </w:r>
    </w:p>
    <w:p>
      <w:pPr>
        <w:pStyle w:val="DOBody"/>
      </w:pPr>
      <w:r>
        <w:rPr>
          <w:sz w:val="20"/>
        </w:rPr>
        <w:t>Litigation Overview: 0 active matter(s), 3 historical matter(s)</w:t>
      </w:r>
    </w:p>
    <w:p>
      <w:pPr>
        <w:pStyle w:val="DOHeading3"/>
      </w:pPr>
      <w:r>
        <w:t>Litigation Timeline</w:t>
      </w:r>
    </w:p>
    <w:p>
      <w:r>
        <w:drawing>
          <wp:inline xmlns:a="http://schemas.openxmlformats.org/drawingml/2006/main" xmlns:pic="http://schemas.openxmlformats.org/drawingml/2006/picture">
            <wp:extent cx="5943600" cy="2930421"/>
            <wp:docPr id="13" name="Picture 13"/>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943600" cy="2930421"/>
                    </a:xfrm>
                    <a:prstGeom prst="rect"/>
                  </pic:spPr>
                </pic:pic>
              </a:graphicData>
            </a:graphic>
          </wp:inline>
        </w:drawing>
      </w:r>
    </w:p>
    <w:p>
      <w:pPr>
        <w:pStyle w:val="DOCaption"/>
      </w:pPr>
      <w:r>
        <w:t>Figure: Chronological litigation and regulatory events overlaid with corporate events for pattern recognition</w:t>
      </w:r>
    </w:p>
    <w:p>
      <w:pPr>
        <w:pStyle w:val="DOHeading3"/>
      </w:pPr>
      <w:r>
        <w:t>Securities Class Actions</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shd w:fill="1A1446" w:val="clear"/>
          </w:tcPr>
          <w:p>
            <w:r>
              <w:rPr>
                <w:rFonts w:ascii="Calibri" w:hAnsi="Calibri"/>
                <w:b/>
                <w:color w:val="FFFFFF"/>
                <w:sz w:val="18"/>
              </w:rPr>
              <w:t>Case Name</w:t>
            </w:r>
          </w:p>
        </w:tc>
        <w:tc>
          <w:tcPr>
            <w:tcW w:type="dxa" w:w="1008"/>
            <w:shd w:fill="1A1446" w:val="clear"/>
          </w:tcPr>
          <w:p>
            <w:r>
              <w:rPr>
                <w:rFonts w:ascii="Calibri" w:hAnsi="Calibri"/>
                <w:b/>
                <w:color w:val="FFFFFF"/>
                <w:sz w:val="18"/>
              </w:rPr>
              <w:t>Legal Theory</w:t>
            </w:r>
          </w:p>
        </w:tc>
        <w:tc>
          <w:tcPr>
            <w:tcW w:type="dxa" w:w="1008"/>
            <w:shd w:fill="1A1446" w:val="clear"/>
          </w:tcPr>
          <w:p>
            <w:r>
              <w:rPr>
                <w:rFonts w:ascii="Calibri" w:hAnsi="Calibri"/>
                <w:b/>
                <w:color w:val="FFFFFF"/>
                <w:sz w:val="18"/>
              </w:rPr>
              <w:t>Coverage</w:t>
            </w:r>
          </w:p>
        </w:tc>
        <w:tc>
          <w:tcPr>
            <w:tcW w:type="dxa" w:w="1008"/>
            <w:shd w:fill="1A1446" w:val="clear"/>
          </w:tcPr>
          <w:p>
            <w:r>
              <w:rPr>
                <w:rFonts w:ascii="Calibri" w:hAnsi="Calibri"/>
                <w:b/>
                <w:color w:val="FFFFFF"/>
                <w:sz w:val="18"/>
              </w:rPr>
              <w:t>Court</w:t>
            </w:r>
          </w:p>
        </w:tc>
        <w:tc>
          <w:tcPr>
            <w:tcW w:type="dxa" w:w="1008"/>
            <w:shd w:fill="1A1446" w:val="clear"/>
          </w:tcPr>
          <w:p>
            <w:r>
              <w:rPr>
                <w:rFonts w:ascii="Calibri" w:hAnsi="Calibri"/>
                <w:b/>
                <w:color w:val="FFFFFF"/>
                <w:sz w:val="18"/>
              </w:rPr>
              <w:t>Filing Date</w:t>
            </w:r>
          </w:p>
        </w:tc>
        <w:tc>
          <w:tcPr>
            <w:tcW w:type="dxa" w:w="1008"/>
            <w:shd w:fill="1A1446" w:val="clear"/>
          </w:tcPr>
          <w:p>
            <w:r>
              <w:rPr>
                <w:rFonts w:ascii="Calibri" w:hAnsi="Calibri"/>
                <w:b/>
                <w:color w:val="FFFFFF"/>
                <w:sz w:val="18"/>
              </w:rPr>
              <w:t>Status</w:t>
            </w:r>
          </w:p>
        </w:tc>
        <w:tc>
          <w:tcPr>
            <w:tcW w:type="dxa" w:w="1008"/>
            <w:shd w:fill="1A1446" w:val="clear"/>
          </w:tcPr>
          <w:p>
            <w:r>
              <w:rPr>
                <w:rFonts w:ascii="Calibri" w:hAnsi="Calibri"/>
                <w:b/>
                <w:color w:val="FFFFFF"/>
                <w:sz w:val="18"/>
              </w:rPr>
              <w:t>Class Period</w:t>
            </w:r>
          </w:p>
        </w:tc>
        <w:tc>
          <w:tcPr>
            <w:tcW w:type="dxa" w:w="1008"/>
            <w:shd w:fill="1A1446" w:val="clear"/>
          </w:tcPr>
          <w:p>
            <w:r>
              <w:rPr>
                <w:rFonts w:ascii="Calibri" w:hAnsi="Calibri"/>
                <w:b/>
                <w:color w:val="FFFFFF"/>
                <w:sz w:val="18"/>
              </w:rPr>
              <w:t>Lead Counsel</w:t>
            </w:r>
          </w:p>
        </w:tc>
        <w:tc>
          <w:tcPr>
            <w:tcW w:type="dxa" w:w="1008"/>
            <w:shd w:fill="1A1446" w:val="clear"/>
          </w:tcPr>
          <w:p>
            <w:r>
              <w:rPr>
                <w:rFonts w:ascii="Calibri" w:hAnsi="Calibri"/>
                <w:b/>
                <w:color w:val="FFFFFF"/>
                <w:sz w:val="18"/>
              </w:rPr>
              <w:t>Settlement</w:t>
            </w:r>
          </w:p>
        </w:tc>
        <w:tc>
          <w:tcPr>
            <w:tcW w:type="dxa" w:w="1008"/>
            <w:shd w:fill="1A1446" w:val="clear"/>
          </w:tcPr>
          <w:p>
            <w:r>
              <w:rPr>
                <w:rFonts w:ascii="Calibri" w:hAnsi="Calibri"/>
                <w:b/>
                <w:color w:val="FFFFFF"/>
                <w:sz w:val="18"/>
              </w:rPr>
              <w:t>Source</w:t>
            </w:r>
          </w:p>
        </w:tc>
      </w:tr>
      <w:tr>
        <w:tc>
          <w:tcPr>
            <w:tcW w:type="dxa" w:w="1008"/>
          </w:tcPr>
          <w:p>
            <w:r>
              <w:rPr>
                <w:rFonts w:ascii="Calibri" w:hAnsi="Calibri"/>
                <w:color w:val="333333"/>
                <w:sz w:val="18"/>
              </w:rPr>
              <w:t>In re UnitedHealth Group Incorporated Securities Litigation (2025)</w:t>
            </w:r>
          </w:p>
        </w:tc>
        <w:tc>
          <w:tcPr>
            <w:tcW w:type="dxa" w:w="1008"/>
          </w:tcPr>
          <w:p>
            <w:r>
              <w:rPr>
                <w:rFonts w:ascii="Calibri" w:hAnsi="Calibri"/>
                <w:color w:val="333333"/>
                <w:sz w:val="18"/>
              </w:rPr>
              <w:t>Rule 10b-5, Derivative / Fiduciary Duty</w:t>
            </w:r>
          </w:p>
        </w:tc>
        <w:tc>
          <w:tcPr>
            <w:tcW w:type="dxa" w:w="1008"/>
          </w:tcPr>
          <w:p>
            <w:r>
              <w:rPr>
                <w:rFonts w:ascii="Calibri" w:hAnsi="Calibri"/>
                <w:color w:val="333333"/>
                <w:sz w:val="18"/>
              </w:rPr>
              <w:t>Side C (Entity)</w:t>
            </w:r>
          </w:p>
        </w:tc>
        <w:tc>
          <w:tcPr>
            <w:tcW w:type="dxa" w:w="1008"/>
          </w:tcPr>
          <w:p>
            <w:r>
              <w:rPr>
                <w:rFonts w:ascii="Calibri" w:hAnsi="Calibri"/>
                <w:color w:val="333333"/>
                <w:sz w:val="18"/>
              </w:rPr>
              <w:t>N/A</w:t>
            </w:r>
          </w:p>
        </w:tc>
        <w:tc>
          <w:tcPr>
            <w:tcW w:type="dxa" w:w="1008"/>
          </w:tcPr>
          <w:p>
            <w:r>
              <w:rPr>
                <w:rFonts w:ascii="Calibri" w:hAnsi="Calibri"/>
                <w:color w:val="333333"/>
                <w:sz w:val="18"/>
              </w:rPr>
              <w:t>2025-05-07</w:t>
            </w:r>
          </w:p>
        </w:tc>
        <w:tc>
          <w:tcPr>
            <w:tcW w:type="dxa" w:w="1008"/>
          </w:tcPr>
          <w:p>
            <w:r>
              <w:rPr>
                <w:rFonts w:ascii="Calibri" w:hAnsi="Calibri"/>
                <w:color w:val="333333"/>
                <w:sz w:val="18"/>
              </w:rPr>
              <w:t>DISMISSED</w:t>
            </w:r>
          </w:p>
        </w:tc>
        <w:tc>
          <w:tcPr>
            <w:tcW w:type="dxa" w:w="1008"/>
          </w:tcPr>
          <w:p>
            <w:r>
              <w:rPr>
                <w:rFonts w:ascii="Calibri" w:hAnsi="Calibri"/>
                <w:color w:val="333333"/>
                <w:sz w:val="18"/>
              </w:rPr>
              <w:t>N/A</w:t>
            </w:r>
          </w:p>
        </w:tc>
        <w:tc>
          <w:tcPr>
            <w:tcW w:type="dxa" w:w="1008"/>
          </w:tcPr>
          <w:p>
            <w:r>
              <w:rPr>
                <w:rFonts w:ascii="Calibri" w:hAnsi="Calibri"/>
                <w:color w:val="333333"/>
                <w:sz w:val="18"/>
              </w:rPr>
              <w:t>N/A</w:t>
            </w:r>
          </w:p>
        </w:tc>
        <w:tc>
          <w:tcPr>
            <w:tcW w:type="dxa" w:w="1008"/>
          </w:tcPr>
          <w:p>
            <w:r>
              <w:rPr>
                <w:rFonts w:ascii="Calibri" w:hAnsi="Calibri"/>
                <w:color w:val="333333"/>
                <w:sz w:val="18"/>
              </w:rPr>
              <w:t>N/A</w:t>
            </w:r>
          </w:p>
        </w:tc>
        <w:tc>
          <w:tcPr>
            <w:tcW w:type="dxa" w:w="1008"/>
          </w:tcPr>
          <w:p>
            <w:r>
              <w:rPr>
                <w:rFonts w:ascii="Calibri" w:hAnsi="Calibri"/>
                <w:color w:val="333333"/>
                <w:sz w:val="18"/>
              </w:rPr>
              <w:t>[Supabase SCA database, 2026-04-02, MEDIUM]</w:t>
            </w:r>
          </w:p>
        </w:tc>
      </w:tr>
      <w:tr>
        <w:tc>
          <w:tcPr>
            <w:tcW w:type="dxa" w:w="1008"/>
            <w:shd w:fill="F2F4F8" w:val="clear"/>
          </w:tcPr>
          <w:p>
            <w:r>
              <w:rPr>
                <w:rFonts w:ascii="Calibri" w:hAnsi="Calibri"/>
                <w:color w:val="333333"/>
                <w:sz w:val="18"/>
              </w:rPr>
              <w:t>In re UnitedHealth Group, Inc. Securities Litigation (2006)</w:t>
            </w:r>
          </w:p>
        </w:tc>
        <w:tc>
          <w:tcPr>
            <w:tcW w:type="dxa" w:w="1008"/>
            <w:shd w:fill="F2F4F8" w:val="clear"/>
          </w:tcPr>
          <w:p>
            <w:r>
              <w:rPr>
                <w:rFonts w:ascii="Calibri" w:hAnsi="Calibri"/>
                <w:color w:val="333333"/>
                <w:sz w:val="18"/>
              </w:rPr>
              <w:t>Rule 10b-5, Derivative / Fiduciary Duty</w:t>
            </w:r>
          </w:p>
        </w:tc>
        <w:tc>
          <w:tcPr>
            <w:tcW w:type="dxa" w:w="1008"/>
            <w:shd w:fill="F2F4F8" w:val="clear"/>
          </w:tcPr>
          <w:p>
            <w:r>
              <w:rPr>
                <w:rFonts w:ascii="Calibri" w:hAnsi="Calibri"/>
                <w:color w:val="333333"/>
                <w:sz w:val="18"/>
              </w:rPr>
              <w:t>Side C (Entity)</w:t>
            </w:r>
          </w:p>
        </w:tc>
        <w:tc>
          <w:tcPr>
            <w:tcW w:type="dxa" w:w="1008"/>
            <w:shd w:fill="F2F4F8" w:val="clear"/>
          </w:tcPr>
          <w:p>
            <w:r>
              <w:rPr>
                <w:rFonts w:ascii="Calibri" w:hAnsi="Calibri"/>
                <w:color w:val="333333"/>
                <w:sz w:val="18"/>
              </w:rPr>
              <w:t>D. Minn.</w:t>
            </w:r>
          </w:p>
        </w:tc>
        <w:tc>
          <w:tcPr>
            <w:tcW w:type="dxa" w:w="1008"/>
            <w:shd w:fill="F2F4F8" w:val="clear"/>
          </w:tcPr>
          <w:p>
            <w:r>
              <w:rPr>
                <w:rFonts w:ascii="Calibri" w:hAnsi="Calibri"/>
                <w:color w:val="333333"/>
                <w:sz w:val="18"/>
              </w:rPr>
              <w:t>2006-05-05</w:t>
            </w:r>
          </w:p>
        </w:tc>
        <w:tc>
          <w:tcPr>
            <w:tcW w:type="dxa" w:w="1008"/>
            <w:shd w:fill="F2F4F8" w:val="clear"/>
          </w:tcPr>
          <w:p>
            <w:r>
              <w:rPr>
                <w:rFonts w:ascii="Calibri" w:hAnsi="Calibri"/>
                <w:color w:val="333333"/>
                <w:sz w:val="18"/>
              </w:rPr>
              <w:t>SETTLED</w:t>
            </w:r>
          </w:p>
        </w:tc>
        <w:tc>
          <w:tcPr>
            <w:tcW w:type="dxa" w:w="1008"/>
            <w:shd w:fill="F2F4F8" w:val="clear"/>
          </w:tcPr>
          <w:p>
            <w:r>
              <w:rPr>
                <w:rFonts w:ascii="Calibri" w:hAnsi="Calibri"/>
                <w:color w:val="333333"/>
                <w:sz w:val="18"/>
              </w:rPr>
              <w:t>Jan 2005 - May 2006</w:t>
            </w:r>
          </w:p>
        </w:tc>
        <w:tc>
          <w:tcPr>
            <w:tcW w:type="dxa" w:w="1008"/>
            <w:shd w:fill="F2F4F8" w:val="clear"/>
          </w:tcPr>
          <w:p>
            <w:r>
              <w:rPr>
                <w:rFonts w:ascii="Calibri" w:hAnsi="Calibri"/>
                <w:color w:val="333333"/>
                <w:sz w:val="18"/>
              </w:rPr>
              <w:t>N/A</w:t>
            </w:r>
          </w:p>
        </w:tc>
        <w:tc>
          <w:tcPr>
            <w:tcW w:type="dxa" w:w="1008"/>
            <w:shd w:fill="F2F4F8" w:val="clear"/>
          </w:tcPr>
          <w:p>
            <w:r>
              <w:rPr>
                <w:rFonts w:ascii="Calibri" w:hAnsi="Calibri"/>
                <w:color w:val="333333"/>
                <w:sz w:val="18"/>
              </w:rPr>
              <w:t>$895.0M</w:t>
            </w:r>
          </w:p>
        </w:tc>
        <w:tc>
          <w:tcPr>
            <w:tcW w:type="dxa" w:w="1008"/>
            <w:shd w:fill="F2F4F8" w:val="clear"/>
          </w:tcPr>
          <w:p>
            <w:r>
              <w:rPr>
                <w:rFonts w:ascii="Calibri" w:hAnsi="Calibri"/>
                <w:color w:val="333333"/>
                <w:sz w:val="18"/>
              </w:rPr>
              <w:t>[Supabase SCA database, 2026-04-02, MEDIUM]</w:t>
            </w:r>
          </w:p>
        </w:tc>
      </w:tr>
    </w:tbl>
    <w:p>
      <w:pPr>
        <w:pStyle w:val="DOBody"/>
      </w:pPr>
      <w:r>
        <w:rPr>
          <w:i/>
          <w:sz w:val="16"/>
        </w:rPr>
        <w:t>D&amp;O Context: Historical settlements total $895.0M. Settlement history establishes severity baseline for pricing.</w:t>
      </w:r>
      <w:r>
        <w:rPr>
          <w:b/>
          <w:color w:val="EAB308"/>
          <w:sz w:val="18"/>
        </w:rPr>
        <w:t xml:space="preserve"> [ELEVATED]</w:t>
      </w:r>
    </w:p>
    <w:p>
      <w:pPr>
        <w:pStyle w:val="DOHeading3"/>
      </w:pPr>
      <w:r>
        <w:t>SEC Enforcement Pipeline</w:t>
      </w:r>
    </w:p>
    <w:p>
      <w:pPr>
        <w:pStyle w:val="DOBody"/>
      </w:pPr>
      <w:r>
        <w:rPr>
          <w:sz w:val="20"/>
        </w:rPr>
        <w:t>Pipeline: (Comment Letters) -&gt; (Informal Inquiry) -&gt; (Formal Investigation) -&gt; (Wells Notice) -&gt; (Enforcement Action)</w:t>
      </w:r>
    </w:p>
    <w:p>
      <w:pPr>
        <w:pStyle w:val="DOBody"/>
      </w:pPr>
      <w:r>
        <w:rPr>
          <w:rFonts w:ascii="Calibri" w:hAnsi="Calibri"/>
          <w:color w:val="333333"/>
          <w:sz w:val="20"/>
        </w:rPr>
        <w:t>No SEC enforcement pipeline activity detected.</w:t>
      </w:r>
      <w:r>
        <w:rPr>
          <w:rFonts w:ascii="Consolas" w:hAnsi="Consolas"/>
          <w:color w:val="666666"/>
          <w:sz w:val="16"/>
        </w:rPr>
        <w:t xml:space="preserve">  [10-K Item 3 + Item 1A + 8-K + EFTS, 2026-04-02, LOW]</w:t>
      </w:r>
    </w:p>
    <w:p>
      <w:pPr>
        <w:pStyle w:val="DOHeading3"/>
      </w:pPr>
      <w:r>
        <w:t>Derivative Suits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Case Name</w:t>
            </w:r>
          </w:p>
        </w:tc>
        <w:tc>
          <w:tcPr>
            <w:tcW w:type="dxa" w:w="2016"/>
            <w:shd w:fill="1A1446" w:val="clear"/>
          </w:tcPr>
          <w:p>
            <w:r>
              <w:rPr>
                <w:rFonts w:ascii="Calibri" w:hAnsi="Calibri"/>
                <w:b/>
                <w:color w:val="FFFFFF"/>
                <w:sz w:val="18"/>
              </w:rPr>
              <w:t>Filing Date</w:t>
            </w:r>
          </w:p>
        </w:tc>
        <w:tc>
          <w:tcPr>
            <w:tcW w:type="dxa" w:w="2016"/>
            <w:shd w:fill="1A1446" w:val="clear"/>
          </w:tcPr>
          <w:p>
            <w:r>
              <w:rPr>
                <w:rFonts w:ascii="Calibri" w:hAnsi="Calibri"/>
                <w:b/>
                <w:color w:val="FFFFFF"/>
                <w:sz w:val="18"/>
              </w:rPr>
              <w:t>Status</w:t>
            </w:r>
          </w:p>
        </w:tc>
        <w:tc>
          <w:tcPr>
            <w:tcW w:type="dxa" w:w="2016"/>
            <w:shd w:fill="1A1446" w:val="clear"/>
          </w:tcPr>
          <w:p>
            <w:r>
              <w:rPr>
                <w:rFonts w:ascii="Calibri" w:hAnsi="Calibri"/>
                <w:b/>
                <w:color w:val="FFFFFF"/>
                <w:sz w:val="18"/>
              </w:rPr>
              <w:t>Court</w:t>
            </w:r>
          </w:p>
        </w:tc>
        <w:tc>
          <w:tcPr>
            <w:tcW w:type="dxa" w:w="2016"/>
            <w:shd w:fill="1A1446" w:val="clear"/>
          </w:tcPr>
          <w:p>
            <w:r>
              <w:rPr>
                <w:rFonts w:ascii="Calibri" w:hAnsi="Calibri"/>
                <w:b/>
                <w:color w:val="FFFFFF"/>
                <w:sz w:val="18"/>
              </w:rPr>
              <w:t>Settlement</w:t>
            </w:r>
          </w:p>
        </w:tc>
      </w:tr>
      <w:tr>
        <w:tc>
          <w:tcPr>
            <w:tcW w:type="dxa" w:w="2016"/>
          </w:tcPr>
          <w:p>
            <w:r>
              <w:rPr>
                <w:rFonts w:ascii="Calibri" w:hAnsi="Calibri"/>
                <w:color w:val="333333"/>
                <w:sz w:val="18"/>
              </w:rPr>
              <w:t>N/A</w:t>
            </w:r>
          </w:p>
        </w:tc>
        <w:tc>
          <w:tcPr>
            <w:tcW w:type="dxa" w:w="2016"/>
          </w:tcPr>
          <w:p>
            <w:r>
              <w:rPr>
                <w:rFonts w:ascii="Calibri" w:hAnsi="Calibri"/>
                <w:color w:val="333333"/>
                <w:sz w:val="18"/>
              </w:rPr>
              <w:t>N/A</w:t>
            </w:r>
          </w:p>
        </w:tc>
        <w:tc>
          <w:tcPr>
            <w:tcW w:type="dxa" w:w="2016"/>
          </w:tcPr>
          <w:p>
            <w:r>
              <w:rPr>
                <w:rFonts w:ascii="Calibri" w:hAnsi="Calibri"/>
                <w:color w:val="333333"/>
                <w:sz w:val="18"/>
              </w:rPr>
              <w:t>UNKNOWN</w:t>
            </w:r>
          </w:p>
        </w:tc>
        <w:tc>
          <w:tcPr>
            <w:tcW w:type="dxa" w:w="2016"/>
          </w:tcPr>
          <w:p>
            <w:r>
              <w:rPr>
                <w:rFonts w:ascii="Calibri" w:hAnsi="Calibri"/>
                <w:color w:val="333333"/>
                <w:sz w:val="18"/>
              </w:rPr>
              <w:t>N/A</w:t>
            </w:r>
          </w:p>
        </w:tc>
        <w:tc>
          <w:tcPr>
            <w:tcW w:type="dxa" w:w="2016"/>
          </w:tcPr>
          <w:p>
            <w:r>
              <w:rPr>
                <w:rFonts w:ascii="Calibri" w:hAnsi="Calibri"/>
                <w:color w:val="333333"/>
                <w:sz w:val="18"/>
              </w:rPr>
              <w:t>N/A</w:t>
            </w:r>
          </w:p>
        </w:tc>
      </w:tr>
      <w:tr>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UNKNOWN</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N/A</w:t>
            </w:r>
          </w:p>
        </w:tc>
      </w:tr>
      <w:tr>
        <w:tc>
          <w:tcPr>
            <w:tcW w:type="dxa" w:w="2016"/>
          </w:tcPr>
          <w:p>
            <w:r>
              <w:rPr>
                <w:rFonts w:ascii="Calibri" w:hAnsi="Calibri"/>
                <w:color w:val="333333"/>
                <w:sz w:val="18"/>
              </w:rPr>
              <w:t>N/A</w:t>
            </w:r>
          </w:p>
        </w:tc>
        <w:tc>
          <w:tcPr>
            <w:tcW w:type="dxa" w:w="2016"/>
          </w:tcPr>
          <w:p>
            <w:r>
              <w:rPr>
                <w:rFonts w:ascii="Calibri" w:hAnsi="Calibri"/>
                <w:color w:val="333333"/>
                <w:sz w:val="18"/>
              </w:rPr>
              <w:t>N/A</w:t>
            </w:r>
          </w:p>
        </w:tc>
        <w:tc>
          <w:tcPr>
            <w:tcW w:type="dxa" w:w="2016"/>
          </w:tcPr>
          <w:p>
            <w:r>
              <w:rPr>
                <w:rFonts w:ascii="Calibri" w:hAnsi="Calibri"/>
                <w:color w:val="333333"/>
                <w:sz w:val="18"/>
              </w:rPr>
              <w:t>DISMISSED</w:t>
            </w:r>
          </w:p>
        </w:tc>
        <w:tc>
          <w:tcPr>
            <w:tcW w:type="dxa" w:w="2016"/>
          </w:tcPr>
          <w:p>
            <w:r>
              <w:rPr>
                <w:rFonts w:ascii="Calibri" w:hAnsi="Calibri"/>
                <w:color w:val="333333"/>
                <w:sz w:val="18"/>
              </w:rPr>
              <w:t>N/A</w:t>
            </w:r>
          </w:p>
        </w:tc>
        <w:tc>
          <w:tcPr>
            <w:tcW w:type="dxa" w:w="2016"/>
          </w:tcPr>
          <w:p>
            <w:r>
              <w:rPr>
                <w:rFonts w:ascii="Calibri" w:hAnsi="Calibri"/>
                <w:color w:val="333333"/>
                <w:sz w:val="18"/>
              </w:rPr>
              <w:t>N/A</w:t>
            </w:r>
          </w:p>
        </w:tc>
      </w:tr>
      <w:tr>
        <w:tc>
          <w:tcPr>
            <w:tcW w:type="dxa" w:w="2016"/>
            <w:shd w:fill="F2F4F8" w:val="clear"/>
          </w:tcPr>
          <w:p>
            <w:r>
              <w:rPr>
                <w:rFonts w:ascii="Calibri" w:hAnsi="Calibri"/>
                <w:color w:val="333333"/>
                <w:sz w:val="18"/>
              </w:rPr>
              <w:t>Poehling v. UnitedHealth Group</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UNKNOWN</w:t>
            </w:r>
          </w:p>
        </w:tc>
        <w:tc>
          <w:tcPr>
            <w:tcW w:type="dxa" w:w="2016"/>
            <w:shd w:fill="F2F4F8" w:val="clear"/>
          </w:tcPr>
          <w:p>
            <w:r>
              <w:rPr>
                <w:rFonts w:ascii="Calibri" w:hAnsi="Calibri"/>
                <w:color w:val="333333"/>
                <w:sz w:val="18"/>
              </w:rPr>
              <w:t>Delaware Court of Chancery</w:t>
            </w:r>
          </w:p>
        </w:tc>
        <w:tc>
          <w:tcPr>
            <w:tcW w:type="dxa" w:w="2016"/>
            <w:shd w:fill="F2F4F8" w:val="clear"/>
          </w:tcPr>
          <w:p>
            <w:r>
              <w:rPr>
                <w:rFonts w:ascii="Calibri" w:hAnsi="Calibri"/>
                <w:color w:val="333333"/>
                <w:sz w:val="18"/>
              </w:rPr>
              <w:t>N/A</w:t>
            </w:r>
          </w:p>
        </w:tc>
      </w:tr>
      <w:tr>
        <w:tc>
          <w:tcPr>
            <w:tcW w:type="dxa" w:w="2016"/>
          </w:tcPr>
          <w:p>
            <w:r>
              <w:rPr>
                <w:rFonts w:ascii="Calibri" w:hAnsi="Calibri"/>
                <w:color w:val="333333"/>
                <w:sz w:val="18"/>
              </w:rPr>
              <w:t>N/A</w:t>
            </w:r>
          </w:p>
        </w:tc>
        <w:tc>
          <w:tcPr>
            <w:tcW w:type="dxa" w:w="2016"/>
          </w:tcPr>
          <w:p>
            <w:r>
              <w:rPr>
                <w:rFonts w:ascii="Calibri" w:hAnsi="Calibri"/>
                <w:color w:val="333333"/>
                <w:sz w:val="18"/>
              </w:rPr>
              <w:t>N/A</w:t>
            </w:r>
          </w:p>
        </w:tc>
        <w:tc>
          <w:tcPr>
            <w:tcW w:type="dxa" w:w="2016"/>
          </w:tcPr>
          <w:p>
            <w:r>
              <w:rPr>
                <w:rFonts w:ascii="Calibri" w:hAnsi="Calibri"/>
                <w:color w:val="333333"/>
                <w:sz w:val="18"/>
              </w:rPr>
              <w:t>UNKNOWN</w:t>
            </w:r>
          </w:p>
        </w:tc>
        <w:tc>
          <w:tcPr>
            <w:tcW w:type="dxa" w:w="2016"/>
          </w:tcPr>
          <w:p>
            <w:r>
              <w:rPr>
                <w:rFonts w:ascii="Calibri" w:hAnsi="Calibri"/>
                <w:color w:val="333333"/>
                <w:sz w:val="18"/>
              </w:rPr>
              <w:t>N/A</w:t>
            </w:r>
          </w:p>
        </w:tc>
        <w:tc>
          <w:tcPr>
            <w:tcW w:type="dxa" w:w="2016"/>
          </w:tcPr>
          <w:p>
            <w:r>
              <w:rPr>
                <w:rFonts w:ascii="Calibri" w:hAnsi="Calibri"/>
                <w:color w:val="333333"/>
                <w:sz w:val="18"/>
              </w:rPr>
              <w:t>N/A</w:t>
            </w:r>
          </w:p>
        </w:tc>
      </w:tr>
      <w:tr>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UNKNOWN</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N/A</w:t>
            </w:r>
          </w:p>
        </w:tc>
      </w:tr>
    </w:tbl>
    <w:p>
      <w:pPr>
        <w:pStyle w:val="DOHeading3"/>
      </w:pPr>
      <w:r>
        <w:t>Regulatory Proceedings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Agency</w:t>
            </w:r>
          </w:p>
        </w:tc>
        <w:tc>
          <w:tcPr>
            <w:tcW w:type="dxa" w:w="3360"/>
            <w:shd w:fill="1A1446" w:val="clear"/>
          </w:tcPr>
          <w:p>
            <w:r>
              <w:rPr>
                <w:rFonts w:ascii="Calibri" w:hAnsi="Calibri"/>
                <w:b/>
                <w:color w:val="FFFFFF"/>
                <w:sz w:val="18"/>
              </w:rPr>
              <w:t>Type</w:t>
            </w:r>
          </w:p>
        </w:tc>
        <w:tc>
          <w:tcPr>
            <w:tcW w:type="dxa" w:w="3360"/>
            <w:shd w:fill="1A1446" w:val="clear"/>
          </w:tcPr>
          <w:p>
            <w:r>
              <w:rPr>
                <w:rFonts w:ascii="Calibri" w:hAnsi="Calibri"/>
                <w:b/>
                <w:color w:val="FFFFFF"/>
                <w:sz w:val="18"/>
              </w:rPr>
              <w:t>Status</w:t>
            </w:r>
          </w:p>
        </w:tc>
      </w:tr>
      <w:tr>
        <w:tc>
          <w:tcPr>
            <w:tcW w:type="dxa" w:w="3360"/>
          </w:tcPr>
          <w:p>
            <w:r>
              <w:rPr>
                <w:rFonts w:ascii="Calibri" w:hAnsi="Calibri"/>
                <w:color w:val="333333"/>
                <w:sz w:val="18"/>
              </w:rPr>
              <w:t>DOJ_FCPA</w:t>
            </w:r>
          </w:p>
        </w:tc>
        <w:tc>
          <w:tcPr>
            <w:tcW w:type="dxa" w:w="3360"/>
          </w:tcPr>
          <w:p>
            <w:r>
              <w:rPr>
                <w:rFonts w:ascii="Calibri" w:hAnsi="Calibri"/>
                <w:color w:val="333333"/>
                <w:sz w:val="18"/>
              </w:rPr>
              <w:t>investigation</w:t>
            </w:r>
          </w:p>
        </w:tc>
        <w:tc>
          <w:tcPr>
            <w:tcW w:type="dxa" w:w="3360"/>
          </w:tcPr>
          <w:p>
            <w:r>
              <w:rPr>
                <w:rFonts w:ascii="Calibri" w:hAnsi="Calibri"/>
                <w:color w:val="333333"/>
                <w:sz w:val="18"/>
              </w:rPr>
              <w:t>disclosed</w:t>
            </w:r>
          </w:p>
        </w:tc>
      </w:tr>
      <w:tr>
        <w:tc>
          <w:tcPr>
            <w:tcW w:type="dxa" w:w="3360"/>
            <w:shd w:fill="F2F4F8" w:val="clear"/>
          </w:tcPr>
          <w:p>
            <w:r>
              <w:rPr>
                <w:rFonts w:ascii="Calibri" w:hAnsi="Calibri"/>
                <w:color w:val="333333"/>
                <w:sz w:val="18"/>
              </w:rPr>
              <w:t>DOJ</w:t>
            </w:r>
          </w:p>
        </w:tc>
        <w:tc>
          <w:tcPr>
            <w:tcW w:type="dxa" w:w="3360"/>
            <w:shd w:fill="F2F4F8" w:val="clear"/>
          </w:tcPr>
          <w:p>
            <w:r>
              <w:rPr>
                <w:rFonts w:ascii="Calibri" w:hAnsi="Calibri"/>
                <w:color w:val="333333"/>
                <w:sz w:val="18"/>
              </w:rPr>
              <w:t>investigation</w:t>
            </w:r>
          </w:p>
        </w:tc>
        <w:tc>
          <w:tcPr>
            <w:tcW w:type="dxa" w:w="3360"/>
            <w:shd w:fill="F2F4F8" w:val="clear"/>
          </w:tcPr>
          <w:p>
            <w:r>
              <w:rPr>
                <w:rFonts w:ascii="Calibri" w:hAnsi="Calibri"/>
                <w:color w:val="333333"/>
                <w:sz w:val="18"/>
              </w:rPr>
              <w:t>disclosed</w:t>
            </w:r>
          </w:p>
        </w:tc>
      </w:tr>
      <w:tr>
        <w:tc>
          <w:tcPr>
            <w:tcW w:type="dxa" w:w="3360"/>
          </w:tcPr>
          <w:p>
            <w:r>
              <w:rPr>
                <w:rFonts w:ascii="Calibri" w:hAnsi="Calibri"/>
                <w:color w:val="333333"/>
                <w:sz w:val="18"/>
              </w:rPr>
              <w:t>DOJ</w:t>
            </w:r>
          </w:p>
        </w:tc>
        <w:tc>
          <w:tcPr>
            <w:tcW w:type="dxa" w:w="3360"/>
          </w:tcPr>
          <w:p>
            <w:r>
              <w:rPr>
                <w:rFonts w:ascii="Calibri" w:hAnsi="Calibri"/>
                <w:color w:val="333333"/>
                <w:sz w:val="18"/>
              </w:rPr>
              <w:t>investigation</w:t>
            </w:r>
          </w:p>
        </w:tc>
        <w:tc>
          <w:tcPr>
            <w:tcW w:type="dxa" w:w="3360"/>
          </w:tcPr>
          <w:p>
            <w:r>
              <w:rPr>
                <w:rFonts w:ascii="Calibri" w:hAnsi="Calibri"/>
                <w:color w:val="333333"/>
                <w:sz w:val="18"/>
              </w:rPr>
              <w:t>disclosed</w:t>
            </w:r>
          </w:p>
        </w:tc>
      </w:tr>
      <w:tr>
        <w:tc>
          <w:tcPr>
            <w:tcW w:type="dxa" w:w="3360"/>
            <w:shd w:fill="F2F4F8" w:val="clear"/>
          </w:tcPr>
          <w:p>
            <w:r>
              <w:rPr>
                <w:rFonts w:ascii="Calibri" w:hAnsi="Calibri"/>
                <w:color w:val="333333"/>
                <w:sz w:val="18"/>
              </w:rPr>
              <w:t>FDA</w:t>
            </w:r>
          </w:p>
        </w:tc>
        <w:tc>
          <w:tcPr>
            <w:tcW w:type="dxa" w:w="3360"/>
            <w:shd w:fill="F2F4F8" w:val="clear"/>
          </w:tcPr>
          <w:p>
            <w:r>
              <w:rPr>
                <w:rFonts w:ascii="Calibri" w:hAnsi="Calibri"/>
                <w:color w:val="333333"/>
                <w:sz w:val="18"/>
              </w:rPr>
              <w:t>investigation</w:t>
            </w:r>
          </w:p>
        </w:tc>
        <w:tc>
          <w:tcPr>
            <w:tcW w:type="dxa" w:w="3360"/>
            <w:shd w:fill="F2F4F8" w:val="clear"/>
          </w:tcPr>
          <w:p>
            <w:r>
              <w:rPr>
                <w:rFonts w:ascii="Calibri" w:hAnsi="Calibri"/>
                <w:color w:val="333333"/>
                <w:sz w:val="18"/>
              </w:rPr>
              <w:t>disclosed</w:t>
            </w:r>
          </w:p>
        </w:tc>
      </w:tr>
    </w:tbl>
    <w:p>
      <w:pPr>
        <w:pStyle w:val="DOHeading3"/>
      </w:pPr>
      <w:r>
        <w:t>Industry Claim Patterns</w:t>
      </w:r>
    </w:p>
    <w:p>
      <w:pPr>
        <w:pStyle w:val="DOBody"/>
      </w:pPr>
      <w:r>
        <w:t>No industry-specific claim patterns identified.</w:t>
      </w:r>
    </w:p>
    <w:p>
      <w:pPr>
        <w:pStyle w:val="DOHeading3"/>
      </w:pPr>
      <w:r>
        <w:t>Statute of Limitations Map</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Claim Type</w:t>
            </w:r>
          </w:p>
        </w:tc>
        <w:tc>
          <w:tcPr>
            <w:tcW w:type="dxa" w:w="2016"/>
            <w:shd w:fill="1A1446" w:val="clear"/>
          </w:tcPr>
          <w:p>
            <w:r>
              <w:rPr>
                <w:rFonts w:ascii="Calibri" w:hAnsi="Calibri"/>
                <w:b/>
                <w:color w:val="FFFFFF"/>
                <w:sz w:val="18"/>
              </w:rPr>
              <w:t>Trigger Date</w:t>
            </w:r>
          </w:p>
        </w:tc>
        <w:tc>
          <w:tcPr>
            <w:tcW w:type="dxa" w:w="2016"/>
            <w:shd w:fill="1A1446" w:val="clear"/>
          </w:tcPr>
          <w:p>
            <w:r>
              <w:rPr>
                <w:rFonts w:ascii="Calibri" w:hAnsi="Calibri"/>
                <w:b/>
                <w:color w:val="FFFFFF"/>
                <w:sz w:val="18"/>
              </w:rPr>
              <w:t>SOL Expiry</w:t>
            </w:r>
          </w:p>
        </w:tc>
        <w:tc>
          <w:tcPr>
            <w:tcW w:type="dxa" w:w="2016"/>
            <w:shd w:fill="1A1446" w:val="clear"/>
          </w:tcPr>
          <w:p>
            <w:r>
              <w:rPr>
                <w:rFonts w:ascii="Calibri" w:hAnsi="Calibri"/>
                <w:b/>
                <w:color w:val="FFFFFF"/>
                <w:sz w:val="18"/>
              </w:rPr>
              <w:t>Repose Expiry</w:t>
            </w:r>
          </w:p>
        </w:tc>
        <w:tc>
          <w:tcPr>
            <w:tcW w:type="dxa" w:w="2016"/>
            <w:shd w:fill="1A1446" w:val="clear"/>
          </w:tcPr>
          <w:p>
            <w:r>
              <w:rPr>
                <w:rFonts w:ascii="Calibri" w:hAnsi="Calibri"/>
                <w:b/>
                <w:color w:val="FFFFFF"/>
                <w:sz w:val="18"/>
              </w:rPr>
              <w:t>Window Open</w:t>
            </w:r>
          </w:p>
        </w:tc>
      </w:tr>
      <w:tr>
        <w:tc>
          <w:tcPr>
            <w:tcW w:type="dxa" w:w="2016"/>
          </w:tcPr>
          <w:p>
            <w:r>
              <w:rPr>
                <w:rFonts w:ascii="Calibri" w:hAnsi="Calibri"/>
                <w:color w:val="333333"/>
                <w:sz w:val="18"/>
              </w:rPr>
              <w:t>employment_discrimination</w:t>
            </w:r>
          </w:p>
        </w:tc>
        <w:tc>
          <w:tcPr>
            <w:tcW w:type="dxa" w:w="2016"/>
          </w:tcPr>
          <w:p>
            <w:r>
              <w:rPr>
                <w:rFonts w:ascii="Calibri" w:hAnsi="Calibri"/>
                <w:color w:val="333333"/>
                <w:sz w:val="18"/>
              </w:rPr>
              <w:t>2026-03-02</w:t>
            </w:r>
          </w:p>
        </w:tc>
        <w:tc>
          <w:tcPr>
            <w:tcW w:type="dxa" w:w="2016"/>
          </w:tcPr>
          <w:p>
            <w:r>
              <w:rPr>
                <w:rFonts w:ascii="Calibri" w:hAnsi="Calibri"/>
                <w:color w:val="333333"/>
                <w:sz w:val="18"/>
              </w:rPr>
              <w:t>2028-03-01</w:t>
            </w:r>
          </w:p>
        </w:tc>
        <w:tc>
          <w:tcPr>
            <w:tcW w:type="dxa" w:w="2016"/>
          </w:tcPr>
          <w:p>
            <w:r>
              <w:rPr>
                <w:rFonts w:ascii="Calibri" w:hAnsi="Calibri"/>
                <w:color w:val="333333"/>
                <w:sz w:val="18"/>
              </w:rPr>
              <w:t>2028-03-01</w:t>
            </w:r>
          </w:p>
        </w:tc>
        <w:tc>
          <w:tcPr>
            <w:tcW w:type="dxa" w:w="2016"/>
          </w:tcPr>
          <w:p>
            <w:r>
              <w:rPr>
                <w:rFonts w:ascii="Calibri" w:hAnsi="Calibri"/>
                <w:color w:val="333333"/>
                <w:sz w:val="18"/>
              </w:rPr>
              <w:t>OPEN</w:t>
            </w:r>
          </w:p>
        </w:tc>
      </w:tr>
      <w:tr>
        <w:tc>
          <w:tcPr>
            <w:tcW w:type="dxa" w:w="2016"/>
            <w:shd w:fill="F2F4F8" w:val="clear"/>
          </w:tcPr>
          <w:p>
            <w:r>
              <w:rPr>
                <w:rFonts w:ascii="Calibri" w:hAnsi="Calibri"/>
                <w:color w:val="333333"/>
                <w:sz w:val="18"/>
              </w:rPr>
              <w:t>antitrust</w:t>
            </w:r>
          </w:p>
        </w:tc>
        <w:tc>
          <w:tcPr>
            <w:tcW w:type="dxa" w:w="2016"/>
            <w:shd w:fill="F2F4F8" w:val="clear"/>
          </w:tcPr>
          <w:p>
            <w:r>
              <w:rPr>
                <w:rFonts w:ascii="Calibri" w:hAnsi="Calibri"/>
                <w:color w:val="333333"/>
                <w:sz w:val="18"/>
              </w:rPr>
              <w:t>2026-03-02</w:t>
            </w:r>
          </w:p>
        </w:tc>
        <w:tc>
          <w:tcPr>
            <w:tcW w:type="dxa" w:w="2016"/>
            <w:shd w:fill="F2F4F8" w:val="clear"/>
          </w:tcPr>
          <w:p>
            <w:r>
              <w:rPr>
                <w:rFonts w:ascii="Calibri" w:hAnsi="Calibri"/>
                <w:color w:val="333333"/>
                <w:sz w:val="18"/>
              </w:rPr>
              <w:t>2030-03-01</w:t>
            </w:r>
          </w:p>
        </w:tc>
        <w:tc>
          <w:tcPr>
            <w:tcW w:type="dxa" w:w="2016"/>
            <w:shd w:fill="F2F4F8" w:val="clear"/>
          </w:tcPr>
          <w:p>
            <w:r>
              <w:rPr>
                <w:rFonts w:ascii="Calibri" w:hAnsi="Calibri"/>
                <w:color w:val="333333"/>
                <w:sz w:val="18"/>
              </w:rPr>
              <w:t>2030-03-01</w:t>
            </w:r>
          </w:p>
        </w:tc>
        <w:tc>
          <w:tcPr>
            <w:tcW w:type="dxa" w:w="2016"/>
            <w:shd w:fill="F2F4F8" w:val="clear"/>
          </w:tcPr>
          <w:p>
            <w:r>
              <w:rPr>
                <w:rFonts w:ascii="Calibri" w:hAnsi="Calibri"/>
                <w:color w:val="333333"/>
                <w:sz w:val="18"/>
              </w:rPr>
              <w:t>OPEN</w:t>
            </w:r>
          </w:p>
        </w:tc>
      </w:tr>
      <w:tr>
        <w:tc>
          <w:tcPr>
            <w:tcW w:type="dxa" w:w="2016"/>
          </w:tcPr>
          <w:p>
            <w:r>
              <w:rPr>
                <w:rFonts w:ascii="Calibri" w:hAnsi="Calibri"/>
                <w:color w:val="333333"/>
                <w:sz w:val="18"/>
              </w:rPr>
              <w:t>FCPA</w:t>
            </w:r>
          </w:p>
        </w:tc>
        <w:tc>
          <w:tcPr>
            <w:tcW w:type="dxa" w:w="2016"/>
          </w:tcPr>
          <w:p>
            <w:r>
              <w:rPr>
                <w:rFonts w:ascii="Calibri" w:hAnsi="Calibri"/>
                <w:color w:val="333333"/>
                <w:sz w:val="18"/>
              </w:rPr>
              <w:t>2026-03-02</w:t>
            </w:r>
          </w:p>
        </w:tc>
        <w:tc>
          <w:tcPr>
            <w:tcW w:type="dxa" w:w="2016"/>
          </w:tcPr>
          <w:p>
            <w:r>
              <w:rPr>
                <w:rFonts w:ascii="Calibri" w:hAnsi="Calibri"/>
                <w:color w:val="333333"/>
                <w:sz w:val="18"/>
              </w:rPr>
              <w:t>2031-03-01</w:t>
            </w:r>
          </w:p>
        </w:tc>
        <w:tc>
          <w:tcPr>
            <w:tcW w:type="dxa" w:w="2016"/>
          </w:tcPr>
          <w:p>
            <w:r>
              <w:rPr>
                <w:rFonts w:ascii="Calibri" w:hAnsi="Calibri"/>
                <w:color w:val="333333"/>
                <w:sz w:val="18"/>
              </w:rPr>
              <w:t>2031-03-01</w:t>
            </w:r>
          </w:p>
        </w:tc>
        <w:tc>
          <w:tcPr>
            <w:tcW w:type="dxa" w:w="2016"/>
          </w:tcPr>
          <w:p>
            <w:r>
              <w:rPr>
                <w:rFonts w:ascii="Calibri" w:hAnsi="Calibri"/>
                <w:color w:val="333333"/>
                <w:sz w:val="18"/>
              </w:rPr>
              <w:t>OPEN</w:t>
            </w:r>
          </w:p>
        </w:tc>
      </w:tr>
      <w:tr>
        <w:tc>
          <w:tcPr>
            <w:tcW w:type="dxa" w:w="2016"/>
            <w:shd w:fill="F2F4F8" w:val="clear"/>
          </w:tcPr>
          <w:p>
            <w:r>
              <w:rPr>
                <w:rFonts w:ascii="Calibri" w:hAnsi="Calibri"/>
                <w:color w:val="333333"/>
                <w:sz w:val="18"/>
              </w:rPr>
              <w:t>environmental</w:t>
            </w:r>
          </w:p>
        </w:tc>
        <w:tc>
          <w:tcPr>
            <w:tcW w:type="dxa" w:w="2016"/>
            <w:shd w:fill="F2F4F8" w:val="clear"/>
          </w:tcPr>
          <w:p>
            <w:r>
              <w:rPr>
                <w:rFonts w:ascii="Calibri" w:hAnsi="Calibri"/>
                <w:color w:val="333333"/>
                <w:sz w:val="18"/>
              </w:rPr>
              <w:t>2026-03-02</w:t>
            </w:r>
          </w:p>
        </w:tc>
        <w:tc>
          <w:tcPr>
            <w:tcW w:type="dxa" w:w="2016"/>
            <w:shd w:fill="F2F4F8" w:val="clear"/>
          </w:tcPr>
          <w:p>
            <w:r>
              <w:rPr>
                <w:rFonts w:ascii="Calibri" w:hAnsi="Calibri"/>
                <w:color w:val="333333"/>
                <w:sz w:val="18"/>
              </w:rPr>
              <w:t>2031-03-01</w:t>
            </w:r>
          </w:p>
        </w:tc>
        <w:tc>
          <w:tcPr>
            <w:tcW w:type="dxa" w:w="2016"/>
            <w:shd w:fill="F2F4F8" w:val="clear"/>
          </w:tcPr>
          <w:p>
            <w:r>
              <w:rPr>
                <w:rFonts w:ascii="Calibri" w:hAnsi="Calibri"/>
                <w:color w:val="333333"/>
                <w:sz w:val="18"/>
              </w:rPr>
              <w:t>2031-03-01</w:t>
            </w:r>
          </w:p>
        </w:tc>
        <w:tc>
          <w:tcPr>
            <w:tcW w:type="dxa" w:w="2016"/>
            <w:shd w:fill="F2F4F8" w:val="clear"/>
          </w:tcPr>
          <w:p>
            <w:r>
              <w:rPr>
                <w:rFonts w:ascii="Calibri" w:hAnsi="Calibri"/>
                <w:color w:val="333333"/>
                <w:sz w:val="18"/>
              </w:rPr>
              <w:t>OPEN</w:t>
            </w:r>
          </w:p>
        </w:tc>
      </w:tr>
      <w:tr>
        <w:tc>
          <w:tcPr>
            <w:tcW w:type="dxa" w:w="2016"/>
          </w:tcPr>
          <w:p>
            <w:r>
              <w:rPr>
                <w:rFonts w:ascii="Calibri" w:hAnsi="Calibri"/>
                <w:color w:val="333333"/>
                <w:sz w:val="18"/>
              </w:rPr>
              <w:t>derivative</w:t>
            </w:r>
          </w:p>
        </w:tc>
        <w:tc>
          <w:tcPr>
            <w:tcW w:type="dxa" w:w="2016"/>
          </w:tcPr>
          <w:p>
            <w:r>
              <w:rPr>
                <w:rFonts w:ascii="Calibri" w:hAnsi="Calibri"/>
                <w:color w:val="333333"/>
                <w:sz w:val="18"/>
              </w:rPr>
              <w:t>2026-03-02</w:t>
            </w:r>
          </w:p>
        </w:tc>
        <w:tc>
          <w:tcPr>
            <w:tcW w:type="dxa" w:w="2016"/>
          </w:tcPr>
          <w:p>
            <w:r>
              <w:rPr>
                <w:rFonts w:ascii="Calibri" w:hAnsi="Calibri"/>
                <w:color w:val="333333"/>
                <w:sz w:val="18"/>
              </w:rPr>
              <w:t>2029-03-01</w:t>
            </w:r>
          </w:p>
        </w:tc>
        <w:tc>
          <w:tcPr>
            <w:tcW w:type="dxa" w:w="2016"/>
          </w:tcPr>
          <w:p>
            <w:r>
              <w:rPr>
                <w:rFonts w:ascii="Calibri" w:hAnsi="Calibri"/>
                <w:color w:val="333333"/>
                <w:sz w:val="18"/>
              </w:rPr>
              <w:t>2032-02-29</w:t>
            </w:r>
          </w:p>
        </w:tc>
        <w:tc>
          <w:tcPr>
            <w:tcW w:type="dxa" w:w="2016"/>
          </w:tcPr>
          <w:p>
            <w:r>
              <w:rPr>
                <w:rFonts w:ascii="Calibri" w:hAnsi="Calibri"/>
                <w:color w:val="333333"/>
                <w:sz w:val="18"/>
              </w:rPr>
              <w:t>OPEN</w:t>
            </w:r>
          </w:p>
        </w:tc>
      </w:tr>
      <w:tr>
        <w:tc>
          <w:tcPr>
            <w:tcW w:type="dxa" w:w="2016"/>
            <w:shd w:fill="F2F4F8" w:val="clear"/>
          </w:tcPr>
          <w:p>
            <w:r>
              <w:rPr>
                <w:rFonts w:ascii="Calibri" w:hAnsi="Calibri"/>
                <w:color w:val="333333"/>
                <w:sz w:val="18"/>
              </w:rPr>
              <w:t>ERISA</w:t>
            </w:r>
          </w:p>
        </w:tc>
        <w:tc>
          <w:tcPr>
            <w:tcW w:type="dxa" w:w="2016"/>
            <w:shd w:fill="F2F4F8" w:val="clear"/>
          </w:tcPr>
          <w:p>
            <w:r>
              <w:rPr>
                <w:rFonts w:ascii="Calibri" w:hAnsi="Calibri"/>
                <w:color w:val="333333"/>
                <w:sz w:val="18"/>
              </w:rPr>
              <w:t>2026-03-02</w:t>
            </w:r>
          </w:p>
        </w:tc>
        <w:tc>
          <w:tcPr>
            <w:tcW w:type="dxa" w:w="2016"/>
            <w:shd w:fill="F2F4F8" w:val="clear"/>
          </w:tcPr>
          <w:p>
            <w:r>
              <w:rPr>
                <w:rFonts w:ascii="Calibri" w:hAnsi="Calibri"/>
                <w:color w:val="333333"/>
                <w:sz w:val="18"/>
              </w:rPr>
              <w:t>2029-03-01</w:t>
            </w:r>
          </w:p>
        </w:tc>
        <w:tc>
          <w:tcPr>
            <w:tcW w:type="dxa" w:w="2016"/>
            <w:shd w:fill="F2F4F8" w:val="clear"/>
          </w:tcPr>
          <w:p>
            <w:r>
              <w:rPr>
                <w:rFonts w:ascii="Calibri" w:hAnsi="Calibri"/>
                <w:color w:val="333333"/>
                <w:sz w:val="18"/>
              </w:rPr>
              <w:t>2032-02-29</w:t>
            </w:r>
          </w:p>
        </w:tc>
        <w:tc>
          <w:tcPr>
            <w:tcW w:type="dxa" w:w="2016"/>
            <w:shd w:fill="F2F4F8" w:val="clear"/>
          </w:tcPr>
          <w:p>
            <w:r>
              <w:rPr>
                <w:rFonts w:ascii="Calibri" w:hAnsi="Calibri"/>
                <w:color w:val="333333"/>
                <w:sz w:val="18"/>
              </w:rPr>
              <w:t>OPEN</w:t>
            </w:r>
          </w:p>
        </w:tc>
      </w:tr>
      <w:tr>
        <w:tc>
          <w:tcPr>
            <w:tcW w:type="dxa" w:w="2016"/>
          </w:tcPr>
          <w:p>
            <w:r>
              <w:rPr>
                <w:rFonts w:ascii="Calibri" w:hAnsi="Calibri"/>
                <w:color w:val="333333"/>
                <w:sz w:val="18"/>
              </w:rPr>
              <w:t>Section_11</w:t>
            </w:r>
          </w:p>
        </w:tc>
        <w:tc>
          <w:tcPr>
            <w:tcW w:type="dxa" w:w="2016"/>
          </w:tcPr>
          <w:p>
            <w:r>
              <w:rPr>
                <w:rFonts w:ascii="Calibri" w:hAnsi="Calibri"/>
                <w:color w:val="333333"/>
                <w:sz w:val="18"/>
              </w:rPr>
              <w:t>2006-05-17</w:t>
            </w:r>
          </w:p>
        </w:tc>
        <w:tc>
          <w:tcPr>
            <w:tcW w:type="dxa" w:w="2016"/>
          </w:tcPr>
          <w:p>
            <w:r>
              <w:rPr>
                <w:rFonts w:ascii="Calibri" w:hAnsi="Calibri"/>
                <w:color w:val="333333"/>
                <w:sz w:val="18"/>
              </w:rPr>
              <w:t>2007-05-17</w:t>
            </w:r>
          </w:p>
        </w:tc>
        <w:tc>
          <w:tcPr>
            <w:tcW w:type="dxa" w:w="2016"/>
          </w:tcPr>
          <w:p>
            <w:r>
              <w:rPr>
                <w:rFonts w:ascii="Calibri" w:hAnsi="Calibri"/>
                <w:color w:val="333333"/>
                <w:sz w:val="18"/>
              </w:rPr>
              <w:t>2009-05-16</w:t>
            </w:r>
          </w:p>
        </w:tc>
        <w:tc>
          <w:tcPr>
            <w:tcW w:type="dxa" w:w="2016"/>
          </w:tcPr>
          <w:p>
            <w:r>
              <w:rPr>
                <w:rFonts w:ascii="Calibri" w:hAnsi="Calibri"/>
                <w:color w:val="333333"/>
                <w:sz w:val="18"/>
              </w:rPr>
              <w:t>CLOSED</w:t>
            </w:r>
          </w:p>
        </w:tc>
      </w:tr>
      <w:tr>
        <w:tc>
          <w:tcPr>
            <w:tcW w:type="dxa" w:w="2016"/>
            <w:shd w:fill="F2F4F8" w:val="clear"/>
          </w:tcPr>
          <w:p>
            <w:r>
              <w:rPr>
                <w:rFonts w:ascii="Calibri" w:hAnsi="Calibri"/>
                <w:color w:val="333333"/>
                <w:sz w:val="18"/>
              </w:rPr>
              <w:t>Section_14a</w:t>
            </w:r>
          </w:p>
        </w:tc>
        <w:tc>
          <w:tcPr>
            <w:tcW w:type="dxa" w:w="2016"/>
            <w:shd w:fill="F2F4F8" w:val="clear"/>
          </w:tcPr>
          <w:p>
            <w:r>
              <w:rPr>
                <w:rFonts w:ascii="Calibri" w:hAnsi="Calibri"/>
                <w:color w:val="333333"/>
                <w:sz w:val="18"/>
              </w:rPr>
              <w:t>2006-05-17</w:t>
            </w:r>
          </w:p>
        </w:tc>
        <w:tc>
          <w:tcPr>
            <w:tcW w:type="dxa" w:w="2016"/>
            <w:shd w:fill="F2F4F8" w:val="clear"/>
          </w:tcPr>
          <w:p>
            <w:r>
              <w:rPr>
                <w:rFonts w:ascii="Calibri" w:hAnsi="Calibri"/>
                <w:color w:val="333333"/>
                <w:sz w:val="18"/>
              </w:rPr>
              <w:t>2007-05-17</w:t>
            </w:r>
          </w:p>
        </w:tc>
        <w:tc>
          <w:tcPr>
            <w:tcW w:type="dxa" w:w="2016"/>
            <w:shd w:fill="F2F4F8" w:val="clear"/>
          </w:tcPr>
          <w:p>
            <w:r>
              <w:rPr>
                <w:rFonts w:ascii="Calibri" w:hAnsi="Calibri"/>
                <w:color w:val="333333"/>
                <w:sz w:val="18"/>
              </w:rPr>
              <w:t>2009-05-16</w:t>
            </w:r>
          </w:p>
        </w:tc>
        <w:tc>
          <w:tcPr>
            <w:tcW w:type="dxa" w:w="2016"/>
            <w:shd w:fill="F2F4F8" w:val="clear"/>
          </w:tcPr>
          <w:p>
            <w:r>
              <w:rPr>
                <w:rFonts w:ascii="Calibri" w:hAnsi="Calibri"/>
                <w:color w:val="333333"/>
                <w:sz w:val="18"/>
              </w:rPr>
              <w:t>CLOSED</w:t>
            </w:r>
          </w:p>
        </w:tc>
      </w:tr>
      <w:tr>
        <w:tc>
          <w:tcPr>
            <w:tcW w:type="dxa" w:w="2016"/>
          </w:tcPr>
          <w:p>
            <w:r>
              <w:rPr>
                <w:rFonts w:ascii="Calibri" w:hAnsi="Calibri"/>
                <w:color w:val="333333"/>
                <w:sz w:val="18"/>
              </w:rPr>
              <w:t>10b-5</w:t>
            </w:r>
          </w:p>
        </w:tc>
        <w:tc>
          <w:tcPr>
            <w:tcW w:type="dxa" w:w="2016"/>
          </w:tcPr>
          <w:p>
            <w:r>
              <w:rPr>
                <w:rFonts w:ascii="Calibri" w:hAnsi="Calibri"/>
                <w:color w:val="333333"/>
                <w:sz w:val="18"/>
              </w:rPr>
              <w:t>2006-05-17</w:t>
            </w:r>
          </w:p>
        </w:tc>
        <w:tc>
          <w:tcPr>
            <w:tcW w:type="dxa" w:w="2016"/>
          </w:tcPr>
          <w:p>
            <w:r>
              <w:rPr>
                <w:rFonts w:ascii="Calibri" w:hAnsi="Calibri"/>
                <w:color w:val="333333"/>
                <w:sz w:val="18"/>
              </w:rPr>
              <w:t>2008-05-16</w:t>
            </w:r>
          </w:p>
        </w:tc>
        <w:tc>
          <w:tcPr>
            <w:tcW w:type="dxa" w:w="2016"/>
          </w:tcPr>
          <w:p>
            <w:r>
              <w:rPr>
                <w:rFonts w:ascii="Calibri" w:hAnsi="Calibri"/>
                <w:color w:val="333333"/>
                <w:sz w:val="18"/>
              </w:rPr>
              <w:t>2011-05-16</w:t>
            </w:r>
          </w:p>
        </w:tc>
        <w:tc>
          <w:tcPr>
            <w:tcW w:type="dxa" w:w="2016"/>
          </w:tcPr>
          <w:p>
            <w:r>
              <w:rPr>
                <w:rFonts w:ascii="Calibri" w:hAnsi="Calibri"/>
                <w:color w:val="333333"/>
                <w:sz w:val="18"/>
              </w:rPr>
              <w:t>CLOSED</w:t>
            </w:r>
          </w:p>
        </w:tc>
      </w:tr>
    </w:tbl>
    <w:p>
      <w:pPr>
        <w:pStyle w:val="DOBody"/>
      </w:pPr>
      <w:r>
        <w:rPr>
          <w:i/>
          <w:sz w:val="16"/>
        </w:rPr>
        <w:t>D&amp;O Context: 6 open exposure window(s). Claims can still be filed within these periods.</w:t>
      </w:r>
      <w:r>
        <w:rPr>
          <w:b/>
          <w:color w:val="EAB308"/>
          <w:sz w:val="18"/>
        </w:rPr>
        <w:t xml:space="preserve"> [ELEVATED]</w:t>
      </w:r>
    </w:p>
    <w:p>
      <w:pPr>
        <w:pStyle w:val="DOHeading3"/>
      </w:pPr>
      <w:r>
        <w:t>Defense Strength Assessment</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Factor</w:t>
            </w:r>
          </w:p>
        </w:tc>
        <w:tc>
          <w:tcPr>
            <w:tcW w:type="dxa" w:w="5040"/>
            <w:shd w:fill="1A1446" w:val="clear"/>
          </w:tcPr>
          <w:p>
            <w:r>
              <w:rPr>
                <w:rFonts w:ascii="Calibri" w:hAnsi="Calibri"/>
                <w:b/>
                <w:color w:val="FFFFFF"/>
                <w:sz w:val="18"/>
              </w:rPr>
              <w:t>Assessment</w:t>
            </w:r>
          </w:p>
        </w:tc>
      </w:tr>
      <w:tr>
        <w:tc>
          <w:tcPr>
            <w:tcW w:type="dxa" w:w="5040"/>
          </w:tcPr>
          <w:p>
            <w:r>
              <w:rPr>
                <w:rFonts w:ascii="Calibri" w:hAnsi="Calibri"/>
                <w:color w:val="333333"/>
                <w:sz w:val="18"/>
              </w:rPr>
              <w:t>Federal Forum Provision</w:t>
            </w:r>
          </w:p>
        </w:tc>
        <w:tc>
          <w:tcPr>
            <w:tcW w:type="dxa" w:w="5040"/>
          </w:tcPr>
          <w:p>
            <w:r>
              <w:rPr>
                <w:rFonts w:ascii="Calibri" w:hAnsi="Calibri"/>
                <w:color w:val="333333"/>
                <w:sz w:val="18"/>
              </w:rPr>
              <w:t>No</w:t>
            </w:r>
          </w:p>
        </w:tc>
      </w:tr>
      <w:tr>
        <w:tc>
          <w:tcPr>
            <w:tcW w:type="dxa" w:w="5040"/>
            <w:shd w:fill="F2F4F8" w:val="clear"/>
          </w:tcPr>
          <w:p>
            <w:r>
              <w:rPr>
                <w:rFonts w:ascii="Calibri" w:hAnsi="Calibri"/>
                <w:color w:val="333333"/>
                <w:sz w:val="18"/>
              </w:rPr>
              <w:t>Exclusive Forum Provision</w:t>
            </w:r>
          </w:p>
        </w:tc>
        <w:tc>
          <w:tcPr>
            <w:tcW w:type="dxa" w:w="5040"/>
            <w:shd w:fill="F2F4F8" w:val="clear"/>
          </w:tcPr>
          <w:p>
            <w:r>
              <w:rPr>
                <w:rFonts w:ascii="Calibri" w:hAnsi="Calibri"/>
                <w:color w:val="333333"/>
                <w:sz w:val="18"/>
              </w:rPr>
              <w:t>No</w:t>
            </w:r>
          </w:p>
        </w:tc>
      </w:tr>
      <w:tr>
        <w:tc>
          <w:tcPr>
            <w:tcW w:type="dxa" w:w="5040"/>
          </w:tcPr>
          <w:p>
            <w:r>
              <w:rPr>
                <w:rFonts w:ascii="Calibri" w:hAnsi="Calibri"/>
                <w:color w:val="333333"/>
                <w:sz w:val="18"/>
              </w:rPr>
              <w:t>PSLRA Safe Harbor</w:t>
            </w:r>
          </w:p>
        </w:tc>
        <w:tc>
          <w:tcPr>
            <w:tcW w:type="dxa" w:w="5040"/>
          </w:tcPr>
          <w:p>
            <w:r>
              <w:rPr>
                <w:rFonts w:ascii="Calibri" w:hAnsi="Calibri"/>
                <w:color w:val="333333"/>
                <w:sz w:val="18"/>
              </w:rPr>
              <w:t>STRONG</w:t>
            </w:r>
          </w:p>
        </w:tc>
      </w:tr>
      <w:tr>
        <w:tc>
          <w:tcPr>
            <w:tcW w:type="dxa" w:w="5040"/>
            <w:shd w:fill="F2F4F8" w:val="clear"/>
          </w:tcPr>
          <w:p>
            <w:r>
              <w:rPr>
                <w:rFonts w:ascii="Calibri" w:hAnsi="Calibri"/>
                <w:color w:val="333333"/>
                <w:sz w:val="18"/>
              </w:rPr>
              <w:t>Truth-on-Market Viability</w:t>
            </w:r>
          </w:p>
        </w:tc>
        <w:tc>
          <w:tcPr>
            <w:tcW w:type="dxa" w:w="5040"/>
            <w:shd w:fill="F2F4F8" w:val="clear"/>
          </w:tcPr>
          <w:p>
            <w:r>
              <w:rPr>
                <w:rFonts w:ascii="Calibri" w:hAnsi="Calibri"/>
                <w:color w:val="333333"/>
                <w:sz w:val="18"/>
              </w:rPr>
              <w:t>NOT_APPLICABLE</w:t>
            </w:r>
          </w:p>
        </w:tc>
      </w:tr>
      <w:tr>
        <w:tc>
          <w:tcPr>
            <w:tcW w:type="dxa" w:w="5040"/>
          </w:tcPr>
          <w:p>
            <w:r>
              <w:rPr>
                <w:rFonts w:ascii="Calibri" w:hAnsi="Calibri"/>
                <w:color w:val="333333"/>
                <w:sz w:val="18"/>
              </w:rPr>
              <w:t>Prior Dismissal Success</w:t>
            </w:r>
          </w:p>
        </w:tc>
        <w:tc>
          <w:tcPr>
            <w:tcW w:type="dxa" w:w="5040"/>
          </w:tcPr>
          <w:p>
            <w:r>
              <w:rPr>
                <w:rFonts w:ascii="Calibri" w:hAnsi="Calibri"/>
                <w:color w:val="333333"/>
                <w:sz w:val="18"/>
              </w:rPr>
              <w:t>No prior dismissals identified in Item 3</w:t>
            </w:r>
          </w:p>
        </w:tc>
      </w:tr>
      <w:tr>
        <w:tc>
          <w:tcPr>
            <w:tcW w:type="dxa" w:w="5040"/>
            <w:shd w:fill="F2F4F8" w:val="clear"/>
          </w:tcPr>
          <w:p>
            <w:r>
              <w:rPr>
                <w:rFonts w:ascii="Calibri" w:hAnsi="Calibri"/>
                <w:color w:val="333333"/>
                <w:sz w:val="18"/>
              </w:rPr>
              <w:t>Overall Defense Strength</w:t>
            </w:r>
          </w:p>
        </w:tc>
        <w:tc>
          <w:tcPr>
            <w:tcW w:type="dxa" w:w="5040"/>
            <w:shd w:fill="F2F4F8" w:val="clear"/>
          </w:tcPr>
          <w:p>
            <w:r>
              <w:rPr>
                <w:rFonts w:ascii="Calibri" w:hAnsi="Calibri"/>
                <w:color w:val="333333"/>
                <w:sz w:val="18"/>
              </w:rPr>
              <w:t>MODERATE</w:t>
            </w:r>
          </w:p>
        </w:tc>
      </w:tr>
    </w:tbl>
    <w:p>
      <w:pPr>
        <w:pStyle w:val="DOBody"/>
      </w:pPr>
      <w:r>
        <w:rPr>
          <w:rFonts w:ascii="Calibri" w:hAnsi="Calibri"/>
          <w:color w:val="333333"/>
          <w:sz w:val="20"/>
        </w:rPr>
        <w:t>No forum selection provisions identified. Safe harbor usage is STRONG with explicit PSLRA citation and specific cautionary language.</w:t>
      </w:r>
      <w:r>
        <w:rPr>
          <w:rFonts w:ascii="Consolas" w:hAnsi="Consolas"/>
          <w:color w:val="666666"/>
          <w:sz w:val="16"/>
        </w:rPr>
        <w:t xml:space="preserve">  [DEF 14A; 10-K, 2026-04-02, LOW]</w:t>
      </w:r>
    </w:p>
    <w:p>
      <w:pPr>
        <w:pStyle w:val="DOHeading3"/>
      </w:pPr>
      <w:r>
        <w:t>Contingent Liabilities</w:t>
      </w:r>
    </w:p>
    <w:p>
      <w:pPr>
        <w:pStyle w:val="DOBody"/>
      </w:pPr>
      <w:r>
        <w:t>No disclosed contingent liabilities found in SEC filings. Review Item 8 footnotes and Item 3 for complete assessment.</w:t>
      </w:r>
    </w:p>
    <w:p>
      <w:pPr>
        <w:pStyle w:val="DOHeading3"/>
      </w:pPr>
      <w:r>
        <w:t>Workforce, Product &amp; Environmental Matters</w:t>
      </w:r>
    </w:p>
    <w:p>
      <w:pPr>
        <w:pStyle w:val="DOBody"/>
      </w:pPr>
      <w:r>
        <w:rPr>
          <w:b/>
          <w:sz w:val="20"/>
        </w:rPr>
        <w:t>Cybersecurity Incidents:</w:t>
      </w:r>
    </w:p>
    <w:p>
      <w:pPr>
        <w:pStyle w:val="DOBody"/>
      </w:pPr>
      <w:r>
        <w:t xml:space="preserve">  - [data_breach] We routinely process, store and transmit large amounts of data in our operations, including protected personal information subject to privacy, security or data breach notification laws, as well as proprietary or confidential information relating to our business or third parties.</w:t>
      </w:r>
    </w:p>
    <w:p>
      <w:pPr>
        <w:pStyle w:val="DOBody"/>
      </w:pPr>
      <w:r>
        <w:t xml:space="preserve">  - [data_breach] Further, because the techniques used to obtain unauthorized access, disable or degrade service, or sabotage systems change frequently and are increasing in sophistication, in part due to use of evolving AI technologies (including generative AI), and because our businesses are changing as well, we may be unable to anticipate these techniques and threats, timely det</w:t>
      </w:r>
    </w:p>
    <w:p>
      <w:pPr>
        <w:pStyle w:val="DOBody"/>
      </w:pPr>
      <w:r>
        <w:t xml:space="preserve">  - [data_breach] The costs to eliminate or address these threats and vulnerabilities before or after a cybersecurity incident could be material.</w:t>
      </w:r>
    </w:p>
    <w:p>
      <w:pPr>
        <w:pStyle w:val="DOBody"/>
      </w:pPr>
      <w:r>
        <w:t xml:space="preserve">  - [cyber_attack] If we or third parties we rely on sustain cyberattacks or other privacy or data security incidents resulting in disruption to our operations or the misappropriation or disclosure of protected personal information or proprietary or confidential information, we could suffer a loss of revenue and increased costs, negative operational effects, exposure to</w:t>
      </w:r>
    </w:p>
    <w:p>
      <w:pPr>
        <w:pStyle w:val="DOBody"/>
      </w:pPr>
      <w:r>
        <w:t xml:space="preserve">  - [cyber_attack] We are regularly the target of attempted cyberattacks and other security threats and have previously been, and may in the future be, subject to compromises of the information technology systems we use, information we hold, or information held on our behalf by third parties.</w:t>
      </w:r>
    </w:p>
    <w:p>
      <w:pPr>
        <w:pStyle w:val="DOBody"/>
      </w:pPr>
      <w:r>
        <w:t xml:space="preserve">  - [cyber_attack] For example, we previously reported that our Change Healthcare business, which we had recently acquired, was subject to a cyberattack in 2024, in which the data involved contained protected health information or personally identifiable information.</w:t>
      </w:r>
    </w:p>
    <w:p>
      <w:pPr>
        <w:pStyle w:val="DOBody"/>
      </w:pPr>
      <w:r>
        <w:t xml:space="preserve">  - [cyber_attack] propriate or otherwise compromise protected personal information or our proprietary or confidential information or that of third parties, and may develop and deploy malicious code (including viruses, ransomware and malware, among others) that can attack our systems, exploit security vulnerabilities, and disrupt or shut down our systems and operations.</w:t>
      </w:r>
    </w:p>
    <w:p>
      <w:pPr>
        <w:pStyle w:val="DOBody"/>
      </w:pPr>
      <w:r>
        <w:t xml:space="preserve">  - [cyber_attack] of certain factors including: our ability to effectively estimate, price for and manage medical costs; new or changes in existing health care laws or regulations, or their enforcement or application; cyberattacks, other privacy/data security incidents, or our failure to comply with related regulations; reductions in revenue or delays to cash flows received under government programs; changes in Medicare, the CMS star ratings program or the application of risk adjustment data validation audits;...</w:t>
      </w:r>
    </w:p>
    <w:p>
      <w:pPr>
        <w:pStyle w:val="DOHeading3"/>
      </w:pPr>
      <w:r>
        <w:t>Whistleblower Indicators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Type</w:t>
            </w:r>
          </w:p>
        </w:tc>
        <w:tc>
          <w:tcPr>
            <w:tcW w:type="dxa" w:w="2520"/>
            <w:shd w:fill="1A1446" w:val="clear"/>
          </w:tcPr>
          <w:p>
            <w:r>
              <w:rPr>
                <w:rFonts w:ascii="Calibri" w:hAnsi="Calibri"/>
                <w:b/>
                <w:color w:val="FFFFFF"/>
                <w:sz w:val="18"/>
              </w:rPr>
              <w:t>Description</w:t>
            </w:r>
          </w:p>
        </w:tc>
        <w:tc>
          <w:tcPr>
            <w:tcW w:type="dxa" w:w="2520"/>
            <w:shd w:fill="1A1446" w:val="clear"/>
          </w:tcPr>
          <w:p>
            <w:r>
              <w:rPr>
                <w:rFonts w:ascii="Calibri" w:hAnsi="Calibri"/>
                <w:b/>
                <w:color w:val="FFFFFF"/>
                <w:sz w:val="18"/>
              </w:rPr>
              <w:t>Date</w:t>
            </w:r>
          </w:p>
        </w:tc>
        <w:tc>
          <w:tcPr>
            <w:tcW w:type="dxa" w:w="2520"/>
            <w:shd w:fill="1A1446" w:val="clear"/>
          </w:tcPr>
          <w:p>
            <w:r>
              <w:rPr>
                <w:rFonts w:ascii="Calibri" w:hAnsi="Calibri"/>
                <w:b/>
                <w:color w:val="FFFFFF"/>
                <w:sz w:val="18"/>
              </w:rPr>
              <w:t>Significance</w:t>
            </w:r>
          </w:p>
        </w:tc>
      </w:tr>
      <w:tr>
        <w:tc>
          <w:tcPr>
            <w:tcW w:type="dxa" w:w="2520"/>
          </w:tcPr>
          <w:p>
            <w:r>
              <w:rPr>
                <w:rFonts w:ascii="Calibri" w:hAnsi="Calibri"/>
                <w:color w:val="333333"/>
                <w:sz w:val="18"/>
              </w:rPr>
              <w:t>internal</w:t>
            </w:r>
          </w:p>
        </w:tc>
        <w:tc>
          <w:tcPr>
            <w:tcW w:type="dxa" w:w="2520"/>
          </w:tcPr>
          <w:p>
            <w:r>
              <w:rPr>
                <w:rFonts w:ascii="Calibri" w:hAnsi="Calibri"/>
                <w:color w:val="333333"/>
                <w:sz w:val="18"/>
              </w:rPr>
              <w:t>ncluding as a result of a failure to adhere to applicable cl</w:t>
            </w:r>
          </w:p>
        </w:tc>
        <w:tc>
          <w:tcPr>
            <w:tcW w:type="dxa" w:w="2520"/>
          </w:tcPr>
          <w:p>
            <w:r>
              <w:rPr>
                <w:rFonts w:ascii="Calibri" w:hAnsi="Calibri"/>
                <w:color w:val="333333"/>
                <w:sz w:val="18"/>
              </w:rPr>
              <w:t>N/A</w:t>
            </w:r>
          </w:p>
        </w:tc>
        <w:tc>
          <w:tcPr>
            <w:tcW w:type="dxa" w:w="2520"/>
          </w:tcPr>
          <w:p>
            <w:r>
              <w:rPr>
                <w:rFonts w:ascii="Calibri" w:hAnsi="Calibri"/>
                <w:color w:val="333333"/>
                <w:sz w:val="18"/>
              </w:rPr>
              <w:t>MEDIUM</w:t>
            </w:r>
          </w:p>
        </w:tc>
      </w:tr>
      <w:tr>
        <w:tc>
          <w:tcPr>
            <w:tcW w:type="dxa" w:w="2520"/>
            <w:shd w:fill="F2F4F8" w:val="clear"/>
          </w:tcPr>
          <w:p>
            <w:r>
              <w:rPr>
                <w:rFonts w:ascii="Calibri" w:hAnsi="Calibri"/>
                <w:color w:val="333333"/>
                <w:sz w:val="18"/>
              </w:rPr>
              <w:t>qui_tam</w:t>
            </w:r>
          </w:p>
        </w:tc>
        <w:tc>
          <w:tcPr>
            <w:tcW w:type="dxa" w:w="2520"/>
            <w:shd w:fill="F2F4F8" w:val="clear"/>
          </w:tcPr>
          <w:p>
            <w:r>
              <w:rPr>
                <w:rFonts w:ascii="Calibri" w:hAnsi="Calibri"/>
                <w:color w:val="333333"/>
                <w:sz w:val="18"/>
              </w:rPr>
              <w:t>plicable clinical, quality and/or patient safety standards),</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MEDIUM</w:t>
            </w:r>
          </w:p>
        </w:tc>
      </w:tr>
    </w:tbl>
    <w:p>
      <w:pPr>
        <w:spacing w:before="120" w:after="40"/>
        <w:pBdr>
          <w:bottom w:val="single" w:sz="6" w:space="1" w:color="FFD000"/>
        </w:pBdr>
      </w:pPr>
    </w:p>
    <w:p>
      <w:pPr>
        <w:pStyle w:val="DOBody"/>
        <w:spacing w:before="40" w:after="120"/>
      </w:pPr>
      <w:r>
        <w:rPr>
          <w:color w:val="333333"/>
          <w:sz w:val="20"/>
        </w:rPr>
        <w:t>UnitedHealth's quality score of 23.125 places it in the WALK tier, with a composite claim probability of 6.96-9.94% dictating an Excess/Side A only placement with high attachment. The risk is anchored by a 3.19-point deduction for Prior Litigation, supported by 70 identified signals, and a 2.31-point deduction for Restatement/Audit Issues from 86 signals, reflecting the persistent legal and regulatory scrutiny that drives securities class actions. A critical Whistleblower/Qui Tam red flag imposes a binding CRF-13 ceiling, directly constraining capacity by highlighting acute government enforcement risk under the False Claims Act. The profile is further defined by an active "Guidance Track Record" pattern, suggesting management's forward-looking statements are a consistent litigation trigger, compounded by a 1.33-point Governance deduction.</w:t>
      </w:r>
    </w:p>
    <w:p>
      <w:pPr>
        <w:pStyle w:val="DOHeading1"/>
      </w:pPr>
      <w:r>
        <w:t>Section 7: Risk Scoring &amp; Synthesis</w:t>
      </w:r>
    </w:p>
    <w:p>
      <w:pPr>
        <w:pStyle w:val="DOBody"/>
      </w:pPr>
      <w:r>
        <w:rPr>
          <w:rFonts w:ascii="Calibri" w:hAnsi="Calibri"/>
          <w:color w:val="333333"/>
          <w:sz w:val="20"/>
        </w:rPr>
        <w:t>Underwriting tier: **WALK** (quality score: 23.1/100). Recommended action: Excess/Side A only, high attachment required. Expected claim probability band: 7.0-9.9%. Top risk contributors: Prior Litigation (F1: -3.2 pts); Restatement/Audit Issues (F3: -2.3 pts); Governance Issues (F9: -1.3 pts). Active composite patterns: Guidance Track Record. **Red flag gates active**: Distress Zone (Altman Z &lt; 1.81) (ceiling: 25); Whistleblower/Qui Tam Disclosure (ceiling: 100). Binding ceiling: CRF-13. Claim probability band: ELEVATED (7.0%-9.9%).</w:t>
      </w:r>
    </w:p>
    <w:p>
      <w:pPr>
        <w:pStyle w:val="DOHeading3"/>
      </w:pPr>
      <w:r>
        <w:t>Tier 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Quality Score</w:t>
            </w:r>
          </w:p>
        </w:tc>
        <w:tc>
          <w:tcPr>
            <w:tcW w:type="dxa" w:w="5040"/>
          </w:tcPr>
          <w:p>
            <w:r>
              <w:rPr>
                <w:rFonts w:ascii="Calibri" w:hAnsi="Calibri"/>
                <w:color w:val="333333"/>
                <w:sz w:val="18"/>
              </w:rPr>
              <w:t>23.1 / 100</w:t>
            </w:r>
          </w:p>
        </w:tc>
      </w:tr>
      <w:tr>
        <w:tc>
          <w:tcPr>
            <w:tcW w:type="dxa" w:w="5040"/>
            <w:shd w:fill="F2F4F8" w:val="clear"/>
          </w:tcPr>
          <w:p>
            <w:r>
              <w:rPr>
                <w:rFonts w:ascii="Calibri" w:hAnsi="Calibri"/>
                <w:color w:val="333333"/>
                <w:sz w:val="18"/>
              </w:rPr>
              <w:t>Composite Score (pre-ceiling)</w:t>
            </w:r>
          </w:p>
        </w:tc>
        <w:tc>
          <w:tcPr>
            <w:tcW w:type="dxa" w:w="5040"/>
            <w:shd w:fill="F2F4F8" w:val="clear"/>
          </w:tcPr>
          <w:p>
            <w:r>
              <w:rPr>
                <w:rFonts w:ascii="Calibri" w:hAnsi="Calibri"/>
                <w:color w:val="333333"/>
                <w:sz w:val="18"/>
              </w:rPr>
              <w:t>90.1</w:t>
            </w:r>
          </w:p>
        </w:tc>
      </w:tr>
      <w:tr>
        <w:tc>
          <w:tcPr>
            <w:tcW w:type="dxa" w:w="5040"/>
          </w:tcPr>
          <w:p>
            <w:r>
              <w:rPr>
                <w:rFonts w:ascii="Calibri" w:hAnsi="Calibri"/>
                <w:color w:val="333333"/>
                <w:sz w:val="18"/>
              </w:rPr>
              <w:t>Total Risk Points Deducted</w:t>
            </w:r>
          </w:p>
        </w:tc>
        <w:tc>
          <w:tcPr>
            <w:tcW w:type="dxa" w:w="5040"/>
          </w:tcPr>
          <w:p>
            <w:r>
              <w:rPr>
                <w:rFonts w:ascii="Calibri" w:hAnsi="Calibri"/>
                <w:color w:val="333333"/>
                <w:sz w:val="18"/>
              </w:rPr>
              <w:t>9.9</w:t>
            </w:r>
          </w:p>
        </w:tc>
      </w:tr>
      <w:tr>
        <w:tc>
          <w:tcPr>
            <w:tcW w:type="dxa" w:w="5040"/>
            <w:shd w:fill="F2F4F8" w:val="clear"/>
          </w:tcPr>
          <w:p>
            <w:r>
              <w:rPr>
                <w:rFonts w:ascii="Calibri" w:hAnsi="Calibri"/>
                <w:color w:val="333333"/>
                <w:sz w:val="18"/>
              </w:rPr>
              <w:t>Tier</w:t>
            </w:r>
          </w:p>
        </w:tc>
        <w:tc>
          <w:tcPr>
            <w:tcW w:type="dxa" w:w="5040"/>
            <w:shd w:fill="F2F4F8" w:val="clear"/>
          </w:tcPr>
          <w:p>
            <w:r>
              <w:rPr>
                <w:rFonts w:ascii="Calibri" w:hAnsi="Calibri"/>
                <w:color w:val="333333"/>
                <w:sz w:val="18"/>
              </w:rPr>
              <w:t>WALK</w:t>
            </w:r>
          </w:p>
        </w:tc>
      </w:tr>
      <w:tr>
        <w:tc>
          <w:tcPr>
            <w:tcW w:type="dxa" w:w="5040"/>
          </w:tcPr>
          <w:p>
            <w:r>
              <w:rPr>
                <w:rFonts w:ascii="Calibri" w:hAnsi="Calibri"/>
                <w:color w:val="333333"/>
                <w:sz w:val="18"/>
              </w:rPr>
              <w:t>Tier Range</w:t>
            </w:r>
          </w:p>
        </w:tc>
        <w:tc>
          <w:tcPr>
            <w:tcW w:type="dxa" w:w="5040"/>
          </w:tcPr>
          <w:p>
            <w:r>
              <w:rPr>
                <w:rFonts w:ascii="Calibri" w:hAnsi="Calibri"/>
                <w:color w:val="333333"/>
                <w:sz w:val="18"/>
              </w:rPr>
              <w:t>11 - 30</w:t>
            </w:r>
          </w:p>
        </w:tc>
      </w:tr>
      <w:tr>
        <w:tc>
          <w:tcPr>
            <w:tcW w:type="dxa" w:w="5040"/>
            <w:shd w:fill="F2F4F8" w:val="clear"/>
          </w:tcPr>
          <w:p>
            <w:r>
              <w:rPr>
                <w:rFonts w:ascii="Calibri" w:hAnsi="Calibri"/>
                <w:color w:val="333333"/>
                <w:sz w:val="18"/>
              </w:rPr>
              <w:t>Action Guidance</w:t>
            </w:r>
          </w:p>
        </w:tc>
        <w:tc>
          <w:tcPr>
            <w:tcW w:type="dxa" w:w="5040"/>
            <w:shd w:fill="F2F4F8" w:val="clear"/>
          </w:tcPr>
          <w:p>
            <w:r>
              <w:rPr>
                <w:rFonts w:ascii="Calibri" w:hAnsi="Calibri"/>
                <w:color w:val="333333"/>
                <w:sz w:val="18"/>
              </w:rPr>
              <w:t>Excess/Side A only, high attachment required</w:t>
            </w:r>
          </w:p>
        </w:tc>
      </w:tr>
      <w:tr>
        <w:tc>
          <w:tcPr>
            <w:tcW w:type="dxa" w:w="5040"/>
          </w:tcPr>
          <w:p>
            <w:r>
              <w:rPr>
                <w:rFonts w:ascii="Calibri" w:hAnsi="Calibri"/>
                <w:color w:val="333333"/>
                <w:sz w:val="18"/>
              </w:rPr>
              <w:t>Probability Range</w:t>
            </w:r>
          </w:p>
        </w:tc>
        <w:tc>
          <w:tcPr>
            <w:tcW w:type="dxa" w:w="5040"/>
          </w:tcPr>
          <w:p>
            <w:r>
              <w:rPr>
                <w:rFonts w:ascii="Calibri" w:hAnsi="Calibri"/>
                <w:color w:val="333333"/>
                <w:sz w:val="18"/>
              </w:rPr>
              <w:t>7.0-9.9%</w:t>
            </w:r>
          </w:p>
        </w:tc>
      </w:tr>
      <w:tr>
        <w:tc>
          <w:tcPr>
            <w:tcW w:type="dxa" w:w="5040"/>
            <w:shd w:fill="F2F4F8" w:val="clear"/>
          </w:tcPr>
          <w:p>
            <w:r>
              <w:rPr>
                <w:rFonts w:ascii="Calibri" w:hAnsi="Calibri"/>
                <w:color w:val="333333"/>
                <w:sz w:val="18"/>
              </w:rPr>
              <w:t>Pricing Multiplier</w:t>
            </w:r>
          </w:p>
        </w:tc>
        <w:tc>
          <w:tcPr>
            <w:tcW w:type="dxa" w:w="5040"/>
            <w:shd w:fill="F2F4F8" w:val="clear"/>
          </w:tcPr>
          <w:p>
            <w:r>
              <w:rPr>
                <w:rFonts w:ascii="Calibri" w:hAnsi="Calibri"/>
                <w:color w:val="333333"/>
                <w:sz w:val="18"/>
              </w:rPr>
              <w:t>2x+ at high attachment</w:t>
            </w:r>
          </w:p>
        </w:tc>
      </w:tr>
      <w:tr>
        <w:tc>
          <w:tcPr>
            <w:tcW w:type="dxa" w:w="5040"/>
          </w:tcPr>
          <w:p>
            <w:r>
              <w:rPr>
                <w:rFonts w:ascii="Calibri" w:hAnsi="Calibri"/>
                <w:color w:val="333333"/>
                <w:sz w:val="18"/>
              </w:rPr>
              <w:t>Binding Ceiling</w:t>
            </w:r>
          </w:p>
        </w:tc>
        <w:tc>
          <w:tcPr>
            <w:tcW w:type="dxa" w:w="5040"/>
          </w:tcPr>
          <w:p>
            <w:r>
              <w:rPr>
                <w:rFonts w:ascii="Calibri" w:hAnsi="Calibri"/>
                <w:color w:val="333333"/>
                <w:sz w:val="18"/>
              </w:rPr>
              <w:t>CRF-13</w:t>
            </w:r>
          </w:p>
        </w:tc>
      </w:tr>
    </w:tbl>
    <w:p>
      <w:pPr>
        <w:pStyle w:val="DOBody"/>
      </w:pPr>
      <w:r>
        <w:rPr>
          <w:b/>
        </w:rPr>
        <w:t>Risk Assessment: CRITICAL</w:t>
      </w:r>
      <w:r>
        <w:rPr>
          <w:b/>
          <w:color w:val="DC2626"/>
          <w:sz w:val="18"/>
        </w:rPr>
        <w:t xml:space="preserve"> [CRITICAL]</w:t>
      </w:r>
    </w:p>
    <w:p>
      <w:pPr>
        <w:pStyle w:val="DOHeading3"/>
      </w:pPr>
      <w:r>
        <w:t>D&amp;O Claim Peril Assessment</w:t>
      </w:r>
    </w:p>
    <w:p>
      <w:pPr>
        <w:pStyle w:val="DOBody"/>
      </w:pPr>
      <w:r>
        <w:t>2 of 8 D&amp;O claim perils show active risk signals. Active perils have at least one causal chain with triggered checks.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Peril</w:t>
            </w:r>
          </w:p>
        </w:tc>
        <w:tc>
          <w:tcPr>
            <w:tcW w:type="dxa" w:w="2520"/>
            <w:shd w:fill="1A1446" w:val="clear"/>
          </w:tcPr>
          <w:p>
            <w:r>
              <w:rPr>
                <w:rFonts w:ascii="Calibri" w:hAnsi="Calibri"/>
                <w:b/>
                <w:color w:val="FFFFFF"/>
                <w:sz w:val="18"/>
              </w:rPr>
              <w:t>Risk Level</w:t>
            </w:r>
          </w:p>
        </w:tc>
        <w:tc>
          <w:tcPr>
            <w:tcW w:type="dxa" w:w="2520"/>
            <w:shd w:fill="1A1446" w:val="clear"/>
          </w:tcPr>
          <w:p>
            <w:r>
              <w:rPr>
                <w:rFonts w:ascii="Calibri" w:hAnsi="Calibri"/>
                <w:b/>
                <w:color w:val="FFFFFF"/>
                <w:sz w:val="18"/>
              </w:rPr>
              <w:t>Active Chains</w:t>
            </w:r>
          </w:p>
        </w:tc>
        <w:tc>
          <w:tcPr>
            <w:tcW w:type="dxa" w:w="2520"/>
            <w:shd w:fill="1A1446" w:val="clear"/>
          </w:tcPr>
          <w:p>
            <w:r>
              <w:rPr>
                <w:rFonts w:ascii="Calibri" w:hAnsi="Calibri"/>
                <w:b/>
                <w:color w:val="FFFFFF"/>
                <w:sz w:val="18"/>
              </w:rPr>
              <w:t>Key Evidence</w:t>
            </w:r>
          </w:p>
        </w:tc>
      </w:tr>
      <w:tr>
        <w:tc>
          <w:tcPr>
            <w:tcW w:type="dxa" w:w="2520"/>
          </w:tcPr>
          <w:p>
            <w:r>
              <w:rPr>
                <w:rFonts w:ascii="Calibri" w:hAnsi="Calibri"/>
                <w:b/>
                <w:color w:val="333333"/>
                <w:sz w:val="18"/>
              </w:rPr>
              <w:t>Securities Claims</w:t>
            </w:r>
          </w:p>
        </w:tc>
        <w:tc>
          <w:tcPr>
            <w:tcW w:type="dxa" w:w="2520"/>
            <w:shd w:fill="FFF3CD" w:val="clear"/>
          </w:tcPr>
          <w:p>
            <w:r>
              <w:rPr>
                <w:rFonts w:ascii="Calibri" w:hAnsi="Calibri"/>
                <w:b/>
                <w:color w:val="E67300"/>
                <w:sz w:val="18"/>
              </w:rPr>
              <w:t>MODERATE</w:t>
            </w:r>
          </w:p>
        </w:tc>
        <w:tc>
          <w:tcPr>
            <w:tcW w:type="dxa" w:w="2520"/>
          </w:tcPr>
          <w:p>
            <w:r>
              <w:rPr>
                <w:rFonts w:ascii="Calibri" w:hAnsi="Calibri"/>
                <w:sz w:val="18"/>
              </w:rPr>
              <w:t>1/5</w:t>
            </w:r>
          </w:p>
        </w:tc>
        <w:tc>
          <w:tcPr>
            <w:tcW w:type="dxa" w:w="2520"/>
          </w:tcPr>
          <w:p>
            <w:r>
              <w:rPr>
                <w:rFonts w:ascii="Calibri" w:hAnsi="Calibri"/>
                <w:color w:val="666666"/>
                <w:sz w:val="18"/>
              </w:rPr>
              <w:t>Qualitative: No non-GAAP measures detected in 10-K; Qualitative: 2</w:t>
            </w:r>
          </w:p>
        </w:tc>
      </w:tr>
      <w:tr>
        <w:tc>
          <w:tcPr>
            <w:tcW w:type="dxa" w:w="2520"/>
          </w:tcPr>
          <w:p>
            <w:r>
              <w:rPr>
                <w:rFonts w:ascii="Calibri" w:hAnsi="Calibri"/>
                <w:b/>
                <w:color w:val="333333"/>
                <w:sz w:val="18"/>
              </w:rPr>
              <w:t>Fiduciary Breach</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0/3</w:t>
            </w:r>
          </w:p>
        </w:tc>
        <w:tc>
          <w:tcPr>
            <w:tcW w:type="dxa" w:w="2520"/>
          </w:tcPr>
          <w:p>
            <w:r>
              <w:rPr>
                <w:rFonts w:ascii="Calibri" w:hAnsi="Calibri"/>
                <w:color w:val="666666"/>
                <w:sz w:val="18"/>
              </w:rPr>
              <w:t>—</w:t>
            </w:r>
          </w:p>
        </w:tc>
      </w:tr>
      <w:tr>
        <w:tc>
          <w:tcPr>
            <w:tcW w:type="dxa" w:w="2520"/>
          </w:tcPr>
          <w:p>
            <w:r>
              <w:rPr>
                <w:rFonts w:ascii="Calibri" w:hAnsi="Calibri"/>
                <w:b/>
                <w:color w:val="333333"/>
                <w:sz w:val="18"/>
              </w:rPr>
              <w:t>Government Enforcement</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0/2</w:t>
            </w:r>
          </w:p>
        </w:tc>
        <w:tc>
          <w:tcPr>
            <w:tcW w:type="dxa" w:w="2520"/>
          </w:tcPr>
          <w:p>
            <w:r>
              <w:rPr>
                <w:rFonts w:ascii="Calibri" w:hAnsi="Calibri"/>
                <w:color w:val="666666"/>
                <w:sz w:val="18"/>
              </w:rPr>
              <w:t>—</w:t>
            </w:r>
          </w:p>
        </w:tc>
      </w:tr>
      <w:tr>
        <w:tc>
          <w:tcPr>
            <w:tcW w:type="dxa" w:w="2520"/>
          </w:tcPr>
          <w:p>
            <w:r>
              <w:rPr>
                <w:rFonts w:ascii="Calibri" w:hAnsi="Calibri"/>
                <w:b/>
                <w:color w:val="333333"/>
                <w:sz w:val="18"/>
              </w:rPr>
              <w:t>Employment &amp; Whistleblower</w:t>
            </w:r>
          </w:p>
        </w:tc>
        <w:tc>
          <w:tcPr>
            <w:tcW w:type="dxa" w:w="2520"/>
            <w:shd w:fill="FCE8E6" w:val="clear"/>
          </w:tcPr>
          <w:p>
            <w:r>
              <w:rPr>
                <w:rFonts w:ascii="Calibri" w:hAnsi="Calibri"/>
                <w:b/>
                <w:color w:val="CC0000"/>
                <w:sz w:val="18"/>
              </w:rPr>
              <w:t>HIGH</w:t>
            </w:r>
          </w:p>
        </w:tc>
        <w:tc>
          <w:tcPr>
            <w:tcW w:type="dxa" w:w="2520"/>
          </w:tcPr>
          <w:p>
            <w:r>
              <w:rPr>
                <w:rFonts w:ascii="Calibri" w:hAnsi="Calibri"/>
                <w:sz w:val="18"/>
              </w:rPr>
              <w:t>1/1</w:t>
            </w:r>
          </w:p>
        </w:tc>
        <w:tc>
          <w:tcPr>
            <w:tcW w:type="dxa" w:w="2520"/>
          </w:tcPr>
          <w:p>
            <w:r>
              <w:rPr>
                <w:rFonts w:ascii="Calibri" w:hAnsi="Calibri"/>
                <w:color w:val="666666"/>
                <w:sz w:val="18"/>
              </w:rPr>
              <w:t>Required data not available from filings; Management display: 390000</w:t>
            </w:r>
          </w:p>
        </w:tc>
      </w:tr>
      <w:tr>
        <w:tc>
          <w:tcPr>
            <w:tcW w:type="dxa" w:w="2520"/>
          </w:tcPr>
          <w:p>
            <w:r>
              <w:rPr>
                <w:rFonts w:ascii="Calibri" w:hAnsi="Calibri"/>
                <w:b/>
                <w:color w:val="333333"/>
                <w:sz w:val="18"/>
              </w:rPr>
              <w:t>Insolvency &amp; Bankruptcy</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r>
        <w:tc>
          <w:tcPr>
            <w:tcW w:type="dxa" w:w="2520"/>
          </w:tcPr>
          <w:p>
            <w:r>
              <w:rPr>
                <w:rFonts w:ascii="Calibri" w:hAnsi="Calibri"/>
                <w:b/>
                <w:color w:val="333333"/>
                <w:sz w:val="18"/>
              </w:rPr>
              <w:t>Emerging Risks</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0/2</w:t>
            </w:r>
          </w:p>
        </w:tc>
        <w:tc>
          <w:tcPr>
            <w:tcW w:type="dxa" w:w="2520"/>
          </w:tcPr>
          <w:p>
            <w:r>
              <w:rPr>
                <w:rFonts w:ascii="Calibri" w:hAnsi="Calibri"/>
                <w:color w:val="666666"/>
                <w:sz w:val="18"/>
              </w:rPr>
              <w:t>—</w:t>
            </w:r>
          </w:p>
        </w:tc>
      </w:tr>
      <w:tr>
        <w:tc>
          <w:tcPr>
            <w:tcW w:type="dxa" w:w="2520"/>
          </w:tcPr>
          <w:p>
            <w:r>
              <w:rPr>
                <w:rFonts w:ascii="Calibri" w:hAnsi="Calibri"/>
                <w:b/>
                <w:color w:val="333333"/>
                <w:sz w:val="18"/>
              </w:rPr>
              <w:t>Consumer &amp; Product Claims</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r>
        <w:tc>
          <w:tcPr>
            <w:tcW w:type="dxa" w:w="2520"/>
          </w:tcPr>
          <w:p>
            <w:r>
              <w:rPr>
                <w:rFonts w:ascii="Calibri" w:hAnsi="Calibri"/>
                <w:b/>
                <w:color w:val="333333"/>
                <w:sz w:val="18"/>
              </w:rPr>
              <w:t>Commercial Litigation</w:t>
            </w:r>
          </w:p>
        </w:tc>
        <w:tc>
          <w:tcPr>
            <w:tcW w:type="dxa" w:w="2520"/>
            <w:shd w:fill="DCEEF8" w:val="clear"/>
          </w:tcPr>
          <w:p>
            <w:r>
              <w:rPr>
                <w:rFonts w:ascii="Calibri" w:hAnsi="Calibri"/>
                <w:b/>
                <w:color w:val="4A90D9"/>
                <w:sz w:val="18"/>
              </w:rPr>
              <w:t>LOW</w:t>
            </w:r>
          </w:p>
        </w:tc>
        <w:tc>
          <w:tcPr>
            <w:tcW w:type="dxa" w:w="2520"/>
          </w:tcPr>
          <w:p>
            <w:r>
              <w:rPr>
                <w:rFonts w:ascii="Calibri" w:hAnsi="Calibri"/>
                <w:sz w:val="18"/>
              </w:rPr>
              <w:t>0/1</w:t>
            </w:r>
          </w:p>
        </w:tc>
        <w:tc>
          <w:tcPr>
            <w:tcW w:type="dxa" w:w="2520"/>
          </w:tcPr>
          <w:p>
            <w:r>
              <w:rPr>
                <w:rFonts w:ascii="Calibri" w:hAnsi="Calibri"/>
                <w:color w:val="666666"/>
                <w:sz w:val="18"/>
              </w:rPr>
              <w:t>—</w:t>
            </w:r>
          </w:p>
        </w:tc>
      </w:tr>
    </w:tbl>
    <w:p>
      <w:pPr>
        <w:pStyle w:val="DOHeading3"/>
      </w:pPr>
      <w:r>
        <w:t>Active Peril Analysis</w:t>
      </w:r>
    </w:p>
    <w:p>
      <w:pPr>
        <w:pStyle w:val="DOHeading3"/>
      </w:pPr>
      <w:r>
        <w:t>Employment &amp; Whistleblower: HIGH</w:t>
      </w:r>
      <w:r>
        <w:rPr>
          <w:b/>
          <w:color w:val="EA580C"/>
          <w:sz w:val="18"/>
        </w:rPr>
        <w:t xml:space="preserve"> [HIGH]</w:t>
      </w:r>
    </w:p>
    <w:p>
      <w:pPr>
        <w:pStyle w:val="DOBody"/>
      </w:pPr>
      <w:r>
        <w:rPr>
          <w:color w:val="666666"/>
          <w:sz w:val="16"/>
        </w:rPr>
        <w:t>Frequency: high | Severity: lower | Typical range: $500K - $50M</w:t>
      </w:r>
    </w:p>
    <w:p>
      <w:pPr>
        <w:pStyle w:val="DOBody"/>
      </w:pPr>
      <w:r>
        <w:t>1 of 1 causal chains active.</w:t>
      </w:r>
    </w:p>
    <w:p>
      <w:pPr>
        <w:pStyle w:val="DOBody"/>
      </w:pPr>
      <w:r>
        <w:rPr>
          <w:b/>
        </w:rPr>
        <w:t>Chain: Whistleblower → Employment/Retaliation Claims</w:t>
      </w:r>
      <w:r>
        <w:t xml:space="preserve"> [HIGH]</w:t>
      </w:r>
    </w:p>
    <w:p>
      <w:pPr>
        <w:pStyle w:val="DOBody"/>
      </w:pPr>
      <w:r>
        <w:rPr>
          <w:i/>
          <w:sz w:val="16"/>
        </w:rPr>
        <w:t>Whistleblower activity or internal investigation leads to employment retaliation claims. Often precedes broader regulatory investigation.</w:t>
        <w:br/>
      </w:r>
    </w:p>
    <w:p>
      <w:pPr>
        <w:pStyle w:val="DOBody"/>
      </w:pPr>
      <w:r>
        <w:rPr>
          <w:b/>
          <w:sz w:val="20"/>
        </w:rPr>
        <w:t xml:space="preserve">  Triggers: </w:t>
      </w:r>
      <w:r>
        <w:br/>
        <w:t xml:space="preserve">    • NLP.WHISTLE.language_detected</w:t>
      </w:r>
      <w:r>
        <w:br/>
        <w:t xml:space="preserve">    • NLP.WHISTLE.internal_investigation</w:t>
      </w:r>
    </w:p>
    <w:p>
      <w:pPr>
        <w:pStyle w:val="DOBody"/>
      </w:pPr>
      <w:r>
        <w:rPr>
          <w:color w:val="666666"/>
          <w:sz w:val="16"/>
        </w:rPr>
        <w:t xml:space="preserve">  Historical filing rate: 5% | Median severity: $3M</w:t>
      </w:r>
    </w:p>
    <w:p>
      <w:pPr>
        <w:pStyle w:val="DOHeading3"/>
      </w:pPr>
      <w:r>
        <w:t>Securities Claims: MODERATE</w:t>
      </w:r>
      <w:r>
        <w:rPr>
          <w:b/>
          <w:color w:val="2563EB"/>
          <w:sz w:val="18"/>
        </w:rPr>
        <w:t xml:space="preserve"> [MODERATE]</w:t>
      </w:r>
    </w:p>
    <w:p>
      <w:pPr>
        <w:pStyle w:val="DOBody"/>
      </w:pPr>
      <w:r>
        <w:rPr>
          <w:color w:val="666666"/>
          <w:sz w:val="16"/>
        </w:rPr>
        <w:t>Frequency: moderate | Severity: high | Typical range: $5M - $500M+</w:t>
      </w:r>
    </w:p>
    <w:p>
      <w:pPr>
        <w:pStyle w:val="DOBody"/>
      </w:pPr>
      <w:r>
        <w:t>1 of 5 causal chains active.</w:t>
      </w:r>
    </w:p>
    <w:p>
      <w:pPr>
        <w:pStyle w:val="DOBody"/>
      </w:pPr>
      <w:r>
        <w:rPr>
          <w:b/>
        </w:rPr>
        <w:t>Chain: Guidance Miss → Securities Fraud</w:t>
      </w:r>
      <w:r>
        <w:t xml:space="preserve"> [MODERATE]</w:t>
      </w:r>
    </w:p>
    <w:p>
      <w:pPr>
        <w:pStyle w:val="DOBody"/>
      </w:pPr>
      <w:r>
        <w:rPr>
          <w:i/>
          <w:sz w:val="16"/>
        </w:rPr>
        <w:t>Repeated guidance misses or aggressive forward guidance builds scienter case for securities fraud claim when stock eventually declines.</w:t>
        <w:br/>
      </w:r>
    </w:p>
    <w:p>
      <w:pPr>
        <w:pStyle w:val="DOBody"/>
      </w:pPr>
      <w:r>
        <w:rPr>
          <w:b/>
          <w:sz w:val="20"/>
        </w:rPr>
        <w:t xml:space="preserve">  Triggers: </w:t>
      </w:r>
      <w:r>
        <w:br/>
        <w:t xml:space="preserve">    • FIN.GUIDE.earnings_reaction</w:t>
      </w:r>
    </w:p>
    <w:p>
      <w:pPr>
        <w:pStyle w:val="DOBody"/>
      </w:pPr>
      <w:r>
        <w:rPr>
          <w:color w:val="666666"/>
          <w:sz w:val="16"/>
        </w:rPr>
        <w:t xml:space="preserve">  Historical filing rate: 8% | Median severity: $12M</w:t>
      </w:r>
    </w:p>
    <w:p>
      <w:pPr>
        <w:pStyle w:val="DOHeading3"/>
      </w:pPr>
      <w:r>
        <w:t>Composite Score Breakdown</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shd w:fill="1A1446" w:val="clear"/>
          </w:tcPr>
          <w:p>
            <w:r>
              <w:rPr>
                <w:rFonts w:ascii="Calibri" w:hAnsi="Calibri"/>
                <w:b/>
                <w:color w:val="FFFFFF"/>
                <w:sz w:val="18"/>
              </w:rPr>
              <w:t>Factor</w:t>
            </w:r>
          </w:p>
        </w:tc>
        <w:tc>
          <w:tcPr>
            <w:tcW w:type="dxa" w:w="1680"/>
            <w:shd w:fill="1A1446" w:val="clear"/>
          </w:tcPr>
          <w:p>
            <w:r>
              <w:rPr>
                <w:rFonts w:ascii="Calibri" w:hAnsi="Calibri"/>
                <w:b/>
                <w:color w:val="FFFFFF"/>
                <w:sz w:val="18"/>
              </w:rPr>
              <w:t>Name</w:t>
            </w:r>
          </w:p>
        </w:tc>
        <w:tc>
          <w:tcPr>
            <w:tcW w:type="dxa" w:w="1680"/>
            <w:shd w:fill="1A1446" w:val="clear"/>
          </w:tcPr>
          <w:p>
            <w:r>
              <w:rPr>
                <w:rFonts w:ascii="Calibri" w:hAnsi="Calibri"/>
                <w:b/>
                <w:color w:val="FFFFFF"/>
                <w:sz w:val="18"/>
              </w:rPr>
              <w:t>Max Pts</w:t>
            </w:r>
          </w:p>
        </w:tc>
        <w:tc>
          <w:tcPr>
            <w:tcW w:type="dxa" w:w="1680"/>
            <w:shd w:fill="1A1446" w:val="clear"/>
          </w:tcPr>
          <w:p>
            <w:r>
              <w:rPr>
                <w:rFonts w:ascii="Calibri" w:hAnsi="Calibri"/>
                <w:b/>
                <w:color w:val="FFFFFF"/>
                <w:sz w:val="18"/>
              </w:rPr>
              <w:t>Deducted</w:t>
            </w:r>
          </w:p>
        </w:tc>
        <w:tc>
          <w:tcPr>
            <w:tcW w:type="dxa" w:w="1680"/>
            <w:shd w:fill="1A1446" w:val="clear"/>
          </w:tcPr>
          <w:p>
            <w:r>
              <w:rPr>
                <w:rFonts w:ascii="Calibri" w:hAnsi="Calibri"/>
                <w:b/>
                <w:color w:val="FFFFFF"/>
                <w:sz w:val="18"/>
              </w:rPr>
              <w:t>% Used</w:t>
            </w:r>
          </w:p>
        </w:tc>
        <w:tc>
          <w:tcPr>
            <w:tcW w:type="dxa" w:w="1680"/>
            <w:shd w:fill="1A1446" w:val="clear"/>
          </w:tcPr>
          <w:p>
            <w:r>
              <w:rPr>
                <w:rFonts w:ascii="Calibri" w:hAnsi="Calibri"/>
                <w:b/>
                <w:color w:val="FFFFFF"/>
                <w:sz w:val="18"/>
              </w:rPr>
              <w:t>Top Contributor</w:t>
            </w:r>
          </w:p>
        </w:tc>
      </w:tr>
      <w:tr>
        <w:tc>
          <w:tcPr>
            <w:tcW w:type="dxa" w:w="1680"/>
          </w:tcPr>
          <w:p>
            <w:r>
              <w:rPr>
                <w:rFonts w:ascii="Calibri" w:hAnsi="Calibri"/>
                <w:color w:val="333333"/>
                <w:sz w:val="18"/>
              </w:rPr>
              <w:t>F1</w:t>
            </w:r>
          </w:p>
        </w:tc>
        <w:tc>
          <w:tcPr>
            <w:tcW w:type="dxa" w:w="1680"/>
          </w:tcPr>
          <w:p>
            <w:r>
              <w:rPr>
                <w:rFonts w:ascii="Calibri" w:hAnsi="Calibri"/>
                <w:color w:val="333333"/>
                <w:sz w:val="18"/>
              </w:rPr>
              <w:t>Prior Litigation</w:t>
            </w:r>
          </w:p>
        </w:tc>
        <w:tc>
          <w:tcPr>
            <w:tcW w:type="dxa" w:w="1680"/>
          </w:tcPr>
          <w:p>
            <w:r>
              <w:rPr>
                <w:rFonts w:ascii="Calibri" w:hAnsi="Calibri"/>
                <w:color w:val="333333"/>
                <w:sz w:val="18"/>
              </w:rPr>
              <w:t>20</w:t>
            </w:r>
          </w:p>
        </w:tc>
        <w:tc>
          <w:tcPr>
            <w:tcW w:type="dxa" w:w="1680"/>
          </w:tcPr>
          <w:p>
            <w:r>
              <w:rPr>
                <w:rFonts w:ascii="Calibri" w:hAnsi="Calibri"/>
                <w:color w:val="333333"/>
                <w:sz w:val="18"/>
              </w:rPr>
              <w:t>3.2</w:t>
            </w:r>
          </w:p>
        </w:tc>
        <w:tc>
          <w:tcPr>
            <w:tcW w:type="dxa" w:w="1680"/>
          </w:tcPr>
          <w:p>
            <w:r>
              <w:rPr>
                <w:rFonts w:ascii="Calibri" w:hAnsi="Calibri"/>
                <w:color w:val="333333"/>
                <w:sz w:val="18"/>
              </w:rPr>
              <w:t>16%</w:t>
            </w:r>
          </w:p>
        </w:tc>
        <w:tc>
          <w:tcPr>
            <w:tcW w:type="dxa" w:w="1680"/>
          </w:tcPr>
          <w:p>
            <w:r>
              <w:rPr>
                <w:rFonts w:ascii="Calibri" w:hAnsi="Calibri"/>
                <w:color w:val="333333"/>
                <w:sz w:val="18"/>
              </w:rPr>
              <w:t>Signal-driven scoring: 70 signals, coverage=100%</w:t>
            </w:r>
          </w:p>
        </w:tc>
      </w:tr>
      <w:tr>
        <w:tc>
          <w:tcPr>
            <w:tcW w:type="dxa" w:w="1680"/>
            <w:shd w:fill="F2F4F8" w:val="clear"/>
          </w:tcPr>
          <w:p>
            <w:r>
              <w:rPr>
                <w:rFonts w:ascii="Calibri" w:hAnsi="Calibri"/>
                <w:color w:val="333333"/>
                <w:sz w:val="18"/>
              </w:rPr>
              <w:t>F2</w:t>
            </w:r>
          </w:p>
        </w:tc>
        <w:tc>
          <w:tcPr>
            <w:tcW w:type="dxa" w:w="1680"/>
            <w:shd w:fill="F2F4F8" w:val="clear"/>
          </w:tcPr>
          <w:p>
            <w:r>
              <w:rPr>
                <w:rFonts w:ascii="Calibri" w:hAnsi="Calibri"/>
                <w:color w:val="333333"/>
                <w:sz w:val="18"/>
              </w:rPr>
              <w:t>Stock Decline</w:t>
            </w:r>
          </w:p>
        </w:tc>
        <w:tc>
          <w:tcPr>
            <w:tcW w:type="dxa" w:w="1680"/>
            <w:shd w:fill="F2F4F8" w:val="clear"/>
          </w:tcPr>
          <w:p>
            <w:r>
              <w:rPr>
                <w:rFonts w:ascii="Calibri" w:hAnsi="Calibri"/>
                <w:color w:val="333333"/>
                <w:sz w:val="18"/>
              </w:rPr>
              <w:t>15</w:t>
            </w:r>
          </w:p>
        </w:tc>
        <w:tc>
          <w:tcPr>
            <w:tcW w:type="dxa" w:w="1680"/>
            <w:shd w:fill="F2F4F8" w:val="clear"/>
          </w:tcPr>
          <w:p>
            <w:r>
              <w:rPr>
                <w:rFonts w:ascii="Calibri" w:hAnsi="Calibri"/>
                <w:color w:val="333333"/>
                <w:sz w:val="18"/>
              </w:rPr>
              <w:t>0.6</w:t>
            </w:r>
          </w:p>
        </w:tc>
        <w:tc>
          <w:tcPr>
            <w:tcW w:type="dxa" w:w="1680"/>
            <w:shd w:fill="F2F4F8" w:val="clear"/>
          </w:tcPr>
          <w:p>
            <w:r>
              <w:rPr>
                <w:rFonts w:ascii="Calibri" w:hAnsi="Calibri"/>
                <w:color w:val="333333"/>
                <w:sz w:val="18"/>
              </w:rPr>
              <w:t>4%</w:t>
            </w:r>
          </w:p>
        </w:tc>
        <w:tc>
          <w:tcPr>
            <w:tcW w:type="dxa" w:w="1680"/>
            <w:shd w:fill="F2F4F8" w:val="clear"/>
          </w:tcPr>
          <w:p>
            <w:r>
              <w:rPr>
                <w:rFonts w:ascii="Calibri" w:hAnsi="Calibri"/>
                <w:color w:val="333333"/>
                <w:sz w:val="18"/>
              </w:rPr>
              <w:t>Signal-driven scoring: 30 signals, coverage=100%</w:t>
            </w:r>
          </w:p>
        </w:tc>
      </w:tr>
      <w:tr>
        <w:tc>
          <w:tcPr>
            <w:tcW w:type="dxa" w:w="1680"/>
          </w:tcPr>
          <w:p>
            <w:r>
              <w:rPr>
                <w:rFonts w:ascii="Calibri" w:hAnsi="Calibri"/>
                <w:color w:val="333333"/>
                <w:sz w:val="18"/>
              </w:rPr>
              <w:t>F3</w:t>
            </w:r>
          </w:p>
        </w:tc>
        <w:tc>
          <w:tcPr>
            <w:tcW w:type="dxa" w:w="1680"/>
          </w:tcPr>
          <w:p>
            <w:r>
              <w:rPr>
                <w:rFonts w:ascii="Calibri" w:hAnsi="Calibri"/>
                <w:color w:val="333333"/>
                <w:sz w:val="18"/>
              </w:rPr>
              <w:t>Restatement/Audit Issues</w:t>
            </w:r>
          </w:p>
        </w:tc>
        <w:tc>
          <w:tcPr>
            <w:tcW w:type="dxa" w:w="1680"/>
          </w:tcPr>
          <w:p>
            <w:r>
              <w:rPr>
                <w:rFonts w:ascii="Calibri" w:hAnsi="Calibri"/>
                <w:color w:val="333333"/>
                <w:sz w:val="18"/>
              </w:rPr>
              <w:t>12</w:t>
            </w:r>
          </w:p>
        </w:tc>
        <w:tc>
          <w:tcPr>
            <w:tcW w:type="dxa" w:w="1680"/>
          </w:tcPr>
          <w:p>
            <w:r>
              <w:rPr>
                <w:rFonts w:ascii="Calibri" w:hAnsi="Calibri"/>
                <w:color w:val="333333"/>
                <w:sz w:val="18"/>
              </w:rPr>
              <w:t>2.3</w:t>
            </w:r>
          </w:p>
        </w:tc>
        <w:tc>
          <w:tcPr>
            <w:tcW w:type="dxa" w:w="1680"/>
          </w:tcPr>
          <w:p>
            <w:r>
              <w:rPr>
                <w:rFonts w:ascii="Calibri" w:hAnsi="Calibri"/>
                <w:color w:val="333333"/>
                <w:sz w:val="18"/>
              </w:rPr>
              <w:t>19%</w:t>
            </w:r>
          </w:p>
        </w:tc>
        <w:tc>
          <w:tcPr>
            <w:tcW w:type="dxa" w:w="1680"/>
          </w:tcPr>
          <w:p>
            <w:r>
              <w:rPr>
                <w:rFonts w:ascii="Calibri" w:hAnsi="Calibri"/>
                <w:color w:val="333333"/>
                <w:sz w:val="18"/>
              </w:rPr>
              <w:t>Signal-driven scoring: 86 signals, coverage=100%</w:t>
            </w:r>
          </w:p>
        </w:tc>
      </w:tr>
      <w:tr>
        <w:tc>
          <w:tcPr>
            <w:tcW w:type="dxa" w:w="1680"/>
            <w:shd w:fill="F2F4F8" w:val="clear"/>
          </w:tcPr>
          <w:p>
            <w:r>
              <w:rPr>
                <w:rFonts w:ascii="Calibri" w:hAnsi="Calibri"/>
                <w:color w:val="333333"/>
                <w:sz w:val="18"/>
              </w:rPr>
              <w:t>F4</w:t>
            </w:r>
          </w:p>
        </w:tc>
        <w:tc>
          <w:tcPr>
            <w:tcW w:type="dxa" w:w="1680"/>
            <w:shd w:fill="F2F4F8" w:val="clear"/>
          </w:tcPr>
          <w:p>
            <w:r>
              <w:rPr>
                <w:rFonts w:ascii="Calibri" w:hAnsi="Calibri"/>
                <w:color w:val="333333"/>
                <w:sz w:val="18"/>
              </w:rPr>
              <w:t>IPO/SPAC/M&amp;A</w:t>
            </w:r>
          </w:p>
        </w:tc>
        <w:tc>
          <w:tcPr>
            <w:tcW w:type="dxa" w:w="1680"/>
            <w:shd w:fill="F2F4F8" w:val="clear"/>
          </w:tcPr>
          <w:p>
            <w:r>
              <w:rPr>
                <w:rFonts w:ascii="Calibri" w:hAnsi="Calibri"/>
                <w:color w:val="333333"/>
                <w:sz w:val="18"/>
              </w:rPr>
              <w:t>10</w:t>
            </w:r>
          </w:p>
        </w:tc>
        <w:tc>
          <w:tcPr>
            <w:tcW w:type="dxa" w:w="1680"/>
            <w:shd w:fill="F2F4F8" w:val="clear"/>
          </w:tcPr>
          <w:p>
            <w:r>
              <w:rPr>
                <w:rFonts w:ascii="Calibri" w:hAnsi="Calibri"/>
                <w:color w:val="333333"/>
                <w:sz w:val="18"/>
              </w:rPr>
              <w:t>0.7</w:t>
            </w:r>
          </w:p>
        </w:tc>
        <w:tc>
          <w:tcPr>
            <w:tcW w:type="dxa" w:w="1680"/>
            <w:shd w:fill="F2F4F8" w:val="clear"/>
          </w:tcPr>
          <w:p>
            <w:r>
              <w:rPr>
                <w:rFonts w:ascii="Calibri" w:hAnsi="Calibri"/>
                <w:color w:val="333333"/>
                <w:sz w:val="18"/>
              </w:rPr>
              <w:t>7%</w:t>
            </w:r>
          </w:p>
        </w:tc>
        <w:tc>
          <w:tcPr>
            <w:tcW w:type="dxa" w:w="1680"/>
            <w:shd w:fill="F2F4F8" w:val="clear"/>
          </w:tcPr>
          <w:p>
            <w:r>
              <w:rPr>
                <w:rFonts w:ascii="Calibri" w:hAnsi="Calibri"/>
                <w:color w:val="333333"/>
                <w:sz w:val="18"/>
              </w:rPr>
              <w:t>Signal-driven scoring: 14 signals, coverage=100%</w:t>
            </w:r>
          </w:p>
        </w:tc>
      </w:tr>
      <w:tr>
        <w:tc>
          <w:tcPr>
            <w:tcW w:type="dxa" w:w="1680"/>
          </w:tcPr>
          <w:p>
            <w:r>
              <w:rPr>
                <w:rFonts w:ascii="Calibri" w:hAnsi="Calibri"/>
                <w:color w:val="333333"/>
                <w:sz w:val="18"/>
              </w:rPr>
              <w:t>F5</w:t>
            </w:r>
          </w:p>
        </w:tc>
        <w:tc>
          <w:tcPr>
            <w:tcW w:type="dxa" w:w="1680"/>
          </w:tcPr>
          <w:p>
            <w:r>
              <w:rPr>
                <w:rFonts w:ascii="Calibri" w:hAnsi="Calibri"/>
                <w:color w:val="333333"/>
                <w:sz w:val="18"/>
              </w:rPr>
              <w:t>Guidance Misses</w:t>
            </w:r>
          </w:p>
        </w:tc>
        <w:tc>
          <w:tcPr>
            <w:tcW w:type="dxa" w:w="1680"/>
          </w:tcPr>
          <w:p>
            <w:r>
              <w:rPr>
                <w:rFonts w:ascii="Calibri" w:hAnsi="Calibri"/>
                <w:color w:val="333333"/>
                <w:sz w:val="18"/>
              </w:rPr>
              <w:t>10</w:t>
            </w:r>
          </w:p>
        </w:tc>
        <w:tc>
          <w:tcPr>
            <w:tcW w:type="dxa" w:w="1680"/>
          </w:tcPr>
          <w:p>
            <w:r>
              <w:rPr>
                <w:rFonts w:ascii="Calibri" w:hAnsi="Calibri"/>
                <w:color w:val="333333"/>
                <w:sz w:val="18"/>
              </w:rPr>
              <w:t>0.4</w:t>
            </w:r>
          </w:p>
        </w:tc>
        <w:tc>
          <w:tcPr>
            <w:tcW w:type="dxa" w:w="1680"/>
          </w:tcPr>
          <w:p>
            <w:r>
              <w:rPr>
                <w:rFonts w:ascii="Calibri" w:hAnsi="Calibri"/>
                <w:color w:val="333333"/>
                <w:sz w:val="18"/>
              </w:rPr>
              <w:t>4%</w:t>
            </w:r>
          </w:p>
        </w:tc>
        <w:tc>
          <w:tcPr>
            <w:tcW w:type="dxa" w:w="1680"/>
          </w:tcPr>
          <w:p>
            <w:r>
              <w:rPr>
                <w:rFonts w:ascii="Calibri" w:hAnsi="Calibri"/>
                <w:color w:val="333333"/>
                <w:sz w:val="18"/>
              </w:rPr>
              <w:t>Signal-driven scoring: 28 signals, coverage=100%</w:t>
            </w:r>
          </w:p>
        </w:tc>
      </w:tr>
      <w:tr>
        <w:tc>
          <w:tcPr>
            <w:tcW w:type="dxa" w:w="1680"/>
            <w:shd w:fill="F2F4F8" w:val="clear"/>
          </w:tcPr>
          <w:p>
            <w:r>
              <w:rPr>
                <w:rFonts w:ascii="Calibri" w:hAnsi="Calibri"/>
                <w:color w:val="333333"/>
                <w:sz w:val="18"/>
              </w:rPr>
              <w:t>F6</w:t>
            </w:r>
          </w:p>
        </w:tc>
        <w:tc>
          <w:tcPr>
            <w:tcW w:type="dxa" w:w="1680"/>
            <w:shd w:fill="F2F4F8" w:val="clear"/>
          </w:tcPr>
          <w:p>
            <w:r>
              <w:rPr>
                <w:rFonts w:ascii="Calibri" w:hAnsi="Calibri"/>
                <w:color w:val="333333"/>
                <w:sz w:val="18"/>
              </w:rPr>
              <w:t>Short Interest</w:t>
            </w:r>
          </w:p>
        </w:tc>
        <w:tc>
          <w:tcPr>
            <w:tcW w:type="dxa" w:w="1680"/>
            <w:shd w:fill="F2F4F8" w:val="clear"/>
          </w:tcPr>
          <w:p>
            <w:r>
              <w:rPr>
                <w:rFonts w:ascii="Calibri" w:hAnsi="Calibri"/>
                <w:color w:val="333333"/>
                <w:sz w:val="18"/>
              </w:rPr>
              <w:t>10</w:t>
            </w:r>
          </w:p>
        </w:tc>
        <w:tc>
          <w:tcPr>
            <w:tcW w:type="dxa" w:w="1680"/>
            <w:shd w:fill="F2F4F8" w:val="clear"/>
          </w:tcPr>
          <w:p>
            <w:r>
              <w:rPr>
                <w:rFonts w:ascii="Calibri" w:hAnsi="Calibri"/>
                <w:color w:val="333333"/>
                <w:sz w:val="18"/>
              </w:rPr>
              <w:t>1.0</w:t>
            </w:r>
          </w:p>
        </w:tc>
        <w:tc>
          <w:tcPr>
            <w:tcW w:type="dxa" w:w="1680"/>
            <w:shd w:fill="F2F4F8" w:val="clear"/>
          </w:tcPr>
          <w:p>
            <w:r>
              <w:rPr>
                <w:rFonts w:ascii="Calibri" w:hAnsi="Calibri"/>
                <w:color w:val="333333"/>
                <w:sz w:val="18"/>
              </w:rPr>
              <w:t>10%</w:t>
            </w:r>
          </w:p>
        </w:tc>
        <w:tc>
          <w:tcPr>
            <w:tcW w:type="dxa" w:w="1680"/>
            <w:shd w:fill="F2F4F8" w:val="clear"/>
          </w:tcPr>
          <w:p>
            <w:r>
              <w:rPr>
                <w:rFonts w:ascii="Calibri" w:hAnsi="Calibri"/>
                <w:color w:val="333333"/>
                <w:sz w:val="18"/>
              </w:rPr>
              <w:t>Signal-driven scoring: 25 signals, coverage=100%</w:t>
            </w:r>
          </w:p>
        </w:tc>
      </w:tr>
      <w:tr>
        <w:tc>
          <w:tcPr>
            <w:tcW w:type="dxa" w:w="1680"/>
          </w:tcPr>
          <w:p>
            <w:r>
              <w:rPr>
                <w:rFonts w:ascii="Calibri" w:hAnsi="Calibri"/>
                <w:color w:val="333333"/>
                <w:sz w:val="18"/>
              </w:rPr>
              <w:t>F7</w:t>
            </w:r>
          </w:p>
        </w:tc>
        <w:tc>
          <w:tcPr>
            <w:tcW w:type="dxa" w:w="1680"/>
          </w:tcPr>
          <w:p>
            <w:r>
              <w:rPr>
                <w:rFonts w:ascii="Calibri" w:hAnsi="Calibri"/>
                <w:color w:val="333333"/>
                <w:sz w:val="18"/>
              </w:rPr>
              <w:t>Stock Volatility</w:t>
            </w:r>
          </w:p>
        </w:tc>
        <w:tc>
          <w:tcPr>
            <w:tcW w:type="dxa" w:w="1680"/>
          </w:tcPr>
          <w:p>
            <w:r>
              <w:rPr>
                <w:rFonts w:ascii="Calibri" w:hAnsi="Calibri"/>
                <w:color w:val="333333"/>
                <w:sz w:val="18"/>
              </w:rPr>
              <w:t>9</w:t>
            </w:r>
          </w:p>
        </w:tc>
        <w:tc>
          <w:tcPr>
            <w:tcW w:type="dxa" w:w="1680"/>
          </w:tcPr>
          <w:p>
            <w:r>
              <w:rPr>
                <w:rFonts w:ascii="Calibri" w:hAnsi="Calibri"/>
                <w:color w:val="333333"/>
                <w:sz w:val="18"/>
              </w:rPr>
              <w:t>0.3</w:t>
            </w:r>
          </w:p>
        </w:tc>
        <w:tc>
          <w:tcPr>
            <w:tcW w:type="dxa" w:w="1680"/>
          </w:tcPr>
          <w:p>
            <w:r>
              <w:rPr>
                <w:rFonts w:ascii="Calibri" w:hAnsi="Calibri"/>
                <w:color w:val="333333"/>
                <w:sz w:val="18"/>
              </w:rPr>
              <w:t>3%</w:t>
            </w:r>
          </w:p>
        </w:tc>
        <w:tc>
          <w:tcPr>
            <w:tcW w:type="dxa" w:w="1680"/>
          </w:tcPr>
          <w:p>
            <w:r>
              <w:rPr>
                <w:rFonts w:ascii="Calibri" w:hAnsi="Calibri"/>
                <w:color w:val="333333"/>
                <w:sz w:val="18"/>
              </w:rPr>
              <w:t>Signal-driven scoring: 30 signals, coverage=100%</w:t>
            </w:r>
          </w:p>
        </w:tc>
      </w:tr>
      <w:tr>
        <w:tc>
          <w:tcPr>
            <w:tcW w:type="dxa" w:w="1680"/>
            <w:shd w:fill="F2F4F8" w:val="clear"/>
          </w:tcPr>
          <w:p>
            <w:r>
              <w:rPr>
                <w:rFonts w:ascii="Calibri" w:hAnsi="Calibri"/>
                <w:color w:val="333333"/>
                <w:sz w:val="18"/>
              </w:rPr>
              <w:t>F8</w:t>
            </w:r>
          </w:p>
        </w:tc>
        <w:tc>
          <w:tcPr>
            <w:tcW w:type="dxa" w:w="1680"/>
            <w:shd w:fill="F2F4F8" w:val="clear"/>
          </w:tcPr>
          <w:p>
            <w:r>
              <w:rPr>
                <w:rFonts w:ascii="Calibri" w:hAnsi="Calibri"/>
                <w:color w:val="333333"/>
                <w:sz w:val="18"/>
              </w:rPr>
              <w:t>Financial Distress</w:t>
            </w:r>
          </w:p>
        </w:tc>
        <w:tc>
          <w:tcPr>
            <w:tcW w:type="dxa" w:w="1680"/>
            <w:shd w:fill="F2F4F8" w:val="clear"/>
          </w:tcPr>
          <w:p>
            <w:r>
              <w:rPr>
                <w:rFonts w:ascii="Calibri" w:hAnsi="Calibri"/>
                <w:color w:val="333333"/>
                <w:sz w:val="18"/>
              </w:rPr>
              <w:t>6</w:t>
            </w:r>
          </w:p>
        </w:tc>
        <w:tc>
          <w:tcPr>
            <w:tcW w:type="dxa" w:w="1680"/>
            <w:shd w:fill="F2F4F8" w:val="clear"/>
          </w:tcPr>
          <w:p>
            <w:r>
              <w:rPr>
                <w:rFonts w:ascii="Calibri" w:hAnsi="Calibri"/>
                <w:color w:val="333333"/>
                <w:sz w:val="18"/>
              </w:rPr>
              <w:t>0.0</w:t>
            </w:r>
          </w:p>
        </w:tc>
        <w:tc>
          <w:tcPr>
            <w:tcW w:type="dxa" w:w="1680"/>
            <w:shd w:fill="F2F4F8" w:val="clear"/>
          </w:tcPr>
          <w:p>
            <w:r>
              <w:rPr>
                <w:rFonts w:ascii="Calibri" w:hAnsi="Calibri"/>
                <w:color w:val="333333"/>
                <w:sz w:val="18"/>
              </w:rPr>
              <w:t>0%</w:t>
            </w:r>
          </w:p>
        </w:tc>
        <w:tc>
          <w:tcPr>
            <w:tcW w:type="dxa" w:w="1680"/>
            <w:shd w:fill="F2F4F8" w:val="clear"/>
          </w:tcPr>
          <w:p>
            <w:r>
              <w:rPr>
                <w:rFonts w:ascii="Calibri" w:hAnsi="Calibri"/>
                <w:color w:val="333333"/>
                <w:sz w:val="18"/>
              </w:rPr>
              <w:t>Signal-driven scoring: 14 signals, coverage=100%</w:t>
            </w:r>
          </w:p>
        </w:tc>
      </w:tr>
      <w:tr>
        <w:tc>
          <w:tcPr>
            <w:tcW w:type="dxa" w:w="1680"/>
          </w:tcPr>
          <w:p>
            <w:r>
              <w:rPr>
                <w:rFonts w:ascii="Calibri" w:hAnsi="Calibri"/>
                <w:color w:val="333333"/>
                <w:sz w:val="18"/>
              </w:rPr>
              <w:t>F9</w:t>
            </w:r>
          </w:p>
        </w:tc>
        <w:tc>
          <w:tcPr>
            <w:tcW w:type="dxa" w:w="1680"/>
          </w:tcPr>
          <w:p>
            <w:r>
              <w:rPr>
                <w:rFonts w:ascii="Calibri" w:hAnsi="Calibri"/>
                <w:color w:val="333333"/>
                <w:sz w:val="18"/>
              </w:rPr>
              <w:t>Governance Issues</w:t>
            </w:r>
          </w:p>
        </w:tc>
        <w:tc>
          <w:tcPr>
            <w:tcW w:type="dxa" w:w="1680"/>
          </w:tcPr>
          <w:p>
            <w:r>
              <w:rPr>
                <w:rFonts w:ascii="Calibri" w:hAnsi="Calibri"/>
                <w:color w:val="333333"/>
                <w:sz w:val="18"/>
              </w:rPr>
              <w:t>8</w:t>
            </w:r>
          </w:p>
        </w:tc>
        <w:tc>
          <w:tcPr>
            <w:tcW w:type="dxa" w:w="1680"/>
          </w:tcPr>
          <w:p>
            <w:r>
              <w:rPr>
                <w:rFonts w:ascii="Calibri" w:hAnsi="Calibri"/>
                <w:color w:val="333333"/>
                <w:sz w:val="18"/>
              </w:rPr>
              <w:t>1.3</w:t>
            </w:r>
          </w:p>
        </w:tc>
        <w:tc>
          <w:tcPr>
            <w:tcW w:type="dxa" w:w="1680"/>
          </w:tcPr>
          <w:p>
            <w:r>
              <w:rPr>
                <w:rFonts w:ascii="Calibri" w:hAnsi="Calibri"/>
                <w:color w:val="333333"/>
                <w:sz w:val="18"/>
              </w:rPr>
              <w:t>17%</w:t>
            </w:r>
          </w:p>
        </w:tc>
        <w:tc>
          <w:tcPr>
            <w:tcW w:type="dxa" w:w="1680"/>
          </w:tcPr>
          <w:p>
            <w:r>
              <w:rPr>
                <w:rFonts w:ascii="Calibri" w:hAnsi="Calibri"/>
                <w:color w:val="333333"/>
                <w:sz w:val="18"/>
              </w:rPr>
              <w:t>Signal-driven scoring: 37 signals, coverage=100%</w:t>
            </w:r>
          </w:p>
        </w:tc>
      </w:tr>
      <w:tr>
        <w:tc>
          <w:tcPr>
            <w:tcW w:type="dxa" w:w="1680"/>
            <w:shd w:fill="F2F4F8" w:val="clear"/>
          </w:tcPr>
          <w:p>
            <w:r>
              <w:rPr>
                <w:rFonts w:ascii="Calibri" w:hAnsi="Calibri"/>
                <w:color w:val="333333"/>
                <w:sz w:val="18"/>
              </w:rPr>
              <w:t>F10</w:t>
            </w:r>
          </w:p>
        </w:tc>
        <w:tc>
          <w:tcPr>
            <w:tcW w:type="dxa" w:w="1680"/>
            <w:shd w:fill="F2F4F8" w:val="clear"/>
          </w:tcPr>
          <w:p>
            <w:r>
              <w:rPr>
                <w:rFonts w:ascii="Calibri" w:hAnsi="Calibri"/>
                <w:color w:val="333333"/>
                <w:sz w:val="18"/>
              </w:rPr>
              <w:t>Officer Stability</w:t>
            </w:r>
          </w:p>
        </w:tc>
        <w:tc>
          <w:tcPr>
            <w:tcW w:type="dxa" w:w="1680"/>
            <w:shd w:fill="F2F4F8" w:val="clear"/>
          </w:tcPr>
          <w:p>
            <w:r>
              <w:rPr>
                <w:rFonts w:ascii="Calibri" w:hAnsi="Calibri"/>
                <w:color w:val="333333"/>
                <w:sz w:val="18"/>
              </w:rPr>
              <w:t>2</w:t>
            </w:r>
          </w:p>
        </w:tc>
        <w:tc>
          <w:tcPr>
            <w:tcW w:type="dxa" w:w="1680"/>
            <w:shd w:fill="F2F4F8" w:val="clear"/>
          </w:tcPr>
          <w:p>
            <w:r>
              <w:rPr>
                <w:rFonts w:ascii="Calibri" w:hAnsi="Calibri"/>
                <w:color w:val="333333"/>
                <w:sz w:val="18"/>
              </w:rPr>
              <w:t>0.1</w:t>
            </w:r>
          </w:p>
        </w:tc>
        <w:tc>
          <w:tcPr>
            <w:tcW w:type="dxa" w:w="1680"/>
            <w:shd w:fill="F2F4F8" w:val="clear"/>
          </w:tcPr>
          <w:p>
            <w:r>
              <w:rPr>
                <w:rFonts w:ascii="Calibri" w:hAnsi="Calibri"/>
                <w:color w:val="333333"/>
                <w:sz w:val="18"/>
              </w:rPr>
              <w:t>5%</w:t>
            </w:r>
          </w:p>
        </w:tc>
        <w:tc>
          <w:tcPr>
            <w:tcW w:type="dxa" w:w="1680"/>
            <w:shd w:fill="F2F4F8" w:val="clear"/>
          </w:tcPr>
          <w:p>
            <w:r>
              <w:rPr>
                <w:rFonts w:ascii="Calibri" w:hAnsi="Calibri"/>
                <w:color w:val="333333"/>
                <w:sz w:val="18"/>
              </w:rPr>
              <w:t>Signal-driven scoring: 92 signals, coverage=100%</w:t>
            </w:r>
          </w:p>
        </w:tc>
      </w:tr>
    </w:tbl>
    <w:p>
      <w:pPr>
        <w:pStyle w:val="DOHeading3"/>
      </w:pPr>
      <w:r>
        <w:t>10-Factor Risk Profile</w:t>
      </w:r>
    </w:p>
    <w:p>
      <w:r>
        <w:drawing>
          <wp:inline xmlns:a="http://schemas.openxmlformats.org/drawingml/2006/main" xmlns:pic="http://schemas.openxmlformats.org/drawingml/2006/picture">
            <wp:extent cx="5943600" cy="5605068"/>
            <wp:docPr id="14" name="Picture 14"/>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943600" cy="5605068"/>
                    </a:xfrm>
                    <a:prstGeom prst="rect"/>
                  </pic:spPr>
                </pic:pic>
              </a:graphicData>
            </a:graphic>
          </wp:inline>
        </w:drawing>
      </w:r>
    </w:p>
    <w:p>
      <w:pPr>
        <w:pStyle w:val="DOCaption"/>
      </w:pPr>
      <w:r>
        <w:t>Figure: Radar chart showing risk fraction (points deducted / max) for each of the 10 scoring factors. Larger area = higher risk.</w:t>
      </w:r>
    </w:p>
    <w:p>
      <w:pPr>
        <w:pStyle w:val="DOHeading3"/>
      </w:pPr>
      <w:r>
        <w:t>Red Flag Gates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Severity</w:t>
            </w:r>
          </w:p>
        </w:tc>
        <w:tc>
          <w:tcPr>
            <w:tcW w:type="dxa" w:w="2016"/>
            <w:shd w:fill="1A1446" w:val="clear"/>
          </w:tcPr>
          <w:p>
            <w:r>
              <w:rPr>
                <w:rFonts w:ascii="Calibri" w:hAnsi="Calibri"/>
                <w:b/>
                <w:color w:val="FFFFFF"/>
                <w:sz w:val="18"/>
              </w:rPr>
              <w:t>Description</w:t>
            </w:r>
          </w:p>
        </w:tc>
        <w:tc>
          <w:tcPr>
            <w:tcW w:type="dxa" w:w="2016"/>
            <w:shd w:fill="1A1446" w:val="clear"/>
          </w:tcPr>
          <w:p>
            <w:r>
              <w:rPr>
                <w:rFonts w:ascii="Calibri" w:hAnsi="Calibri"/>
                <w:b/>
                <w:color w:val="FFFFFF"/>
                <w:sz w:val="18"/>
              </w:rPr>
              <w:t>Source</w:t>
            </w:r>
          </w:p>
        </w:tc>
        <w:tc>
          <w:tcPr>
            <w:tcW w:type="dxa" w:w="2016"/>
            <w:shd w:fill="1A1446" w:val="clear"/>
          </w:tcPr>
          <w:p>
            <w:r>
              <w:rPr>
                <w:rFonts w:ascii="Calibri" w:hAnsi="Calibri"/>
                <w:b/>
                <w:color w:val="FFFFFF"/>
                <w:sz w:val="18"/>
              </w:rPr>
              <w:t>Impact</w:t>
            </w:r>
          </w:p>
        </w:tc>
        <w:tc>
          <w:tcPr>
            <w:tcW w:type="dxa" w:w="2016"/>
            <w:shd w:fill="1A1446" w:val="clear"/>
          </w:tcPr>
          <w:p>
            <w:r>
              <w:rPr>
                <w:rFonts w:ascii="Calibri" w:hAnsi="Calibri"/>
                <w:b/>
                <w:color w:val="FFFFFF"/>
                <w:sz w:val="18"/>
              </w:rPr>
              <w:t>Trajectory</w:t>
            </w:r>
          </w:p>
        </w:tc>
      </w:tr>
      <w:tr>
        <w:tc>
          <w:tcPr>
            <w:tcW w:type="dxa" w:w="2016"/>
          </w:tcPr>
          <w:p>
            <w:r>
              <w:rPr>
                <w:rFonts w:ascii="Calibri" w:hAnsi="Calibri"/>
                <w:color w:val="333333"/>
                <w:sz w:val="18"/>
              </w:rPr>
              <w:t>CRITICAL</w:t>
            </w:r>
          </w:p>
        </w:tc>
        <w:tc>
          <w:tcPr>
            <w:tcW w:type="dxa" w:w="2016"/>
          </w:tcPr>
          <w:p>
            <w:r>
              <w:rPr>
                <w:rFonts w:ascii="Calibri" w:hAnsi="Calibri"/>
                <w:color w:val="333333"/>
                <w:sz w:val="18"/>
              </w:rPr>
              <w:t>Critical Red Flag: Distress Zone (Altman Z &lt; 1.81)</w:t>
            </w:r>
          </w:p>
        </w:tc>
        <w:tc>
          <w:tcPr>
            <w:tcW w:type="dxa" w:w="2016"/>
          </w:tcPr>
          <w:p>
            <w:r>
              <w:rPr>
                <w:rFonts w:ascii="Calibri" w:hAnsi="Calibri"/>
                <w:color w:val="333333"/>
                <w:sz w:val="18"/>
              </w:rPr>
              <w:t>Altman Z-Score 1.41 (zone=grey) &lt; 1.81 distress threshold</w:t>
            </w:r>
          </w:p>
        </w:tc>
        <w:tc>
          <w:tcPr>
            <w:tcW w:type="dxa" w:w="2016"/>
          </w:tcPr>
          <w:p>
            <w:r>
              <w:rPr>
                <w:rFonts w:ascii="Calibri" w:hAnsi="Calibri"/>
                <w:color w:val="333333"/>
                <w:sz w:val="18"/>
              </w:rPr>
              <w:t>Ceiling: 25</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CRITICAL</w:t>
            </w:r>
          </w:p>
        </w:tc>
        <w:tc>
          <w:tcPr>
            <w:tcW w:type="dxa" w:w="2016"/>
            <w:shd w:fill="F2F4F8" w:val="clear"/>
          </w:tcPr>
          <w:p>
            <w:r>
              <w:rPr>
                <w:rFonts w:ascii="Calibri" w:hAnsi="Calibri"/>
                <w:color w:val="333333"/>
                <w:sz w:val="18"/>
              </w:rPr>
              <w:t>Critical Red Flag: Whistleblower/Qui Tam Disclosure</w:t>
            </w:r>
          </w:p>
        </w:tc>
        <w:tc>
          <w:tcPr>
            <w:tcW w:type="dxa" w:w="2016"/>
            <w:shd w:fill="F2F4F8" w:val="clear"/>
          </w:tcPr>
          <w:p>
            <w:r>
              <w:rPr>
                <w:rFonts w:ascii="Calibri" w:hAnsi="Calibri"/>
                <w:color w:val="333333"/>
                <w:sz w:val="18"/>
              </w:rPr>
              <w:t>Whistleblower indicator: internal</w:t>
            </w:r>
          </w:p>
        </w:tc>
        <w:tc>
          <w:tcPr>
            <w:tcW w:type="dxa" w:w="2016"/>
            <w:shd w:fill="F2F4F8" w:val="clear"/>
          </w:tcPr>
          <w:p>
            <w:r>
              <w:rPr>
                <w:rFonts w:ascii="Calibri" w:hAnsi="Calibri"/>
                <w:color w:val="333333"/>
                <w:sz w:val="18"/>
              </w:rPr>
              <w:t>Ceiling: 100</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Prior Litigation: 3/20 points</w:t>
            </w:r>
          </w:p>
        </w:tc>
        <w:tc>
          <w:tcPr>
            <w:tcW w:type="dxa" w:w="2016"/>
          </w:tcPr>
          <w:p>
            <w:r>
              <w:rPr>
                <w:rFonts w:ascii="Calibri" w:hAnsi="Calibri"/>
                <w:color w:val="333333"/>
                <w:sz w:val="18"/>
              </w:rPr>
              <w:t>Signal-driven scoring: 70 signals, coverage=100%</w:t>
            </w:r>
          </w:p>
        </w:tc>
        <w:tc>
          <w:tcPr>
            <w:tcW w:type="dxa" w:w="2016"/>
          </w:tcPr>
          <w:p>
            <w:r>
              <w:rPr>
                <w:rFonts w:ascii="Calibri" w:hAnsi="Calibri"/>
                <w:color w:val="333333"/>
                <w:sz w:val="18"/>
              </w:rPr>
              <w:t>F1: 3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Stock Decline: 1/15 points</w:t>
            </w:r>
          </w:p>
        </w:tc>
        <w:tc>
          <w:tcPr>
            <w:tcW w:type="dxa" w:w="2016"/>
            <w:shd w:fill="F2F4F8" w:val="clear"/>
          </w:tcPr>
          <w:p>
            <w:r>
              <w:rPr>
                <w:rFonts w:ascii="Calibri" w:hAnsi="Calibri"/>
                <w:color w:val="333333"/>
                <w:sz w:val="18"/>
              </w:rPr>
              <w:t>Signal-driven scoring: 30 signals, coverage=100%; Drop contribution modifier: 0.34x (decay + company-specific + disclosure)</w:t>
            </w:r>
          </w:p>
        </w:tc>
        <w:tc>
          <w:tcPr>
            <w:tcW w:type="dxa" w:w="2016"/>
            <w:shd w:fill="F2F4F8" w:val="clear"/>
          </w:tcPr>
          <w:p>
            <w:r>
              <w:rPr>
                <w:rFonts w:ascii="Calibri" w:hAnsi="Calibri"/>
                <w:color w:val="333333"/>
                <w:sz w:val="18"/>
              </w:rPr>
              <w:t>F2: 1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Restatement/Audit Issues: 2/12 points</w:t>
            </w:r>
          </w:p>
        </w:tc>
        <w:tc>
          <w:tcPr>
            <w:tcW w:type="dxa" w:w="2016"/>
          </w:tcPr>
          <w:p>
            <w:r>
              <w:rPr>
                <w:rFonts w:ascii="Calibri" w:hAnsi="Calibri"/>
                <w:color w:val="333333"/>
                <w:sz w:val="18"/>
              </w:rPr>
              <w:t>Signal-driven scoring: 86 signals, coverage=100%</w:t>
            </w:r>
          </w:p>
        </w:tc>
        <w:tc>
          <w:tcPr>
            <w:tcW w:type="dxa" w:w="2016"/>
          </w:tcPr>
          <w:p>
            <w:r>
              <w:rPr>
                <w:rFonts w:ascii="Calibri" w:hAnsi="Calibri"/>
                <w:color w:val="333333"/>
                <w:sz w:val="18"/>
              </w:rPr>
              <w:t>F3: 2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IPO/SPAC/M&amp;A: 1/10 points</w:t>
            </w:r>
          </w:p>
        </w:tc>
        <w:tc>
          <w:tcPr>
            <w:tcW w:type="dxa" w:w="2016"/>
            <w:shd w:fill="F2F4F8" w:val="clear"/>
          </w:tcPr>
          <w:p>
            <w:r>
              <w:rPr>
                <w:rFonts w:ascii="Calibri" w:hAnsi="Calibri"/>
                <w:color w:val="333333"/>
                <w:sz w:val="18"/>
              </w:rPr>
              <w:t>Signal-driven scoring: 14 signals, coverage=100%</w:t>
            </w:r>
          </w:p>
        </w:tc>
        <w:tc>
          <w:tcPr>
            <w:tcW w:type="dxa" w:w="2016"/>
            <w:shd w:fill="F2F4F8" w:val="clear"/>
          </w:tcPr>
          <w:p>
            <w:r>
              <w:rPr>
                <w:rFonts w:ascii="Calibri" w:hAnsi="Calibri"/>
                <w:color w:val="333333"/>
                <w:sz w:val="18"/>
              </w:rPr>
              <w:t>F4: 1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Guidance Misses: 0/10 points</w:t>
            </w:r>
          </w:p>
        </w:tc>
        <w:tc>
          <w:tcPr>
            <w:tcW w:type="dxa" w:w="2016"/>
          </w:tcPr>
          <w:p>
            <w:r>
              <w:rPr>
                <w:rFonts w:ascii="Calibri" w:hAnsi="Calibri"/>
                <w:color w:val="333333"/>
                <w:sz w:val="18"/>
              </w:rPr>
              <w:t>Signal-driven scoring: 28 signals, coverage=100%</w:t>
            </w:r>
          </w:p>
        </w:tc>
        <w:tc>
          <w:tcPr>
            <w:tcW w:type="dxa" w:w="2016"/>
          </w:tcPr>
          <w:p>
            <w:r>
              <w:rPr>
                <w:rFonts w:ascii="Calibri" w:hAnsi="Calibri"/>
                <w:color w:val="333333"/>
                <w:sz w:val="18"/>
              </w:rPr>
              <w:t>F5: 0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Short Interest: 1/10 points</w:t>
            </w:r>
          </w:p>
        </w:tc>
        <w:tc>
          <w:tcPr>
            <w:tcW w:type="dxa" w:w="2016"/>
            <w:shd w:fill="F2F4F8" w:val="clear"/>
          </w:tcPr>
          <w:p>
            <w:r>
              <w:rPr>
                <w:rFonts w:ascii="Calibri" w:hAnsi="Calibri"/>
                <w:color w:val="333333"/>
                <w:sz w:val="18"/>
              </w:rPr>
              <w:t>Signal-driven scoring: 25 signals, coverage=100%</w:t>
            </w:r>
          </w:p>
        </w:tc>
        <w:tc>
          <w:tcPr>
            <w:tcW w:type="dxa" w:w="2016"/>
            <w:shd w:fill="F2F4F8" w:val="clear"/>
          </w:tcPr>
          <w:p>
            <w:r>
              <w:rPr>
                <w:rFonts w:ascii="Calibri" w:hAnsi="Calibri"/>
                <w:color w:val="333333"/>
                <w:sz w:val="18"/>
              </w:rPr>
              <w:t>F6: 1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Stock Volatility: 0/9 points</w:t>
            </w:r>
          </w:p>
        </w:tc>
        <w:tc>
          <w:tcPr>
            <w:tcW w:type="dxa" w:w="2016"/>
          </w:tcPr>
          <w:p>
            <w:r>
              <w:rPr>
                <w:rFonts w:ascii="Calibri" w:hAnsi="Calibri"/>
                <w:color w:val="333333"/>
                <w:sz w:val="18"/>
              </w:rPr>
              <w:t>Signal-driven scoring: 30 signals, coverage=100%</w:t>
            </w:r>
          </w:p>
        </w:tc>
        <w:tc>
          <w:tcPr>
            <w:tcW w:type="dxa" w:w="2016"/>
          </w:tcPr>
          <w:p>
            <w:r>
              <w:rPr>
                <w:rFonts w:ascii="Calibri" w:hAnsi="Calibri"/>
                <w:color w:val="333333"/>
                <w:sz w:val="18"/>
              </w:rPr>
              <w:t>F7: 0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Governance Issues: 1/8 points</w:t>
            </w:r>
          </w:p>
        </w:tc>
        <w:tc>
          <w:tcPr>
            <w:tcW w:type="dxa" w:w="2016"/>
            <w:shd w:fill="F2F4F8" w:val="clear"/>
          </w:tcPr>
          <w:p>
            <w:r>
              <w:rPr>
                <w:rFonts w:ascii="Calibri" w:hAnsi="Calibri"/>
                <w:color w:val="333333"/>
                <w:sz w:val="18"/>
              </w:rPr>
              <w:t>Signal-driven scoring: 37 signals, coverage=100%</w:t>
            </w:r>
          </w:p>
        </w:tc>
        <w:tc>
          <w:tcPr>
            <w:tcW w:type="dxa" w:w="2016"/>
            <w:shd w:fill="F2F4F8" w:val="clear"/>
          </w:tcPr>
          <w:p>
            <w:r>
              <w:rPr>
                <w:rFonts w:ascii="Calibri" w:hAnsi="Calibri"/>
                <w:color w:val="333333"/>
                <w:sz w:val="18"/>
              </w:rPr>
              <w:t>F9: 1 pts</w:t>
            </w:r>
          </w:p>
        </w:tc>
        <w:tc>
          <w:tcPr>
            <w:tcW w:type="dxa" w:w="2016"/>
            <w:shd w:fill="F2F4F8" w:val="clear"/>
          </w:tcPr>
          <w:p>
            <w:r>
              <w:rPr>
                <w:rFonts w:ascii="Calibri" w:hAnsi="Calibri"/>
                <w:color w:val="333333"/>
                <w:sz w:val="18"/>
              </w:rPr>
              <w:t>NEW</w:t>
            </w:r>
          </w:p>
        </w:tc>
      </w:tr>
      <w:tr>
        <w:tc>
          <w:tcPr>
            <w:tcW w:type="dxa" w:w="2016"/>
          </w:tcPr>
          <w:p>
            <w:r>
              <w:rPr>
                <w:rFonts w:ascii="Calibri" w:hAnsi="Calibri"/>
                <w:color w:val="333333"/>
                <w:sz w:val="18"/>
              </w:rPr>
              <w:t>LOW</w:t>
            </w:r>
          </w:p>
        </w:tc>
        <w:tc>
          <w:tcPr>
            <w:tcW w:type="dxa" w:w="2016"/>
          </w:tcPr>
          <w:p>
            <w:r>
              <w:rPr>
                <w:rFonts w:ascii="Calibri" w:hAnsi="Calibri"/>
                <w:color w:val="333333"/>
                <w:sz w:val="18"/>
              </w:rPr>
              <w:t>Officer Stability: 0/2 points</w:t>
            </w:r>
          </w:p>
        </w:tc>
        <w:tc>
          <w:tcPr>
            <w:tcW w:type="dxa" w:w="2016"/>
          </w:tcPr>
          <w:p>
            <w:r>
              <w:rPr>
                <w:rFonts w:ascii="Calibri" w:hAnsi="Calibri"/>
                <w:color w:val="333333"/>
                <w:sz w:val="18"/>
              </w:rPr>
              <w:t>Signal-driven scoring: 92 signals, coverage=100%</w:t>
            </w:r>
          </w:p>
        </w:tc>
        <w:tc>
          <w:tcPr>
            <w:tcW w:type="dxa" w:w="2016"/>
          </w:tcPr>
          <w:p>
            <w:r>
              <w:rPr>
                <w:rFonts w:ascii="Calibri" w:hAnsi="Calibri"/>
                <w:color w:val="333333"/>
                <w:sz w:val="18"/>
              </w:rPr>
              <w:t>F10: 0 pts</w:t>
            </w:r>
          </w:p>
        </w:tc>
        <w:tc>
          <w:tcPr>
            <w:tcW w:type="dxa" w:w="2016"/>
          </w:tcPr>
          <w:p>
            <w:r>
              <w:rPr>
                <w:rFonts w:ascii="Calibri" w:hAnsi="Calibri"/>
                <w:color w:val="333333"/>
                <w:sz w:val="18"/>
              </w:rPr>
              <w:t>NEW</w:t>
            </w:r>
          </w:p>
        </w:tc>
      </w:tr>
      <w:tr>
        <w:tc>
          <w:tcPr>
            <w:tcW w:type="dxa" w:w="2016"/>
            <w:shd w:fill="F2F4F8" w:val="clear"/>
          </w:tcPr>
          <w:p>
            <w:r>
              <w:rPr>
                <w:rFonts w:ascii="Calibri" w:hAnsi="Calibri"/>
                <w:color w:val="333333"/>
                <w:sz w:val="18"/>
              </w:rPr>
              <w:t>LOW</w:t>
            </w:r>
          </w:p>
        </w:tc>
        <w:tc>
          <w:tcPr>
            <w:tcW w:type="dxa" w:w="2016"/>
            <w:shd w:fill="F2F4F8" w:val="clear"/>
          </w:tcPr>
          <w:p>
            <w:r>
              <w:rPr>
                <w:rFonts w:ascii="Calibri" w:hAnsi="Calibri"/>
                <w:color w:val="333333"/>
                <w:sz w:val="18"/>
              </w:rPr>
              <w:t>Pattern: Guidance Track Record (BASELINE)</w:t>
            </w:r>
          </w:p>
        </w:tc>
        <w:tc>
          <w:tcPr>
            <w:tcW w:type="dxa" w:w="2016"/>
            <w:shd w:fill="F2F4F8" w:val="clear"/>
          </w:tcPr>
          <w:p>
            <w:r>
              <w:rPr>
                <w:rFonts w:ascii="Calibri" w:hAnsi="Calibri"/>
                <w:color w:val="333333"/>
                <w:sz w:val="18"/>
              </w:rPr>
              <w:t>Pattern evaluation</w:t>
            </w:r>
          </w:p>
        </w:tc>
        <w:tc>
          <w:tcPr>
            <w:tcW w:type="dxa" w:w="2016"/>
            <w:shd w:fill="F2F4F8" w:val="clear"/>
          </w:tcPr>
          <w:p>
            <w:r>
              <w:rPr>
                <w:rFonts w:ascii="Calibri" w:hAnsi="Calibri"/>
                <w:color w:val="333333"/>
                <w:sz w:val="18"/>
              </w:rPr>
              <w:t>F5: 0</w:t>
            </w:r>
          </w:p>
        </w:tc>
        <w:tc>
          <w:tcPr>
            <w:tcW w:type="dxa" w:w="2016"/>
            <w:shd w:fill="F2F4F8" w:val="clear"/>
          </w:tcPr>
          <w:p>
            <w:r>
              <w:rPr>
                <w:rFonts w:ascii="Calibri" w:hAnsi="Calibri"/>
                <w:color w:val="333333"/>
                <w:sz w:val="18"/>
              </w:rPr>
              <w:t>NEW</w:t>
            </w:r>
          </w:p>
        </w:tc>
      </w:tr>
    </w:tbl>
    <w:p>
      <w:pPr>
        <w:pStyle w:val="DOBody"/>
      </w:pPr>
      <w:r>
        <w:t>Critical: 2, High: 0, Moderate: 0, Low: 10</w:t>
      </w:r>
    </w:p>
    <w:p>
      <w:pPr>
        <w:pStyle w:val="DOHeading3"/>
      </w:pPr>
      <w:r>
        <w:t>Risk Type Classification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Attribute</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Primary Risk Type</w:t>
            </w:r>
          </w:p>
        </w:tc>
        <w:tc>
          <w:tcPr>
            <w:tcW w:type="dxa" w:w="5040"/>
          </w:tcPr>
          <w:p>
            <w:r>
              <w:rPr>
                <w:rFonts w:ascii="Calibri" w:hAnsi="Calibri"/>
                <w:color w:val="333333"/>
                <w:sz w:val="18"/>
              </w:rPr>
              <w:t>GUIDANCE_DEPENDENT</w:t>
            </w:r>
          </w:p>
        </w:tc>
      </w:tr>
      <w:tr>
        <w:tc>
          <w:tcPr>
            <w:tcW w:type="dxa" w:w="5040"/>
            <w:shd w:fill="F2F4F8" w:val="clear"/>
          </w:tcPr>
          <w:p>
            <w:r>
              <w:rPr>
                <w:rFonts w:ascii="Calibri" w:hAnsi="Calibri"/>
                <w:color w:val="333333"/>
                <w:sz w:val="18"/>
              </w:rPr>
              <w:t>Secondary Risk Type</w:t>
            </w:r>
          </w:p>
        </w:tc>
        <w:tc>
          <w:tcPr>
            <w:tcW w:type="dxa" w:w="5040"/>
            <w:shd w:fill="F2F4F8" w:val="clear"/>
          </w:tcPr>
          <w:p>
            <w:r>
              <w:rPr>
                <w:rFonts w:ascii="Calibri" w:hAnsi="Calibri"/>
                <w:color w:val="333333"/>
                <w:sz w:val="18"/>
              </w:rPr>
              <w:t>REGULATORY_SENSITIVE</w:t>
            </w:r>
          </w:p>
        </w:tc>
      </w:tr>
      <w:tr>
        <w:tc>
          <w:tcPr>
            <w:tcW w:type="dxa" w:w="5040"/>
          </w:tcPr>
          <w:p>
            <w:r>
              <w:rPr>
                <w:rFonts w:ascii="Calibri" w:hAnsi="Calibri"/>
                <w:color w:val="333333"/>
                <w:sz w:val="18"/>
              </w:rPr>
              <w:t>Supporting Evidence</w:t>
            </w:r>
          </w:p>
        </w:tc>
        <w:tc>
          <w:tcPr>
            <w:tcW w:type="dxa" w:w="5040"/>
          </w:tcPr>
          <w:p>
            <w:r>
              <w:rPr>
                <w:rFonts w:ascii="Calibri" w:hAnsi="Calibri"/>
                <w:color w:val="333333"/>
                <w:sz w:val="18"/>
              </w:rPr>
              <w:t>F5 guidance misses: 0.36363636363636365 points; Issues guidance (philosophy: CONSERVATIVE)</w:t>
            </w:r>
          </w:p>
        </w:tc>
      </w:tr>
    </w:tbl>
    <w:p>
      <w:pPr>
        <w:pStyle w:val="DOHeading3"/>
      </w:pPr>
      <w:r>
        <w:t>Severity Scenarios</w:t>
      </w:r>
    </w:p>
    <w:p>
      <w:pPr>
        <w:pStyle w:val="DOBody"/>
      </w:pPr>
      <w:r>
        <w:t>Analysis based on market cap: $251.7B</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Percentile</w:t>
            </w:r>
          </w:p>
        </w:tc>
        <w:tc>
          <w:tcPr>
            <w:tcW w:type="dxa" w:w="2016"/>
            <w:shd w:fill="1A1446" w:val="clear"/>
          </w:tcPr>
          <w:p>
            <w:r>
              <w:rPr>
                <w:rFonts w:ascii="Calibri" w:hAnsi="Calibri"/>
                <w:b/>
                <w:color w:val="FFFFFF"/>
                <w:sz w:val="18"/>
              </w:rPr>
              <w:t>Label</w:t>
            </w:r>
          </w:p>
        </w:tc>
        <w:tc>
          <w:tcPr>
            <w:tcW w:type="dxa" w:w="2016"/>
            <w:shd w:fill="1A1446" w:val="clear"/>
          </w:tcPr>
          <w:p>
            <w:r>
              <w:rPr>
                <w:rFonts w:ascii="Calibri" w:hAnsi="Calibri"/>
                <w:b/>
                <w:color w:val="FFFFFF"/>
                <w:sz w:val="18"/>
              </w:rPr>
              <w:t>Settlement Est.</w:t>
            </w:r>
          </w:p>
        </w:tc>
        <w:tc>
          <w:tcPr>
            <w:tcW w:type="dxa" w:w="2016"/>
            <w:shd w:fill="1A1446" w:val="clear"/>
          </w:tcPr>
          <w:p>
            <w:r>
              <w:rPr>
                <w:rFonts w:ascii="Calibri" w:hAnsi="Calibri"/>
                <w:b/>
                <w:color w:val="FFFFFF"/>
                <w:sz w:val="18"/>
              </w:rPr>
              <w:t>Defense Costs</w:t>
            </w:r>
          </w:p>
        </w:tc>
        <w:tc>
          <w:tcPr>
            <w:tcW w:type="dxa" w:w="2016"/>
            <w:shd w:fill="1A1446" w:val="clear"/>
          </w:tcPr>
          <w:p>
            <w:r>
              <w:rPr>
                <w:rFonts w:ascii="Calibri" w:hAnsi="Calibri"/>
                <w:b/>
                <w:color w:val="FFFFFF"/>
                <w:sz w:val="18"/>
              </w:rPr>
              <w:t>Total Exposure</w:t>
            </w:r>
          </w:p>
        </w:tc>
      </w:tr>
      <w:tr>
        <w:tc>
          <w:tcPr>
            <w:tcW w:type="dxa" w:w="2016"/>
          </w:tcPr>
          <w:p>
            <w:r>
              <w:rPr>
                <w:rFonts w:ascii="Calibri" w:hAnsi="Calibri"/>
                <w:color w:val="333333"/>
                <w:sz w:val="18"/>
              </w:rPr>
              <w:t>25th</w:t>
            </w:r>
          </w:p>
        </w:tc>
        <w:tc>
          <w:tcPr>
            <w:tcW w:type="dxa" w:w="2016"/>
          </w:tcPr>
          <w:p>
            <w:r>
              <w:rPr>
                <w:rFonts w:ascii="Calibri" w:hAnsi="Calibri"/>
                <w:color w:val="333333"/>
                <w:sz w:val="18"/>
              </w:rPr>
              <w:t>favorable</w:t>
            </w:r>
          </w:p>
        </w:tc>
        <w:tc>
          <w:tcPr>
            <w:tcW w:type="dxa" w:w="2016"/>
          </w:tcPr>
          <w:p>
            <w:r>
              <w:rPr>
                <w:rFonts w:ascii="Calibri" w:hAnsi="Calibri"/>
                <w:color w:val="333333"/>
                <w:sz w:val="18"/>
              </w:rPr>
              <w:t>$2.0B</w:t>
            </w:r>
          </w:p>
        </w:tc>
        <w:tc>
          <w:tcPr>
            <w:tcW w:type="dxa" w:w="2016"/>
          </w:tcPr>
          <w:p>
            <w:r>
              <w:rPr>
                <w:rFonts w:ascii="Calibri" w:hAnsi="Calibri"/>
                <w:color w:val="333333"/>
                <w:sz w:val="18"/>
              </w:rPr>
              <w:t>$295.5M</w:t>
            </w:r>
          </w:p>
        </w:tc>
        <w:tc>
          <w:tcPr>
            <w:tcW w:type="dxa" w:w="2016"/>
          </w:tcPr>
          <w:p>
            <w:r>
              <w:rPr>
                <w:rFonts w:ascii="Calibri" w:hAnsi="Calibri"/>
                <w:color w:val="333333"/>
                <w:sz w:val="18"/>
              </w:rPr>
              <w:t>$2.3B</w:t>
            </w:r>
          </w:p>
        </w:tc>
      </w:tr>
      <w:tr>
        <w:tc>
          <w:tcPr>
            <w:tcW w:type="dxa" w:w="2016"/>
            <w:shd w:fill="F2F4F8" w:val="clear"/>
          </w:tcPr>
          <w:p>
            <w:r>
              <w:rPr>
                <w:rFonts w:ascii="Calibri" w:hAnsi="Calibri"/>
                <w:color w:val="333333"/>
                <w:sz w:val="18"/>
              </w:rPr>
              <w:t>50th</w:t>
            </w:r>
          </w:p>
        </w:tc>
        <w:tc>
          <w:tcPr>
            <w:tcW w:type="dxa" w:w="2016"/>
            <w:shd w:fill="F2F4F8" w:val="clear"/>
          </w:tcPr>
          <w:p>
            <w:r>
              <w:rPr>
                <w:rFonts w:ascii="Calibri" w:hAnsi="Calibri"/>
                <w:color w:val="333333"/>
                <w:sz w:val="18"/>
              </w:rPr>
              <w:t>median</w:t>
            </w:r>
          </w:p>
        </w:tc>
        <w:tc>
          <w:tcPr>
            <w:tcW w:type="dxa" w:w="2016"/>
            <w:shd w:fill="F2F4F8" w:val="clear"/>
          </w:tcPr>
          <w:p>
            <w:r>
              <w:rPr>
                <w:rFonts w:ascii="Calibri" w:hAnsi="Calibri"/>
                <w:color w:val="333333"/>
                <w:sz w:val="18"/>
              </w:rPr>
              <w:t>$3.9B</w:t>
            </w:r>
          </w:p>
        </w:tc>
        <w:tc>
          <w:tcPr>
            <w:tcW w:type="dxa" w:w="2016"/>
            <w:shd w:fill="F2F4F8" w:val="clear"/>
          </w:tcPr>
          <w:p>
            <w:r>
              <w:rPr>
                <w:rFonts w:ascii="Calibri" w:hAnsi="Calibri"/>
                <w:color w:val="333333"/>
                <w:sz w:val="18"/>
              </w:rPr>
              <w:t>$788.1M</w:t>
            </w:r>
          </w:p>
        </w:tc>
        <w:tc>
          <w:tcPr>
            <w:tcW w:type="dxa" w:w="2016"/>
            <w:shd w:fill="F2F4F8" w:val="clear"/>
          </w:tcPr>
          <w:p>
            <w:r>
              <w:rPr>
                <w:rFonts w:ascii="Calibri" w:hAnsi="Calibri"/>
                <w:color w:val="333333"/>
                <w:sz w:val="18"/>
              </w:rPr>
              <w:t>$4.7B</w:t>
            </w:r>
          </w:p>
        </w:tc>
      </w:tr>
      <w:tr>
        <w:tc>
          <w:tcPr>
            <w:tcW w:type="dxa" w:w="2016"/>
          </w:tcPr>
          <w:p>
            <w:r>
              <w:rPr>
                <w:rFonts w:ascii="Calibri" w:hAnsi="Calibri"/>
                <w:color w:val="333333"/>
                <w:sz w:val="18"/>
              </w:rPr>
              <w:t>75th</w:t>
            </w:r>
          </w:p>
        </w:tc>
        <w:tc>
          <w:tcPr>
            <w:tcW w:type="dxa" w:w="2016"/>
          </w:tcPr>
          <w:p>
            <w:r>
              <w:rPr>
                <w:rFonts w:ascii="Calibri" w:hAnsi="Calibri"/>
                <w:color w:val="333333"/>
                <w:sz w:val="18"/>
              </w:rPr>
              <w:t>adverse</w:t>
            </w:r>
          </w:p>
        </w:tc>
        <w:tc>
          <w:tcPr>
            <w:tcW w:type="dxa" w:w="2016"/>
          </w:tcPr>
          <w:p>
            <w:r>
              <w:rPr>
                <w:rFonts w:ascii="Calibri" w:hAnsi="Calibri"/>
                <w:color w:val="333333"/>
                <w:sz w:val="18"/>
              </w:rPr>
              <w:t>$7.9B</w:t>
            </w:r>
          </w:p>
        </w:tc>
        <w:tc>
          <w:tcPr>
            <w:tcW w:type="dxa" w:w="2016"/>
          </w:tcPr>
          <w:p>
            <w:r>
              <w:rPr>
                <w:rFonts w:ascii="Calibri" w:hAnsi="Calibri"/>
                <w:color w:val="333333"/>
                <w:sz w:val="18"/>
              </w:rPr>
              <w:t>$2.0B</w:t>
            </w:r>
          </w:p>
        </w:tc>
        <w:tc>
          <w:tcPr>
            <w:tcW w:type="dxa" w:w="2016"/>
          </w:tcPr>
          <w:p>
            <w:r>
              <w:rPr>
                <w:rFonts w:ascii="Calibri" w:hAnsi="Calibri"/>
                <w:color w:val="333333"/>
                <w:sz w:val="18"/>
              </w:rPr>
              <w:t>$9.9B</w:t>
            </w:r>
          </w:p>
        </w:tc>
      </w:tr>
      <w:tr>
        <w:tc>
          <w:tcPr>
            <w:tcW w:type="dxa" w:w="2016"/>
            <w:shd w:fill="F2F4F8" w:val="clear"/>
          </w:tcPr>
          <w:p>
            <w:r>
              <w:rPr>
                <w:rFonts w:ascii="Calibri" w:hAnsi="Calibri"/>
                <w:color w:val="333333"/>
                <w:sz w:val="18"/>
              </w:rPr>
              <w:t>95th</w:t>
            </w:r>
          </w:p>
        </w:tc>
        <w:tc>
          <w:tcPr>
            <w:tcW w:type="dxa" w:w="2016"/>
            <w:shd w:fill="F2F4F8" w:val="clear"/>
          </w:tcPr>
          <w:p>
            <w:r>
              <w:rPr>
                <w:rFonts w:ascii="Calibri" w:hAnsi="Calibri"/>
                <w:color w:val="333333"/>
                <w:sz w:val="18"/>
              </w:rPr>
              <w:t>catastrophic</w:t>
            </w:r>
          </w:p>
        </w:tc>
        <w:tc>
          <w:tcPr>
            <w:tcW w:type="dxa" w:w="2016"/>
            <w:shd w:fill="F2F4F8" w:val="clear"/>
          </w:tcPr>
          <w:p>
            <w:r>
              <w:rPr>
                <w:rFonts w:ascii="Calibri" w:hAnsi="Calibri"/>
                <w:color w:val="333333"/>
                <w:sz w:val="18"/>
              </w:rPr>
              <w:t>$15.8B</w:t>
            </w:r>
          </w:p>
        </w:tc>
        <w:tc>
          <w:tcPr>
            <w:tcW w:type="dxa" w:w="2016"/>
            <w:shd w:fill="F2F4F8" w:val="clear"/>
          </w:tcPr>
          <w:p>
            <w:r>
              <w:rPr>
                <w:rFonts w:ascii="Calibri" w:hAnsi="Calibri"/>
                <w:color w:val="333333"/>
                <w:sz w:val="18"/>
              </w:rPr>
              <w:t>$4.7B</w:t>
            </w:r>
          </w:p>
        </w:tc>
        <w:tc>
          <w:tcPr>
            <w:tcW w:type="dxa" w:w="2016"/>
            <w:shd w:fill="F2F4F8" w:val="clear"/>
          </w:tcPr>
          <w:p>
            <w:r>
              <w:rPr>
                <w:rFonts w:ascii="Calibri" w:hAnsi="Calibri"/>
                <w:color w:val="333333"/>
                <w:sz w:val="18"/>
              </w:rPr>
              <w:t>$20.5B</w:t>
            </w:r>
          </w:p>
        </w:tc>
      </w:tr>
    </w:tbl>
    <w:p>
      <w:pPr>
        <w:pStyle w:val="DOHeading3"/>
      </w:pPr>
      <w:r>
        <w:t>Calibration Notes (SECT7-11)</w:t>
      </w:r>
    </w:p>
    <w:p>
      <w:pPr>
        <w:pStyle w:val="DOBody"/>
      </w:pPr>
      <w:r>
        <w:rPr>
          <w:i/>
          <w:sz w:val="16"/>
        </w:rPr>
        <w:t>The following items are flagged NEEDS CALIBRATION and require expert review before final pricing:</w:t>
      </w:r>
    </w:p>
    <w:p>
      <w:pPr>
        <w:pStyle w:val="DOBody"/>
      </w:pPr>
      <w:r>
        <w:t xml:space="preserve">  - SECT7-11: All scoring parameters require calibration against historical cases</w:t>
      </w:r>
    </w:p>
    <w:p>
      <w:pPr>
        <w:pStyle w:val="DOHeading3"/>
      </w:pPr>
      <w:r>
        <w:t>Factor Detail</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shd w:fill="1A1446" w:val="clear"/>
          </w:tcPr>
          <w:p>
            <w:r>
              <w:rPr>
                <w:rFonts w:ascii="Calibri" w:hAnsi="Calibri"/>
                <w:b/>
                <w:color w:val="FFFFFF"/>
                <w:sz w:val="18"/>
              </w:rPr>
              <w:t>Factor</w:t>
            </w:r>
          </w:p>
        </w:tc>
        <w:tc>
          <w:tcPr>
            <w:tcW w:type="dxa" w:w="2016"/>
            <w:shd w:fill="1A1446" w:val="clear"/>
          </w:tcPr>
          <w:p>
            <w:r>
              <w:rPr>
                <w:rFonts w:ascii="Calibri" w:hAnsi="Calibri"/>
                <w:b/>
                <w:color w:val="FFFFFF"/>
                <w:sz w:val="18"/>
              </w:rPr>
              <w:t>Name</w:t>
            </w:r>
          </w:p>
        </w:tc>
        <w:tc>
          <w:tcPr>
            <w:tcW w:type="dxa" w:w="2016"/>
            <w:shd w:fill="1A1446" w:val="clear"/>
          </w:tcPr>
          <w:p>
            <w:r>
              <w:rPr>
                <w:rFonts w:ascii="Calibri" w:hAnsi="Calibri"/>
                <w:b/>
                <w:color w:val="FFFFFF"/>
                <w:sz w:val="18"/>
              </w:rPr>
              <w:t>Deducted</w:t>
            </w:r>
          </w:p>
        </w:tc>
        <w:tc>
          <w:tcPr>
            <w:tcW w:type="dxa" w:w="2016"/>
            <w:shd w:fill="1A1446" w:val="clear"/>
          </w:tcPr>
          <w:p>
            <w:r>
              <w:rPr>
                <w:rFonts w:ascii="Calibri" w:hAnsi="Calibri"/>
                <w:b/>
                <w:color w:val="FFFFFF"/>
                <w:sz w:val="18"/>
              </w:rPr>
              <w:t>Rules Triggered</w:t>
            </w:r>
          </w:p>
        </w:tc>
        <w:tc>
          <w:tcPr>
            <w:tcW w:type="dxa" w:w="2016"/>
            <w:shd w:fill="1A1446" w:val="clear"/>
          </w:tcPr>
          <w:p>
            <w:r>
              <w:rPr>
                <w:rFonts w:ascii="Calibri" w:hAnsi="Calibri"/>
                <w:b/>
                <w:color w:val="FFFFFF"/>
                <w:sz w:val="18"/>
              </w:rPr>
              <w:t>Evidence</w:t>
            </w:r>
          </w:p>
        </w:tc>
      </w:tr>
      <w:tr>
        <w:tc>
          <w:tcPr>
            <w:tcW w:type="dxa" w:w="2016"/>
          </w:tcPr>
          <w:p>
            <w:r>
              <w:rPr>
                <w:rFonts w:ascii="Calibri" w:hAnsi="Calibri"/>
                <w:color w:val="333333"/>
                <w:sz w:val="18"/>
              </w:rPr>
              <w:t>F1</w:t>
            </w:r>
          </w:p>
        </w:tc>
        <w:tc>
          <w:tcPr>
            <w:tcW w:type="dxa" w:w="2016"/>
          </w:tcPr>
          <w:p>
            <w:r>
              <w:rPr>
                <w:rFonts w:ascii="Calibri" w:hAnsi="Calibri"/>
                <w:color w:val="333333"/>
                <w:sz w:val="18"/>
              </w:rPr>
              <w:t>Prior Litigation</w:t>
            </w:r>
          </w:p>
        </w:tc>
        <w:tc>
          <w:tcPr>
            <w:tcW w:type="dxa" w:w="2016"/>
          </w:tcPr>
          <w:p>
            <w:r>
              <w:rPr>
                <w:rFonts w:ascii="Calibri" w:hAnsi="Calibri"/>
                <w:color w:val="333333"/>
                <w:sz w:val="18"/>
              </w:rPr>
              <w:t>3.2</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70 signals, coverage=100%</w:t>
            </w:r>
          </w:p>
        </w:tc>
      </w:tr>
      <w:tr>
        <w:tc>
          <w:tcPr>
            <w:tcW w:type="dxa" w:w="2016"/>
            <w:shd w:fill="F2F4F8" w:val="clear"/>
          </w:tcPr>
          <w:p>
            <w:r>
              <w:rPr>
                <w:rFonts w:ascii="Calibri" w:hAnsi="Calibri"/>
                <w:color w:val="333333"/>
                <w:sz w:val="18"/>
              </w:rPr>
              <w:t>F2</w:t>
            </w:r>
          </w:p>
        </w:tc>
        <w:tc>
          <w:tcPr>
            <w:tcW w:type="dxa" w:w="2016"/>
            <w:shd w:fill="F2F4F8" w:val="clear"/>
          </w:tcPr>
          <w:p>
            <w:r>
              <w:rPr>
                <w:rFonts w:ascii="Calibri" w:hAnsi="Calibri"/>
                <w:color w:val="333333"/>
                <w:sz w:val="18"/>
              </w:rPr>
              <w:t>Stock Decline</w:t>
            </w:r>
          </w:p>
        </w:tc>
        <w:tc>
          <w:tcPr>
            <w:tcW w:type="dxa" w:w="2016"/>
            <w:shd w:fill="F2F4F8" w:val="clear"/>
          </w:tcPr>
          <w:p>
            <w:r>
              <w:rPr>
                <w:rFonts w:ascii="Calibri" w:hAnsi="Calibri"/>
                <w:color w:val="333333"/>
                <w:sz w:val="18"/>
              </w:rPr>
              <w:t>0.6</w:t>
            </w:r>
          </w:p>
        </w:tc>
        <w:tc>
          <w:tcPr>
            <w:tcW w:type="dxa" w:w="2016"/>
            <w:shd w:fill="F2F4F8" w:val="clear"/>
          </w:tcPr>
          <w:p>
            <w:r>
              <w:rPr>
                <w:rFonts w:ascii="Calibri" w:hAnsi="Calibri"/>
                <w:color w:val="333333"/>
                <w:sz w:val="18"/>
              </w:rPr>
              <w:t>drop_contribution_adjustment</w:t>
            </w:r>
          </w:p>
        </w:tc>
        <w:tc>
          <w:tcPr>
            <w:tcW w:type="dxa" w:w="2016"/>
            <w:shd w:fill="F2F4F8" w:val="clear"/>
          </w:tcPr>
          <w:p>
            <w:r>
              <w:rPr>
                <w:rFonts w:ascii="Calibri" w:hAnsi="Calibri"/>
                <w:color w:val="333333"/>
                <w:sz w:val="18"/>
              </w:rPr>
              <w:t>Signal-driven scoring: 30 signals, coverage=100%; Drop contribution modifier: 0.34x (decay + company-specific + disclosure)</w:t>
            </w:r>
          </w:p>
        </w:tc>
      </w:tr>
      <w:tr>
        <w:tc>
          <w:tcPr>
            <w:tcW w:type="dxa" w:w="2016"/>
          </w:tcPr>
          <w:p>
            <w:r>
              <w:rPr>
                <w:rFonts w:ascii="Calibri" w:hAnsi="Calibri"/>
                <w:color w:val="333333"/>
                <w:sz w:val="18"/>
              </w:rPr>
              <w:t>F3</w:t>
            </w:r>
          </w:p>
        </w:tc>
        <w:tc>
          <w:tcPr>
            <w:tcW w:type="dxa" w:w="2016"/>
          </w:tcPr>
          <w:p>
            <w:r>
              <w:rPr>
                <w:rFonts w:ascii="Calibri" w:hAnsi="Calibri"/>
                <w:color w:val="333333"/>
                <w:sz w:val="18"/>
              </w:rPr>
              <w:t>Restatement/Audit Issues</w:t>
            </w:r>
          </w:p>
        </w:tc>
        <w:tc>
          <w:tcPr>
            <w:tcW w:type="dxa" w:w="2016"/>
          </w:tcPr>
          <w:p>
            <w:r>
              <w:rPr>
                <w:rFonts w:ascii="Calibri" w:hAnsi="Calibri"/>
                <w:color w:val="333333"/>
                <w:sz w:val="18"/>
              </w:rPr>
              <w:t>2.3</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86 signals, coverage=100%</w:t>
            </w:r>
          </w:p>
        </w:tc>
      </w:tr>
      <w:tr>
        <w:tc>
          <w:tcPr>
            <w:tcW w:type="dxa" w:w="2016"/>
            <w:shd w:fill="F2F4F8" w:val="clear"/>
          </w:tcPr>
          <w:p>
            <w:r>
              <w:rPr>
                <w:rFonts w:ascii="Calibri" w:hAnsi="Calibri"/>
                <w:color w:val="333333"/>
                <w:sz w:val="18"/>
              </w:rPr>
              <w:t>F4</w:t>
            </w:r>
          </w:p>
        </w:tc>
        <w:tc>
          <w:tcPr>
            <w:tcW w:type="dxa" w:w="2016"/>
            <w:shd w:fill="F2F4F8" w:val="clear"/>
          </w:tcPr>
          <w:p>
            <w:r>
              <w:rPr>
                <w:rFonts w:ascii="Calibri" w:hAnsi="Calibri"/>
                <w:color w:val="333333"/>
                <w:sz w:val="18"/>
              </w:rPr>
              <w:t>IPO/SPAC/M&amp;A</w:t>
            </w:r>
          </w:p>
        </w:tc>
        <w:tc>
          <w:tcPr>
            <w:tcW w:type="dxa" w:w="2016"/>
            <w:shd w:fill="F2F4F8" w:val="clear"/>
          </w:tcPr>
          <w:p>
            <w:r>
              <w:rPr>
                <w:rFonts w:ascii="Calibri" w:hAnsi="Calibri"/>
                <w:color w:val="333333"/>
                <w:sz w:val="18"/>
              </w:rPr>
              <w:t>0.7</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Signal-driven scoring: 14 signals, coverage=100%</w:t>
            </w:r>
          </w:p>
        </w:tc>
      </w:tr>
      <w:tr>
        <w:tc>
          <w:tcPr>
            <w:tcW w:type="dxa" w:w="2016"/>
          </w:tcPr>
          <w:p>
            <w:r>
              <w:rPr>
                <w:rFonts w:ascii="Calibri" w:hAnsi="Calibri"/>
                <w:color w:val="333333"/>
                <w:sz w:val="18"/>
              </w:rPr>
              <w:t>F5</w:t>
            </w:r>
          </w:p>
        </w:tc>
        <w:tc>
          <w:tcPr>
            <w:tcW w:type="dxa" w:w="2016"/>
          </w:tcPr>
          <w:p>
            <w:r>
              <w:rPr>
                <w:rFonts w:ascii="Calibri" w:hAnsi="Calibri"/>
                <w:color w:val="333333"/>
                <w:sz w:val="18"/>
              </w:rPr>
              <w:t>Guidance Misses</w:t>
            </w:r>
          </w:p>
        </w:tc>
        <w:tc>
          <w:tcPr>
            <w:tcW w:type="dxa" w:w="2016"/>
          </w:tcPr>
          <w:p>
            <w:r>
              <w:rPr>
                <w:rFonts w:ascii="Calibri" w:hAnsi="Calibri"/>
                <w:color w:val="333333"/>
                <w:sz w:val="18"/>
              </w:rPr>
              <w:t>0.4</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28 signals, coverage=100%</w:t>
            </w:r>
          </w:p>
        </w:tc>
      </w:tr>
      <w:tr>
        <w:tc>
          <w:tcPr>
            <w:tcW w:type="dxa" w:w="2016"/>
            <w:shd w:fill="F2F4F8" w:val="clear"/>
          </w:tcPr>
          <w:p>
            <w:r>
              <w:rPr>
                <w:rFonts w:ascii="Calibri" w:hAnsi="Calibri"/>
                <w:color w:val="333333"/>
                <w:sz w:val="18"/>
              </w:rPr>
              <w:t>F6</w:t>
            </w:r>
          </w:p>
        </w:tc>
        <w:tc>
          <w:tcPr>
            <w:tcW w:type="dxa" w:w="2016"/>
            <w:shd w:fill="F2F4F8" w:val="clear"/>
          </w:tcPr>
          <w:p>
            <w:r>
              <w:rPr>
                <w:rFonts w:ascii="Calibri" w:hAnsi="Calibri"/>
                <w:color w:val="333333"/>
                <w:sz w:val="18"/>
              </w:rPr>
              <w:t>Short Interest</w:t>
            </w:r>
          </w:p>
        </w:tc>
        <w:tc>
          <w:tcPr>
            <w:tcW w:type="dxa" w:w="2016"/>
            <w:shd w:fill="F2F4F8" w:val="clear"/>
          </w:tcPr>
          <w:p>
            <w:r>
              <w:rPr>
                <w:rFonts w:ascii="Calibri" w:hAnsi="Calibri"/>
                <w:color w:val="333333"/>
                <w:sz w:val="18"/>
              </w:rPr>
              <w:t>1.0</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Signal-driven scoring: 25 signals, coverage=100%</w:t>
            </w:r>
          </w:p>
        </w:tc>
      </w:tr>
      <w:tr>
        <w:tc>
          <w:tcPr>
            <w:tcW w:type="dxa" w:w="2016"/>
          </w:tcPr>
          <w:p>
            <w:r>
              <w:rPr>
                <w:rFonts w:ascii="Calibri" w:hAnsi="Calibri"/>
                <w:color w:val="333333"/>
                <w:sz w:val="18"/>
              </w:rPr>
              <w:t>F7</w:t>
            </w:r>
          </w:p>
        </w:tc>
        <w:tc>
          <w:tcPr>
            <w:tcW w:type="dxa" w:w="2016"/>
          </w:tcPr>
          <w:p>
            <w:r>
              <w:rPr>
                <w:rFonts w:ascii="Calibri" w:hAnsi="Calibri"/>
                <w:color w:val="333333"/>
                <w:sz w:val="18"/>
              </w:rPr>
              <w:t>Stock Volatility</w:t>
            </w:r>
          </w:p>
        </w:tc>
        <w:tc>
          <w:tcPr>
            <w:tcW w:type="dxa" w:w="2016"/>
          </w:tcPr>
          <w:p>
            <w:r>
              <w:rPr>
                <w:rFonts w:ascii="Calibri" w:hAnsi="Calibri"/>
                <w:color w:val="333333"/>
                <w:sz w:val="18"/>
              </w:rPr>
              <w:t>0.3</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30 signals, coverage=100%</w:t>
            </w:r>
          </w:p>
        </w:tc>
      </w:tr>
      <w:tr>
        <w:tc>
          <w:tcPr>
            <w:tcW w:type="dxa" w:w="2016"/>
            <w:shd w:fill="F2F4F8" w:val="clear"/>
          </w:tcPr>
          <w:p>
            <w:r>
              <w:rPr>
                <w:rFonts w:ascii="Calibri" w:hAnsi="Calibri"/>
                <w:color w:val="333333"/>
                <w:sz w:val="18"/>
              </w:rPr>
              <w:t>F9</w:t>
            </w:r>
          </w:p>
        </w:tc>
        <w:tc>
          <w:tcPr>
            <w:tcW w:type="dxa" w:w="2016"/>
            <w:shd w:fill="F2F4F8" w:val="clear"/>
          </w:tcPr>
          <w:p>
            <w:r>
              <w:rPr>
                <w:rFonts w:ascii="Calibri" w:hAnsi="Calibri"/>
                <w:color w:val="333333"/>
                <w:sz w:val="18"/>
              </w:rPr>
              <w:t>Governance Issues</w:t>
            </w:r>
          </w:p>
        </w:tc>
        <w:tc>
          <w:tcPr>
            <w:tcW w:type="dxa" w:w="2016"/>
            <w:shd w:fill="F2F4F8" w:val="clear"/>
          </w:tcPr>
          <w:p>
            <w:r>
              <w:rPr>
                <w:rFonts w:ascii="Calibri" w:hAnsi="Calibri"/>
                <w:color w:val="333333"/>
                <w:sz w:val="18"/>
              </w:rPr>
              <w:t>1.3</w:t>
            </w:r>
          </w:p>
        </w:tc>
        <w:tc>
          <w:tcPr>
            <w:tcW w:type="dxa" w:w="2016"/>
            <w:shd w:fill="F2F4F8" w:val="clear"/>
          </w:tcPr>
          <w:p>
            <w:r>
              <w:rPr>
                <w:rFonts w:ascii="Calibri" w:hAnsi="Calibri"/>
                <w:color w:val="333333"/>
                <w:sz w:val="18"/>
              </w:rPr>
              <w:t>N/A</w:t>
            </w:r>
          </w:p>
        </w:tc>
        <w:tc>
          <w:tcPr>
            <w:tcW w:type="dxa" w:w="2016"/>
            <w:shd w:fill="F2F4F8" w:val="clear"/>
          </w:tcPr>
          <w:p>
            <w:r>
              <w:rPr>
                <w:rFonts w:ascii="Calibri" w:hAnsi="Calibri"/>
                <w:color w:val="333333"/>
                <w:sz w:val="18"/>
              </w:rPr>
              <w:t>Signal-driven scoring: 37 signals, coverage=100%</w:t>
            </w:r>
          </w:p>
        </w:tc>
      </w:tr>
      <w:tr>
        <w:tc>
          <w:tcPr>
            <w:tcW w:type="dxa" w:w="2016"/>
          </w:tcPr>
          <w:p>
            <w:r>
              <w:rPr>
                <w:rFonts w:ascii="Calibri" w:hAnsi="Calibri"/>
                <w:color w:val="333333"/>
                <w:sz w:val="18"/>
              </w:rPr>
              <w:t>F10</w:t>
            </w:r>
          </w:p>
        </w:tc>
        <w:tc>
          <w:tcPr>
            <w:tcW w:type="dxa" w:w="2016"/>
          </w:tcPr>
          <w:p>
            <w:r>
              <w:rPr>
                <w:rFonts w:ascii="Calibri" w:hAnsi="Calibri"/>
                <w:color w:val="333333"/>
                <w:sz w:val="18"/>
              </w:rPr>
              <w:t>Officer Stability</w:t>
            </w:r>
          </w:p>
        </w:tc>
        <w:tc>
          <w:tcPr>
            <w:tcW w:type="dxa" w:w="2016"/>
          </w:tcPr>
          <w:p>
            <w:r>
              <w:rPr>
                <w:rFonts w:ascii="Calibri" w:hAnsi="Calibri"/>
                <w:color w:val="333333"/>
                <w:sz w:val="18"/>
              </w:rPr>
              <w:t>0.1</w:t>
            </w:r>
          </w:p>
        </w:tc>
        <w:tc>
          <w:tcPr>
            <w:tcW w:type="dxa" w:w="2016"/>
          </w:tcPr>
          <w:p>
            <w:r>
              <w:rPr>
                <w:rFonts w:ascii="Calibri" w:hAnsi="Calibri"/>
                <w:color w:val="333333"/>
                <w:sz w:val="18"/>
              </w:rPr>
              <w:t>N/A</w:t>
            </w:r>
          </w:p>
        </w:tc>
        <w:tc>
          <w:tcPr>
            <w:tcW w:type="dxa" w:w="2016"/>
          </w:tcPr>
          <w:p>
            <w:r>
              <w:rPr>
                <w:rFonts w:ascii="Calibri" w:hAnsi="Calibri"/>
                <w:color w:val="333333"/>
                <w:sz w:val="18"/>
              </w:rPr>
              <w:t>Signal-driven scoring: 92 signals, coverage=100%</w:t>
            </w:r>
          </w:p>
        </w:tc>
      </w:tr>
    </w:tbl>
    <w:p>
      <w:pPr>
        <w:pStyle w:val="DOBody"/>
      </w:pPr>
      <w:r>
        <w:rPr>
          <w:b/>
          <w:sz w:val="20"/>
        </w:rPr>
        <w:t>Sub-Component Breakdown</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Factor</w:t>
            </w:r>
          </w:p>
        </w:tc>
        <w:tc>
          <w:tcPr>
            <w:tcW w:type="dxa" w:w="3360"/>
            <w:shd w:fill="1A1446" w:val="clear"/>
          </w:tcPr>
          <w:p>
            <w:r>
              <w:rPr>
                <w:rFonts w:ascii="Calibri" w:hAnsi="Calibri"/>
                <w:b/>
                <w:color w:val="FFFFFF"/>
                <w:sz w:val="18"/>
              </w:rPr>
              <w:t>Component</w:t>
            </w:r>
          </w:p>
        </w:tc>
        <w:tc>
          <w:tcPr>
            <w:tcW w:type="dxa" w:w="3360"/>
            <w:shd w:fill="1A1446" w:val="clear"/>
          </w:tcPr>
          <w:p>
            <w:r>
              <w:rPr>
                <w:rFonts w:ascii="Calibri" w:hAnsi="Calibri"/>
                <w:b/>
                <w:color w:val="FFFFFF"/>
                <w:sz w:val="18"/>
              </w:rPr>
              <w:t>Value</w:t>
            </w:r>
          </w:p>
        </w:tc>
      </w:tr>
      <w:tr>
        <w:tc>
          <w:tcPr>
            <w:tcW w:type="dxa" w:w="3360"/>
          </w:tcPr>
          <w:p>
            <w:r>
              <w:rPr>
                <w:rFonts w:ascii="Calibri" w:hAnsi="Calibri"/>
                <w:color w:val="333333"/>
                <w:sz w:val="18"/>
              </w:rPr>
              <w:t>F1</w:t>
            </w:r>
          </w:p>
        </w:tc>
        <w:tc>
          <w:tcPr>
            <w:tcW w:type="dxa" w:w="3360"/>
          </w:tcPr>
          <w:p>
            <w:r>
              <w:rPr>
                <w:rFonts w:ascii="Calibri" w:hAnsi="Calibri"/>
                <w:color w:val="333333"/>
                <w:sz w:val="18"/>
              </w:rPr>
              <w:t>base</w:t>
            </w:r>
          </w:p>
        </w:tc>
        <w:tc>
          <w:tcPr>
            <w:tcW w:type="dxa" w:w="3360"/>
          </w:tcPr>
          <w:p>
            <w:r>
              <w:rPr>
                <w:rFonts w:ascii="Calibri" w:hAnsi="Calibri"/>
                <w:color w:val="333333"/>
                <w:sz w:val="18"/>
              </w:rPr>
              <w:t>3.19</w:t>
            </w:r>
          </w:p>
        </w:tc>
      </w:tr>
      <w:tr>
        <w:tc>
          <w:tcPr>
            <w:tcW w:type="dxa" w:w="3360"/>
            <w:shd w:fill="F2F4F8" w:val="clear"/>
          </w:tcPr>
          <w:p>
            <w:r>
              <w:rPr>
                <w:rFonts w:ascii="Calibri" w:hAnsi="Calibri"/>
                <w:color w:val="333333"/>
                <w:sz w:val="18"/>
              </w:rPr>
              <w:t>F1</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F1</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3.19</w:t>
            </w:r>
          </w:p>
        </w:tc>
      </w:tr>
      <w:tr>
        <w:tc>
          <w:tcPr>
            <w:tcW w:type="dxa" w:w="3360"/>
            <w:shd w:fill="F2F4F8" w:val="clear"/>
          </w:tcPr>
          <w:p>
            <w:r>
              <w:rPr>
                <w:rFonts w:ascii="Calibri" w:hAnsi="Calibri"/>
                <w:color w:val="333333"/>
                <w:sz w:val="18"/>
              </w:rPr>
              <w:t>F1</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3.19</w:t>
            </w:r>
          </w:p>
        </w:tc>
      </w:tr>
      <w:tr>
        <w:tc>
          <w:tcPr>
            <w:tcW w:type="dxa" w:w="3360"/>
          </w:tcPr>
          <w:p>
            <w:r>
              <w:rPr>
                <w:rFonts w:ascii="Calibri" w:hAnsi="Calibri"/>
                <w:color w:val="333333"/>
                <w:sz w:val="18"/>
              </w:rPr>
              <w:t>F2</w:t>
            </w:r>
          </w:p>
        </w:tc>
        <w:tc>
          <w:tcPr>
            <w:tcW w:type="dxa" w:w="3360"/>
          </w:tcPr>
          <w:p>
            <w:r>
              <w:rPr>
                <w:rFonts w:ascii="Calibri" w:hAnsi="Calibri"/>
                <w:color w:val="333333"/>
                <w:sz w:val="18"/>
              </w:rPr>
              <w:t>base</w:t>
            </w:r>
          </w:p>
        </w:tc>
        <w:tc>
          <w:tcPr>
            <w:tcW w:type="dxa" w:w="3360"/>
          </w:tcPr>
          <w:p>
            <w:r>
              <w:rPr>
                <w:rFonts w:ascii="Calibri" w:hAnsi="Calibri"/>
                <w:color w:val="333333"/>
                <w:sz w:val="18"/>
              </w:rPr>
              <w:t>1.64</w:t>
            </w:r>
          </w:p>
        </w:tc>
      </w:tr>
      <w:tr>
        <w:tc>
          <w:tcPr>
            <w:tcW w:type="dxa" w:w="3360"/>
            <w:shd w:fill="F2F4F8" w:val="clear"/>
          </w:tcPr>
          <w:p>
            <w:r>
              <w:rPr>
                <w:rFonts w:ascii="Calibri" w:hAnsi="Calibri"/>
                <w:color w:val="333333"/>
                <w:sz w:val="18"/>
              </w:rPr>
              <w:t>F2</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F2</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F2</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F2</w:t>
            </w:r>
          </w:p>
        </w:tc>
        <w:tc>
          <w:tcPr>
            <w:tcW w:type="dxa" w:w="3360"/>
          </w:tcPr>
          <w:p>
            <w:r>
              <w:rPr>
                <w:rFonts w:ascii="Calibri" w:hAnsi="Calibri"/>
                <w:color w:val="333333"/>
                <w:sz w:val="18"/>
              </w:rPr>
              <w:t>drop_contribution_modifier</w:t>
            </w:r>
          </w:p>
        </w:tc>
        <w:tc>
          <w:tcPr>
            <w:tcW w:type="dxa" w:w="3360"/>
          </w:tcPr>
          <w:p>
            <w:r>
              <w:rPr>
                <w:rFonts w:ascii="Calibri" w:hAnsi="Calibri"/>
                <w:color w:val="333333"/>
                <w:sz w:val="18"/>
              </w:rPr>
              <w:t>0.34</w:t>
            </w:r>
          </w:p>
        </w:tc>
      </w:tr>
      <w:tr>
        <w:tc>
          <w:tcPr>
            <w:tcW w:type="dxa" w:w="3360"/>
            <w:shd w:fill="F2F4F8" w:val="clear"/>
          </w:tcPr>
          <w:p>
            <w:r>
              <w:rPr>
                <w:rFonts w:ascii="Calibri" w:hAnsi="Calibri"/>
                <w:color w:val="333333"/>
                <w:sz w:val="18"/>
              </w:rPr>
              <w:t>F2</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0.56</w:t>
            </w:r>
          </w:p>
        </w:tc>
      </w:tr>
      <w:tr>
        <w:tc>
          <w:tcPr>
            <w:tcW w:type="dxa" w:w="3360"/>
          </w:tcPr>
          <w:p>
            <w:r>
              <w:rPr>
                <w:rFonts w:ascii="Calibri" w:hAnsi="Calibri"/>
                <w:color w:val="333333"/>
                <w:sz w:val="18"/>
              </w:rPr>
              <w:t>F2</w:t>
            </w:r>
          </w:p>
        </w:tc>
        <w:tc>
          <w:tcPr>
            <w:tcW w:type="dxa" w:w="3360"/>
          </w:tcPr>
          <w:p>
            <w:r>
              <w:rPr>
                <w:rFonts w:ascii="Calibri" w:hAnsi="Calibri"/>
                <w:color w:val="333333"/>
                <w:sz w:val="18"/>
              </w:rPr>
              <w:t>capped</w:t>
            </w:r>
          </w:p>
        </w:tc>
        <w:tc>
          <w:tcPr>
            <w:tcW w:type="dxa" w:w="3360"/>
          </w:tcPr>
          <w:p>
            <w:r>
              <w:rPr>
                <w:rFonts w:ascii="Calibri" w:hAnsi="Calibri"/>
                <w:color w:val="333333"/>
                <w:sz w:val="18"/>
              </w:rPr>
              <w:t>0.56</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2.31</w:t>
            </w:r>
          </w:p>
        </w:tc>
      </w:tr>
      <w:tr>
        <w:tc>
          <w:tcPr>
            <w:tcW w:type="dxa" w:w="3360"/>
          </w:tcPr>
          <w:p>
            <w:r>
              <w:rPr>
                <w:rFonts w:ascii="Calibri" w:hAnsi="Calibri"/>
                <w:color w:val="333333"/>
                <w:sz w:val="18"/>
              </w:rPr>
              <w:t>F3</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F3</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F3</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2.31</w:t>
            </w:r>
          </w:p>
        </w:tc>
      </w:tr>
      <w:tr>
        <w:tc>
          <w:tcPr>
            <w:tcW w:type="dxa" w:w="3360"/>
          </w:tcPr>
          <w:p>
            <w:r>
              <w:rPr>
                <w:rFonts w:ascii="Calibri" w:hAnsi="Calibri"/>
                <w:color w:val="333333"/>
                <w:sz w:val="18"/>
              </w:rPr>
              <w:t>F3</w:t>
            </w:r>
          </w:p>
        </w:tc>
        <w:tc>
          <w:tcPr>
            <w:tcW w:type="dxa" w:w="3360"/>
          </w:tcPr>
          <w:p>
            <w:r>
              <w:rPr>
                <w:rFonts w:ascii="Calibri" w:hAnsi="Calibri"/>
                <w:color w:val="333333"/>
                <w:sz w:val="18"/>
              </w:rPr>
              <w:t>capped</w:t>
            </w:r>
          </w:p>
        </w:tc>
        <w:tc>
          <w:tcPr>
            <w:tcW w:type="dxa" w:w="3360"/>
          </w:tcPr>
          <w:p>
            <w:r>
              <w:rPr>
                <w:rFonts w:ascii="Calibri" w:hAnsi="Calibri"/>
                <w:color w:val="333333"/>
                <w:sz w:val="18"/>
              </w:rPr>
              <w:t>2.31</w:t>
            </w:r>
          </w:p>
        </w:tc>
      </w:tr>
      <w:tr>
        <w:tc>
          <w:tcPr>
            <w:tcW w:type="dxa" w:w="3360"/>
            <w:shd w:fill="F2F4F8" w:val="clear"/>
          </w:tcPr>
          <w:p>
            <w:r>
              <w:rPr>
                <w:rFonts w:ascii="Calibri" w:hAnsi="Calibri"/>
                <w:color w:val="333333"/>
                <w:sz w:val="18"/>
              </w:rPr>
              <w:t>F4</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0.71</w:t>
            </w:r>
          </w:p>
        </w:tc>
      </w:tr>
      <w:tr>
        <w:tc>
          <w:tcPr>
            <w:tcW w:type="dxa" w:w="3360"/>
          </w:tcPr>
          <w:p>
            <w:r>
              <w:rPr>
                <w:rFonts w:ascii="Calibri" w:hAnsi="Calibri"/>
                <w:color w:val="333333"/>
                <w:sz w:val="18"/>
              </w:rPr>
              <w:t>F4</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F4</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F4</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F4</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0.71</w:t>
            </w:r>
          </w:p>
        </w:tc>
      </w:tr>
      <w:tr>
        <w:tc>
          <w:tcPr>
            <w:tcW w:type="dxa" w:w="3360"/>
          </w:tcPr>
          <w:p>
            <w:r>
              <w:rPr>
                <w:rFonts w:ascii="Calibri" w:hAnsi="Calibri"/>
                <w:color w:val="333333"/>
                <w:sz w:val="18"/>
              </w:rPr>
              <w:t>F4</w:t>
            </w:r>
          </w:p>
        </w:tc>
        <w:tc>
          <w:tcPr>
            <w:tcW w:type="dxa" w:w="3360"/>
          </w:tcPr>
          <w:p>
            <w:r>
              <w:rPr>
                <w:rFonts w:ascii="Calibri" w:hAnsi="Calibri"/>
                <w:color w:val="333333"/>
                <w:sz w:val="18"/>
              </w:rPr>
              <w:t>capped</w:t>
            </w:r>
          </w:p>
        </w:tc>
        <w:tc>
          <w:tcPr>
            <w:tcW w:type="dxa" w:w="3360"/>
          </w:tcPr>
          <w:p>
            <w:r>
              <w:rPr>
                <w:rFonts w:ascii="Calibri" w:hAnsi="Calibri"/>
                <w:color w:val="333333"/>
                <w:sz w:val="18"/>
              </w:rPr>
              <w:t>0.71</w:t>
            </w:r>
          </w:p>
        </w:tc>
      </w:tr>
      <w:tr>
        <w:tc>
          <w:tcPr>
            <w:tcW w:type="dxa" w:w="3360"/>
            <w:shd w:fill="F2F4F8" w:val="clear"/>
          </w:tcPr>
          <w:p>
            <w:r>
              <w:rPr>
                <w:rFonts w:ascii="Calibri" w:hAnsi="Calibri"/>
                <w:color w:val="333333"/>
                <w:sz w:val="18"/>
              </w:rPr>
              <w:t>F5</w:t>
            </w:r>
          </w:p>
        </w:tc>
        <w:tc>
          <w:tcPr>
            <w:tcW w:type="dxa" w:w="3360"/>
            <w:shd w:fill="F2F4F8" w:val="clear"/>
          </w:tcPr>
          <w:p>
            <w:r>
              <w:rPr>
                <w:rFonts w:ascii="Calibri" w:hAnsi="Calibri"/>
                <w:color w:val="333333"/>
                <w:sz w:val="18"/>
              </w:rPr>
              <w:t>base</w:t>
            </w:r>
          </w:p>
        </w:tc>
        <w:tc>
          <w:tcPr>
            <w:tcW w:type="dxa" w:w="3360"/>
            <w:shd w:fill="F2F4F8" w:val="clear"/>
          </w:tcPr>
          <w:p>
            <w:r>
              <w:rPr>
                <w:rFonts w:ascii="Calibri" w:hAnsi="Calibri"/>
                <w:color w:val="333333"/>
                <w:sz w:val="18"/>
              </w:rPr>
              <w:t>0.36</w:t>
            </w:r>
          </w:p>
        </w:tc>
      </w:tr>
      <w:tr>
        <w:tc>
          <w:tcPr>
            <w:tcW w:type="dxa" w:w="3360"/>
          </w:tcPr>
          <w:p>
            <w:r>
              <w:rPr>
                <w:rFonts w:ascii="Calibri" w:hAnsi="Calibri"/>
                <w:color w:val="333333"/>
                <w:sz w:val="18"/>
              </w:rPr>
              <w:t>F5</w:t>
            </w:r>
          </w:p>
        </w:tc>
        <w:tc>
          <w:tcPr>
            <w:tcW w:type="dxa" w:w="3360"/>
          </w:tcPr>
          <w:p>
            <w:r>
              <w:rPr>
                <w:rFonts w:ascii="Calibri" w:hAnsi="Calibri"/>
                <w:color w:val="333333"/>
                <w:sz w:val="18"/>
              </w:rPr>
              <w:t>bonus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F5</w:t>
            </w:r>
          </w:p>
        </w:tc>
        <w:tc>
          <w:tcPr>
            <w:tcW w:type="dxa" w:w="3360"/>
            <w:shd w:fill="F2F4F8" w:val="clear"/>
          </w:tcPr>
          <w:p>
            <w:r>
              <w:rPr>
                <w:rFonts w:ascii="Calibri" w:hAnsi="Calibri"/>
                <w:color w:val="333333"/>
                <w:sz w:val="18"/>
              </w:rPr>
              <w:t>modifiers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F5</w:t>
            </w:r>
          </w:p>
        </w:tc>
        <w:tc>
          <w:tcPr>
            <w:tcW w:type="dxa" w:w="3360"/>
          </w:tcPr>
          <w:p>
            <w:r>
              <w:rPr>
                <w:rFonts w:ascii="Calibri" w:hAnsi="Calibri"/>
                <w:color w:val="333333"/>
                <w:sz w:val="18"/>
              </w:rPr>
              <w:t>hard_triggers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F5</w:t>
            </w:r>
          </w:p>
        </w:tc>
        <w:tc>
          <w:tcPr>
            <w:tcW w:type="dxa" w:w="3360"/>
            <w:shd w:fill="F2F4F8" w:val="clear"/>
          </w:tcPr>
          <w:p>
            <w:r>
              <w:rPr>
                <w:rFonts w:ascii="Calibri" w:hAnsi="Calibri"/>
                <w:color w:val="333333"/>
                <w:sz w:val="18"/>
              </w:rPr>
              <w:t>total_before_cap</w:t>
            </w:r>
          </w:p>
        </w:tc>
        <w:tc>
          <w:tcPr>
            <w:tcW w:type="dxa" w:w="3360"/>
            <w:shd w:fill="F2F4F8" w:val="clear"/>
          </w:tcPr>
          <w:p>
            <w:r>
              <w:rPr>
                <w:rFonts w:ascii="Calibri" w:hAnsi="Calibri"/>
                <w:color w:val="333333"/>
                <w:sz w:val="18"/>
              </w:rPr>
              <w:t>0.36</w:t>
            </w:r>
          </w:p>
        </w:tc>
      </w:tr>
      <w:tr>
        <w:tc>
          <w:tcPr>
            <w:tcW w:type="dxa" w:w="3360"/>
          </w:tcPr>
          <w:p>
            <w:r>
              <w:rPr>
                <w:rFonts w:ascii="Calibri" w:hAnsi="Calibri"/>
                <w:color w:val="333333"/>
                <w:sz w:val="18"/>
              </w:rPr>
              <w:t>F5</w:t>
            </w:r>
          </w:p>
        </w:tc>
        <w:tc>
          <w:tcPr>
            <w:tcW w:type="dxa" w:w="3360"/>
          </w:tcPr>
          <w:p>
            <w:r>
              <w:rPr>
                <w:rFonts w:ascii="Calibri" w:hAnsi="Calibri"/>
                <w:color w:val="333333"/>
                <w:sz w:val="18"/>
              </w:rPr>
              <w:t>capped</w:t>
            </w:r>
          </w:p>
        </w:tc>
        <w:tc>
          <w:tcPr>
            <w:tcW w:type="dxa" w:w="3360"/>
          </w:tcPr>
          <w:p>
            <w:r>
              <w:rPr>
                <w:rFonts w:ascii="Calibri" w:hAnsi="Calibri"/>
                <w:color w:val="333333"/>
                <w:sz w:val="18"/>
              </w:rPr>
              <w:t>0.36</w:t>
            </w:r>
          </w:p>
        </w:tc>
      </w:tr>
      <w:tr>
        <w:tc>
          <w:tcPr>
            <w:tcW w:type="dxa" w:w="3360"/>
            <w:shd w:fill="F2F4F8" w:val="clear"/>
          </w:tcPr>
          <w:p>
            <w:r>
              <w:rPr>
                <w:rFonts w:ascii="Calibri" w:hAnsi="Calibri"/>
                <w:color w:val="333333"/>
                <w:sz w:val="18"/>
              </w:rPr>
              <w:t>F5</w:t>
            </w:r>
          </w:p>
        </w:tc>
        <w:tc>
          <w:tcPr>
            <w:tcW w:type="dxa" w:w="3360"/>
            <w:shd w:fill="F2F4F8" w:val="clear"/>
          </w:tcPr>
          <w:p>
            <w:r>
              <w:rPr>
                <w:rFonts w:ascii="Calibri" w:hAnsi="Calibri"/>
                <w:color w:val="333333"/>
                <w:sz w:val="18"/>
              </w:rPr>
              <w:t>pattern_modifier</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F6</w:t>
            </w:r>
          </w:p>
        </w:tc>
        <w:tc>
          <w:tcPr>
            <w:tcW w:type="dxa" w:w="3360"/>
          </w:tcPr>
          <w:p>
            <w:r>
              <w:rPr>
                <w:rFonts w:ascii="Calibri" w:hAnsi="Calibri"/>
                <w:color w:val="333333"/>
                <w:sz w:val="18"/>
              </w:rPr>
              <w:t>base</w:t>
            </w:r>
          </w:p>
        </w:tc>
        <w:tc>
          <w:tcPr>
            <w:tcW w:type="dxa" w:w="3360"/>
          </w:tcPr>
          <w:p>
            <w:r>
              <w:rPr>
                <w:rFonts w:ascii="Calibri" w:hAnsi="Calibri"/>
                <w:color w:val="333333"/>
                <w:sz w:val="18"/>
              </w:rPr>
              <w:t>1.04</w:t>
            </w:r>
          </w:p>
        </w:tc>
      </w:tr>
      <w:tr>
        <w:tc>
          <w:tcPr>
            <w:tcW w:type="dxa" w:w="3360"/>
            <w:shd w:fill="F2F4F8" w:val="clear"/>
          </w:tcPr>
          <w:p>
            <w:r>
              <w:rPr>
                <w:rFonts w:ascii="Calibri" w:hAnsi="Calibri"/>
                <w:color w:val="333333"/>
                <w:sz w:val="18"/>
              </w:rPr>
              <w:t>F6</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F6</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F6</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F6</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1.04</w:t>
            </w:r>
          </w:p>
        </w:tc>
      </w:tr>
      <w:tr>
        <w:tc>
          <w:tcPr>
            <w:tcW w:type="dxa" w:w="3360"/>
            <w:shd w:fill="F2F4F8" w:val="clear"/>
          </w:tcPr>
          <w:p>
            <w:r>
              <w:rPr>
                <w:rFonts w:ascii="Calibri" w:hAnsi="Calibri"/>
                <w:color w:val="333333"/>
                <w:sz w:val="18"/>
              </w:rPr>
              <w:t>F6</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1.04</w:t>
            </w:r>
          </w:p>
        </w:tc>
      </w:tr>
      <w:tr>
        <w:tc>
          <w:tcPr>
            <w:tcW w:type="dxa" w:w="3360"/>
          </w:tcPr>
          <w:p>
            <w:r>
              <w:rPr>
                <w:rFonts w:ascii="Calibri" w:hAnsi="Calibri"/>
                <w:color w:val="333333"/>
                <w:sz w:val="18"/>
              </w:rPr>
              <w:t>F7</w:t>
            </w:r>
          </w:p>
        </w:tc>
        <w:tc>
          <w:tcPr>
            <w:tcW w:type="dxa" w:w="3360"/>
          </w:tcPr>
          <w:p>
            <w:r>
              <w:rPr>
                <w:rFonts w:ascii="Calibri" w:hAnsi="Calibri"/>
                <w:color w:val="333333"/>
                <w:sz w:val="18"/>
              </w:rPr>
              <w:t>base</w:t>
            </w:r>
          </w:p>
        </w:tc>
        <w:tc>
          <w:tcPr>
            <w:tcW w:type="dxa" w:w="3360"/>
          </w:tcPr>
          <w:p>
            <w:r>
              <w:rPr>
                <w:rFonts w:ascii="Calibri" w:hAnsi="Calibri"/>
                <w:color w:val="333333"/>
                <w:sz w:val="18"/>
              </w:rPr>
              <w:t>0.30</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F7</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F7</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0.30</w:t>
            </w:r>
          </w:p>
        </w:tc>
      </w:tr>
      <w:tr>
        <w:tc>
          <w:tcPr>
            <w:tcW w:type="dxa" w:w="3360"/>
            <w:shd w:fill="F2F4F8" w:val="clear"/>
          </w:tcPr>
          <w:p>
            <w:r>
              <w:rPr>
                <w:rFonts w:ascii="Calibri" w:hAnsi="Calibri"/>
                <w:color w:val="333333"/>
                <w:sz w:val="18"/>
              </w:rPr>
              <w:t>F7</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0.30</w:t>
            </w:r>
          </w:p>
        </w:tc>
      </w:tr>
      <w:tr>
        <w:tc>
          <w:tcPr>
            <w:tcW w:type="dxa" w:w="3360"/>
          </w:tcPr>
          <w:p>
            <w:r>
              <w:rPr>
                <w:rFonts w:ascii="Calibri" w:hAnsi="Calibri"/>
                <w:color w:val="333333"/>
                <w:sz w:val="18"/>
              </w:rPr>
              <w:t>F9</w:t>
            </w:r>
          </w:p>
        </w:tc>
        <w:tc>
          <w:tcPr>
            <w:tcW w:type="dxa" w:w="3360"/>
          </w:tcPr>
          <w:p>
            <w:r>
              <w:rPr>
                <w:rFonts w:ascii="Calibri" w:hAnsi="Calibri"/>
                <w:color w:val="333333"/>
                <w:sz w:val="18"/>
              </w:rPr>
              <w:t>base</w:t>
            </w:r>
          </w:p>
        </w:tc>
        <w:tc>
          <w:tcPr>
            <w:tcW w:type="dxa" w:w="3360"/>
          </w:tcPr>
          <w:p>
            <w:r>
              <w:rPr>
                <w:rFonts w:ascii="Calibri" w:hAnsi="Calibri"/>
                <w:color w:val="333333"/>
                <w:sz w:val="18"/>
              </w:rPr>
              <w:t>1.33</w:t>
            </w:r>
          </w:p>
        </w:tc>
      </w:tr>
      <w:tr>
        <w:tc>
          <w:tcPr>
            <w:tcW w:type="dxa" w:w="3360"/>
            <w:shd w:fill="F2F4F8" w:val="clear"/>
          </w:tcPr>
          <w:p>
            <w:r>
              <w:rPr>
                <w:rFonts w:ascii="Calibri" w:hAnsi="Calibri"/>
                <w:color w:val="333333"/>
                <w:sz w:val="18"/>
              </w:rPr>
              <w:t>F9</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F9</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F9</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F9</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1.33</w:t>
            </w:r>
          </w:p>
        </w:tc>
      </w:tr>
      <w:tr>
        <w:tc>
          <w:tcPr>
            <w:tcW w:type="dxa" w:w="3360"/>
            <w:shd w:fill="F2F4F8" w:val="clear"/>
          </w:tcPr>
          <w:p>
            <w:r>
              <w:rPr>
                <w:rFonts w:ascii="Calibri" w:hAnsi="Calibri"/>
                <w:color w:val="333333"/>
                <w:sz w:val="18"/>
              </w:rPr>
              <w:t>F9</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1.33</w:t>
            </w:r>
          </w:p>
        </w:tc>
      </w:tr>
      <w:tr>
        <w:tc>
          <w:tcPr>
            <w:tcW w:type="dxa" w:w="3360"/>
          </w:tcPr>
          <w:p>
            <w:r>
              <w:rPr>
                <w:rFonts w:ascii="Calibri" w:hAnsi="Calibri"/>
                <w:color w:val="333333"/>
                <w:sz w:val="18"/>
              </w:rPr>
              <w:t>F10</w:t>
            </w:r>
          </w:p>
        </w:tc>
        <w:tc>
          <w:tcPr>
            <w:tcW w:type="dxa" w:w="3360"/>
          </w:tcPr>
          <w:p>
            <w:r>
              <w:rPr>
                <w:rFonts w:ascii="Calibri" w:hAnsi="Calibri"/>
                <w:color w:val="333333"/>
                <w:sz w:val="18"/>
              </w:rPr>
              <w:t>base</w:t>
            </w:r>
          </w:p>
        </w:tc>
        <w:tc>
          <w:tcPr>
            <w:tcW w:type="dxa" w:w="3360"/>
          </w:tcPr>
          <w:p>
            <w:r>
              <w:rPr>
                <w:rFonts w:ascii="Calibri" w:hAnsi="Calibri"/>
                <w:color w:val="333333"/>
                <w:sz w:val="18"/>
              </w:rPr>
              <w:t>0.09</w:t>
            </w:r>
          </w:p>
        </w:tc>
      </w:tr>
      <w:tr>
        <w:tc>
          <w:tcPr>
            <w:tcW w:type="dxa" w:w="3360"/>
            <w:shd w:fill="F2F4F8" w:val="clear"/>
          </w:tcPr>
          <w:p>
            <w:r>
              <w:rPr>
                <w:rFonts w:ascii="Calibri" w:hAnsi="Calibri"/>
                <w:color w:val="333333"/>
                <w:sz w:val="18"/>
              </w:rPr>
              <w:t>F10</w:t>
            </w:r>
          </w:p>
        </w:tc>
        <w:tc>
          <w:tcPr>
            <w:tcW w:type="dxa" w:w="3360"/>
            <w:shd w:fill="F2F4F8" w:val="clear"/>
          </w:tcPr>
          <w:p>
            <w:r>
              <w:rPr>
                <w:rFonts w:ascii="Calibri" w:hAnsi="Calibri"/>
                <w:color w:val="333333"/>
                <w:sz w:val="18"/>
              </w:rPr>
              <w:t>bonus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F10</w:t>
            </w:r>
          </w:p>
        </w:tc>
        <w:tc>
          <w:tcPr>
            <w:tcW w:type="dxa" w:w="3360"/>
          </w:tcPr>
          <w:p>
            <w:r>
              <w:rPr>
                <w:rFonts w:ascii="Calibri" w:hAnsi="Calibri"/>
                <w:color w:val="333333"/>
                <w:sz w:val="18"/>
              </w:rPr>
              <w:t>modifiers</w:t>
            </w:r>
          </w:p>
        </w:tc>
        <w:tc>
          <w:tcPr>
            <w:tcW w:type="dxa" w:w="3360"/>
          </w:tcPr>
          <w:p>
            <w:r>
              <w:rPr>
                <w:rFonts w:ascii="Calibri" w:hAnsi="Calibri"/>
                <w:color w:val="333333"/>
                <w:sz w:val="18"/>
              </w:rPr>
              <w:t>0.00</w:t>
            </w:r>
          </w:p>
        </w:tc>
      </w:tr>
      <w:tr>
        <w:tc>
          <w:tcPr>
            <w:tcW w:type="dxa" w:w="3360"/>
            <w:shd w:fill="F2F4F8" w:val="clear"/>
          </w:tcPr>
          <w:p>
            <w:r>
              <w:rPr>
                <w:rFonts w:ascii="Calibri" w:hAnsi="Calibri"/>
                <w:color w:val="333333"/>
                <w:sz w:val="18"/>
              </w:rPr>
              <w:t>F10</w:t>
            </w:r>
          </w:p>
        </w:tc>
        <w:tc>
          <w:tcPr>
            <w:tcW w:type="dxa" w:w="3360"/>
            <w:shd w:fill="F2F4F8" w:val="clear"/>
          </w:tcPr>
          <w:p>
            <w:r>
              <w:rPr>
                <w:rFonts w:ascii="Calibri" w:hAnsi="Calibri"/>
                <w:color w:val="333333"/>
                <w:sz w:val="18"/>
              </w:rPr>
              <w:t>hard_triggers</w:t>
            </w:r>
          </w:p>
        </w:tc>
        <w:tc>
          <w:tcPr>
            <w:tcW w:type="dxa" w:w="3360"/>
            <w:shd w:fill="F2F4F8" w:val="clear"/>
          </w:tcPr>
          <w:p>
            <w:r>
              <w:rPr>
                <w:rFonts w:ascii="Calibri" w:hAnsi="Calibri"/>
                <w:color w:val="333333"/>
                <w:sz w:val="18"/>
              </w:rPr>
              <w:t>0.00</w:t>
            </w:r>
          </w:p>
        </w:tc>
      </w:tr>
      <w:tr>
        <w:tc>
          <w:tcPr>
            <w:tcW w:type="dxa" w:w="3360"/>
          </w:tcPr>
          <w:p>
            <w:r>
              <w:rPr>
                <w:rFonts w:ascii="Calibri" w:hAnsi="Calibri"/>
                <w:color w:val="333333"/>
                <w:sz w:val="18"/>
              </w:rPr>
              <w:t>F10</w:t>
            </w:r>
          </w:p>
        </w:tc>
        <w:tc>
          <w:tcPr>
            <w:tcW w:type="dxa" w:w="3360"/>
          </w:tcPr>
          <w:p>
            <w:r>
              <w:rPr>
                <w:rFonts w:ascii="Calibri" w:hAnsi="Calibri"/>
                <w:color w:val="333333"/>
                <w:sz w:val="18"/>
              </w:rPr>
              <w:t>total_before_cap</w:t>
            </w:r>
          </w:p>
        </w:tc>
        <w:tc>
          <w:tcPr>
            <w:tcW w:type="dxa" w:w="3360"/>
          </w:tcPr>
          <w:p>
            <w:r>
              <w:rPr>
                <w:rFonts w:ascii="Calibri" w:hAnsi="Calibri"/>
                <w:color w:val="333333"/>
                <w:sz w:val="18"/>
              </w:rPr>
              <w:t>0.09</w:t>
            </w:r>
          </w:p>
        </w:tc>
      </w:tr>
      <w:tr>
        <w:tc>
          <w:tcPr>
            <w:tcW w:type="dxa" w:w="3360"/>
            <w:shd w:fill="F2F4F8" w:val="clear"/>
          </w:tcPr>
          <w:p>
            <w:r>
              <w:rPr>
                <w:rFonts w:ascii="Calibri" w:hAnsi="Calibri"/>
                <w:color w:val="333333"/>
                <w:sz w:val="18"/>
              </w:rPr>
              <w:t>F10</w:t>
            </w:r>
          </w:p>
        </w:tc>
        <w:tc>
          <w:tcPr>
            <w:tcW w:type="dxa" w:w="3360"/>
            <w:shd w:fill="F2F4F8" w:val="clear"/>
          </w:tcPr>
          <w:p>
            <w:r>
              <w:rPr>
                <w:rFonts w:ascii="Calibri" w:hAnsi="Calibri"/>
                <w:color w:val="333333"/>
                <w:sz w:val="18"/>
              </w:rPr>
              <w:t>capped</w:t>
            </w:r>
          </w:p>
        </w:tc>
        <w:tc>
          <w:tcPr>
            <w:tcW w:type="dxa" w:w="3360"/>
            <w:shd w:fill="F2F4F8" w:val="clear"/>
          </w:tcPr>
          <w:p>
            <w:r>
              <w:rPr>
                <w:rFonts w:ascii="Calibri" w:hAnsi="Calibri"/>
                <w:color w:val="333333"/>
                <w:sz w:val="18"/>
              </w:rPr>
              <w:t>0.09</w:t>
            </w:r>
          </w:p>
        </w:tc>
      </w:tr>
    </w:tbl>
    <w:p>
      <w:pPr>
        <w:pStyle w:val="DOHeading3"/>
      </w:pPr>
      <w:r>
        <w:t>Pattern Detection Results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Pattern</w:t>
            </w:r>
          </w:p>
        </w:tc>
        <w:tc>
          <w:tcPr>
            <w:tcW w:type="dxa" w:w="2520"/>
            <w:shd w:fill="1A1446" w:val="clear"/>
          </w:tcPr>
          <w:p>
            <w:r>
              <w:rPr>
                <w:rFonts w:ascii="Calibri" w:hAnsi="Calibri"/>
                <w:b/>
                <w:color w:val="FFFFFF"/>
                <w:sz w:val="18"/>
              </w:rPr>
              <w:t>Severity</w:t>
            </w:r>
          </w:p>
        </w:tc>
        <w:tc>
          <w:tcPr>
            <w:tcW w:type="dxa" w:w="2520"/>
            <w:shd w:fill="1A1446" w:val="clear"/>
          </w:tcPr>
          <w:p>
            <w:r>
              <w:rPr>
                <w:rFonts w:ascii="Calibri" w:hAnsi="Calibri"/>
                <w:b/>
                <w:color w:val="FFFFFF"/>
                <w:sz w:val="18"/>
              </w:rPr>
              <w:t>Triggers Matched</w:t>
            </w:r>
          </w:p>
        </w:tc>
        <w:tc>
          <w:tcPr>
            <w:tcW w:type="dxa" w:w="2520"/>
            <w:shd w:fill="1A1446" w:val="clear"/>
          </w:tcPr>
          <w:p>
            <w:r>
              <w:rPr>
                <w:rFonts w:ascii="Calibri" w:hAnsi="Calibri"/>
                <w:b/>
                <w:color w:val="FFFFFF"/>
                <w:sz w:val="18"/>
              </w:rPr>
              <w:t>Score Impact</w:t>
            </w:r>
          </w:p>
        </w:tc>
      </w:tr>
      <w:tr>
        <w:tc>
          <w:tcPr>
            <w:tcW w:type="dxa" w:w="2520"/>
          </w:tcPr>
          <w:p>
            <w:r>
              <w:rPr>
                <w:rFonts w:ascii="Calibri" w:hAnsi="Calibri"/>
                <w:color w:val="333333"/>
                <w:sz w:val="18"/>
              </w:rPr>
              <w:t>Guidance Track Record</w:t>
            </w:r>
          </w:p>
        </w:tc>
        <w:tc>
          <w:tcPr>
            <w:tcW w:type="dxa" w:w="2520"/>
          </w:tcPr>
          <w:p>
            <w:r>
              <w:rPr>
                <w:rFonts w:ascii="Calibri" w:hAnsi="Calibri"/>
                <w:color w:val="333333"/>
                <w:sz w:val="18"/>
              </w:rPr>
              <w:t>BASELINE</w:t>
            </w:r>
          </w:p>
        </w:tc>
        <w:tc>
          <w:tcPr>
            <w:tcW w:type="dxa" w:w="2520"/>
          </w:tcPr>
          <w:p>
            <w:r>
              <w:rPr>
                <w:rFonts w:ascii="Calibri" w:hAnsi="Calibri"/>
                <w:color w:val="333333"/>
                <w:sz w:val="18"/>
              </w:rPr>
            </w:r>
          </w:p>
        </w:tc>
        <w:tc>
          <w:tcPr>
            <w:tcW w:type="dxa" w:w="2520"/>
          </w:tcPr>
          <w:p>
            <w:r>
              <w:rPr>
                <w:rFonts w:ascii="Calibri" w:hAnsi="Calibri"/>
                <w:color w:val="333333"/>
                <w:sz w:val="18"/>
              </w:rPr>
              <w:t>F5: +0</w:t>
            </w:r>
          </w:p>
        </w:tc>
      </w:tr>
    </w:tbl>
    <w:p>
      <w:pPr>
        <w:pStyle w:val="DOHeading3"/>
      </w:pPr>
      <w:r>
        <w:t>Allegation Theory Mapping</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Theory</w:t>
            </w:r>
          </w:p>
        </w:tc>
        <w:tc>
          <w:tcPr>
            <w:tcW w:type="dxa" w:w="2520"/>
            <w:shd w:fill="1A1446" w:val="clear"/>
          </w:tcPr>
          <w:p>
            <w:r>
              <w:rPr>
                <w:rFonts w:ascii="Calibri" w:hAnsi="Calibri"/>
                <w:b/>
                <w:color w:val="FFFFFF"/>
                <w:sz w:val="18"/>
              </w:rPr>
              <w:t>Exposure</w:t>
            </w:r>
          </w:p>
        </w:tc>
        <w:tc>
          <w:tcPr>
            <w:tcW w:type="dxa" w:w="2520"/>
            <w:shd w:fill="1A1446" w:val="clear"/>
          </w:tcPr>
          <w:p>
            <w:r>
              <w:rPr>
                <w:rFonts w:ascii="Calibri" w:hAnsi="Calibri"/>
                <w:b/>
                <w:color w:val="FFFFFF"/>
                <w:sz w:val="18"/>
              </w:rPr>
              <w:t>Factor Sources</w:t>
            </w:r>
          </w:p>
        </w:tc>
        <w:tc>
          <w:tcPr>
            <w:tcW w:type="dxa" w:w="2520"/>
            <w:shd w:fill="1A1446" w:val="clear"/>
          </w:tcPr>
          <w:p>
            <w:r>
              <w:rPr>
                <w:rFonts w:ascii="Calibri" w:hAnsi="Calibri"/>
                <w:b/>
                <w:color w:val="FFFFFF"/>
                <w:sz w:val="18"/>
              </w:rPr>
              <w:t>Key Findings</w:t>
            </w:r>
          </w:p>
        </w:tc>
      </w:tr>
      <w:tr>
        <w:tc>
          <w:tcPr>
            <w:tcW w:type="dxa" w:w="2520"/>
          </w:tcPr>
          <w:p>
            <w:r>
              <w:rPr>
                <w:rFonts w:ascii="Calibri" w:hAnsi="Calibri"/>
                <w:color w:val="333333"/>
                <w:sz w:val="18"/>
              </w:rPr>
              <w:t>A_DISCLOSURE</w:t>
            </w:r>
          </w:p>
        </w:tc>
        <w:tc>
          <w:tcPr>
            <w:tcW w:type="dxa" w:w="2520"/>
          </w:tcPr>
          <w:p>
            <w:r>
              <w:rPr>
                <w:rFonts w:ascii="Calibri" w:hAnsi="Calibri"/>
                <w:color w:val="333333"/>
                <w:sz w:val="18"/>
              </w:rPr>
              <w:t>MODERATE</w:t>
            </w:r>
          </w:p>
        </w:tc>
        <w:tc>
          <w:tcPr>
            <w:tcW w:type="dxa" w:w="2520"/>
          </w:tcPr>
          <w:p>
            <w:r>
              <w:rPr>
                <w:rFonts w:ascii="Calibri" w:hAnsi="Calibri"/>
                <w:color w:val="333333"/>
                <w:sz w:val="18"/>
              </w:rPr>
              <w:t>F1, F3, F5</w:t>
            </w:r>
          </w:p>
        </w:tc>
        <w:tc>
          <w:tcPr>
            <w:tcW w:type="dxa" w:w="2520"/>
          </w:tcPr>
          <w:p>
            <w:r>
              <w:rPr>
                <w:rFonts w:ascii="Calibri" w:hAnsi="Calibri"/>
                <w:color w:val="333333"/>
                <w:sz w:val="18"/>
              </w:rPr>
              <w:t>F1: Signal-driven scoring: 70 signals, coverage=100%; F3: Signal-driven scoring: 86 signals, coverage=100%</w:t>
            </w:r>
          </w:p>
        </w:tc>
      </w:tr>
      <w:tr>
        <w:tc>
          <w:tcPr>
            <w:tcW w:type="dxa" w:w="2520"/>
            <w:shd w:fill="F2F4F8" w:val="clear"/>
          </w:tcPr>
          <w:p>
            <w:r>
              <w:rPr>
                <w:rFonts w:ascii="Calibri" w:hAnsi="Calibri"/>
                <w:color w:val="333333"/>
                <w:sz w:val="18"/>
              </w:rPr>
              <w:t>B_GUIDANCE</w:t>
            </w:r>
          </w:p>
        </w:tc>
        <w:tc>
          <w:tcPr>
            <w:tcW w:type="dxa" w:w="2520"/>
            <w:shd w:fill="F2F4F8" w:val="clear"/>
          </w:tcPr>
          <w:p>
            <w:r>
              <w:rPr>
                <w:rFonts w:ascii="Calibri" w:hAnsi="Calibri"/>
                <w:color w:val="333333"/>
                <w:sz w:val="18"/>
              </w:rPr>
              <w:t>LOW</w:t>
            </w:r>
          </w:p>
        </w:tc>
        <w:tc>
          <w:tcPr>
            <w:tcW w:type="dxa" w:w="2520"/>
            <w:shd w:fill="F2F4F8" w:val="clear"/>
          </w:tcPr>
          <w:p>
            <w:r>
              <w:rPr>
                <w:rFonts w:ascii="Calibri" w:hAnsi="Calibri"/>
                <w:color w:val="333333"/>
                <w:sz w:val="18"/>
              </w:rPr>
              <w:t>F2, F5</w:t>
            </w:r>
          </w:p>
        </w:tc>
        <w:tc>
          <w:tcPr>
            <w:tcW w:type="dxa" w:w="2520"/>
            <w:shd w:fill="F2F4F8" w:val="clear"/>
          </w:tcPr>
          <w:p>
            <w:r>
              <w:rPr>
                <w:rFonts w:ascii="Calibri" w:hAnsi="Calibri"/>
                <w:color w:val="333333"/>
                <w:sz w:val="18"/>
              </w:rPr>
              <w:t>F2: Signal-driven scoring: 30 signals, coverage=100%; F2: Drop contribution modifier: 0.34x (decay + company-specific + disclosure)</w:t>
            </w:r>
          </w:p>
        </w:tc>
      </w:tr>
      <w:tr>
        <w:tc>
          <w:tcPr>
            <w:tcW w:type="dxa" w:w="2520"/>
          </w:tcPr>
          <w:p>
            <w:r>
              <w:rPr>
                <w:rFonts w:ascii="Calibri" w:hAnsi="Calibri"/>
                <w:color w:val="333333"/>
                <w:sz w:val="18"/>
              </w:rPr>
              <w:t>C_PRODUCT_OPS</w:t>
            </w:r>
          </w:p>
        </w:tc>
        <w:tc>
          <w:tcPr>
            <w:tcW w:type="dxa" w:w="2520"/>
          </w:tcPr>
          <w:p>
            <w:r>
              <w:rPr>
                <w:rFonts w:ascii="Calibri" w:hAnsi="Calibri"/>
                <w:color w:val="333333"/>
                <w:sz w:val="18"/>
              </w:rPr>
              <w:t>LOW</w:t>
            </w:r>
          </w:p>
        </w:tc>
        <w:tc>
          <w:tcPr>
            <w:tcW w:type="dxa" w:w="2520"/>
          </w:tcPr>
          <w:p>
            <w:r>
              <w:rPr>
                <w:rFonts w:ascii="Calibri" w:hAnsi="Calibri"/>
                <w:color w:val="333333"/>
                <w:sz w:val="18"/>
              </w:rPr>
              <w:t>F7</w:t>
            </w:r>
          </w:p>
        </w:tc>
        <w:tc>
          <w:tcPr>
            <w:tcW w:type="dxa" w:w="2520"/>
          </w:tcPr>
          <w:p>
            <w:r>
              <w:rPr>
                <w:rFonts w:ascii="Calibri" w:hAnsi="Calibri"/>
                <w:color w:val="333333"/>
                <w:sz w:val="18"/>
              </w:rPr>
              <w:t>F7: Signal-driven scoring: 30 signals, coverage=100%; 4 regulatory proceedings</w:t>
            </w:r>
          </w:p>
        </w:tc>
      </w:tr>
      <w:tr>
        <w:tc>
          <w:tcPr>
            <w:tcW w:type="dxa" w:w="2520"/>
            <w:shd w:fill="F2F4F8" w:val="clear"/>
          </w:tcPr>
          <w:p>
            <w:r>
              <w:rPr>
                <w:rFonts w:ascii="Calibri" w:hAnsi="Calibri"/>
                <w:color w:val="333333"/>
                <w:sz w:val="18"/>
              </w:rPr>
              <w:t>D_GOVERNANCE</w:t>
            </w:r>
          </w:p>
        </w:tc>
        <w:tc>
          <w:tcPr>
            <w:tcW w:type="dxa" w:w="2520"/>
            <w:shd w:fill="F2F4F8" w:val="clear"/>
          </w:tcPr>
          <w:p>
            <w:r>
              <w:rPr>
                <w:rFonts w:ascii="Calibri" w:hAnsi="Calibri"/>
                <w:color w:val="333333"/>
                <w:sz w:val="18"/>
              </w:rPr>
              <w:t>LOW</w:t>
            </w:r>
          </w:p>
        </w:tc>
        <w:tc>
          <w:tcPr>
            <w:tcW w:type="dxa" w:w="2520"/>
            <w:shd w:fill="F2F4F8" w:val="clear"/>
          </w:tcPr>
          <w:p>
            <w:r>
              <w:rPr>
                <w:rFonts w:ascii="Calibri" w:hAnsi="Calibri"/>
                <w:color w:val="333333"/>
                <w:sz w:val="18"/>
              </w:rPr>
              <w:t>F9, F10</w:t>
            </w:r>
          </w:p>
        </w:tc>
        <w:tc>
          <w:tcPr>
            <w:tcW w:type="dxa" w:w="2520"/>
            <w:shd w:fill="F2F4F8" w:val="clear"/>
          </w:tcPr>
          <w:p>
            <w:r>
              <w:rPr>
                <w:rFonts w:ascii="Calibri" w:hAnsi="Calibri"/>
                <w:color w:val="333333"/>
                <w:sz w:val="18"/>
              </w:rPr>
              <w:t>F9: Signal-driven scoring: 37 signals, coverage=100%; F10: Signal-driven scoring: 92 signals, coverage=100%</w:t>
            </w:r>
          </w:p>
        </w:tc>
      </w:tr>
      <w:tr>
        <w:tc>
          <w:tcPr>
            <w:tcW w:type="dxa" w:w="2520"/>
          </w:tcPr>
          <w:p>
            <w:r>
              <w:rPr>
                <w:rFonts w:ascii="Calibri" w:hAnsi="Calibri"/>
                <w:color w:val="333333"/>
                <w:sz w:val="18"/>
              </w:rPr>
              <w:t>E_MA</w:t>
            </w:r>
          </w:p>
        </w:tc>
        <w:tc>
          <w:tcPr>
            <w:tcW w:type="dxa" w:w="2520"/>
          </w:tcPr>
          <w:p>
            <w:r>
              <w:rPr>
                <w:rFonts w:ascii="Calibri" w:hAnsi="Calibri"/>
                <w:color w:val="333333"/>
                <w:sz w:val="18"/>
              </w:rPr>
              <w:t>LOW</w:t>
            </w:r>
          </w:p>
        </w:tc>
        <w:tc>
          <w:tcPr>
            <w:tcW w:type="dxa" w:w="2520"/>
          </w:tcPr>
          <w:p>
            <w:r>
              <w:rPr>
                <w:rFonts w:ascii="Calibri" w:hAnsi="Calibri"/>
                <w:color w:val="333333"/>
                <w:sz w:val="18"/>
              </w:rPr>
              <w:t>F4</w:t>
            </w:r>
          </w:p>
        </w:tc>
        <w:tc>
          <w:tcPr>
            <w:tcW w:type="dxa" w:w="2520"/>
          </w:tcPr>
          <w:p>
            <w:r>
              <w:rPr>
                <w:rFonts w:ascii="Calibri" w:hAnsi="Calibri"/>
                <w:color w:val="333333"/>
                <w:sz w:val="18"/>
              </w:rPr>
              <w:t>F4: Signal-driven scoring: 14 signals, coverage=100%</w:t>
            </w:r>
          </w:p>
        </w:tc>
      </w:tr>
    </w:tbl>
    <w:p>
      <w:pPr>
        <w:pStyle w:val="DOBody"/>
      </w:pPr>
      <w:r>
        <w:rPr>
          <w:i/>
          <w:sz w:val="16"/>
        </w:rPr>
        <w:t>D&amp;O Context: Primary allegation exposure is A_DISCLOSURE. MODERATE exposure in: A_DISCLOSURE.</w:t>
      </w:r>
    </w:p>
    <w:p>
      <w:pPr>
        <w:pStyle w:val="DOHeading3"/>
      </w:pPr>
      <w:r>
        <w:t>Claim Probability Detail</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Probability Band</w:t>
            </w:r>
          </w:p>
        </w:tc>
        <w:tc>
          <w:tcPr>
            <w:tcW w:type="dxa" w:w="5040"/>
          </w:tcPr>
          <w:p>
            <w:r>
              <w:rPr>
                <w:rFonts w:ascii="Calibri" w:hAnsi="Calibri"/>
                <w:color w:val="333333"/>
                <w:sz w:val="18"/>
              </w:rPr>
              <w:t>ELEVATED</w:t>
            </w:r>
          </w:p>
        </w:tc>
      </w:tr>
      <w:tr>
        <w:tc>
          <w:tcPr>
            <w:tcW w:type="dxa" w:w="5040"/>
            <w:shd w:fill="F2F4F8" w:val="clear"/>
          </w:tcPr>
          <w:p>
            <w:r>
              <w:rPr>
                <w:rFonts w:ascii="Calibri" w:hAnsi="Calibri"/>
                <w:color w:val="333333"/>
                <w:sz w:val="18"/>
              </w:rPr>
              <w:t>Range</w:t>
            </w:r>
          </w:p>
        </w:tc>
        <w:tc>
          <w:tcPr>
            <w:tcW w:type="dxa" w:w="5040"/>
            <w:shd w:fill="F2F4F8" w:val="clear"/>
          </w:tcPr>
          <w:p>
            <w:r>
              <w:rPr>
                <w:rFonts w:ascii="Calibri" w:hAnsi="Calibri"/>
                <w:color w:val="333333"/>
                <w:sz w:val="18"/>
              </w:rPr>
              <w:t>7.0% - 9.9%</w:t>
            </w:r>
          </w:p>
        </w:tc>
      </w:tr>
      <w:tr>
        <w:tc>
          <w:tcPr>
            <w:tcW w:type="dxa" w:w="5040"/>
          </w:tcPr>
          <w:p>
            <w:r>
              <w:rPr>
                <w:rFonts w:ascii="Calibri" w:hAnsi="Calibri"/>
                <w:color w:val="333333"/>
                <w:sz w:val="18"/>
              </w:rPr>
              <w:t>Industry Base Rate</w:t>
            </w:r>
          </w:p>
        </w:tc>
        <w:tc>
          <w:tcPr>
            <w:tcW w:type="dxa" w:w="5040"/>
          </w:tcPr>
          <w:p>
            <w:r>
              <w:rPr>
                <w:rFonts w:ascii="Calibri" w:hAnsi="Calibri"/>
                <w:color w:val="333333"/>
                <w:sz w:val="18"/>
              </w:rPr>
              <w:t>4.0%</w:t>
            </w:r>
          </w:p>
        </w:tc>
      </w:tr>
      <w:tr>
        <w:tc>
          <w:tcPr>
            <w:tcW w:type="dxa" w:w="5040"/>
            <w:shd w:fill="F2F4F8" w:val="clear"/>
          </w:tcPr>
          <w:p>
            <w:r>
              <w:rPr>
                <w:rFonts w:ascii="Calibri" w:hAnsi="Calibri"/>
                <w:color w:val="333333"/>
                <w:sz w:val="18"/>
              </w:rPr>
              <w:t>Adjustment Rationale</w:t>
            </w:r>
          </w:p>
        </w:tc>
        <w:tc>
          <w:tcPr>
            <w:tcW w:type="dxa" w:w="5040"/>
            <w:shd w:fill="F2F4F8" w:val="clear"/>
          </w:tcPr>
          <w:p>
            <w:r>
              <w:rPr>
                <w:rFonts w:ascii="Calibri" w:hAnsi="Calibri"/>
                <w:color w:val="333333"/>
                <w:sz w:val="18"/>
              </w:rPr>
              <w:t>Industry base rate: 4.0%. Tier WALK (15-20%): Substantially above base rate. Cri</w:t>
            </w:r>
          </w:p>
        </w:tc>
      </w:tr>
    </w:tbl>
    <w:p>
      <w:pPr>
        <w:pStyle w:val="DOBody"/>
      </w:pPr>
      <w:r>
        <w:rPr>
          <w:b/>
        </w:rPr>
        <w:t>Claim probability: ELEVATED</w:t>
      </w:r>
      <w:r>
        <w:rPr>
          <w:b/>
          <w:color w:val="EA580C"/>
          <w:sz w:val="18"/>
        </w:rPr>
        <w:t xml:space="preserve"> [HIGH]</w:t>
      </w:r>
    </w:p>
    <w:p>
      <w:pPr>
        <w:pStyle w:val="DOHeading3"/>
      </w:pPr>
      <w:r>
        <w:t>Tower Position Recommendation</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Recommended Position</w:t>
            </w:r>
          </w:p>
        </w:tc>
        <w:tc>
          <w:tcPr>
            <w:tcW w:type="dxa" w:w="5040"/>
          </w:tcPr>
          <w:p>
            <w:r>
              <w:rPr>
                <w:rFonts w:ascii="Calibri" w:hAnsi="Calibri"/>
                <w:color w:val="333333"/>
                <w:sz w:val="18"/>
              </w:rPr>
              <w:t>HIGH_EXCESS</w:t>
            </w:r>
          </w:p>
        </w:tc>
      </w:tr>
      <w:tr>
        <w:tc>
          <w:tcPr>
            <w:tcW w:type="dxa" w:w="5040"/>
            <w:shd w:fill="F2F4F8" w:val="clear"/>
          </w:tcPr>
          <w:p>
            <w:r>
              <w:rPr>
                <w:rFonts w:ascii="Calibri" w:hAnsi="Calibri"/>
                <w:color w:val="333333"/>
                <w:sz w:val="18"/>
              </w:rPr>
              <w:t>Minimum Attachment</w:t>
            </w:r>
          </w:p>
        </w:tc>
        <w:tc>
          <w:tcPr>
            <w:tcW w:type="dxa" w:w="5040"/>
            <w:shd w:fill="F2F4F8" w:val="clear"/>
          </w:tcPr>
          <w:p>
            <w:r>
              <w:rPr>
                <w:rFonts w:ascii="Calibri" w:hAnsi="Calibri"/>
                <w:color w:val="333333"/>
                <w:sz w:val="18"/>
              </w:rPr>
              <w:t>$3940.3M (based on 50th percentile settlement)</w:t>
            </w:r>
          </w:p>
        </w:tc>
      </w:tr>
      <w:tr>
        <w:tc>
          <w:tcPr>
            <w:tcW w:type="dxa" w:w="5040"/>
          </w:tcPr>
          <w:p>
            <w:r>
              <w:rPr>
                <w:rFonts w:ascii="Calibri" w:hAnsi="Calibri"/>
                <w:color w:val="333333"/>
                <w:sz w:val="18"/>
              </w:rPr>
              <w:t>Side A/DIC Assessment</w:t>
            </w:r>
          </w:p>
        </w:tc>
        <w:tc>
          <w:tcPr>
            <w:tcW w:type="dxa" w:w="5040"/>
          </w:tcPr>
          <w:p>
            <w:r>
              <w:rPr>
                <w:rFonts w:ascii="Calibri" w:hAnsi="Calibri"/>
                <w:color w:val="333333"/>
                <w:sz w:val="18"/>
              </w:rPr>
              <w:t>Standard Side A considerations</w:t>
            </w:r>
          </w:p>
        </w:tc>
      </w:tr>
    </w:tbl>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Position</w:t>
            </w:r>
          </w:p>
        </w:tc>
        <w:tc>
          <w:tcPr>
            <w:tcW w:type="dxa" w:w="2520"/>
            <w:shd w:fill="1A1446" w:val="clear"/>
          </w:tcPr>
          <w:p>
            <w:r>
              <w:rPr>
                <w:rFonts w:ascii="Calibri" w:hAnsi="Calibri"/>
                <w:b/>
                <w:color w:val="FFFFFF"/>
                <w:sz w:val="18"/>
              </w:rPr>
              <w:t>Risk Assessment</w:t>
            </w:r>
          </w:p>
        </w:tc>
        <w:tc>
          <w:tcPr>
            <w:tcW w:type="dxa" w:w="2520"/>
            <w:shd w:fill="1A1446" w:val="clear"/>
          </w:tcPr>
          <w:p>
            <w:r>
              <w:rPr>
                <w:rFonts w:ascii="Calibri" w:hAnsi="Calibri"/>
                <w:b/>
                <w:color w:val="FFFFFF"/>
                <w:sz w:val="18"/>
              </w:rPr>
              <w:t>Premium Guidance</w:t>
            </w:r>
          </w:p>
        </w:tc>
        <w:tc>
          <w:tcPr>
            <w:tcW w:type="dxa" w:w="2520"/>
            <w:shd w:fill="1A1446" w:val="clear"/>
          </w:tcPr>
          <w:p>
            <w:r>
              <w:rPr>
                <w:rFonts w:ascii="Calibri" w:hAnsi="Calibri"/>
                <w:b/>
                <w:color w:val="FFFFFF"/>
                <w:sz w:val="18"/>
              </w:rPr>
              <w:t>Attachment</w:t>
            </w:r>
          </w:p>
        </w:tc>
      </w:tr>
      <w:tr>
        <w:tc>
          <w:tcPr>
            <w:tcW w:type="dxa" w:w="2520"/>
          </w:tcPr>
          <w:p>
            <w:r>
              <w:rPr>
                <w:rFonts w:ascii="Calibri" w:hAnsi="Calibri"/>
                <w:color w:val="333333"/>
                <w:sz w:val="18"/>
              </w:rPr>
              <w:t>PRIMARY</w:t>
            </w:r>
          </w:p>
        </w:tc>
        <w:tc>
          <w:tcPr>
            <w:tcW w:type="dxa" w:w="2520"/>
          </w:tcPr>
          <w:p>
            <w:r>
              <w:rPr>
                <w:rFonts w:ascii="Calibri" w:hAnsi="Calibri"/>
                <w:color w:val="333333"/>
                <w:sz w:val="18"/>
              </w:rPr>
              <w:t>Primary layer carries 57% of expected loss exposur</w:t>
            </w:r>
          </w:p>
        </w:tc>
        <w:tc>
          <w:tcPr>
            <w:tcW w:type="dxa" w:w="2520"/>
          </w:tcPr>
          <w:p>
            <w:r>
              <w:rPr>
                <w:rFonts w:ascii="Calibri" w:hAnsi="Calibri"/>
                <w:color w:val="333333"/>
                <w:sz w:val="18"/>
              </w:rPr>
              <w:t>Full rate, slight discount for</w:t>
            </w:r>
          </w:p>
        </w:tc>
        <w:tc>
          <w:tcPr>
            <w:tcW w:type="dxa" w:w="2520"/>
          </w:tcPr>
          <w:p>
            <w:r>
              <w:rPr>
                <w:rFonts w:ascii="Calibri" w:hAnsi="Calibri"/>
                <w:color w:val="333333"/>
                <w:sz w:val="18"/>
              </w:rPr>
              <w:t>$0 ground-up</w:t>
            </w:r>
          </w:p>
        </w:tc>
      </w:tr>
      <w:tr>
        <w:tc>
          <w:tcPr>
            <w:tcW w:type="dxa" w:w="2520"/>
            <w:shd w:fill="F2F4F8" w:val="clear"/>
          </w:tcPr>
          <w:p>
            <w:r>
              <w:rPr>
                <w:rFonts w:ascii="Calibri" w:hAnsi="Calibri"/>
                <w:color w:val="333333"/>
                <w:sz w:val="18"/>
              </w:rPr>
              <w:t>LOW_EXCESS</w:t>
            </w:r>
          </w:p>
        </w:tc>
        <w:tc>
          <w:tcPr>
            <w:tcW w:type="dxa" w:w="2520"/>
            <w:shd w:fill="F2F4F8" w:val="clear"/>
          </w:tcPr>
          <w:p>
            <w:r>
              <w:rPr>
                <w:rFonts w:ascii="Calibri" w:hAnsi="Calibri"/>
                <w:color w:val="333333"/>
                <w:sz w:val="18"/>
              </w:rPr>
              <w:t>Low excess layer carries 18% of expected loss expo</w:t>
            </w:r>
          </w:p>
        </w:tc>
        <w:tc>
          <w:tcPr>
            <w:tcW w:type="dxa" w:w="2520"/>
            <w:shd w:fill="F2F4F8" w:val="clear"/>
          </w:tcPr>
          <w:p>
            <w:r>
              <w:rPr>
                <w:rFonts w:ascii="Calibri" w:hAnsi="Calibri"/>
                <w:color w:val="333333"/>
                <w:sz w:val="18"/>
              </w:rPr>
              <w:t>Market rate</w:t>
            </w:r>
          </w:p>
        </w:tc>
        <w:tc>
          <w:tcPr>
            <w:tcW w:type="dxa" w:w="2520"/>
            <w:shd w:fill="F2F4F8" w:val="clear"/>
          </w:tcPr>
          <w:p>
            <w:r>
              <w:rPr>
                <w:rFonts w:ascii="Calibri" w:hAnsi="Calibri"/>
                <w:color w:val="333333"/>
                <w:sz w:val="18"/>
              </w:rPr>
              <w:t>$5-15M xs $5-15M</w:t>
            </w:r>
          </w:p>
        </w:tc>
      </w:tr>
      <w:tr>
        <w:tc>
          <w:tcPr>
            <w:tcW w:type="dxa" w:w="2520"/>
          </w:tcPr>
          <w:p>
            <w:r>
              <w:rPr>
                <w:rFonts w:ascii="Calibri" w:hAnsi="Calibri"/>
                <w:color w:val="333333"/>
                <w:sz w:val="18"/>
              </w:rPr>
              <w:t>MID_EXCESS</w:t>
            </w:r>
          </w:p>
        </w:tc>
        <w:tc>
          <w:tcPr>
            <w:tcW w:type="dxa" w:w="2520"/>
          </w:tcPr>
          <w:p>
            <w:r>
              <w:rPr>
                <w:rFonts w:ascii="Calibri" w:hAnsi="Calibri"/>
                <w:color w:val="333333"/>
                <w:sz w:val="18"/>
              </w:rPr>
              <w:t>Mid excess layer carries 13% of expected loss expo</w:t>
            </w:r>
          </w:p>
        </w:tc>
        <w:tc>
          <w:tcPr>
            <w:tcW w:type="dxa" w:w="2520"/>
          </w:tcPr>
          <w:p>
            <w:r>
              <w:rPr>
                <w:rFonts w:ascii="Calibri" w:hAnsi="Calibri"/>
                <w:color w:val="333333"/>
                <w:sz w:val="18"/>
              </w:rPr>
              <w:t>Market to 1.3x</w:t>
            </w:r>
          </w:p>
        </w:tc>
        <w:tc>
          <w:tcPr>
            <w:tcW w:type="dxa" w:w="2520"/>
          </w:tcPr>
          <w:p>
            <w:r>
              <w:rPr>
                <w:rFonts w:ascii="Calibri" w:hAnsi="Calibri"/>
                <w:color w:val="333333"/>
                <w:sz w:val="18"/>
              </w:rPr>
              <w:t>$15-50M xs $15-50M</w:t>
            </w:r>
          </w:p>
        </w:tc>
      </w:tr>
      <w:tr>
        <w:tc>
          <w:tcPr>
            <w:tcW w:type="dxa" w:w="2520"/>
            <w:shd w:fill="F2F4F8" w:val="clear"/>
          </w:tcPr>
          <w:p>
            <w:r>
              <w:rPr>
                <w:rFonts w:ascii="Calibri" w:hAnsi="Calibri"/>
                <w:color w:val="333333"/>
                <w:sz w:val="18"/>
              </w:rPr>
              <w:t>HIGH_EXCESS</w:t>
            </w:r>
          </w:p>
        </w:tc>
        <w:tc>
          <w:tcPr>
            <w:tcW w:type="dxa" w:w="2520"/>
            <w:shd w:fill="F2F4F8" w:val="clear"/>
          </w:tcPr>
          <w:p>
            <w:r>
              <w:rPr>
                <w:rFonts w:ascii="Calibri" w:hAnsi="Calibri"/>
                <w:color w:val="333333"/>
                <w:sz w:val="18"/>
              </w:rPr>
              <w:t>High excess layer carries 11% of expected loss exp</w:t>
            </w:r>
          </w:p>
        </w:tc>
        <w:tc>
          <w:tcPr>
            <w:tcW w:type="dxa" w:w="2520"/>
            <w:shd w:fill="F2F4F8" w:val="clear"/>
          </w:tcPr>
          <w:p>
            <w:r>
              <w:rPr>
                <w:rFonts w:ascii="Calibri" w:hAnsi="Calibri"/>
                <w:color w:val="333333"/>
                <w:sz w:val="18"/>
              </w:rPr>
              <w:t>1.3-2x with attachment</w:t>
            </w:r>
          </w:p>
        </w:tc>
        <w:tc>
          <w:tcPr>
            <w:tcW w:type="dxa" w:w="2520"/>
            <w:shd w:fill="F2F4F8" w:val="clear"/>
          </w:tcPr>
          <w:p>
            <w:r>
              <w:rPr>
                <w:rFonts w:ascii="Calibri" w:hAnsi="Calibri"/>
                <w:color w:val="333333"/>
                <w:sz w:val="18"/>
              </w:rPr>
              <w:t>$50M+ xs $50M+</w:t>
            </w:r>
          </w:p>
        </w:tc>
      </w:tr>
      <w:tr>
        <w:tc>
          <w:tcPr>
            <w:tcW w:type="dxa" w:w="2520"/>
          </w:tcPr>
          <w:p>
            <w:r>
              <w:rPr>
                <w:rFonts w:ascii="Calibri" w:hAnsi="Calibri"/>
                <w:color w:val="333333"/>
                <w:sz w:val="18"/>
              </w:rPr>
              <w:t>DECLINE</w:t>
            </w:r>
          </w:p>
        </w:tc>
        <w:tc>
          <w:tcPr>
            <w:tcW w:type="dxa" w:w="2520"/>
          </w:tcPr>
          <w:p>
            <w:r>
              <w:rPr>
                <w:rFonts w:ascii="Calibri" w:hAnsi="Calibri"/>
                <w:color w:val="333333"/>
                <w:sz w:val="18"/>
              </w:rPr>
              <w:t>WALK+ with compounding factors</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r>
    </w:tbl>
    <w:p>
      <w:pPr>
        <w:pStyle w:val="DOHeading2"/>
      </w:pPr>
      <w:r>
        <w:t>Forensic Composite Scores</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Composite</w:t>
            </w:r>
          </w:p>
        </w:tc>
        <w:tc>
          <w:tcPr>
            <w:tcW w:type="dxa" w:w="3360"/>
            <w:shd w:fill="1A1446" w:val="clear"/>
          </w:tcPr>
          <w:p>
            <w:r>
              <w:rPr>
                <w:rFonts w:ascii="Calibri" w:hAnsi="Calibri"/>
                <w:b/>
                <w:color w:val="FFFFFF"/>
                <w:sz w:val="18"/>
              </w:rPr>
              <w:t>Score</w:t>
            </w:r>
          </w:p>
        </w:tc>
        <w:tc>
          <w:tcPr>
            <w:tcW w:type="dxa" w:w="3360"/>
            <w:shd w:fill="1A1446" w:val="clear"/>
          </w:tcPr>
          <w:p>
            <w:r>
              <w:rPr>
                <w:rFonts w:ascii="Calibri" w:hAnsi="Calibri"/>
                <w:b/>
                <w:color w:val="FFFFFF"/>
                <w:sz w:val="18"/>
              </w:rPr>
              <w:t>Interpretation</w:t>
            </w:r>
          </w:p>
        </w:tc>
      </w:tr>
      <w:tr>
        <w:tc>
          <w:tcPr>
            <w:tcW w:type="dxa" w:w="3360"/>
          </w:tcPr>
          <w:p>
            <w:r>
              <w:rPr>
                <w:rFonts w:ascii="Calibri" w:hAnsi="Calibri"/>
                <w:color w:val="333333"/>
                <w:sz w:val="18"/>
              </w:rPr>
              <w:t>Financial Integrity Score (FIS)</w:t>
            </w:r>
          </w:p>
        </w:tc>
        <w:tc>
          <w:tcPr>
            <w:tcW w:type="dxa" w:w="3360"/>
          </w:tcPr>
          <w:p>
            <w:r>
              <w:rPr>
                <w:rFonts w:ascii="Calibri" w:hAnsi="Calibri"/>
                <w:color w:val="333333"/>
                <w:sz w:val="18"/>
              </w:rPr>
              <w:t>N/A</w:t>
            </w:r>
          </w:p>
        </w:tc>
        <w:tc>
          <w:tcPr>
            <w:tcW w:type="dxa" w:w="3360"/>
          </w:tcPr>
          <w:p>
            <w:r>
              <w:rPr>
                <w:rFonts w:ascii="Calibri" w:hAnsi="Calibri"/>
                <w:color w:val="333333"/>
                <w:sz w:val="18"/>
              </w:rPr>
              <w:t>Not available</w:t>
            </w:r>
          </w:p>
        </w:tc>
      </w:tr>
      <w:tr>
        <w:tc>
          <w:tcPr>
            <w:tcW w:type="dxa" w:w="3360"/>
            <w:shd w:fill="F2F4F8" w:val="clear"/>
          </w:tcPr>
          <w:p>
            <w:r>
              <w:rPr>
                <w:rFonts w:ascii="Calibri" w:hAnsi="Calibri"/>
                <w:color w:val="333333"/>
                <w:sz w:val="18"/>
              </w:rPr>
              <w:t>Reporting Quality Score (RQS)</w:t>
            </w:r>
          </w:p>
        </w:tc>
        <w:tc>
          <w:tcPr>
            <w:tcW w:type="dxa" w:w="3360"/>
            <w:shd w:fill="F2F4F8" w:val="clear"/>
          </w:tcPr>
          <w:p>
            <w:r>
              <w:rPr>
                <w:rFonts w:ascii="Calibri" w:hAnsi="Calibri"/>
                <w:color w:val="333333"/>
                <w:sz w:val="18"/>
              </w:rPr>
              <w:t>N/A</w:t>
            </w:r>
          </w:p>
        </w:tc>
        <w:tc>
          <w:tcPr>
            <w:tcW w:type="dxa" w:w="3360"/>
            <w:shd w:fill="F2F4F8" w:val="clear"/>
          </w:tcPr>
          <w:p>
            <w:r>
              <w:rPr>
                <w:rFonts w:ascii="Calibri" w:hAnsi="Calibri"/>
                <w:color w:val="333333"/>
                <w:sz w:val="18"/>
              </w:rPr>
              <w:t>Not available</w:t>
            </w:r>
          </w:p>
        </w:tc>
      </w:tr>
      <w:tr>
        <w:tc>
          <w:tcPr>
            <w:tcW w:type="dxa" w:w="3360"/>
          </w:tcPr>
          <w:p>
            <w:r>
              <w:rPr>
                <w:rFonts w:ascii="Calibri" w:hAnsi="Calibri"/>
                <w:color w:val="333333"/>
                <w:sz w:val="18"/>
              </w:rPr>
              <w:t>Cash Flow Quality Score (CFQS)</w:t>
            </w:r>
          </w:p>
        </w:tc>
        <w:tc>
          <w:tcPr>
            <w:tcW w:type="dxa" w:w="3360"/>
          </w:tcPr>
          <w:p>
            <w:r>
              <w:rPr>
                <w:rFonts w:ascii="Calibri" w:hAnsi="Calibri"/>
                <w:color w:val="333333"/>
                <w:sz w:val="18"/>
              </w:rPr>
              <w:t>N/A</w:t>
            </w:r>
          </w:p>
        </w:tc>
        <w:tc>
          <w:tcPr>
            <w:tcW w:type="dxa" w:w="3360"/>
          </w:tcPr>
          <w:p>
            <w:r>
              <w:rPr>
                <w:rFonts w:ascii="Calibri" w:hAnsi="Calibri"/>
                <w:color w:val="333333"/>
                <w:sz w:val="18"/>
              </w:rPr>
              <w:t>Not available</w:t>
            </w:r>
          </w:p>
        </w:tc>
      </w:tr>
    </w:tbl>
    <w:p>
      <w:pPr>
        <w:pStyle w:val="DOHeading2"/>
      </w:pPr>
      <w:r>
        <w:t>Executive Risk Profile</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Weighted Score</w:t>
            </w:r>
          </w:p>
        </w:tc>
        <w:tc>
          <w:tcPr>
            <w:tcW w:type="dxa" w:w="5040"/>
          </w:tcPr>
          <w:p>
            <w:r>
              <w:rPr>
                <w:rFonts w:ascii="Calibri" w:hAnsi="Calibri"/>
                <w:color w:val="333333"/>
                <w:sz w:val="18"/>
              </w:rPr>
              <w:t>13</w:t>
            </w:r>
          </w:p>
        </w:tc>
      </w:tr>
      <w:tr>
        <w:tc>
          <w:tcPr>
            <w:tcW w:type="dxa" w:w="5040"/>
            <w:shd w:fill="F2F4F8" w:val="clear"/>
          </w:tcPr>
          <w:p>
            <w:r>
              <w:rPr>
                <w:rFonts w:ascii="Calibri" w:hAnsi="Calibri"/>
                <w:color w:val="333333"/>
                <w:sz w:val="18"/>
              </w:rPr>
              <w:t>Risk Level</w:t>
            </w:r>
          </w:p>
        </w:tc>
        <w:tc>
          <w:tcPr>
            <w:tcW w:type="dxa" w:w="5040"/>
            <w:shd w:fill="F2F4F8" w:val="clear"/>
          </w:tcPr>
          <w:p>
            <w:r>
              <w:rPr>
                <w:rFonts w:ascii="Calibri" w:hAnsi="Calibri"/>
                <w:color w:val="333333"/>
                <w:sz w:val="18"/>
              </w:rPr>
              <w:t>N/A</w:t>
            </w:r>
          </w:p>
        </w:tc>
      </w:tr>
    </w:tbl>
    <w:p>
      <w:pPr>
        <w:pStyle w:val="DOBody"/>
      </w:pPr>
      <w:r>
        <w:t>- [Andrew Witty (CEO)]: Prior litigation: snippet: Plaintiff, v. UNITEDHEALTH GROUP INC., ANDREW. WITTY, STEPHEN HEMSLEY, and BRIAN. THOMPSON,</w:t>
      </w:r>
    </w:p>
    <w:p>
      <w:pPr>
        <w:pStyle w:val="DOBody"/>
      </w:pPr>
      <w:r>
        <w:t>- [Business Finance (COO)]: Prior litigation: url: https://finance.yahoo.com/quote/UNH.DU/news/</w:t>
      </w:r>
    </w:p>
    <w:p>
      <w:pPr>
        <w:pStyle w:val="DOBody"/>
      </w:pPr>
      <w:r>
        <w:t>- [Business Finance (COO)]: Prior litigation: url: https://finance.yahoo.com/markets/stocks/articles/why-unitedhealth-group-unh-outpaced-215005983</w:t>
      </w:r>
    </w:p>
    <w:p>
      <w:pPr>
        <w:pStyle w:val="DOBody"/>
      </w:pPr>
      <w:r>
        <w:t>- [Business Finance (COO)]: Prior litigation: site: finance</w:t>
      </w:r>
    </w:p>
    <w:p>
      <w:pPr>
        <w:pStyle w:val="DOHeading2"/>
      </w:pPr>
      <w:r>
        <w:t>Temporal Signals</w:t>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1A1446" w:val="clear"/>
          </w:tcPr>
          <w:p>
            <w:r>
              <w:rPr>
                <w:rFonts w:ascii="Calibri" w:hAnsi="Calibri"/>
                <w:b/>
                <w:color w:val="FFFFFF"/>
                <w:sz w:val="18"/>
              </w:rPr>
              <w:t>Type</w:t>
            </w:r>
          </w:p>
        </w:tc>
        <w:tc>
          <w:tcPr>
            <w:tcW w:type="dxa" w:w="2520"/>
            <w:shd w:fill="1A1446" w:val="clear"/>
          </w:tcPr>
          <w:p>
            <w:r>
              <w:rPr>
                <w:rFonts w:ascii="Calibri" w:hAnsi="Calibri"/>
                <w:b/>
                <w:color w:val="FFFFFF"/>
                <w:sz w:val="18"/>
              </w:rPr>
              <w:t>Direction</w:t>
            </w:r>
          </w:p>
        </w:tc>
        <w:tc>
          <w:tcPr>
            <w:tcW w:type="dxa" w:w="2520"/>
            <w:shd w:fill="1A1446" w:val="clear"/>
          </w:tcPr>
          <w:p>
            <w:r>
              <w:rPr>
                <w:rFonts w:ascii="Calibri" w:hAnsi="Calibri"/>
                <w:b/>
                <w:color w:val="FFFFFF"/>
                <w:sz w:val="18"/>
              </w:rPr>
              <w:t>Magnitude</w:t>
            </w:r>
          </w:p>
        </w:tc>
        <w:tc>
          <w:tcPr>
            <w:tcW w:type="dxa" w:w="2520"/>
            <w:shd w:fill="1A1446" w:val="clear"/>
          </w:tcPr>
          <w:p>
            <w:r>
              <w:rPr>
                <w:rFonts w:ascii="Calibri" w:hAnsi="Calibri"/>
                <w:b/>
                <w:color w:val="FFFFFF"/>
                <w:sz w:val="18"/>
              </w:rPr>
              <w:t>Description</w:t>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r>
        <w:tc>
          <w:tcPr>
            <w:tcW w:type="dxa" w:w="2520"/>
          </w:tcPr>
          <w:p>
            <w:r>
              <w:rPr>
                <w:rFonts w:ascii="Calibri" w:hAnsi="Calibri"/>
                <w:color w:val="333333"/>
                <w:sz w:val="18"/>
              </w:rPr>
              <w:t>Unknown</w:t>
            </w:r>
          </w:p>
        </w:tc>
        <w:tc>
          <w:tcPr>
            <w:tcW w:type="dxa" w:w="2520"/>
          </w:tcPr>
          <w:p>
            <w:r>
              <w:rPr>
                <w:rFonts w:ascii="Calibri" w:hAnsi="Calibri"/>
                <w:color w:val="333333"/>
                <w:sz w:val="18"/>
              </w:rPr>
              <w:t>N/A</w:t>
            </w:r>
          </w:p>
        </w:tc>
        <w:tc>
          <w:tcPr>
            <w:tcW w:type="dxa" w:w="2520"/>
          </w:tcPr>
          <w:p>
            <w:r>
              <w:rPr>
                <w:rFonts w:ascii="Calibri" w:hAnsi="Calibri"/>
                <w:color w:val="333333"/>
                <w:sz w:val="18"/>
              </w:rPr>
              <w:t>N/A</w:t>
            </w:r>
          </w:p>
        </w:tc>
        <w:tc>
          <w:tcPr>
            <w:tcW w:type="dxa" w:w="2520"/>
          </w:tcPr>
          <w:p>
            <w:r>
              <w:rPr>
                <w:rFonts w:ascii="Calibri" w:hAnsi="Calibri"/>
                <w:color w:val="333333"/>
                <w:sz w:val="18"/>
              </w:rPr>
            </w:r>
          </w:p>
        </w:tc>
      </w:tr>
      <w:tr>
        <w:tc>
          <w:tcPr>
            <w:tcW w:type="dxa" w:w="2520"/>
            <w:shd w:fill="F2F4F8" w:val="clear"/>
          </w:tcPr>
          <w:p>
            <w:r>
              <w:rPr>
                <w:rFonts w:ascii="Calibri" w:hAnsi="Calibri"/>
                <w:color w:val="333333"/>
                <w:sz w:val="18"/>
              </w:rPr>
              <w:t>Unknown</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t>N/A</w:t>
            </w:r>
          </w:p>
        </w:tc>
        <w:tc>
          <w:tcPr>
            <w:tcW w:type="dxa" w:w="2520"/>
            <w:shd w:fill="F2F4F8" w:val="clear"/>
          </w:tcPr>
          <w:p>
            <w:r>
              <w:rPr>
                <w:rFonts w:ascii="Calibri" w:hAnsi="Calibri"/>
                <w:color w:val="333333"/>
                <w:sz w:val="18"/>
              </w:rPr>
            </w:r>
          </w:p>
        </w:tc>
      </w:tr>
    </w:tbl>
    <w:p>
      <w:pPr>
        <w:pStyle w:val="DOHeading2"/>
      </w:pPr>
      <w:r>
        <w:t>NLP Filing Analysis</w:t>
      </w:r>
    </w:p>
    <w:tbl>
      <w:tblPr>
        <w:tblStyle w:val="TableGrid"/>
        <w:tblW w:type="auto" w:w="0"/>
        <w:tblLook w:firstColumn="1" w:firstRow="1" w:lastColumn="0" w:lastRow="0" w:noHBand="0" w:noVBand="1" w:val="04A0"/>
      </w:tblPr>
      <w:tblGrid>
        <w:gridCol w:w="5040"/>
        <w:gridCol w:w="5040"/>
      </w:tblGrid>
      <w:tr>
        <w:tc>
          <w:tcPr>
            <w:tcW w:type="dxa" w:w="5040"/>
            <w:shd w:fill="1A1446" w:val="clear"/>
          </w:tcPr>
          <w:p>
            <w:r>
              <w:rPr>
                <w:rFonts w:ascii="Calibri" w:hAnsi="Calibri"/>
                <w:b/>
                <w:color w:val="FFFFFF"/>
                <w:sz w:val="18"/>
              </w:rPr>
              <w:t>Metric</w:t>
            </w:r>
          </w:p>
        </w:tc>
        <w:tc>
          <w:tcPr>
            <w:tcW w:type="dxa" w:w="5040"/>
            <w:shd w:fill="1A1446" w:val="clear"/>
          </w:tcPr>
          <w:p>
            <w:r>
              <w:rPr>
                <w:rFonts w:ascii="Calibri" w:hAnsi="Calibri"/>
                <w:b/>
                <w:color w:val="FFFFFF"/>
                <w:sz w:val="18"/>
              </w:rPr>
              <w:t>Value</w:t>
            </w:r>
          </w:p>
        </w:tc>
      </w:tr>
      <w:tr>
        <w:tc>
          <w:tcPr>
            <w:tcW w:type="dxa" w:w="5040"/>
          </w:tcPr>
          <w:p>
            <w:r>
              <w:rPr>
                <w:rFonts w:ascii="Calibri" w:hAnsi="Calibri"/>
                <w:color w:val="333333"/>
                <w:sz w:val="18"/>
              </w:rPr>
              <w:t>Readability Score</w:t>
            </w:r>
          </w:p>
        </w:tc>
        <w:tc>
          <w:tcPr>
            <w:tcW w:type="dxa" w:w="5040"/>
          </w:tcPr>
          <w:p>
            <w:r>
              <w:rPr>
                <w:rFonts w:ascii="Calibri" w:hAnsi="Calibri"/>
                <w:color w:val="333333"/>
                <w:sz w:val="18"/>
              </w:rPr>
              <w:t>{'current_fog': 22.35, 'prior_fog': None, 'fog_change': None, 'current_flesch': 13.14, 'prior_flesch': None, 'classification': 'CURRENT_ONLY', 'evidence': 'Current Fog Index: 22.3 (prior year unavailable)'}</w:t>
            </w:r>
          </w:p>
        </w:tc>
      </w:tr>
      <w:tr>
        <w:tc>
          <w:tcPr>
            <w:tcW w:type="dxa" w:w="5040"/>
            <w:shd w:fill="F2F4F8" w:val="clear"/>
          </w:tcPr>
          <w:p>
            <w:r>
              <w:rPr>
                <w:rFonts w:ascii="Calibri" w:hAnsi="Calibri"/>
                <w:color w:val="333333"/>
                <w:sz w:val="18"/>
              </w:rPr>
              <w:t>Tone Assessment</w:t>
            </w:r>
          </w:p>
        </w:tc>
        <w:tc>
          <w:tcPr>
            <w:tcW w:type="dxa" w:w="5040"/>
            <w:shd w:fill="F2F4F8" w:val="clear"/>
          </w:tcPr>
          <w:p>
            <w:r>
              <w:rPr>
                <w:rFonts w:ascii="Calibri" w:hAnsi="Calibri"/>
                <w:color w:val="333333"/>
                <w:sz w:val="18"/>
              </w:rPr>
              <w:t>N/A</w:t>
            </w:r>
          </w:p>
        </w:tc>
      </w:tr>
      <w:tr>
        <w:tc>
          <w:tcPr>
            <w:tcW w:type="dxa" w:w="5040"/>
          </w:tcPr>
          <w:p>
            <w:r>
              <w:rPr>
                <w:rFonts w:ascii="Calibri" w:hAnsi="Calibri"/>
                <w:color w:val="333333"/>
                <w:sz w:val="18"/>
              </w:rPr>
              <w:t>Risk Language Density</w:t>
            </w:r>
          </w:p>
        </w:tc>
        <w:tc>
          <w:tcPr>
            <w:tcW w:type="dxa" w:w="5040"/>
          </w:tcPr>
          <w:p>
            <w:r>
              <w:rPr>
                <w:rFonts w:ascii="Calibri" w:hAnsi="Calibri"/>
                <w:color w:val="333333"/>
                <w:sz w:val="18"/>
              </w:rPr>
              <w:t>N/A</w:t>
            </w:r>
          </w:p>
        </w:tc>
      </w:tr>
    </w:tbl>
    <w:p>
      <w:pPr>
        <w:pStyle w:val="DOHeading2"/>
      </w:pPr>
      <w:r>
        <w:t>Peril Assessment</w:t>
      </w:r>
    </w:p>
    <w:p>
      <w:pPr>
        <w:pStyle w:val="DOHeading3"/>
      </w:pPr>
      <w:r>
        <w:t>Plaintiff Peril Heat Map</w:t>
      </w:r>
    </w:p>
    <w:tbl>
      <w:tblPr>
        <w:tblStyle w:val="TableGrid"/>
        <w:tblW w:type="auto" w:w="0"/>
        <w:tblLook w:firstColumn="1" w:firstRow="1" w:lastColumn="0" w:lastRow="0" w:noHBand="0" w:noVBand="1" w:val="04A0"/>
      </w:tblPr>
      <w:tblGrid>
        <w:gridCol w:w="3360"/>
        <w:gridCol w:w="3360"/>
        <w:gridCol w:w="3360"/>
      </w:tblGrid>
      <w:tr>
        <w:tc>
          <w:tcPr>
            <w:tcW w:type="dxa" w:w="3360"/>
            <w:shd w:fill="1A1446" w:val="clear"/>
          </w:tcPr>
          <w:p>
            <w:r>
              <w:rPr>
                <w:rFonts w:ascii="Calibri" w:hAnsi="Calibri"/>
                <w:b/>
                <w:color w:val="FFFFFF"/>
                <w:sz w:val="18"/>
              </w:rPr>
              <w:t>Plaintiff Type</w:t>
            </w:r>
          </w:p>
        </w:tc>
        <w:tc>
          <w:tcPr>
            <w:tcW w:type="dxa" w:w="3360"/>
            <w:shd w:fill="1A1446" w:val="clear"/>
          </w:tcPr>
          <w:p>
            <w:r>
              <w:rPr>
                <w:rFonts w:ascii="Calibri" w:hAnsi="Calibri"/>
                <w:b/>
                <w:color w:val="FFFFFF"/>
                <w:sz w:val="18"/>
              </w:rPr>
              <w:t>Probability</w:t>
            </w:r>
          </w:p>
        </w:tc>
        <w:tc>
          <w:tcPr>
            <w:tcW w:type="dxa" w:w="3360"/>
            <w:shd w:fill="1A1446" w:val="clear"/>
          </w:tcPr>
          <w:p>
            <w:r>
              <w:rPr>
                <w:rFonts w:ascii="Calibri" w:hAnsi="Calibri"/>
                <w:b/>
                <w:color w:val="FFFFFF"/>
                <w:sz w:val="18"/>
              </w:rPr>
              <w:t>Severity</w:t>
            </w:r>
          </w:p>
        </w:tc>
      </w:tr>
      <w:tr>
        <w:tc>
          <w:tcPr>
            <w:tcW w:type="dxa" w:w="3360"/>
          </w:tcPr>
          <w:p>
            <w:r>
              <w:rPr>
                <w:rFonts w:ascii="Calibri" w:hAnsi="Calibri"/>
                <w:b/>
                <w:color w:val="333333"/>
                <w:sz w:val="18"/>
              </w:rPr>
              <w:t>Shareholders</w:t>
            </w:r>
          </w:p>
        </w:tc>
        <w:tc>
          <w:tcPr>
            <w:tcW w:type="dxa" w:w="3360"/>
            <w:shd w:fill="FFCCBC" w:val="clear"/>
          </w:tcPr>
          <w:p>
            <w:r>
              <w:rPr>
                <w:rFonts w:ascii="Calibri" w:hAnsi="Calibri"/>
                <w:b/>
                <w:color w:val="CC3300"/>
                <w:sz w:val="18"/>
              </w:rPr>
              <w:t>ELEVATED</w:t>
            </w:r>
          </w:p>
        </w:tc>
        <w:tc>
          <w:tcPr>
            <w:tcW w:type="dxa" w:w="3360"/>
            <w:shd w:fill="FFCCBC" w:val="clear"/>
          </w:tcPr>
          <w:p>
            <w:r>
              <w:rPr>
                <w:rFonts w:ascii="Calibri" w:hAnsi="Calibri"/>
                <w:b/>
                <w:color w:val="333333"/>
                <w:sz w:val="18"/>
              </w:rPr>
              <w:t>SIGNIFICANT</w:t>
            </w:r>
          </w:p>
        </w:tc>
      </w:tr>
      <w:tr>
        <w:tc>
          <w:tcPr>
            <w:tcW w:type="dxa" w:w="3360"/>
          </w:tcPr>
          <w:p>
            <w:r>
              <w:rPr>
                <w:rFonts w:ascii="Calibri" w:hAnsi="Calibri"/>
                <w:b/>
                <w:color w:val="333333"/>
                <w:sz w:val="18"/>
              </w:rPr>
              <w:t>Regulators</w:t>
            </w:r>
          </w:p>
        </w:tc>
        <w:tc>
          <w:tcPr>
            <w:tcW w:type="dxa" w:w="3360"/>
            <w:shd w:fill="FFCCBC" w:val="clear"/>
          </w:tcPr>
          <w:p>
            <w:r>
              <w:rPr>
                <w:rFonts w:ascii="Calibri" w:hAnsi="Calibri"/>
                <w:b/>
                <w:color w:val="CC3300"/>
                <w:sz w:val="18"/>
              </w:rPr>
              <w:t>ELEVATED</w:t>
            </w:r>
          </w:p>
        </w:tc>
        <w:tc>
          <w:tcPr>
            <w:tcW w:type="dxa" w:w="3360"/>
            <w:shd w:fill="FFCCBC" w:val="clear"/>
          </w:tcPr>
          <w:p>
            <w:r>
              <w:rPr>
                <w:rFonts w:ascii="Calibri" w:hAnsi="Calibri"/>
                <w:b/>
                <w:color w:val="333333"/>
                <w:sz w:val="18"/>
              </w:rPr>
              <w:t>SIGNIFICANT</w:t>
            </w:r>
          </w:p>
        </w:tc>
      </w:tr>
      <w:tr>
        <w:tc>
          <w:tcPr>
            <w:tcW w:type="dxa" w:w="3360"/>
          </w:tcPr>
          <w:p>
            <w:r>
              <w:rPr>
                <w:rFonts w:ascii="Calibri" w:hAnsi="Calibri"/>
                <w:b/>
                <w:color w:val="333333"/>
                <w:sz w:val="18"/>
              </w:rPr>
              <w:t>Customers</w:t>
            </w:r>
          </w:p>
        </w:tc>
        <w:tc>
          <w:tcPr>
            <w:tcW w:type="dxa" w:w="3360"/>
            <w:shd w:fill="DCEEF8" w:val="clear"/>
          </w:tcPr>
          <w:p>
            <w:r>
              <w:rPr>
                <w:rFonts w:ascii="Calibri" w:hAnsi="Calibri"/>
                <w:b/>
                <w:color w:val="4A90D9"/>
                <w:sz w:val="18"/>
              </w:rPr>
              <w:t>VERY LOW</w:t>
            </w:r>
          </w:p>
        </w:tc>
        <w:tc>
          <w:tcPr>
            <w:tcW w:type="dxa" w:w="3360"/>
            <w:shd w:fill="DCEEF8" w:val="clear"/>
          </w:tcPr>
          <w:p>
            <w:r>
              <w:rPr>
                <w:rFonts w:ascii="Calibri" w:hAnsi="Calibri"/>
                <w:b/>
                <w:color w:val="333333"/>
                <w:sz w:val="18"/>
              </w:rPr>
              <w:t>NUISANCE</w:t>
            </w:r>
          </w:p>
        </w:tc>
      </w:tr>
      <w:tr>
        <w:tc>
          <w:tcPr>
            <w:tcW w:type="dxa" w:w="3360"/>
          </w:tcPr>
          <w:p>
            <w:r>
              <w:rPr>
                <w:rFonts w:ascii="Calibri" w:hAnsi="Calibri"/>
                <w:b/>
                <w:color w:val="333333"/>
                <w:sz w:val="18"/>
              </w:rPr>
              <w:t>Competitors</w:t>
            </w:r>
          </w:p>
        </w:tc>
        <w:tc>
          <w:tcPr>
            <w:tcW w:type="dxa" w:w="3360"/>
            <w:shd w:fill="DCEEF8" w:val="clear"/>
          </w:tcPr>
          <w:p>
            <w:r>
              <w:rPr>
                <w:rFonts w:ascii="Calibri" w:hAnsi="Calibri"/>
                <w:b/>
                <w:color w:val="4A90D9"/>
                <w:sz w:val="18"/>
              </w:rPr>
              <w:t>VERY LOW</w:t>
            </w:r>
          </w:p>
        </w:tc>
        <w:tc>
          <w:tcPr>
            <w:tcW w:type="dxa" w:w="3360"/>
            <w:shd w:fill="DCEEF8" w:val="clear"/>
          </w:tcPr>
          <w:p>
            <w:r>
              <w:rPr>
                <w:rFonts w:ascii="Calibri" w:hAnsi="Calibri"/>
                <w:b/>
                <w:color w:val="333333"/>
                <w:sz w:val="18"/>
              </w:rPr>
              <w:t>NUISANCE</w:t>
            </w:r>
          </w:p>
        </w:tc>
      </w:tr>
      <w:tr>
        <w:tc>
          <w:tcPr>
            <w:tcW w:type="dxa" w:w="3360"/>
          </w:tcPr>
          <w:p>
            <w:r>
              <w:rPr>
                <w:rFonts w:ascii="Calibri" w:hAnsi="Calibri"/>
                <w:b/>
                <w:color w:val="333333"/>
                <w:sz w:val="18"/>
              </w:rPr>
              <w:t>Employees</w:t>
            </w:r>
          </w:p>
        </w:tc>
        <w:tc>
          <w:tcPr>
            <w:tcW w:type="dxa" w:w="3360"/>
            <w:shd w:fill="FFF3CD" w:val="clear"/>
          </w:tcPr>
          <w:p>
            <w:r>
              <w:rPr>
                <w:rFonts w:ascii="Calibri" w:hAnsi="Calibri"/>
                <w:b/>
                <w:color w:val="998800"/>
                <w:sz w:val="18"/>
              </w:rPr>
              <w:t>LOW</w:t>
            </w:r>
          </w:p>
        </w:tc>
        <w:tc>
          <w:tcPr>
            <w:tcW w:type="dxa" w:w="3360"/>
            <w:shd w:fill="FFF3CD" w:val="clear"/>
          </w:tcPr>
          <w:p>
            <w:r>
              <w:rPr>
                <w:rFonts w:ascii="Calibri" w:hAnsi="Calibri"/>
                <w:b/>
                <w:color w:val="333333"/>
                <w:sz w:val="18"/>
              </w:rPr>
              <w:t>MINOR</w:t>
            </w:r>
          </w:p>
        </w:tc>
      </w:tr>
      <w:tr>
        <w:tc>
          <w:tcPr>
            <w:tcW w:type="dxa" w:w="3360"/>
          </w:tcPr>
          <w:p>
            <w:r>
              <w:rPr>
                <w:rFonts w:ascii="Calibri" w:hAnsi="Calibri"/>
                <w:b/>
                <w:color w:val="333333"/>
                <w:sz w:val="18"/>
              </w:rPr>
              <w:t>Creditors</w:t>
            </w:r>
          </w:p>
        </w:tc>
        <w:tc>
          <w:tcPr>
            <w:tcW w:type="dxa" w:w="3360"/>
            <w:shd w:fill="FFE0B2" w:val="clear"/>
          </w:tcPr>
          <w:p>
            <w:r>
              <w:rPr>
                <w:rFonts w:ascii="Calibri" w:hAnsi="Calibri"/>
                <w:b/>
                <w:color w:val="E67300"/>
                <w:sz w:val="18"/>
              </w:rPr>
              <w:t>MODERATE</w:t>
            </w:r>
          </w:p>
        </w:tc>
        <w:tc>
          <w:tcPr>
            <w:tcW w:type="dxa" w:w="3360"/>
            <w:shd w:fill="FFE0B2" w:val="clear"/>
          </w:tcPr>
          <w:p>
            <w:r>
              <w:rPr>
                <w:rFonts w:ascii="Calibri" w:hAnsi="Calibri"/>
                <w:b/>
                <w:color w:val="333333"/>
                <w:sz w:val="18"/>
              </w:rPr>
              <w:t>MODERATE</w:t>
            </w:r>
          </w:p>
        </w:tc>
      </w:tr>
      <w:tr>
        <w:tc>
          <w:tcPr>
            <w:tcW w:type="dxa" w:w="3360"/>
          </w:tcPr>
          <w:p>
            <w:r>
              <w:rPr>
                <w:rFonts w:ascii="Calibri" w:hAnsi="Calibri"/>
                <w:b/>
                <w:color w:val="333333"/>
                <w:sz w:val="18"/>
              </w:rPr>
              <w:t>Government</w:t>
            </w:r>
          </w:p>
        </w:tc>
        <w:tc>
          <w:tcPr>
            <w:tcW w:type="dxa" w:w="3360"/>
            <w:shd w:fill="FFE0B2" w:val="clear"/>
          </w:tcPr>
          <w:p>
            <w:r>
              <w:rPr>
                <w:rFonts w:ascii="Calibri" w:hAnsi="Calibri"/>
                <w:b/>
                <w:color w:val="E67300"/>
                <w:sz w:val="18"/>
              </w:rPr>
              <w:t>MODERATE</w:t>
            </w:r>
          </w:p>
        </w:tc>
        <w:tc>
          <w:tcPr>
            <w:tcW w:type="dxa" w:w="3360"/>
            <w:shd w:fill="FFCCBC" w:val="clear"/>
          </w:tcPr>
          <w:p>
            <w:r>
              <w:rPr>
                <w:rFonts w:ascii="Calibri" w:hAnsi="Calibri"/>
                <w:b/>
                <w:color w:val="333333"/>
                <w:sz w:val="18"/>
              </w:rPr>
              <w:t>SIGNIFICANT</w:t>
            </w:r>
          </w:p>
        </w:tc>
      </w:tr>
    </w:tbl>
    <w:p>
      <w:pPr>
        <w:pStyle w:val="DOBody"/>
      </w:pPr>
      <w:r>
        <w:rPr>
          <w:color w:val="666666"/>
          <w:sz w:val="16"/>
        </w:rPr>
        <w:t>Shareholders: 48 triggered checks. Key: Litigation History Profile: 2 (elevated vs benchmark of 0)</w:t>
      </w:r>
    </w:p>
    <w:p>
      <w:pPr>
        <w:pStyle w:val="DOBody"/>
      </w:pPr>
      <w:r>
        <w:rPr>
          <w:color w:val="666666"/>
          <w:sz w:val="16"/>
        </w:rPr>
        <w:t>Regulators: 17 triggered checks. Key: Disclosure Complexity Score: 31 (elevated vs benchmark of 25)</w:t>
      </w:r>
    </w:p>
    <w:p>
      <w:pPr>
        <w:pStyle w:val="DOBody"/>
      </w:pPr>
      <w:r>
        <w:rPr>
          <w:color w:val="666666"/>
          <w:sz w:val="16"/>
        </w:rPr>
        <w:t>Creditors: 4 triggered checks. Key: Goodwill/Intangible as % of Equity: 110.40 (elevated vs benchmark of 100)</w:t>
      </w:r>
    </w:p>
    <w:p>
      <w:pPr>
        <w:pStyle w:val="DOBody"/>
      </w:pPr>
      <w:r>
        <w:rPr>
          <w:color w:val="666666"/>
          <w:sz w:val="16"/>
        </w:rPr>
        <w:t>Government: 5 triggered checks. Key: Key Supplier Dependencies: 2 (elevated vs benchmark of 1)</w:t>
      </w:r>
    </w:p>
    <w:p>
      <w:pPr>
        <w:pStyle w:val="DOHeading3"/>
      </w:pPr>
      <w:r>
        <w:t>Bear Cases</w:t>
      </w:r>
    </w:p>
    <w:p>
      <w:pPr>
        <w:pStyle w:val="DOHeading3"/>
      </w:pPr>
      <w:r>
        <w:t>Bear Case: A Disclosure</w:t>
      </w:r>
    </w:p>
    <w:p>
      <w:pPr>
        <w:pStyle w:val="DOBody"/>
      </w:pPr>
      <w:r>
        <w:rPr>
          <w:b/>
        </w:rPr>
        <w:t>UNITEDHEALTH GROUP INC faces elevated exposure to securities disclosure fraud claims. Key risk indicators: Litigation History Profile (critical); VIE/SPE Off-Balance-Sheet Structures (critical). Estimated severity is significant, warranting detailed underwriter review.</w:t>
      </w:r>
    </w:p>
    <w:p>
      <w:pPr>
        <w:pStyle w:val="DOBody"/>
      </w:pPr>
      <w:r>
        <w:rPr>
          <w:i/>
        </w:rPr>
        <w:t>Defense: Defense: No active Section 11 windows — statute of limitations expired for offering claims</w:t>
      </w:r>
    </w:p>
    <w:p>
      <w:pPr>
        <w:pStyle w:val="DOBody"/>
      </w:pPr>
      <w:r>
        <w:rPr>
          <w:b/>
          <w:sz w:val="20"/>
        </w:rPr>
        <w:t>Evidence Chain</w:t>
      </w:r>
    </w:p>
    <w:p>
      <w:pPr>
        <w:pStyle w:val="DOBody"/>
      </w:pPr>
      <w:r>
        <w:rPr>
          <w:sz w:val="16"/>
        </w:rPr>
        <w:t>1. [BIZ.CLASS.litigation_history] Litigation History Profile (Source: total_sca_count)</w:t>
      </w:r>
    </w:p>
    <w:p>
      <w:pPr>
        <w:pStyle w:val="DOBody"/>
      </w:pPr>
      <w:r>
        <w:rPr>
          <w:sz w:val="16"/>
        </w:rPr>
        <w:t>2. [BIZ.STRUCT.vie_spe] VIE/SPE Off-Balance-Sheet Structures (Source: vie_spe_present)</w:t>
      </w:r>
    </w:p>
    <w:p>
      <w:pPr>
        <w:pStyle w:val="DOBody"/>
      </w:pPr>
      <w:r>
        <w:rPr>
          <w:sz w:val="16"/>
        </w:rPr>
        <w:t>3. [BIZ.DEPEND.regulatory_dep] Single-Source Suppliers (Source: regulatory_dependency_count)</w:t>
      </w:r>
    </w:p>
    <w:p>
      <w:pPr>
        <w:pStyle w:val="DOBody"/>
      </w:pPr>
      <w:r>
        <w:rPr>
          <w:sz w:val="16"/>
        </w:rPr>
        <w:t>4. [BIZ.EVENT.ipo_exposure] IPO/Offering Exposure Window (Source: event_ipo_exposure_score)</w:t>
      </w:r>
    </w:p>
    <w:p>
      <w:pPr>
        <w:pStyle w:val="DOBody"/>
      </w:pPr>
      <w:r>
        <w:rPr>
          <w:sz w:val="16"/>
        </w:rPr>
        <w:t>5. [BIZ.OPS.workforce] Workforce Distribution (Source: workforce_distribution)</w:t>
      </w:r>
    </w:p>
    <w:p>
      <w:pPr>
        <w:pStyle w:val="DOBody"/>
      </w:pPr>
      <w:r>
        <w:rPr>
          <w:sz w:val="16"/>
        </w:rPr>
        <w:t>6. [BIZ.STRUC.obs_exposure] Off-Balance-Sheet Exposure (Source: obs_exposure_score)</w:t>
      </w:r>
    </w:p>
    <w:p>
      <w:pPr>
        <w:pStyle w:val="DOBody"/>
      </w:pPr>
      <w:r>
        <w:rPr>
          <w:sz w:val="16"/>
        </w:rPr>
        <w:t>7. [EXEC.PRIOR_LIT.any_officer] Any Officer With Prior Litigation at Previous Company (Source: value)</w:t>
      </w:r>
    </w:p>
    <w:p>
      <w:pPr>
        <w:pStyle w:val="DOBody"/>
      </w:pPr>
      <w:r>
        <w:rPr>
          <w:sz w:val="16"/>
        </w:rPr>
        <w:t>8. [EXEC.PRIOR_LIT.ceo_cfo] CEO or CFO With Prior Litigation (Source: value)</w:t>
      </w:r>
    </w:p>
    <w:p>
      <w:pPr>
        <w:pStyle w:val="DOBody"/>
      </w:pPr>
      <w:r>
        <w:rPr>
          <w:sz w:val="16"/>
        </w:rPr>
        <w:t>9. [FIN.ACCT.quality_indicators] Quality Indicators (Source: xbrl_altman_z_score)</w:t>
      </w:r>
    </w:p>
    <w:p>
      <w:pPr>
        <w:pStyle w:val="DOBody"/>
      </w:pPr>
      <w:r>
        <w:rPr>
          <w:sz w:val="16"/>
        </w:rPr>
        <w:t>10. [FIN.LIQ.working_capital] Working Capital Analysis (Source: xbrl_working_capital)</w:t>
      </w:r>
    </w:p>
    <w:p>
      <w:pPr>
        <w:pStyle w:val="DOBody"/>
      </w:pPr>
      <w:r>
        <w:rPr>
          <w:color w:val="666666"/>
          <w:sz w:val="16"/>
        </w:rPr>
        <w:t>Probability: ELEVATED | Severity: SIGNIFICANT</w:t>
      </w:r>
    </w:p>
    <w:p>
      <w:pPr>
        <w:pStyle w:val="DOHeading3"/>
      </w:pPr>
      <w:r>
        <w:t>Settlement Prediction</w:t>
      </w:r>
    </w:p>
    <w:p>
      <w:pPr>
        <w:pStyle w:val="DOBody"/>
      </w:pPr>
      <w:r>
        <w:t>Settlement prediction computed but no scenarios available.</w:t>
      </w:r>
    </w:p>
    <w:p>
      <w:pPr>
        <w:pStyle w:val="DOHeading3"/>
      </w:pPr>
      <w:r>
        <w:t>Tower Risk Characterization</w:t>
      </w:r>
    </w:p>
    <w:p>
      <w:pPr>
        <w:pStyle w:val="DOBody"/>
      </w:pPr>
      <w:r>
        <w:t>Tower characterization not available.</w:t>
      </w:r>
    </w:p>
    <w:p>
      <w:pPr>
        <w:pStyle w:val="DOHeading2"/>
      </w:pPr>
      <w:r>
        <w:t>Coverage Gaps -- Data Not Available</w:t>
      </w:r>
    </w:p>
    <w:p>
      <w:pPr>
        <w:pStyle w:val="DOBody"/>
      </w:pPr>
      <w:r>
        <w:rPr>
          <w:i/>
        </w:rPr>
        <w:t>The following checks could not be evaluated because required data was not acquired. These items are NOT cleared -- they represent gaps in coverage that should be considered in the underwriting decision.</w:t>
      </w:r>
    </w:p>
    <w:p>
      <w:pPr>
        <w:pStyle w:val="DOHeading3"/>
      </w:pPr>
      <w:r>
        <w:t>Executive Summary &amp; Key Metrics</w:t>
      </w:r>
    </w:p>
    <w:p>
      <w:pPr>
        <w:pStyle w:val="DOBody"/>
      </w:pPr>
      <w:r>
        <w:rPr>
          <w:b/>
          <w:sz w:val="16"/>
        </w:rPr>
        <w:t xml:space="preserve">  [EVALUATIVE] </w:t>
      </w:r>
      <w:r>
        <w:rPr>
          <w:sz w:val="16"/>
        </w:rPr>
        <w:t>BIZ.DEPEND.labor (Concentration Risk Composite): Required data not available from filings</w:t>
      </w:r>
    </w:p>
    <w:p>
      <w:pPr>
        <w:pStyle w:val="DOBody"/>
      </w:pPr>
      <w:r>
        <w:rPr>
          <w:b/>
          <w:sz w:val="16"/>
        </w:rPr>
        <w:t xml:space="preserve">  [REQUIRED] </w:t>
      </w:r>
      <w:r>
        <w:rPr>
          <w:sz w:val="16"/>
        </w:rPr>
        <w:t>BIZ.MA.goodwill_balance (Goodwill Balance): Required data not available from filings</w:t>
      </w:r>
    </w:p>
    <w:p>
      <w:pPr>
        <w:pStyle w:val="DOBody"/>
      </w:pPr>
      <w:r>
        <w:rPr>
          <w:b/>
          <w:sz w:val="16"/>
        </w:rPr>
        <w:t xml:space="preserve">  [REQUIRED] </w:t>
      </w:r>
      <w:r>
        <w:rPr>
          <w:sz w:val="16"/>
        </w:rPr>
        <w:t>BIZ.MA.acquisition_spend (Acquisition Spend Magnitude): Required data not available from filings</w:t>
      </w:r>
    </w:p>
    <w:p>
      <w:pPr>
        <w:pStyle w:val="DOBody"/>
      </w:pPr>
      <w:r>
        <w:rPr>
          <w:b/>
          <w:sz w:val="16"/>
        </w:rPr>
        <w:t xml:space="preserve">  [EVALUATIVE] </w:t>
      </w:r>
      <w:r>
        <w:rPr>
          <w:sz w:val="16"/>
        </w:rPr>
        <w:t>BIZ.MA.goodwill_change (Goodwill Trajectory): Required data not available from filings</w:t>
      </w:r>
    </w:p>
    <w:p>
      <w:pPr>
        <w:pStyle w:val="DOBody"/>
      </w:pPr>
      <w:r>
        <w:rPr>
          <w:b/>
          <w:sz w:val="16"/>
        </w:rPr>
        <w:t xml:space="preserve">  [REQUIRED] </w:t>
      </w:r>
      <w:r>
        <w:rPr>
          <w:sz w:val="16"/>
        </w:rPr>
        <w:t>BIZ.MA.acquisition_list (Recent Acquisitions): Required data not available from filings</w:t>
      </w:r>
    </w:p>
    <w:p>
      <w:pPr>
        <w:pStyle w:val="DOBody"/>
      </w:pPr>
      <w:r>
        <w:rPr>
          <w:b/>
          <w:sz w:val="16"/>
        </w:rPr>
        <w:t xml:space="preserve">  [EVALUATIVE] </w:t>
      </w:r>
      <w:r>
        <w:rPr>
          <w:sz w:val="16"/>
        </w:rPr>
        <w:t>BIZ.MODEL.key_person (Key Person Dependency): Required data not available from filings</w:t>
      </w:r>
    </w:p>
    <w:p>
      <w:pPr>
        <w:pStyle w:val="DOBody"/>
      </w:pPr>
      <w:r>
        <w:rPr>
          <w:b/>
          <w:sz w:val="16"/>
        </w:rPr>
        <w:t xml:space="preserve">  [REQUIRED] </w:t>
      </w:r>
      <w:r>
        <w:rPr>
          <w:sz w:val="16"/>
        </w:rPr>
        <w:t>BIZ.MODEL.lifecycle (Segment Lifecycle Risk): Required data not available from filings</w:t>
      </w:r>
    </w:p>
    <w:p>
      <w:pPr>
        <w:pStyle w:val="DOBody"/>
      </w:pPr>
      <w:r>
        <w:rPr>
          <w:b/>
          <w:sz w:val="16"/>
        </w:rPr>
        <w:t xml:space="preserve">  [REQUIRED] </w:t>
      </w:r>
      <w:r>
        <w:rPr>
          <w:sz w:val="16"/>
        </w:rPr>
        <w:t>BIZ.MODEL.segment_margins (Segment Margin Profile): Required data not available from filings</w:t>
      </w:r>
    </w:p>
    <w:p>
      <w:pPr>
        <w:pStyle w:val="DOBody"/>
      </w:pPr>
      <w:r>
        <w:rPr>
          <w:b/>
          <w:sz w:val="16"/>
        </w:rPr>
        <w:t xml:space="preserve">  [EVALUATIVE] </w:t>
      </w:r>
      <w:r>
        <w:rPr>
          <w:sz w:val="16"/>
        </w:rPr>
        <w:t>ABS.DISC.audit_fees (Missing Audit Fee Disclosure): Expected signals not found in evaluation results</w:t>
      </w:r>
    </w:p>
    <w:p>
      <w:pPr>
        <w:pStyle w:val="DOBody"/>
      </w:pPr>
      <w:r>
        <w:rPr>
          <w:b/>
          <w:sz w:val="16"/>
        </w:rPr>
        <w:t xml:space="preserve">  [EVALUATIVE] </w:t>
      </w:r>
      <w:r>
        <w:rPr>
          <w:sz w:val="16"/>
        </w:rPr>
        <w:t>ABS.DISC.board_independence (Missing Board Independence Disclosure): Could not determine disclosure presence or absence</w:t>
      </w:r>
    </w:p>
    <w:p>
      <w:pPr>
        <w:pStyle w:val="DOBody"/>
      </w:pPr>
      <w:r>
        <w:rPr>
          <w:b/>
          <w:sz w:val="16"/>
        </w:rPr>
        <w:t xml:space="preserve">  [EVALUATIVE] </w:t>
      </w:r>
      <w:r>
        <w:rPr>
          <w:sz w:val="16"/>
        </w:rPr>
        <w:t>ABS.DISC.clawback_policy (Missing Clawback Policy Disclosure): Expected signals not found in evaluation results</w:t>
      </w:r>
    </w:p>
    <w:p>
      <w:pPr>
        <w:pStyle w:val="DOBody"/>
      </w:pPr>
      <w:r>
        <w:rPr>
          <w:b/>
          <w:sz w:val="16"/>
        </w:rPr>
        <w:t xml:space="preserve">  [EVALUATIVE] </w:t>
      </w:r>
      <w:r>
        <w:rPr>
          <w:sz w:val="16"/>
        </w:rPr>
        <w:t>ABS.DISC.cyber_risk (Missing Cybersecurity Risk Disclosure): Expected signals not found in evaluation results</w:t>
      </w:r>
    </w:p>
    <w:p>
      <w:pPr>
        <w:pStyle w:val="DOBody"/>
      </w:pPr>
      <w:r>
        <w:rPr>
          <w:b/>
          <w:sz w:val="16"/>
        </w:rPr>
        <w:t xml:space="preserve">  [EVALUATIVE] </w:t>
      </w:r>
      <w:r>
        <w:rPr>
          <w:sz w:val="16"/>
        </w:rPr>
        <w:t>ABS.DISC.debt_covenants (Missing Debt Covenant Disclosure): Expected signals not found in evaluation results</w:t>
      </w:r>
    </w:p>
    <w:p>
      <w:pPr>
        <w:pStyle w:val="DOBody"/>
      </w:pPr>
      <w:r>
        <w:rPr>
          <w:b/>
          <w:sz w:val="16"/>
        </w:rPr>
        <w:t xml:space="preserve">  [EVALUATIVE] </w:t>
      </w:r>
      <w:r>
        <w:rPr>
          <w:sz w:val="16"/>
        </w:rPr>
        <w:t>ABS.DISC.derivative_instruments (Missing Derivative Instruments Disclosure): Expected signals not found in evaluation results</w:t>
      </w:r>
    </w:p>
    <w:p>
      <w:pPr>
        <w:pStyle w:val="DOBody"/>
      </w:pPr>
      <w:r>
        <w:rPr>
          <w:b/>
          <w:sz w:val="16"/>
        </w:rPr>
        <w:t xml:space="preserve">  [EVALUATIVE] </w:t>
      </w:r>
      <w:r>
        <w:rPr>
          <w:sz w:val="16"/>
        </w:rPr>
        <w:t>ABS.DISC.esg (Missing ESG Disclosure): Expected signals not found in evaluation results</w:t>
      </w:r>
    </w:p>
    <w:p>
      <w:pPr>
        <w:pStyle w:val="DOBody"/>
      </w:pPr>
      <w:r>
        <w:rPr>
          <w:b/>
          <w:sz w:val="16"/>
        </w:rPr>
        <w:t xml:space="preserve">  [EVALUATIVE] </w:t>
      </w:r>
      <w:r>
        <w:rPr>
          <w:sz w:val="16"/>
        </w:rPr>
        <w:t>ABS.DISC.executive_comp (Missing Executive Compensation Disclosure): Expected signals not found in evaluation results</w:t>
      </w:r>
    </w:p>
    <w:p>
      <w:pPr>
        <w:pStyle w:val="DOBody"/>
      </w:pPr>
      <w:r>
        <w:rPr>
          <w:b/>
          <w:sz w:val="16"/>
        </w:rPr>
        <w:t xml:space="preserve">  [EVALUATIVE] </w:t>
      </w:r>
      <w:r>
        <w:rPr>
          <w:sz w:val="16"/>
        </w:rPr>
        <w:t>ABS.DISC.goodwill_impairment (Missing Goodwill Impairment Disclosure): Expected signals not found in evaluation results</w:t>
      </w:r>
    </w:p>
    <w:p>
      <w:pPr>
        <w:pStyle w:val="DOBody"/>
      </w:pPr>
      <w:r>
        <w:rPr>
          <w:b/>
          <w:sz w:val="16"/>
        </w:rPr>
        <w:t xml:space="preserve">  [EVALUATIVE] </w:t>
      </w:r>
      <w:r>
        <w:rPr>
          <w:sz w:val="16"/>
        </w:rPr>
        <w:t>ABS.DISC.lease_obligations (Missing Lease Obligation Disclosure): Expected signals not found in evaluation results</w:t>
      </w:r>
    </w:p>
    <w:p>
      <w:pPr>
        <w:pStyle w:val="DOBody"/>
      </w:pPr>
      <w:r>
        <w:rPr>
          <w:b/>
          <w:sz w:val="16"/>
        </w:rPr>
        <w:t xml:space="preserve">  [EVALUATIVE] </w:t>
      </w:r>
      <w:r>
        <w:rPr>
          <w:sz w:val="16"/>
        </w:rPr>
        <w:t>ABS.DISC.litigation_contingency (Missing Litigation Contingency Disclosure): Expected signals not found in evaluation results</w:t>
      </w:r>
    </w:p>
    <w:p>
      <w:pPr>
        <w:pStyle w:val="DOBody"/>
      </w:pPr>
      <w:r>
        <w:rPr>
          <w:b/>
          <w:sz w:val="16"/>
        </w:rPr>
        <w:t xml:space="preserve">  [EVALUATIVE] </w:t>
      </w:r>
      <w:r>
        <w:rPr>
          <w:sz w:val="16"/>
        </w:rPr>
        <w:t>ABS.DISC.pension_obligations (Missing Pension Obligation Disclosure): Expected signals not found in evaluation results</w:t>
      </w:r>
    </w:p>
    <w:p>
      <w:pPr>
        <w:pStyle w:val="DOBody"/>
      </w:pPr>
      <w:r>
        <w:rPr>
          <w:b/>
          <w:sz w:val="16"/>
        </w:rPr>
        <w:t xml:space="preserve">  [EVALUATIVE] </w:t>
      </w:r>
      <w:r>
        <w:rPr>
          <w:sz w:val="16"/>
        </w:rPr>
        <w:t>ABS.DISC.related_party (Missing Related-Party Transaction Disclosure): Expected signals not found in evaluation results</w:t>
      </w:r>
    </w:p>
    <w:p>
      <w:pPr>
        <w:pStyle w:val="DOBody"/>
      </w:pPr>
      <w:r>
        <w:rPr>
          <w:b/>
          <w:sz w:val="16"/>
        </w:rPr>
        <w:t xml:space="preserve">  [EVALUATIVE] </w:t>
      </w:r>
      <w:r>
        <w:rPr>
          <w:sz w:val="16"/>
        </w:rPr>
        <w:t>ABS.DISC.revenue_recognition (Missing Revenue Recognition Policy Disclosure): Expected signals not found in evaluation results</w:t>
      </w:r>
    </w:p>
    <w:p>
      <w:pPr>
        <w:pStyle w:val="DOBody"/>
      </w:pPr>
      <w:r>
        <w:rPr>
          <w:b/>
          <w:sz w:val="16"/>
        </w:rPr>
        <w:t xml:space="preserve">  [EVALUATIVE] </w:t>
      </w:r>
      <w:r>
        <w:rPr>
          <w:sz w:val="16"/>
        </w:rPr>
        <w:t>ABS.DISC.risk_factors (Missing Risk Factor Disclosure): Expected signals not found in evaluation results</w:t>
      </w:r>
    </w:p>
    <w:p>
      <w:pPr>
        <w:pStyle w:val="DOBody"/>
      </w:pPr>
      <w:r>
        <w:rPr>
          <w:b/>
          <w:sz w:val="16"/>
        </w:rPr>
        <w:t xml:space="preserve">  [EVALUATIVE] </w:t>
      </w:r>
      <w:r>
        <w:rPr>
          <w:sz w:val="16"/>
        </w:rPr>
        <w:t>ABS.DISC.segment_reporting (Missing Segment Reporting Disclosure): Expected signals not found in evaluation results</w:t>
      </w:r>
    </w:p>
    <w:p>
      <w:pPr>
        <w:pStyle w:val="DOBody"/>
      </w:pPr>
      <w:r>
        <w:rPr>
          <w:b/>
          <w:sz w:val="16"/>
        </w:rPr>
        <w:t xml:space="preserve">  [EVALUATIVE] </w:t>
      </w:r>
      <w:r>
        <w:rPr>
          <w:sz w:val="16"/>
        </w:rPr>
        <w:t>ABS.DISC.stock_comp (Missing Stock Compensation Disclosure): Expected signals not found in evaluation results</w:t>
      </w:r>
    </w:p>
    <w:p>
      <w:pPr>
        <w:pStyle w:val="DOBody"/>
      </w:pPr>
      <w:r>
        <w:rPr>
          <w:b/>
          <w:sz w:val="16"/>
        </w:rPr>
        <w:t xml:space="preserve">  [EVALUATIVE] </w:t>
      </w:r>
      <w:r>
        <w:rPr>
          <w:sz w:val="16"/>
        </w:rPr>
        <w:t>ABS.DISC.tax_positions (Missing Uncertain Tax Position Disclosure): Expected signals not found in evaluation results</w:t>
      </w:r>
    </w:p>
    <w:p>
      <w:pPr>
        <w:pStyle w:val="DOBody"/>
      </w:pPr>
      <w:r>
        <w:rPr>
          <w:b/>
          <w:sz w:val="16"/>
        </w:rPr>
        <w:t xml:space="preserve">  [EVALUATIVE] </w:t>
      </w:r>
      <w:r>
        <w:rPr>
          <w:sz w:val="16"/>
        </w:rPr>
        <w:t>CONJ.COMP.perf_divergence (Compensation-Performance Divergence): 3/3 component signals unavailable</w:t>
      </w:r>
    </w:p>
    <w:p>
      <w:pPr>
        <w:pStyle w:val="DOBody"/>
      </w:pPr>
      <w:r>
        <w:rPr>
          <w:b/>
          <w:sz w:val="16"/>
        </w:rPr>
        <w:t xml:space="preserve">  [EVALUATIVE] </w:t>
      </w:r>
      <w:r>
        <w:rPr>
          <w:sz w:val="16"/>
        </w:rPr>
        <w:t>CONJ.DISTRESS.insider (Financial Distress + Insider Selling): 2/3 component signals unavailable</w:t>
      </w:r>
    </w:p>
    <w:p>
      <w:pPr>
        <w:pStyle w:val="DOBody"/>
      </w:pPr>
      <w:r>
        <w:rPr>
          <w:b/>
          <w:sz w:val="16"/>
        </w:rPr>
        <w:t xml:space="preserve">  [EVALUATIVE] </w:t>
      </w:r>
      <w:r>
        <w:rPr>
          <w:sz w:val="16"/>
        </w:rPr>
        <w:t>CONJ.GOV.governance_event (Weak Governance + Adverse Event): 3/5 component signals unavailable</w:t>
      </w:r>
    </w:p>
    <w:p>
      <w:pPr>
        <w:pStyle w:val="DOBody"/>
      </w:pPr>
      <w:r>
        <w:rPr>
          <w:b/>
          <w:sz w:val="16"/>
        </w:rPr>
        <w:t xml:space="preserve">  [EVALUATIVE] </w:t>
      </w:r>
      <w:r>
        <w:rPr>
          <w:sz w:val="16"/>
        </w:rPr>
        <w:t>CONJ.FIN.growth_margin_guidance (Rapid Growth + Margin Compression + Guidance Miss): 3/3 component signals unavailable</w:t>
      </w:r>
    </w:p>
    <w:p>
      <w:pPr>
        <w:pStyle w:val="DOBody"/>
      </w:pPr>
      <w:r>
        <w:rPr>
          <w:b/>
          <w:sz w:val="16"/>
        </w:rPr>
        <w:t xml:space="preserve">  [EVALUATIVE] </w:t>
      </w:r>
      <w:r>
        <w:rPr>
          <w:sz w:val="16"/>
        </w:rPr>
        <w:t>CONJ.INSIDER.news_gap (Insider Selling + Material News Gap): 3/3 component signals unavailable</w:t>
      </w:r>
    </w:p>
    <w:p>
      <w:pPr>
        <w:pStyle w:val="DOBody"/>
      </w:pPr>
      <w:r>
        <w:rPr>
          <w:b/>
          <w:sz w:val="16"/>
        </w:rPr>
        <w:t xml:space="preserve">  [EVALUATIVE] </w:t>
      </w:r>
      <w:r>
        <w:rPr>
          <w:sz w:val="16"/>
        </w:rPr>
        <w:t>CONJ.REG.litigation (Regulatory Action + New Material Litigation): 3/3 component signals unavailable</w:t>
      </w:r>
    </w:p>
    <w:p>
      <w:pPr>
        <w:pStyle w:val="DOBody"/>
      </w:pPr>
      <w:r>
        <w:rPr>
          <w:b/>
          <w:sz w:val="16"/>
        </w:rPr>
        <w:t xml:space="preserve">  [EVALUATIVE] </w:t>
      </w:r>
      <w:r>
        <w:rPr>
          <w:sz w:val="16"/>
        </w:rPr>
        <w:t>CTX.FIN.capex_sector (Capital Expenditure in Sector Context): Source signal FIN.INVEST.capex_ratio not in results</w:t>
      </w:r>
    </w:p>
    <w:p>
      <w:pPr>
        <w:pStyle w:val="DOBody"/>
      </w:pPr>
      <w:r>
        <w:rPr>
          <w:b/>
          <w:sz w:val="16"/>
        </w:rPr>
        <w:t xml:space="preserve">  [EVALUATIVE] </w:t>
      </w:r>
      <w:r>
        <w:rPr>
          <w:sz w:val="16"/>
        </w:rPr>
        <w:t>CTX.COMP.lifecycle (CEO Compensation in Lifecycle Context): Source signal EXEC.COMP.ceo_total_comp not in results</w:t>
      </w:r>
    </w:p>
    <w:p>
      <w:pPr>
        <w:pStyle w:val="DOBody"/>
      </w:pPr>
      <w:r>
        <w:rPr>
          <w:b/>
          <w:sz w:val="16"/>
        </w:rPr>
        <w:t xml:space="preserve">  [EVALUATIVE] </w:t>
      </w:r>
      <w:r>
        <w:rPr>
          <w:sz w:val="16"/>
        </w:rPr>
        <w:t>CTX.COMP.product_tower (Compensation Severity by Product/Tower): Source signal EXEC.COMP.ceo_total_comp not in results</w:t>
      </w:r>
    </w:p>
    <w:p>
      <w:pPr>
        <w:pStyle w:val="DOBody"/>
      </w:pPr>
      <w:r>
        <w:rPr>
          <w:b/>
          <w:sz w:val="16"/>
        </w:rPr>
        <w:t xml:space="preserve">  [EVALUATIVE] </w:t>
      </w:r>
      <w:r>
        <w:rPr>
          <w:sz w:val="16"/>
        </w:rPr>
        <w:t>CTX.FIN.debt_maturity (Debt Maturity Profile in Lifecycle Context): Source signal FIN.DEBT.maturity_profile not in results</w:t>
      </w:r>
    </w:p>
    <w:p>
      <w:pPr>
        <w:pStyle w:val="DOBody"/>
      </w:pPr>
      <w:r>
        <w:rPr>
          <w:b/>
          <w:sz w:val="16"/>
        </w:rPr>
        <w:t xml:space="preserve">  [EVALUATIVE] </w:t>
      </w:r>
      <w:r>
        <w:rPr>
          <w:sz w:val="16"/>
        </w:rPr>
        <w:t>CTX.FIN.distress_product (Financial Distress by Product/Tower): Source signal FIN.FORENSIC.altman_z not in results</w:t>
      </w:r>
    </w:p>
    <w:p>
      <w:pPr>
        <w:pStyle w:val="DOBody"/>
      </w:pPr>
      <w:r>
        <w:rPr>
          <w:b/>
          <w:sz w:val="16"/>
        </w:rPr>
        <w:t xml:space="preserve">  [EVALUATIVE] </w:t>
      </w:r>
      <w:r>
        <w:rPr>
          <w:sz w:val="16"/>
        </w:rPr>
        <w:t>CTX.FIN.dividend_lifecycle (Dividend Policy in Lifecycle Context): Source signal FIN.RETURN.dividend_yield not in results</w:t>
      </w:r>
    </w:p>
    <w:p>
      <w:pPr>
        <w:pStyle w:val="DOBody"/>
      </w:pPr>
      <w:r>
        <w:rPr>
          <w:b/>
          <w:sz w:val="16"/>
        </w:rPr>
        <w:t xml:space="preserve">  [EVALUATIVE] </w:t>
      </w:r>
      <w:r>
        <w:rPr>
          <w:sz w:val="16"/>
        </w:rPr>
        <w:t>CTX.EXEC.tenure_lifecycle (Executive Tenure in Lifecycle Context): Source signal EXEC.TURN.c_suite not in results</w:t>
      </w:r>
    </w:p>
    <w:p>
      <w:pPr>
        <w:pStyle w:val="DOBody"/>
      </w:pPr>
      <w:r>
        <w:rPr>
          <w:b/>
          <w:sz w:val="16"/>
        </w:rPr>
        <w:t xml:space="preserve">  [EVALUATIVE] </w:t>
      </w:r>
      <w:r>
        <w:rPr>
          <w:sz w:val="16"/>
        </w:rPr>
        <w:t>CTX.MKT.insider_lifecycle (Insider Trading in Lifecycle Context): Source signal STOCK.INSIDER.net_selling not in results</w:t>
      </w:r>
    </w:p>
    <w:p>
      <w:pPr>
        <w:pStyle w:val="DOBody"/>
      </w:pPr>
      <w:r>
        <w:rPr>
          <w:b/>
          <w:sz w:val="16"/>
        </w:rPr>
        <w:t xml:space="preserve">  [EVALUATIVE] </w:t>
      </w:r>
      <w:r>
        <w:rPr>
          <w:sz w:val="16"/>
        </w:rPr>
        <w:t>CTX.FIN.leverage_sector (Leverage in Sector Context): Source signal FIN.DEBT.leverage_ratio not in results</w:t>
      </w:r>
    </w:p>
    <w:p>
      <w:pPr>
        <w:pStyle w:val="DOBody"/>
      </w:pPr>
      <w:r>
        <w:rPr>
          <w:b/>
          <w:sz w:val="16"/>
        </w:rPr>
        <w:t xml:space="preserve">  [EVALUATIVE] </w:t>
      </w:r>
      <w:r>
        <w:rPr>
          <w:sz w:val="16"/>
        </w:rPr>
        <w:t>CTX.LIT.size (Litigation Frequency by Company Size): Source signal LIT.SCA.active_cases not in results</w:t>
      </w:r>
    </w:p>
    <w:p>
      <w:pPr>
        <w:pStyle w:val="DOBody"/>
      </w:pPr>
      <w:r>
        <w:rPr>
          <w:b/>
          <w:sz w:val="16"/>
        </w:rPr>
        <w:t xml:space="preserve">  [EVALUATIVE] </w:t>
      </w:r>
      <w:r>
        <w:rPr>
          <w:sz w:val="16"/>
        </w:rPr>
        <w:t>CTX.RISK.ma_lifecycle (M&amp;A Activity in Lifecycle Context): Source signal BIZ.MA.acquisition_activity not in results</w:t>
      </w:r>
    </w:p>
    <w:p>
      <w:pPr>
        <w:pStyle w:val="DOBody"/>
      </w:pPr>
      <w:r>
        <w:rPr>
          <w:b/>
          <w:sz w:val="16"/>
        </w:rPr>
        <w:t xml:space="preserve">  [EVALUATIVE] </w:t>
      </w:r>
      <w:r>
        <w:rPr>
          <w:sz w:val="16"/>
        </w:rPr>
        <w:t>CTX.RISK.regulatory_sector (Regulatory Risk in Sector Context): Source signal LIT.SEC.enforcement not in results</w:t>
      </w:r>
    </w:p>
    <w:p>
      <w:pPr>
        <w:pStyle w:val="DOBody"/>
      </w:pPr>
      <w:r>
        <w:rPr>
          <w:b/>
          <w:sz w:val="16"/>
        </w:rPr>
        <w:t xml:space="preserve">  [EVALUATIVE] </w:t>
      </w:r>
      <w:r>
        <w:rPr>
          <w:sz w:val="16"/>
        </w:rPr>
        <w:t>CTX.RISK.rpt_sector (Related-Party Risk in Sector Context): Source signal GOV.RPT.related_party not in results</w:t>
      </w:r>
    </w:p>
    <w:p>
      <w:pPr>
        <w:pStyle w:val="DOBody"/>
      </w:pPr>
      <w:r>
        <w:rPr>
          <w:b/>
          <w:sz w:val="16"/>
        </w:rPr>
        <w:t xml:space="preserve">  [EVALUATIVE] </w:t>
      </w:r>
      <w:r>
        <w:rPr>
          <w:sz w:val="16"/>
        </w:rPr>
        <w:t>CTX.MKT.short_interest_sector (Short Interest in Sector Context): Source signal STOCK.SHORT.interest_ratio not in results</w:t>
      </w:r>
    </w:p>
    <w:p>
      <w:pPr>
        <w:pStyle w:val="DOBody"/>
      </w:pPr>
      <w:r>
        <w:rPr>
          <w:b/>
          <w:sz w:val="16"/>
        </w:rPr>
        <w:t xml:space="preserve">  [EVALUATIVE] </w:t>
      </w:r>
      <w:r>
        <w:rPr>
          <w:sz w:val="16"/>
        </w:rPr>
        <w:t>CTX.MKT.turnover_sector (Stock Turnover in Sector Context): Source signal STOCK.VOL.turnover_rate not in results</w:t>
      </w:r>
    </w:p>
    <w:p>
      <w:pPr>
        <w:pStyle w:val="DOBody"/>
      </w:pPr>
      <w:r>
        <w:rPr>
          <w:b/>
          <w:sz w:val="16"/>
        </w:rPr>
        <w:t xml:space="preserve">  [EVALUATIVE] </w:t>
      </w:r>
      <w:r>
        <w:rPr>
          <w:sz w:val="16"/>
        </w:rPr>
        <w:t>CTX.MKT.volatility_sector (Stock Volatility in Sector Context): Source signal STOCK.VOL.historical not in results</w:t>
      </w:r>
    </w:p>
    <w:p>
      <w:pPr>
        <w:pStyle w:val="DOHeading3"/>
      </w:pPr>
      <w:r>
        <w:t>Financial Health</w:t>
      </w:r>
    </w:p>
    <w:p>
      <w:pPr>
        <w:pStyle w:val="DOBody"/>
      </w:pPr>
      <w:r>
        <w:rPr>
          <w:b/>
          <w:sz w:val="16"/>
        </w:rPr>
        <w:t xml:space="preserve">  [EVALUATIVE] </w:t>
      </w:r>
      <w:r>
        <w:rPr>
          <w:sz w:val="16"/>
        </w:rPr>
        <w:t>FIN.PEER.revenue_bottom_quartile (Revenue Bottom Quartile (Cross-Filer)): No peer comparison data available</w:t>
      </w:r>
    </w:p>
    <w:p>
      <w:pPr>
        <w:pStyle w:val="DOBody"/>
      </w:pPr>
      <w:r>
        <w:rPr>
          <w:b/>
          <w:sz w:val="16"/>
        </w:rPr>
        <w:t xml:space="preserve">  [EVALUATIVE] </w:t>
      </w:r>
      <w:r>
        <w:rPr>
          <w:sz w:val="16"/>
        </w:rPr>
        <w:t>FIN.PEER.leverage_top_decile (Leverage Top Decile (Sector-Relative)): No peer comparison data available</w:t>
      </w:r>
    </w:p>
    <w:p>
      <w:pPr>
        <w:pStyle w:val="DOBody"/>
      </w:pPr>
      <w:r>
        <w:rPr>
          <w:b/>
          <w:sz w:val="16"/>
        </w:rPr>
        <w:t xml:space="preserve">  [EVALUATIVE] </w:t>
      </w:r>
      <w:r>
        <w:rPr>
          <w:sz w:val="16"/>
        </w:rPr>
        <w:t>FIN.PEER.margin_compression (Operating Margin Compression (Cross-Filer)): No peer comparison data available</w:t>
      </w:r>
    </w:p>
    <w:p>
      <w:pPr>
        <w:pStyle w:val="DOBody"/>
      </w:pPr>
      <w:r>
        <w:rPr>
          <w:b/>
          <w:sz w:val="16"/>
        </w:rPr>
        <w:t xml:space="preserve">  [EVALUATIVE] </w:t>
      </w:r>
      <w:r>
        <w:rPr>
          <w:sz w:val="16"/>
        </w:rPr>
        <w:t>FIN.PEER.profitability_laggard (Profitability Laggard (Sector-Relative)): No peer comparison data available</w:t>
      </w:r>
    </w:p>
    <w:p>
      <w:pPr>
        <w:pStyle w:val="DOBody"/>
      </w:pPr>
      <w:r>
        <w:rPr>
          <w:b/>
          <w:sz w:val="16"/>
        </w:rPr>
        <w:t xml:space="preserve">  [EVALUATIVE] </w:t>
      </w:r>
      <w:r>
        <w:rPr>
          <w:sz w:val="16"/>
        </w:rPr>
        <w:t>FIN.PEER.size_outlier_small (Size Outlier Small (Cross-Filer)): No peer comparison data available</w:t>
      </w:r>
    </w:p>
    <w:p>
      <w:pPr>
        <w:pStyle w:val="DOBody"/>
      </w:pPr>
      <w:r>
        <w:rPr>
          <w:b/>
          <w:sz w:val="16"/>
        </w:rPr>
        <w:t xml:space="preserve">  [EVALUATIVE] </w:t>
      </w:r>
      <w:r>
        <w:rPr>
          <w:sz w:val="16"/>
        </w:rPr>
        <w:t>FIN.PEER.cash_flow_weak (Cash Flow Weakness (Cross-Filer)): No peer comparison data available</w:t>
      </w:r>
    </w:p>
    <w:p>
      <w:pPr>
        <w:pStyle w:val="DOBody"/>
      </w:pPr>
      <w:r>
        <w:rPr>
          <w:b/>
          <w:sz w:val="16"/>
        </w:rPr>
        <w:t xml:space="preserve">  [EVALUATIVE] </w:t>
      </w:r>
      <w:r>
        <w:rPr>
          <w:sz w:val="16"/>
        </w:rPr>
        <w:t>LIT.DEFENSE.forum_selection (Federal Forum Selection Clause): Required data not available from filings</w:t>
      </w:r>
    </w:p>
    <w:p>
      <w:pPr>
        <w:pStyle w:val="DOHeading3"/>
      </w:pPr>
      <w:r>
        <w:t>Governance &amp; Leadership</w:t>
      </w:r>
    </w:p>
    <w:p>
      <w:pPr>
        <w:pStyle w:val="DOBody"/>
      </w:pPr>
      <w:r>
        <w:rPr>
          <w:b/>
          <w:sz w:val="16"/>
        </w:rPr>
        <w:t xml:space="preserve">  [EVALUATIVE] </w:t>
      </w:r>
      <w:r>
        <w:rPr>
          <w:sz w:val="16"/>
        </w:rPr>
        <w:t>EXEC.INSIDER.ceo_net_selling (CEO Net Seller of Stock): Required data not available from filings</w:t>
      </w:r>
    </w:p>
    <w:p>
      <w:pPr>
        <w:pStyle w:val="DOBody"/>
      </w:pPr>
      <w:r>
        <w:rPr>
          <w:b/>
          <w:sz w:val="16"/>
        </w:rPr>
        <w:t xml:space="preserve">  [EVALUATIVE] </w:t>
      </w:r>
      <w:r>
        <w:rPr>
          <w:sz w:val="16"/>
        </w:rPr>
        <w:t>EXEC.INSIDER.cfo_net_selling (CFO Net Seller of Stock): Required data not available from filings</w:t>
      </w:r>
    </w:p>
    <w:p>
      <w:pPr>
        <w:pStyle w:val="DOBody"/>
      </w:pPr>
      <w:r>
        <w:rPr>
          <w:b/>
          <w:sz w:val="16"/>
        </w:rPr>
        <w:t xml:space="preserve">  [EVALUATIVE] </w:t>
      </w:r>
      <w:r>
        <w:rPr>
          <w:sz w:val="16"/>
        </w:rPr>
        <w:t>EXEC.AGGREGATE.board_risk (Board Aggregate Risk Score): Data mapping not configured for this check</w:t>
      </w:r>
    </w:p>
    <w:p>
      <w:pPr>
        <w:pStyle w:val="DOBody"/>
      </w:pPr>
      <w:r>
        <w:rPr>
          <w:b/>
          <w:sz w:val="16"/>
        </w:rPr>
        <w:t xml:space="preserve">  [EVALUATIVE] </w:t>
      </w:r>
      <w:r>
        <w:rPr>
          <w:sz w:val="16"/>
        </w:rPr>
        <w:t>EXEC.AGGREGATE.highest_risk_individual (Highest Individual Risk Score Exceeds Threshold): Data mapping not configured for this check</w:t>
      </w:r>
    </w:p>
    <w:p>
      <w:pPr>
        <w:pStyle w:val="DOBody"/>
      </w:pPr>
      <w:r>
        <w:rPr>
          <w:b/>
          <w:sz w:val="16"/>
        </w:rPr>
        <w:t xml:space="preserve">  [EVALUATIVE] </w:t>
      </w:r>
      <w:r>
        <w:rPr>
          <w:sz w:val="16"/>
        </w:rPr>
        <w:t>EXEC.TENURE.cfo_new (CFO Tenure Less Than 2 Years): Data mapping not configured for this check</w:t>
      </w:r>
    </w:p>
    <w:p>
      <w:pPr>
        <w:pStyle w:val="DOBody"/>
      </w:pPr>
      <w:r>
        <w:rPr>
          <w:b/>
          <w:sz w:val="16"/>
        </w:rPr>
        <w:t xml:space="preserve">  [REQUIRED] </w:t>
      </w:r>
      <w:r>
        <w:rPr>
          <w:sz w:val="16"/>
        </w:rPr>
        <w:t>EXEC.PROFILE.board_size (Board Size (Number of Members)): Required data not available from filings</w:t>
      </w:r>
    </w:p>
    <w:p>
      <w:pPr>
        <w:pStyle w:val="DOBody"/>
      </w:pPr>
      <w:r>
        <w:rPr>
          <w:b/>
          <w:sz w:val="16"/>
        </w:rPr>
        <w:t xml:space="preserve">  [REQUIRED] </w:t>
      </w:r>
      <w:r>
        <w:rPr>
          <w:sz w:val="16"/>
        </w:rPr>
        <w:t>EXEC.PROFILE.avg_tenure (Average Executive Tenure): Required data not available from filings</w:t>
      </w:r>
    </w:p>
    <w:p>
      <w:pPr>
        <w:pStyle w:val="DOBody"/>
      </w:pPr>
      <w:r>
        <w:rPr>
          <w:b/>
          <w:sz w:val="16"/>
        </w:rPr>
        <w:t xml:space="preserve">  [REQUIRED] </w:t>
      </w:r>
      <w:r>
        <w:rPr>
          <w:sz w:val="16"/>
        </w:rPr>
        <w:t>EXEC.PROFILE.independent_ratio (Board Independence Percentage): Required data not available from filings</w:t>
      </w:r>
    </w:p>
    <w:p>
      <w:pPr>
        <w:pStyle w:val="DOBody"/>
      </w:pPr>
      <w:r>
        <w:rPr>
          <w:b/>
          <w:sz w:val="16"/>
        </w:rPr>
        <w:t xml:space="preserve">  [EVALUATIVE] </w:t>
      </w:r>
      <w:r>
        <w:rPr>
          <w:sz w:val="16"/>
        </w:rPr>
        <w:t>EXEC.PROFILE.overboarded_directors (Directors Serving on 4+ Boards): Required data not available from filings</w:t>
      </w:r>
    </w:p>
    <w:p>
      <w:pPr>
        <w:pStyle w:val="DOBody"/>
      </w:pPr>
      <w:r>
        <w:rPr>
          <w:b/>
          <w:sz w:val="16"/>
        </w:rPr>
        <w:t xml:space="preserve">  [EVALUATIVE] </w:t>
      </w:r>
      <w:r>
        <w:rPr>
          <w:sz w:val="16"/>
        </w:rPr>
        <w:t>GOV.BOARD.size (Board Size): Required data not available from filings</w:t>
      </w:r>
    </w:p>
    <w:p>
      <w:pPr>
        <w:pStyle w:val="DOBody"/>
      </w:pPr>
      <w:r>
        <w:rPr>
          <w:b/>
          <w:sz w:val="16"/>
        </w:rPr>
        <w:t xml:space="preserve">  [EVALUATIVE] </w:t>
      </w:r>
      <w:r>
        <w:rPr>
          <w:sz w:val="16"/>
        </w:rPr>
        <w:t>GOV.BOARD.independence (Board Independence): Required data not available from filings</w:t>
      </w:r>
    </w:p>
    <w:p>
      <w:pPr>
        <w:pStyle w:val="DOBody"/>
      </w:pPr>
      <w:r>
        <w:rPr>
          <w:b/>
          <w:sz w:val="16"/>
        </w:rPr>
        <w:t xml:space="preserve">  [EVALUATIVE] </w:t>
      </w:r>
      <w:r>
        <w:rPr>
          <w:sz w:val="16"/>
        </w:rPr>
        <w:t>GOV.BOARD.diversity (Board Diversity): Required data not available from filings</w:t>
      </w:r>
    </w:p>
    <w:p>
      <w:pPr>
        <w:pStyle w:val="DOBody"/>
      </w:pPr>
      <w:r>
        <w:rPr>
          <w:b/>
          <w:sz w:val="16"/>
        </w:rPr>
        <w:t xml:space="preserve">  [EVALUATIVE] </w:t>
      </w:r>
      <w:r>
        <w:rPr>
          <w:sz w:val="16"/>
        </w:rPr>
        <w:t>GOV.BOARD.tenure (Tenure): Required data not available from filings</w:t>
      </w:r>
    </w:p>
    <w:p>
      <w:pPr>
        <w:pStyle w:val="DOBody"/>
      </w:pPr>
      <w:r>
        <w:rPr>
          <w:b/>
          <w:sz w:val="16"/>
        </w:rPr>
        <w:t xml:space="preserve">  [EVALUATIVE] </w:t>
      </w:r>
      <w:r>
        <w:rPr>
          <w:sz w:val="16"/>
        </w:rPr>
        <w:t>GOV.BOARD.overboarding (Overboarding): Required data not available from filings</w:t>
      </w:r>
    </w:p>
    <w:p>
      <w:pPr>
        <w:pStyle w:val="DOBody"/>
      </w:pPr>
      <w:r>
        <w:rPr>
          <w:b/>
          <w:sz w:val="16"/>
        </w:rPr>
        <w:t xml:space="preserve">  [EVALUATIVE] </w:t>
      </w:r>
      <w:r>
        <w:rPr>
          <w:sz w:val="16"/>
        </w:rPr>
        <w:t>GOV.BOARD.attendance (Attendance): Required data not available from filings</w:t>
      </w:r>
    </w:p>
    <w:p>
      <w:pPr>
        <w:pStyle w:val="DOBody"/>
      </w:pPr>
      <w:r>
        <w:rPr>
          <w:b/>
          <w:sz w:val="16"/>
        </w:rPr>
        <w:t xml:space="preserve">  [EVALUATIVE] </w:t>
      </w:r>
      <w:r>
        <w:rPr>
          <w:sz w:val="16"/>
        </w:rPr>
        <w:t>GOV.BOARD.meetings (Meetings): Required data not available from filings</w:t>
      </w:r>
    </w:p>
    <w:p>
      <w:pPr>
        <w:pStyle w:val="DOBody"/>
      </w:pPr>
      <w:r>
        <w:rPr>
          <w:b/>
          <w:sz w:val="16"/>
        </w:rPr>
        <w:t xml:space="preserve">  [EVALUATIVE] </w:t>
      </w:r>
      <w:r>
        <w:rPr>
          <w:sz w:val="16"/>
        </w:rPr>
        <w:t>GOV.BOARD.succession (Succession): Required data not available from filings</w:t>
      </w:r>
    </w:p>
    <w:p>
      <w:pPr>
        <w:pStyle w:val="DOBody"/>
      </w:pPr>
      <w:r>
        <w:rPr>
          <w:b/>
          <w:sz w:val="16"/>
        </w:rPr>
        <w:t xml:space="preserve">  [EVALUATIVE] </w:t>
      </w:r>
      <w:r>
        <w:rPr>
          <w:sz w:val="16"/>
        </w:rPr>
        <w:t>GOV.EXEC.cfo_profile (CFO Profile): Required data not available from filings</w:t>
      </w:r>
    </w:p>
    <w:p>
      <w:pPr>
        <w:pStyle w:val="DOBody"/>
      </w:pPr>
      <w:r>
        <w:rPr>
          <w:b/>
          <w:sz w:val="16"/>
        </w:rPr>
        <w:t xml:space="preserve">  [EVALUATIVE] </w:t>
      </w:r>
      <w:r>
        <w:rPr>
          <w:sz w:val="16"/>
        </w:rPr>
        <w:t>GOV.INSIDER.ownership_concentration (Ownership Concentration): Required data not available from filings</w:t>
      </w:r>
    </w:p>
    <w:p>
      <w:pPr>
        <w:pStyle w:val="DOBody"/>
      </w:pPr>
      <w:r>
        <w:rPr>
          <w:b/>
          <w:sz w:val="16"/>
        </w:rPr>
        <w:t xml:space="preserve">  [EVALUATIVE] </w:t>
      </w:r>
      <w:r>
        <w:rPr>
          <w:sz w:val="16"/>
        </w:rPr>
        <w:t>GOV.PAY.golden_para (Golden Para): Required data not available from filings</w:t>
      </w:r>
    </w:p>
    <w:p>
      <w:pPr>
        <w:pStyle w:val="DOBody"/>
      </w:pPr>
      <w:r>
        <w:rPr>
          <w:b/>
          <w:sz w:val="16"/>
        </w:rPr>
        <w:t xml:space="preserve">  [EVALUATIVE] </w:t>
      </w:r>
      <w:r>
        <w:rPr>
          <w:sz w:val="16"/>
        </w:rPr>
        <w:t>GOV.PAY.equity_burn (Equity Burn): Required data not available from filings</w:t>
      </w:r>
    </w:p>
    <w:p>
      <w:pPr>
        <w:pStyle w:val="DOBody"/>
      </w:pPr>
      <w:r>
        <w:rPr>
          <w:b/>
          <w:sz w:val="16"/>
        </w:rPr>
        <w:t xml:space="preserve">  [EVALUATIVE] </w:t>
      </w:r>
      <w:r>
        <w:rPr>
          <w:sz w:val="16"/>
        </w:rPr>
        <w:t>GOV.PAY.hedging (Hedging): Required data not available from filings</w:t>
      </w:r>
    </w:p>
    <w:p>
      <w:pPr>
        <w:pStyle w:val="DOBody"/>
      </w:pPr>
      <w:r>
        <w:rPr>
          <w:b/>
          <w:sz w:val="16"/>
        </w:rPr>
        <w:t xml:space="preserve">  [REQUIRED] </w:t>
      </w:r>
      <w:r>
        <w:rPr>
          <w:sz w:val="16"/>
        </w:rPr>
        <w:t>GOV.RIGHTS.bylaws (Bylaws): Required data not available from filings</w:t>
      </w:r>
    </w:p>
    <w:p>
      <w:pPr>
        <w:pStyle w:val="DOBody"/>
      </w:pPr>
      <w:r>
        <w:rPr>
          <w:b/>
          <w:sz w:val="16"/>
        </w:rPr>
        <w:t xml:space="preserve">  [EVALUATIVE] </w:t>
      </w:r>
      <w:r>
        <w:rPr>
          <w:sz w:val="16"/>
        </w:rPr>
        <w:t>GOV.RIGHTS.takeover (Takeover): Required data not available from filings</w:t>
      </w:r>
    </w:p>
    <w:p>
      <w:pPr>
        <w:pStyle w:val="DOBody"/>
      </w:pPr>
      <w:r>
        <w:rPr>
          <w:b/>
          <w:sz w:val="16"/>
        </w:rPr>
        <w:t xml:space="preserve">  [EVALUATIVE] </w:t>
      </w:r>
      <w:r>
        <w:rPr>
          <w:sz w:val="16"/>
        </w:rPr>
        <w:t>GOV.RIGHTS.proxy_access (Proxy Access): Required data not available from filings</w:t>
      </w:r>
    </w:p>
    <w:p>
      <w:pPr>
        <w:pStyle w:val="DOBody"/>
      </w:pPr>
      <w:r>
        <w:rPr>
          <w:b/>
          <w:sz w:val="16"/>
        </w:rPr>
        <w:t xml:space="preserve">  [REQUIRED] </w:t>
      </w:r>
      <w:r>
        <w:rPr>
          <w:sz w:val="16"/>
        </w:rPr>
        <w:t>GOV.RIGHTS.forum_select (Forum Select): Required data not available from filings</w:t>
      </w:r>
    </w:p>
    <w:p>
      <w:pPr>
        <w:pStyle w:val="DOBody"/>
      </w:pPr>
      <w:r>
        <w:rPr>
          <w:b/>
          <w:sz w:val="16"/>
        </w:rPr>
        <w:t xml:space="preserve">  [EVALUATIVE] </w:t>
      </w:r>
      <w:r>
        <w:rPr>
          <w:sz w:val="16"/>
        </w:rPr>
        <w:t>GOV.RIGHTS.supermajority (Supermajority): Required data not available from filings</w:t>
      </w:r>
    </w:p>
    <w:p>
      <w:pPr>
        <w:pStyle w:val="DOBody"/>
      </w:pPr>
      <w:r>
        <w:rPr>
          <w:b/>
          <w:sz w:val="16"/>
        </w:rPr>
        <w:t xml:space="preserve">  [EVALUATIVE] </w:t>
      </w:r>
      <w:r>
        <w:rPr>
          <w:sz w:val="16"/>
        </w:rPr>
        <w:t>GOV.RIGHTS.action_consent (Action Consent): Required data not available from filings</w:t>
      </w:r>
    </w:p>
    <w:p>
      <w:pPr>
        <w:pStyle w:val="DOBody"/>
      </w:pPr>
      <w:r>
        <w:rPr>
          <w:b/>
          <w:sz w:val="16"/>
        </w:rPr>
        <w:t xml:space="preserve">  [EVALUATIVE] </w:t>
      </w:r>
      <w:r>
        <w:rPr>
          <w:sz w:val="16"/>
        </w:rPr>
        <w:t>GOV.RIGHTS.special_mtg (Special Mtg): Required data not available from filings</w:t>
      </w:r>
    </w:p>
    <w:p>
      <w:pPr>
        <w:pStyle w:val="DOBody"/>
      </w:pPr>
      <w:r>
        <w:rPr>
          <w:b/>
          <w:sz w:val="16"/>
        </w:rPr>
        <w:t xml:space="preserve">  [EVALUATIVE] </w:t>
      </w:r>
      <w:r>
        <w:rPr>
          <w:sz w:val="16"/>
        </w:rPr>
        <w:t>GOV.RIGHTS.classified (Classified): Required data not available from filings</w:t>
      </w:r>
    </w:p>
    <w:p>
      <w:pPr>
        <w:pStyle w:val="DOHeading3"/>
      </w:pPr>
      <w:r>
        <w:t>Market &amp; Trading</w:t>
      </w:r>
    </w:p>
    <w:p>
      <w:pPr>
        <w:pStyle w:val="DOBody"/>
      </w:pPr>
      <w:r>
        <w:rPr>
          <w:b/>
          <w:sz w:val="16"/>
        </w:rPr>
        <w:t xml:space="preserve">  [EVALUATIVE] </w:t>
      </w:r>
      <w:r>
        <w:rPr>
          <w:sz w:val="16"/>
        </w:rPr>
        <w:t>FIN.COMP.rsu_grants (RSU Grant Trend): Required data not available from filings</w:t>
      </w:r>
    </w:p>
    <w:p>
      <w:pPr>
        <w:pStyle w:val="DOBody"/>
      </w:pPr>
      <w:r>
        <w:rPr>
          <w:b/>
          <w:sz w:val="16"/>
        </w:rPr>
        <w:t xml:space="preserve">  [EVALUATIVE] </w:t>
      </w:r>
      <w:r>
        <w:rPr>
          <w:sz w:val="16"/>
        </w:rPr>
        <w:t>FIN.CONT.loss_accrual (Loss Contingency Accrual): Required data not available from filings</w:t>
      </w:r>
    </w:p>
    <w:p>
      <w:pPr>
        <w:pStyle w:val="DOBody"/>
      </w:pPr>
      <w:r>
        <w:rPr>
          <w:b/>
          <w:sz w:val="16"/>
        </w:rPr>
        <w:t xml:space="preserve">  [EVALUATIVE] </w:t>
      </w:r>
      <w:r>
        <w:rPr>
          <w:sz w:val="16"/>
        </w:rPr>
        <w:t>FIN.CONT.loss_estimate (Loss Contingency Estimate): Required data not available from filings</w:t>
      </w:r>
    </w:p>
    <w:p>
      <w:pPr>
        <w:pStyle w:val="DOBody"/>
      </w:pPr>
      <w:r>
        <w:rPr>
          <w:b/>
          <w:sz w:val="16"/>
        </w:rPr>
        <w:t xml:space="preserve">  [EVALUATIVE] </w:t>
      </w:r>
      <w:r>
        <w:rPr>
          <w:sz w:val="16"/>
        </w:rPr>
        <w:t>FIN.CONT.settlement_activity (Litigation Settlement Activity): Required data not available from filings</w:t>
      </w:r>
    </w:p>
    <w:p>
      <w:pPr>
        <w:pStyle w:val="DOBody"/>
      </w:pPr>
      <w:r>
        <w:rPr>
          <w:b/>
          <w:sz w:val="16"/>
        </w:rPr>
        <w:t xml:space="preserve">  [EVALUATIVE] </w:t>
      </w:r>
      <w:r>
        <w:rPr>
          <w:sz w:val="16"/>
        </w:rPr>
        <w:t>FIN.CONT.warranty_reserve (Product Warranty Reserve): Required data not available from filings</w:t>
      </w:r>
    </w:p>
    <w:p>
      <w:pPr>
        <w:pStyle w:val="DOBody"/>
      </w:pPr>
      <w:r>
        <w:rPr>
          <w:b/>
          <w:sz w:val="16"/>
        </w:rPr>
        <w:t xml:space="preserve">  [EVALUATIVE] </w:t>
      </w:r>
      <w:r>
        <w:rPr>
          <w:sz w:val="16"/>
        </w:rPr>
        <w:t>FIN.DEBT.facility_utilization (Credit Facility Utilization): Required data not available from filings</w:t>
      </w:r>
    </w:p>
    <w:p>
      <w:pPr>
        <w:pStyle w:val="DOBody"/>
      </w:pPr>
      <w:r>
        <w:rPr>
          <w:b/>
          <w:sz w:val="16"/>
        </w:rPr>
        <w:t xml:space="preserve">  [EVALUATIVE] </w:t>
      </w:r>
      <w:r>
        <w:rPr>
          <w:sz w:val="16"/>
        </w:rPr>
        <w:t>FIN.DEBT.maturity_concentration (Debt Maturity Concentration): Data mapping not configured for this check</w:t>
      </w:r>
    </w:p>
    <w:p>
      <w:pPr>
        <w:pStyle w:val="DOBody"/>
      </w:pPr>
      <w:r>
        <w:rPr>
          <w:b/>
          <w:sz w:val="16"/>
        </w:rPr>
        <w:t xml:space="preserve">  [EVALUATIVE] </w:t>
      </w:r>
      <w:r>
        <w:rPr>
          <w:sz w:val="16"/>
        </w:rPr>
        <w:t>FIN.DERIV.notional_exposure (Derivative Notional Exposure): Required data not available from filings</w:t>
      </w:r>
    </w:p>
    <w:p>
      <w:pPr>
        <w:pStyle w:val="DOBody"/>
      </w:pPr>
      <w:r>
        <w:rPr>
          <w:b/>
          <w:sz w:val="16"/>
        </w:rPr>
        <w:t xml:space="preserve">  [EVALUATIVE] </w:t>
      </w:r>
      <w:r>
        <w:rPr>
          <w:sz w:val="16"/>
        </w:rPr>
        <w:t>FIN.DERIV.fair_value_risk (Derivative Fair Value Risk): Required data not available from filings</w:t>
      </w:r>
    </w:p>
    <w:p>
      <w:pPr>
        <w:pStyle w:val="DOBody"/>
      </w:pPr>
      <w:r>
        <w:rPr>
          <w:b/>
          <w:sz w:val="16"/>
        </w:rPr>
        <w:t xml:space="preserve">  [EVALUATIVE] </w:t>
      </w:r>
      <w:r>
        <w:rPr>
          <w:sz w:val="16"/>
        </w:rPr>
        <w:t>FIN.QUALITY.q4_revenue_concentration (Q4 Revenue Concentration): Required data not available from filings</w:t>
      </w:r>
    </w:p>
    <w:p>
      <w:pPr>
        <w:pStyle w:val="DOBody"/>
      </w:pPr>
      <w:r>
        <w:rPr>
          <w:b/>
          <w:sz w:val="16"/>
        </w:rPr>
        <w:t xml:space="preserve">  [EVALUATIVE] </w:t>
      </w:r>
      <w:r>
        <w:rPr>
          <w:sz w:val="16"/>
        </w:rPr>
        <w:t>FIN.QUALITY.revenue_recognition_risk (Revenue Recognition Risk Indicators): Data mapping not configured for this check</w:t>
      </w:r>
    </w:p>
    <w:p>
      <w:pPr>
        <w:pStyle w:val="DOBody"/>
      </w:pPr>
      <w:r>
        <w:rPr>
          <w:b/>
          <w:sz w:val="16"/>
        </w:rPr>
        <w:t xml:space="preserve">  [EVALUATIVE] </w:t>
      </w:r>
      <w:r>
        <w:rPr>
          <w:sz w:val="16"/>
        </w:rPr>
        <w:t>FIN.FORENSIC.level3_fair_value (Level 3 Fair Value Asset Concentration): Data mapping not configured for this check</w:t>
      </w:r>
    </w:p>
    <w:p>
      <w:pPr>
        <w:pStyle w:val="DOBody"/>
      </w:pPr>
      <w:r>
        <w:rPr>
          <w:b/>
          <w:sz w:val="16"/>
        </w:rPr>
        <w:t xml:space="preserve">  [EVALUATIVE] </w:t>
      </w:r>
      <w:r>
        <w:rPr>
          <w:sz w:val="16"/>
        </w:rPr>
        <w:t>FIN.FORENSIC.goodwill_deterioration_pattern (Goodwill Deterioration Pattern): Data mapping not configured for this check</w:t>
      </w:r>
    </w:p>
    <w:p>
      <w:pPr>
        <w:pStyle w:val="DOBody"/>
      </w:pPr>
      <w:r>
        <w:rPr>
          <w:b/>
          <w:sz w:val="16"/>
        </w:rPr>
        <w:t xml:space="preserve">  [EVALUATIVE] </w:t>
      </w:r>
      <w:r>
        <w:rPr>
          <w:sz w:val="16"/>
        </w:rPr>
        <w:t>FIN.FORENSIC.related_party_revenue (Related Party Revenue Concentration): Data mapping not configured for this check</w:t>
      </w:r>
    </w:p>
    <w:p>
      <w:pPr>
        <w:pStyle w:val="DOBody"/>
      </w:pPr>
      <w:r>
        <w:rPr>
          <w:b/>
          <w:sz w:val="16"/>
        </w:rPr>
        <w:t xml:space="preserve">  [EVALUATIVE] </w:t>
      </w:r>
      <w:r>
        <w:rPr>
          <w:sz w:val="16"/>
        </w:rPr>
        <w:t>FWRD.EVENT.ma_integration_risk (M&amp;A Integration Risk): Data mapping not configured for this check</w:t>
      </w:r>
    </w:p>
    <w:p>
      <w:pPr>
        <w:pStyle w:val="DOBody"/>
      </w:pPr>
      <w:r>
        <w:rPr>
          <w:b/>
          <w:sz w:val="16"/>
        </w:rPr>
        <w:t xml:space="preserve">  [EVALUATIVE] </w:t>
      </w:r>
      <w:r>
        <w:rPr>
          <w:sz w:val="16"/>
        </w:rPr>
        <w:t>FIN.FORENSIC.margin_compression (Forensic Margin Compression): Data mapping not configured for this check</w:t>
      </w:r>
    </w:p>
    <w:p>
      <w:pPr>
        <w:pStyle w:val="DOBody"/>
      </w:pPr>
      <w:r>
        <w:rPr>
          <w:b/>
          <w:sz w:val="16"/>
        </w:rPr>
        <w:t xml:space="preserve">  [EVALUATIVE] </w:t>
      </w:r>
      <w:r>
        <w:rPr>
          <w:sz w:val="16"/>
        </w:rPr>
        <w:t>FIN.FORENSIC.buyback_timing (Share Buyback Timing Quality): Data mapping not configured for this check</w:t>
      </w:r>
    </w:p>
    <w:p>
      <w:pPr>
        <w:pStyle w:val="DOBody"/>
      </w:pPr>
      <w:r>
        <w:rPr>
          <w:b/>
          <w:sz w:val="16"/>
        </w:rPr>
        <w:t xml:space="preserve">  [EVALUATIVE] </w:t>
      </w:r>
      <w:r>
        <w:rPr>
          <w:sz w:val="16"/>
        </w:rPr>
        <w:t>FIN.FORENSIC.pension_underfunding (Pension Underfunding Risk): Data mapping not configured for this check</w:t>
      </w:r>
    </w:p>
    <w:p>
      <w:pPr>
        <w:pStyle w:val="DOBody"/>
      </w:pPr>
      <w:r>
        <w:rPr>
          <w:b/>
          <w:sz w:val="16"/>
        </w:rPr>
        <w:t xml:space="preserve">  [EVALUATIVE] </w:t>
      </w:r>
      <w:r>
        <w:rPr>
          <w:sz w:val="16"/>
        </w:rPr>
        <w:t>FIN.FORENSIC.dsri_elevated (Days Sales Receivable Index Elevated): Data mapping not configured for this check</w:t>
      </w:r>
    </w:p>
    <w:p>
      <w:pPr>
        <w:pStyle w:val="DOBody"/>
      </w:pPr>
      <w:r>
        <w:rPr>
          <w:b/>
          <w:sz w:val="16"/>
        </w:rPr>
        <w:t xml:space="preserve">  [EVALUATIVE] </w:t>
      </w:r>
      <w:r>
        <w:rPr>
          <w:sz w:val="16"/>
        </w:rPr>
        <w:t>FIN.FORENSIC.aqi_elevated (Asset Quality Index Elevated): Data mapping not configured for this check</w:t>
      </w:r>
    </w:p>
    <w:p>
      <w:pPr>
        <w:pStyle w:val="DOBody"/>
      </w:pPr>
      <w:r>
        <w:rPr>
          <w:b/>
          <w:sz w:val="16"/>
        </w:rPr>
        <w:t xml:space="preserve">  [EVALUATIVE] </w:t>
      </w:r>
      <w:r>
        <w:rPr>
          <w:sz w:val="16"/>
        </w:rPr>
        <w:t>FIN.FORENSIC.tata_elevated (Total Accruals to Total Assets Elevated): Data mapping not configured for this check</w:t>
      </w:r>
    </w:p>
    <w:p>
      <w:pPr>
        <w:pStyle w:val="DOBody"/>
      </w:pPr>
      <w:r>
        <w:rPr>
          <w:b/>
          <w:sz w:val="16"/>
        </w:rPr>
        <w:t xml:space="preserve">  [EVALUATIVE] </w:t>
      </w:r>
      <w:r>
        <w:rPr>
          <w:sz w:val="16"/>
        </w:rPr>
        <w:t>FIN.FORENSIC.non_gaap_gap (Non-GAAP to GAAP Earnings Gap): Data mapping not configured for this check</w:t>
      </w:r>
    </w:p>
    <w:p>
      <w:pPr>
        <w:pStyle w:val="DOBody"/>
      </w:pPr>
      <w:r>
        <w:rPr>
          <w:b/>
          <w:sz w:val="16"/>
        </w:rPr>
        <w:t xml:space="preserve">  [EVALUATIVE] </w:t>
      </w:r>
      <w:r>
        <w:rPr>
          <w:sz w:val="16"/>
        </w:rPr>
        <w:t>FIN.FORENSIC.goodwill_growth_rate (Goodwill Growth Rate): Data mapping not configured for this check</w:t>
      </w:r>
    </w:p>
    <w:p>
      <w:pPr>
        <w:pStyle w:val="DOBody"/>
      </w:pPr>
      <w:r>
        <w:rPr>
          <w:b/>
          <w:sz w:val="16"/>
        </w:rPr>
        <w:t xml:space="preserve">  [EVALUATIVE] </w:t>
      </w:r>
      <w:r>
        <w:rPr>
          <w:sz w:val="16"/>
        </w:rPr>
        <w:t>FIN.FORENSIC.acquisition_to_revenue (Acquisition Spend Relative to Revenue): Data mapping not configured for this check</w:t>
      </w:r>
    </w:p>
    <w:p>
      <w:pPr>
        <w:pStyle w:val="DOBody"/>
      </w:pPr>
      <w:r>
        <w:rPr>
          <w:b/>
          <w:sz w:val="16"/>
        </w:rPr>
        <w:t xml:space="preserve">  [EVALUATIVE] </w:t>
      </w:r>
      <w:r>
        <w:rPr>
          <w:sz w:val="16"/>
        </w:rPr>
        <w:t>FIN.PROFIT.revenue (Revenue Analysis): Required data not available from filings</w:t>
      </w:r>
    </w:p>
    <w:p>
      <w:pPr>
        <w:pStyle w:val="DOBody"/>
      </w:pPr>
      <w:r>
        <w:rPr>
          <w:b/>
          <w:sz w:val="16"/>
        </w:rPr>
        <w:t xml:space="preserve">  [EVALUATIVE] </w:t>
      </w:r>
      <w:r>
        <w:rPr>
          <w:sz w:val="16"/>
        </w:rPr>
        <w:t>FIN.GUIDE.track_record (Guidance Track Record): Required data not available from filings</w:t>
      </w:r>
    </w:p>
    <w:p>
      <w:pPr>
        <w:pStyle w:val="DOBody"/>
      </w:pPr>
      <w:r>
        <w:rPr>
          <w:b/>
          <w:sz w:val="16"/>
        </w:rPr>
        <w:t xml:space="preserve">  [EVALUATIVE] </w:t>
      </w:r>
      <w:r>
        <w:rPr>
          <w:sz w:val="16"/>
        </w:rPr>
        <w:t>FIN.LEASE.rou_asset (Right-of-Use Asset Concentration): Required data not available from filings</w:t>
      </w:r>
    </w:p>
    <w:p>
      <w:pPr>
        <w:pStyle w:val="DOBody"/>
      </w:pPr>
      <w:r>
        <w:rPr>
          <w:b/>
          <w:sz w:val="16"/>
        </w:rPr>
        <w:t xml:space="preserve">  [EVALUATIVE] </w:t>
      </w:r>
      <w:r>
        <w:rPr>
          <w:sz w:val="16"/>
        </w:rPr>
        <w:t>FIN.OBS.contract_liability (Deferred Revenue Execution Risk): Required data not available from filings</w:t>
      </w:r>
    </w:p>
    <w:p>
      <w:pPr>
        <w:pStyle w:val="DOBody"/>
      </w:pPr>
      <w:r>
        <w:rPr>
          <w:b/>
          <w:sz w:val="16"/>
        </w:rPr>
        <w:t xml:space="preserve">  [EVALUATIVE] </w:t>
      </w:r>
      <w:r>
        <w:rPr>
          <w:sz w:val="16"/>
        </w:rPr>
        <w:t>FIN.RESTRUCT.charges (Restructuring Charges): Required data not available from filings</w:t>
      </w:r>
    </w:p>
    <w:p>
      <w:pPr>
        <w:pStyle w:val="DOBody"/>
      </w:pPr>
      <w:r>
        <w:rPr>
          <w:b/>
          <w:sz w:val="16"/>
        </w:rPr>
        <w:t xml:space="preserve">  [EVALUATIVE] </w:t>
      </w:r>
      <w:r>
        <w:rPr>
          <w:sz w:val="16"/>
        </w:rPr>
        <w:t>FIN.RESTRUCT.severance (Severance Costs): Required data not available from filings</w:t>
      </w:r>
    </w:p>
    <w:p>
      <w:pPr>
        <w:pStyle w:val="DOBody"/>
      </w:pPr>
      <w:r>
        <w:rPr>
          <w:b/>
          <w:sz w:val="16"/>
        </w:rPr>
        <w:t xml:space="preserve">  [EVALUATIVE] </w:t>
      </w:r>
      <w:r>
        <w:rPr>
          <w:sz w:val="16"/>
        </w:rPr>
        <w:t>FIN.IMPAIR.asset_writedown (Asset Impairment): Required data not available from filings</w:t>
      </w:r>
    </w:p>
    <w:p>
      <w:pPr>
        <w:pStyle w:val="DOBody"/>
      </w:pPr>
      <w:r>
        <w:rPr>
          <w:b/>
          <w:sz w:val="16"/>
        </w:rPr>
        <w:t xml:space="preserve">  [REQUIRED] </w:t>
      </w:r>
      <w:r>
        <w:rPr>
          <w:sz w:val="16"/>
        </w:rPr>
        <w:t>NLP.FILING.filing_timing_change (Filing Date Shifted Significantly vs Prior Year): Required data not available from filings</w:t>
      </w:r>
    </w:p>
    <w:p>
      <w:pPr>
        <w:pStyle w:val="DOBody"/>
      </w:pPr>
      <w:r>
        <w:rPr>
          <w:b/>
          <w:sz w:val="16"/>
        </w:rPr>
        <w:t xml:space="preserve">  [EVALUATIVE] </w:t>
      </w:r>
      <w:r>
        <w:rPr>
          <w:sz w:val="16"/>
        </w:rPr>
        <w:t>STOCK.INSIDER.notable_activity (Notable Activity): Required data not available from filings</w:t>
      </w:r>
    </w:p>
    <w:p>
      <w:pPr>
        <w:pStyle w:val="DOBody"/>
      </w:pPr>
      <w:r>
        <w:rPr>
          <w:b/>
          <w:sz w:val="16"/>
        </w:rPr>
        <w:t xml:space="preserve">  [EVALUATIVE] </w:t>
      </w:r>
      <w:r>
        <w:rPr>
          <w:sz w:val="16"/>
        </w:rPr>
        <w:t>FIN.FORENSIC.m_score_composite (Beneish M-Score Composite (XBRL)): Data mapping not configured for this check</w:t>
      </w:r>
    </w:p>
    <w:p>
      <w:pPr>
        <w:pStyle w:val="DOBody"/>
      </w:pPr>
      <w:r>
        <w:rPr>
          <w:sz w:val="16"/>
        </w:rPr>
        <w:t>Gap breakdown: Required items: 11 | Evaluative checks: 108</w:t>
      </w:r>
    </w:p>
    <w:p>
      <w:pPr>
        <w:pStyle w:val="DOBody"/>
      </w:pPr>
      <w:r>
        <w:rPr>
          <w:b/>
        </w:rPr>
        <w:t>Total: 119 checks data-unavailable out of 576 total checks (79% coverage)</w:t>
      </w:r>
    </w:p>
    <w:p>
      <w:pPr>
        <w:spacing w:before="120" w:after="40"/>
        <w:pBdr>
          <w:bottom w:val="single" w:sz="6" w:space="1" w:color="FFD000"/>
        </w:pBdr>
      </w:pPr>
    </w:p>
    <w:p>
      <w:pPr>
        <w:pStyle w:val="DOHeading2"/>
      </w:pPr>
      <w:r>
        <w:t>Calibration Notes</w:t>
      </w:r>
    </w:p>
    <w:p>
      <w:pPr>
        <w:pStyle w:val="DOHeading3"/>
      </w:pPr>
      <w:r>
        <w:t>System Intelligence Status</w:t>
      </w:r>
    </w:p>
    <w:p>
      <w:pPr>
        <w:pStyle w:val="DOBody"/>
      </w:pPr>
      <w:r>
        <w:rPr>
          <w:b/>
        </w:rPr>
        <w:t>Checks active</w:t>
      </w:r>
      <w:r>
        <w:t>: 601</w:t>
      </w:r>
    </w:p>
    <w:p>
      <w:pPr>
        <w:pStyle w:val="DOBody"/>
      </w:pPr>
      <w:r>
        <w:rPr>
          <w:b/>
        </w:rPr>
        <w:t>Checks incubating</w:t>
      </w:r>
      <w:r>
        <w:t>: 0 (pending human approval)</w:t>
      </w:r>
    </w:p>
    <w:p>
      <w:pPr>
        <w:pStyle w:val="DOBody"/>
      </w:pPr>
      <w:r>
        <w:rPr>
          <w:b/>
        </w:rPr>
        <w:t>Pending feedback</w:t>
      </w:r>
      <w:r>
        <w:t>: 0 entries</w:t>
      </w:r>
    </w:p>
    <w:p>
      <w:pPr>
        <w:pStyle w:val="DOHeading3"/>
      </w:pPr>
      <w:r>
        <w:t>Recent Calibration Changes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18"/>
              </w:rPr>
              <w:t>Date</w:t>
            </w:r>
          </w:p>
        </w:tc>
        <w:tc>
          <w:tcPr>
            <w:tcW w:type="dxa" w:w="2520"/>
          </w:tcPr>
          <w:p>
            <w:r>
              <w:rPr>
                <w:b/>
                <w:sz w:val="18"/>
              </w:rPr>
              <w:t>Check</w:t>
            </w:r>
          </w:p>
        </w:tc>
        <w:tc>
          <w:tcPr>
            <w:tcW w:type="dxa" w:w="2520"/>
          </w:tcPr>
          <w:p>
            <w:r>
              <w:rPr>
                <w:b/>
                <w:sz w:val="18"/>
              </w:rPr>
              <w:t>Change</w:t>
            </w:r>
          </w:p>
        </w:tc>
        <w:tc>
          <w:tcPr>
            <w:tcW w:type="dxa" w:w="2520"/>
          </w:tcPr>
          <w:p>
            <w:r>
              <w:rPr>
                <w:b/>
                <w:sz w:val="18"/>
              </w:rPr>
              <w:t>Changed By</w:t>
            </w:r>
          </w:p>
        </w:tc>
      </w:tr>
      <w:tr>
        <w:tc>
          <w:tcPr>
            <w:tcW w:type="dxa" w:w="2520"/>
          </w:tcPr>
          <w:p>
            <w:r>
              <w:rPr>
                <w:sz w:val="18"/>
              </w:rPr>
              <w:t>2026-04-02</w:t>
            </w:r>
          </w:p>
        </w:tc>
        <w:tc>
          <w:tcPr>
            <w:tcW w:type="dxa" w:w="2520"/>
          </w:tcPr>
          <w:p>
            <w:r>
              <w:rPr>
                <w:sz w:val="18"/>
              </w:rPr>
              <w:t>UTILIZATION_MGMT_SCRUTINY</w:t>
            </w:r>
          </w:p>
        </w:tc>
        <w:tc>
          <w:tcPr>
            <w:tcW w:type="dxa" w:w="2520"/>
          </w:tcPr>
          <w:p>
            <w:r>
              <w:rPr>
                <w:sz w:val="18"/>
              </w:rPr>
              <w:t>Proposed by ingestion of 'blind_spot:UNH:UnitedHealth Group</w:t>
            </w:r>
          </w:p>
        </w:tc>
        <w:tc>
          <w:tcPr>
            <w:tcW w:type="dxa" w:w="2520"/>
          </w:tcPr>
          <w:p>
            <w:r>
              <w:rPr>
                <w:sz w:val="18"/>
              </w:rPr>
              <w:t>ingestion_pipeline</w:t>
            </w:r>
          </w:p>
        </w:tc>
      </w:tr>
      <w:tr>
        <w:tc>
          <w:tcPr>
            <w:tcW w:type="dxa" w:w="2520"/>
          </w:tcPr>
          <w:p>
            <w:r>
              <w:rPr>
                <w:sz w:val="18"/>
              </w:rPr>
              <w:t>2026-04-02</w:t>
            </w:r>
          </w:p>
        </w:tc>
        <w:tc>
          <w:tcPr>
            <w:tcW w:type="dxa" w:w="2520"/>
          </w:tcPr>
          <w:p>
            <w:r>
              <w:rPr>
                <w:sz w:val="18"/>
              </w:rPr>
              <w:t>PUBLIC_OUTRAGE_IMPACT</w:t>
            </w:r>
          </w:p>
        </w:tc>
        <w:tc>
          <w:tcPr>
            <w:tcW w:type="dxa" w:w="2520"/>
          </w:tcPr>
          <w:p>
            <w:r>
              <w:rPr>
                <w:sz w:val="18"/>
              </w:rPr>
              <w:t>Proposed by ingestion of 'blind_spot:UNH:UnitedHealth Group</w:t>
            </w:r>
          </w:p>
        </w:tc>
        <w:tc>
          <w:tcPr>
            <w:tcW w:type="dxa" w:w="2520"/>
          </w:tcPr>
          <w:p>
            <w:r>
              <w:rPr>
                <w:sz w:val="18"/>
              </w:rPr>
              <w:t>ingestion_pipeline</w:t>
            </w:r>
          </w:p>
        </w:tc>
      </w:tr>
      <w:tr>
        <w:tc>
          <w:tcPr>
            <w:tcW w:type="dxa" w:w="2520"/>
          </w:tcPr>
          <w:p>
            <w:r>
              <w:rPr>
                <w:sz w:val="18"/>
              </w:rPr>
              <w:t>2026-04-02</w:t>
            </w:r>
          </w:p>
        </w:tc>
        <w:tc>
          <w:tcPr>
            <w:tcW w:type="dxa" w:w="2520"/>
          </w:tcPr>
          <w:p>
            <w:r>
              <w:rPr>
                <w:sz w:val="18"/>
              </w:rPr>
              <w:t>GUIDANCE_CHANGE_POST_CRISIS</w:t>
            </w:r>
          </w:p>
        </w:tc>
        <w:tc>
          <w:tcPr>
            <w:tcW w:type="dxa" w:w="2520"/>
          </w:tcPr>
          <w:p>
            <w:r>
              <w:rPr>
                <w:sz w:val="18"/>
              </w:rPr>
              <w:t>Proposed by ingestion of 'blind_spot:UNH:UnitedHealth Group</w:t>
            </w:r>
          </w:p>
        </w:tc>
        <w:tc>
          <w:tcPr>
            <w:tcW w:type="dxa" w:w="2520"/>
          </w:tcPr>
          <w:p>
            <w:r>
              <w:rPr>
                <w:sz w:val="18"/>
              </w:rPr>
              <w:t>ingestion_pipeline</w:t>
            </w:r>
          </w:p>
        </w:tc>
      </w:tr>
      <w:tr>
        <w:tc>
          <w:tcPr>
            <w:tcW w:type="dxa" w:w="2520"/>
          </w:tcPr>
          <w:p>
            <w:r>
              <w:rPr>
                <w:sz w:val="18"/>
              </w:rPr>
              <w:t>2026-04-02</w:t>
            </w:r>
          </w:p>
        </w:tc>
        <w:tc>
          <w:tcPr>
            <w:tcW w:type="dxa" w:w="2520"/>
          </w:tcPr>
          <w:p>
            <w:r>
              <w:rPr>
                <w:sz w:val="18"/>
              </w:rPr>
              <w:t>VAERS_DATA_MONITORING</w:t>
            </w:r>
          </w:p>
        </w:tc>
        <w:tc>
          <w:tcPr>
            <w:tcW w:type="dxa" w:w="2520"/>
          </w:tcPr>
          <w:p>
            <w:r>
              <w:rPr>
                <w:sz w:val="18"/>
              </w:rPr>
              <w:t>Proposed by ingestion of 'blind_spot:MRNA:Moderna, Inc. Secu</w:t>
            </w:r>
          </w:p>
        </w:tc>
        <w:tc>
          <w:tcPr>
            <w:tcW w:type="dxa" w:w="2520"/>
          </w:tcPr>
          <w:p>
            <w:r>
              <w:rPr>
                <w:sz w:val="18"/>
              </w:rPr>
              <w:t>ingestion_pipeline</w:t>
            </w:r>
          </w:p>
        </w:tc>
      </w:tr>
      <w:tr>
        <w:tc>
          <w:tcPr>
            <w:tcW w:type="dxa" w:w="2520"/>
          </w:tcPr>
          <w:p>
            <w:r>
              <w:rPr>
                <w:sz w:val="18"/>
              </w:rPr>
              <w:t>2026-04-02</w:t>
            </w:r>
          </w:p>
        </w:tc>
        <w:tc>
          <w:tcPr>
            <w:tcW w:type="dxa" w:w="2520"/>
          </w:tcPr>
          <w:p>
            <w:r>
              <w:rPr>
                <w:sz w:val="18"/>
              </w:rPr>
              <w:t>VACCINE_SAFETY_OVERSIGHT_BOARD</w:t>
            </w:r>
          </w:p>
        </w:tc>
        <w:tc>
          <w:tcPr>
            <w:tcW w:type="dxa" w:w="2520"/>
          </w:tcPr>
          <w:p>
            <w:r>
              <w:rPr>
                <w:sz w:val="18"/>
              </w:rPr>
              <w:t>Proposed by ingestion of 'blind_spot:MRNA:Moderna, Inc. Secu</w:t>
            </w:r>
          </w:p>
        </w:tc>
        <w:tc>
          <w:tcPr>
            <w:tcW w:type="dxa" w:w="2520"/>
          </w:tcPr>
          <w:p>
            <w:r>
              <w:rPr>
                <w:sz w:val="18"/>
              </w:rPr>
              <w:t>ingestion_pipeline</w:t>
            </w:r>
          </w:p>
        </w:tc>
      </w:tr>
      <w:tr>
        <w:tc>
          <w:tcPr>
            <w:tcW w:type="dxa" w:w="2520"/>
          </w:tcPr>
          <w:p>
            <w:r>
              <w:rPr>
                <w:sz w:val="18"/>
              </w:rPr>
              <w:t>2026-04-02</w:t>
            </w:r>
          </w:p>
        </w:tc>
        <w:tc>
          <w:tcPr>
            <w:tcW w:type="dxa" w:w="2520"/>
          </w:tcPr>
          <w:p>
            <w:r>
              <w:rPr>
                <w:sz w:val="18"/>
              </w:rPr>
              <w:t>PEDIATRIC_SAFETY_DISCLOSURE_GAP</w:t>
            </w:r>
          </w:p>
        </w:tc>
        <w:tc>
          <w:tcPr>
            <w:tcW w:type="dxa" w:w="2520"/>
          </w:tcPr>
          <w:p>
            <w:r>
              <w:rPr>
                <w:sz w:val="18"/>
              </w:rPr>
              <w:t>Proposed by ingestion of 'blind_spot:MRNA:Moderna, Inc. Secu</w:t>
            </w:r>
          </w:p>
        </w:tc>
        <w:tc>
          <w:tcPr>
            <w:tcW w:type="dxa" w:w="2520"/>
          </w:tcPr>
          <w:p>
            <w:r>
              <w:rPr>
                <w:sz w:val="18"/>
              </w:rPr>
              <w:t>ingestion_pipeline</w:t>
            </w:r>
          </w:p>
        </w:tc>
      </w:tr>
      <w:tr>
        <w:tc>
          <w:tcPr>
            <w:tcW w:type="dxa" w:w="2520"/>
          </w:tcPr>
          <w:p>
            <w:r>
              <w:rPr>
                <w:sz w:val="18"/>
              </w:rPr>
              <w:t>2026-04-02</w:t>
            </w:r>
          </w:p>
        </w:tc>
        <w:tc>
          <w:tcPr>
            <w:tcW w:type="dxa" w:w="2520"/>
          </w:tcPr>
          <w:p>
            <w:r>
              <w:rPr>
                <w:sz w:val="18"/>
              </w:rPr>
              <w:t>GOV.FOUNDER_CRIMINAL_EXPOSURE</w:t>
            </w:r>
          </w:p>
        </w:tc>
        <w:tc>
          <w:tcPr>
            <w:tcW w:type="dxa" w:w="2520"/>
          </w:tcPr>
          <w:p>
            <w:r>
              <w:rPr>
                <w:sz w:val="18"/>
              </w:rPr>
              <w:t>Proposed by ingestion of 'blind_spot:NVDA:Super Micro Comput</w:t>
            </w:r>
          </w:p>
        </w:tc>
        <w:tc>
          <w:tcPr>
            <w:tcW w:type="dxa" w:w="2520"/>
          </w:tcPr>
          <w:p>
            <w:r>
              <w:rPr>
                <w:sz w:val="18"/>
              </w:rPr>
              <w:t>ingestion_pipeline</w:t>
            </w:r>
          </w:p>
        </w:tc>
      </w:tr>
      <w:tr>
        <w:tc>
          <w:tcPr>
            <w:tcW w:type="dxa" w:w="2520"/>
          </w:tcPr>
          <w:p>
            <w:r>
              <w:rPr>
                <w:sz w:val="18"/>
              </w:rPr>
              <w:t>2026-04-02</w:t>
            </w:r>
          </w:p>
        </w:tc>
        <w:tc>
          <w:tcPr>
            <w:tcW w:type="dxa" w:w="2520"/>
          </w:tcPr>
          <w:p>
            <w:r>
              <w:rPr>
                <w:sz w:val="18"/>
              </w:rPr>
              <w:t>BIZ.CHINA_EXPOSURE_DISCLOSURE</w:t>
            </w:r>
          </w:p>
        </w:tc>
        <w:tc>
          <w:tcPr>
            <w:tcW w:type="dxa" w:w="2520"/>
          </w:tcPr>
          <w:p>
            <w:r>
              <w:rPr>
                <w:sz w:val="18"/>
              </w:rPr>
              <w:t>Proposed by ingestion of 'blind_spot:NVDA:Super Micro Comput</w:t>
            </w:r>
          </w:p>
        </w:tc>
        <w:tc>
          <w:tcPr>
            <w:tcW w:type="dxa" w:w="2520"/>
          </w:tcPr>
          <w:p>
            <w:r>
              <w:rPr>
                <w:sz w:val="18"/>
              </w:rPr>
              <w:t>ingestion_pipeline</w:t>
            </w:r>
          </w:p>
        </w:tc>
      </w:tr>
      <w:tr>
        <w:tc>
          <w:tcPr>
            <w:tcW w:type="dxa" w:w="2520"/>
          </w:tcPr>
          <w:p>
            <w:r>
              <w:rPr>
                <w:sz w:val="18"/>
              </w:rPr>
              <w:t>2026-04-02</w:t>
            </w:r>
          </w:p>
        </w:tc>
        <w:tc>
          <w:tcPr>
            <w:tcW w:type="dxa" w:w="2520"/>
          </w:tcPr>
          <w:p>
            <w:r>
              <w:rPr>
                <w:sz w:val="18"/>
              </w:rPr>
              <w:t>GOV.EXPORT_CONTROL_COMPLIANCE</w:t>
            </w:r>
          </w:p>
        </w:tc>
        <w:tc>
          <w:tcPr>
            <w:tcW w:type="dxa" w:w="2520"/>
          </w:tcPr>
          <w:p>
            <w:r>
              <w:rPr>
                <w:sz w:val="18"/>
              </w:rPr>
              <w:t>Proposed by ingestion of 'blind_spot:NVDA:Super Micro Comput</w:t>
            </w:r>
          </w:p>
        </w:tc>
        <w:tc>
          <w:tcPr>
            <w:tcW w:type="dxa" w:w="2520"/>
          </w:tcPr>
          <w:p>
            <w:r>
              <w:rPr>
                <w:sz w:val="18"/>
              </w:rPr>
              <w:t>ingestion_pipeline</w:t>
            </w:r>
          </w:p>
        </w:tc>
      </w:tr>
      <w:tr>
        <w:tc>
          <w:tcPr>
            <w:tcW w:type="dxa" w:w="2520"/>
          </w:tcPr>
          <w:p>
            <w:r>
              <w:rPr>
                <w:sz w:val="18"/>
              </w:rPr>
              <w:t>2026-04-02</w:t>
            </w:r>
          </w:p>
        </w:tc>
        <w:tc>
          <w:tcPr>
            <w:tcW w:type="dxa" w:w="2520"/>
          </w:tcPr>
          <w:p>
            <w:r>
              <w:rPr>
                <w:sz w:val="18"/>
              </w:rPr>
              <w:t>AI_DEVELOPMENT_TIMELINE_DISCLOSURE</w:t>
            </w:r>
          </w:p>
        </w:tc>
        <w:tc>
          <w:tcPr>
            <w:tcW w:type="dxa" w:w="2520"/>
          </w:tcPr>
          <w:p>
            <w:r>
              <w:rPr>
                <w:sz w:val="18"/>
              </w:rPr>
              <w:t>Proposed by ingestion of 'blind_spot:AAPL:AAPL LAWSUIT: Appl</w:t>
            </w:r>
          </w:p>
        </w:tc>
        <w:tc>
          <w:tcPr>
            <w:tcW w:type="dxa" w:w="2520"/>
          </w:tcPr>
          <w:p>
            <w:r>
              <w:rPr>
                <w:sz w:val="18"/>
              </w:rPr>
              <w:t>ingestion_pipeline</w:t>
            </w:r>
          </w:p>
        </w:tc>
      </w:tr>
    </w:tbl>
    <w:p>
      <w:pPr>
        <w:pStyle w:val="DOHeading3"/>
      </w:pPr>
      <w:r>
        <w:t>Discovery Findings</w:t>
      </w:r>
    </w:p>
    <w:p>
      <w:pPr>
        <w:pStyle w:val="DOBody"/>
      </w:pPr>
      <w:r>
        <w:t>1 document(s) analyzed, 3 proposal(s) generated, from blind spot search</w:t>
      </w:r>
    </w:p>
    <w:p>
      <w:pPr>
        <w:pStyle w:val="DOHeading3"/>
      </w:pPr>
      <w:r>
        <w:t>Feedback for UNH</w:t>
      </w:r>
    </w:p>
    <w:p>
      <w:pPr>
        <w:pStyle w:val="DOBody"/>
      </w:pPr>
      <w:r>
        <w:t>No pending feedback for UNH.</w:t>
      </w: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999999"/>
        <w:sz w:val="14"/>
      </w:rPr>
      <w:t>Angry Dolphin Underwriting | Confidential</w:t>
    </w:r>
    <w:r>
      <w:rPr>
        <w:color w:val="999999"/>
        <w:sz w:val="14"/>
      </w:rPr>
      <w:t xml:space="preserve">  |  Page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1A1446"/>
        <w:sz w:val="16"/>
      </w:rPr>
      <w:t>UNITEDHEALTH GROUP INC (UNH)</w:t>
    </w:r>
    <w:r>
      <w:rPr>
        <w:color w:val="999999"/>
        <w:sz w:val="16"/>
      </w:rPr>
      <w:t xml:space="preserve">  |  Generated: 2026-04-02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Heading1">
    <w:name w:val="DOHeading1"/>
    <w:pPr>
      <w:keepNext/>
      <w:spacing w:before="480" w:after="160"/>
    </w:pPr>
    <w:rPr>
      <w:rFonts w:ascii="Georgia" w:hAnsi="Georgia"/>
      <w:b/>
      <w:color w:val="1A1446"/>
      <w:sz w:val="40"/>
    </w:rPr>
  </w:style>
  <w:style w:type="paragraph" w:customStyle="1" w:styleId="DOHeading2">
    <w:name w:val="DOHeading2"/>
    <w:pPr>
      <w:keepNext/>
      <w:spacing w:before="280" w:after="80"/>
    </w:pPr>
    <w:rPr>
      <w:rFonts w:ascii="Georgia" w:hAnsi="Georgia"/>
      <w:b/>
      <w:color w:val="1A1446"/>
      <w:sz w:val="28"/>
    </w:rPr>
  </w:style>
  <w:style w:type="paragraph" w:customStyle="1" w:styleId="DOHeading3">
    <w:name w:val="DOHeading3"/>
    <w:pPr>
      <w:keepNext/>
      <w:spacing w:before="200" w:after="60"/>
    </w:pPr>
    <w:rPr>
      <w:rFonts w:ascii="Georgia" w:hAnsi="Georgia"/>
      <w:b/>
      <w:color w:val="1A1446"/>
      <w:sz w:val="24"/>
    </w:rPr>
  </w:style>
  <w:style w:type="paragraph" w:customStyle="1" w:styleId="DOBody">
    <w:name w:val="DOBody"/>
    <w:pPr>
      <w:spacing w:after="80"/>
    </w:pPr>
    <w:rPr>
      <w:rFonts w:ascii="Calibri" w:hAnsi="Calibri"/>
      <w:color w:val="333333"/>
      <w:sz w:val="20"/>
    </w:rPr>
  </w:style>
  <w:style w:type="paragraph" w:customStyle="1" w:styleId="DOCaption">
    <w:name w:val="DOCaption"/>
    <w:pPr>
      <w:spacing w:before="40" w:after="120"/>
    </w:pPr>
    <w:rPr>
      <w:rFonts w:ascii="Calibri" w:hAnsi="Calibri"/>
      <w:color w:val="666666"/>
      <w:sz w:val="18"/>
    </w:rPr>
  </w:style>
  <w:style w:type="paragraph" w:customStyle="1" w:styleId="DOCitation">
    <w:name w:val="DOCitation"/>
    <w:pPr>
      <w:spacing w:after="40"/>
    </w:pPr>
    <w:rPr>
      <w:rFonts w:ascii="Consolas" w:hAnsi="Consolas"/>
      <w:color w:val="666666"/>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